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74" w:rsidRPr="00B82358" w:rsidRDefault="004C3674" w:rsidP="006159B9">
      <w:pPr>
        <w:rPr>
          <w:rFonts w:ascii="Arial" w:hAnsi="Arial" w:cs="Arial"/>
          <w:b/>
          <w:bCs/>
          <w:color w:val="F79646"/>
        </w:rPr>
      </w:pPr>
      <w:r w:rsidRPr="00B82358">
        <w:rPr>
          <w:rFonts w:ascii="Arial" w:hAnsi="Arial" w:cs="Arial"/>
          <w:b/>
          <w:bCs/>
          <w:color w:val="F79646"/>
        </w:rPr>
        <w:t>Genesis 12 – 25</w:t>
      </w:r>
      <w:r w:rsidR="006159B9">
        <w:rPr>
          <w:rFonts w:ascii="Arial" w:hAnsi="Arial" w:cs="Arial"/>
          <w:b/>
          <w:bCs/>
          <w:color w:val="F79646"/>
        </w:rPr>
        <w:t>:</w:t>
      </w:r>
    </w:p>
    <w:p w:rsidR="004C3674" w:rsidRDefault="004C3674" w:rsidP="004C3674">
      <w:pPr>
        <w:rPr>
          <w:rFonts w:ascii="Arial" w:hAnsi="Arial" w:cs="Arial"/>
        </w:rPr>
      </w:pPr>
    </w:p>
    <w:p w:rsidR="006159B9" w:rsidRPr="006159B9" w:rsidRDefault="006159B9" w:rsidP="004C3674">
      <w:pPr>
        <w:pStyle w:val="BodyText"/>
        <w:rPr>
          <w:b/>
          <w:u w:val="single"/>
        </w:rPr>
      </w:pPr>
      <w:r w:rsidRPr="006159B9">
        <w:rPr>
          <w:b/>
          <w:u w:val="single"/>
        </w:rPr>
        <w:t>ABRAHAM</w:t>
      </w:r>
    </w:p>
    <w:p w:rsidR="006159B9" w:rsidRDefault="006159B9" w:rsidP="004C3674">
      <w:pPr>
        <w:pStyle w:val="BodyText"/>
      </w:pPr>
    </w:p>
    <w:p w:rsidR="004C3674" w:rsidRDefault="004C3674" w:rsidP="004C3674">
      <w:pPr>
        <w:pStyle w:val="BodyText"/>
      </w:pPr>
      <w:r>
        <w:t xml:space="preserve">The story of Abraham begins (11:27-32) and ends (25:1-18) with genealogical notices about the families of </w:t>
      </w:r>
      <w:proofErr w:type="spellStart"/>
      <w:r>
        <w:t>Terah</w:t>
      </w:r>
      <w:proofErr w:type="spellEnd"/>
      <w:r>
        <w:t xml:space="preserve"> and Abraham. 12:1-9 acts as an overture introducing the key themes for the rest of the section (</w:t>
      </w:r>
      <w:proofErr w:type="spellStart"/>
      <w:r>
        <w:t>chs</w:t>
      </w:r>
      <w:proofErr w:type="spellEnd"/>
      <w:r>
        <w:t>. 12-25). The Abraham-Lot cycle takes up most of chapters 13-14+19 and between these chapters, promises predominate (</w:t>
      </w:r>
      <w:proofErr w:type="spellStart"/>
      <w:r>
        <w:t>chs</w:t>
      </w:r>
      <w:proofErr w:type="spellEnd"/>
      <w:r>
        <w:t>. 15</w:t>
      </w:r>
      <w:proofErr w:type="gramStart"/>
      <w:r>
        <w:t>,16,17</w:t>
      </w:r>
      <w:proofErr w:type="gramEnd"/>
      <w:r>
        <w:t xml:space="preserve"> and 18:1-16).  Chapters 20-24 conclude the unit by telling of the fulfilment of the promise of the son and heir (21:1-7), Abraham’s obedience regarding his heir (22:1-19) and his heir’s marriage (</w:t>
      </w:r>
      <w:proofErr w:type="spellStart"/>
      <w:r>
        <w:t>ch</w:t>
      </w:r>
      <w:proofErr w:type="spellEnd"/>
      <w:r>
        <w:t xml:space="preserve">. 24) and the fulfilment of the promise of the land by Abraham’s acquiring a small plot and well (21:22-34 and ch.23). Reading the various episodes in chapters 12-25 causes the reader to ponder the issues raised in chapter 12.  The characterisation is also more complex, and not only of the major characters such as Abraham, Sarah and </w:t>
      </w:r>
      <w:smartTag w:uri="urn:schemas-microsoft-com:office:smarttags" w:element="place">
        <w:r>
          <w:t>Lot</w:t>
        </w:r>
      </w:smartTag>
      <w:proofErr w:type="gramStart"/>
      <w:r>
        <w:t>;  we</w:t>
      </w:r>
      <w:proofErr w:type="gramEnd"/>
      <w:r>
        <w:t xml:space="preserve"> are also provided with detailed cameos of minor characters such as Pharaoh, Hagar and </w:t>
      </w:r>
      <w:proofErr w:type="spellStart"/>
      <w:r>
        <w:t>Abimelech</w:t>
      </w:r>
      <w:proofErr w:type="spellEnd"/>
      <w:r>
        <w:t xml:space="preserve">.  An overarching plot is more discernible than in </w:t>
      </w:r>
      <w:proofErr w:type="spellStart"/>
      <w:r>
        <w:t>chs</w:t>
      </w:r>
      <w:proofErr w:type="spellEnd"/>
      <w:r>
        <w:t xml:space="preserve"> 1-11 but the expectations of the characters, and with them those of the readers, are regularly raised and then disappointed (See Turner, </w:t>
      </w:r>
      <w:r>
        <w:rPr>
          <w:i/>
          <w:iCs/>
        </w:rPr>
        <w:t>Genesis</w:t>
      </w:r>
      <w:proofErr w:type="gramStart"/>
      <w:r>
        <w:t>,  p.17</w:t>
      </w:r>
      <w:proofErr w:type="gramEnd"/>
      <w:r>
        <w:t>).</w:t>
      </w:r>
    </w:p>
    <w:p w:rsidR="004C3674" w:rsidRDefault="004C3674" w:rsidP="004C3674">
      <w:pPr>
        <w:rPr>
          <w:rFonts w:ascii="Arial" w:hAnsi="Arial" w:cs="Arial"/>
        </w:rPr>
      </w:pPr>
    </w:p>
    <w:p w:rsidR="004C3674" w:rsidRDefault="004C3674" w:rsidP="004C36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Some commentators </w:t>
      </w:r>
      <w:proofErr w:type="gramStart"/>
      <w:r>
        <w:rPr>
          <w:rFonts w:ascii="Arial" w:hAnsi="Arial" w:cs="Arial"/>
        </w:rPr>
        <w:t>( R.E</w:t>
      </w:r>
      <w:proofErr w:type="gramEnd"/>
      <w:r>
        <w:rPr>
          <w:rFonts w:ascii="Arial" w:hAnsi="Arial" w:cs="Arial"/>
        </w:rPr>
        <w:t xml:space="preserve">. Murphy in </w:t>
      </w:r>
      <w:r>
        <w:rPr>
          <w:rFonts w:ascii="Arial" w:hAnsi="Arial" w:cs="Arial"/>
          <w:i/>
          <w:iCs/>
        </w:rPr>
        <w:t>The New Jerome Biblical Commentary</w:t>
      </w:r>
      <w:r>
        <w:rPr>
          <w:rFonts w:ascii="Arial" w:hAnsi="Arial" w:cs="Arial"/>
        </w:rPr>
        <w:t>) see in this section a series of ten trials, each of which is followed by consolation:</w:t>
      </w:r>
    </w:p>
    <w:p w:rsidR="004C3674" w:rsidRDefault="004C3674" w:rsidP="004C3674">
      <w:pPr>
        <w:rPr>
          <w:rFonts w:ascii="Arial" w:hAnsi="Arial" w:cs="Arial"/>
        </w:rPr>
      </w:pP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Migration from country and family (12:1-4)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Dangerous journey to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Egypt</w:t>
          </w:r>
        </w:smartTag>
      </w:smartTag>
      <w:r>
        <w:rPr>
          <w:rFonts w:ascii="Arial" w:hAnsi="Arial" w:cs="Arial"/>
        </w:rPr>
        <w:t xml:space="preserve"> (12:10-13:1)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Yielding to </w:t>
      </w:r>
      <w:smartTag w:uri="urn:schemas-microsoft-com:office:smarttags" w:element="place">
        <w:r>
          <w:rPr>
            <w:rFonts w:ascii="Arial" w:hAnsi="Arial" w:cs="Arial"/>
          </w:rPr>
          <w:t>Lot</w:t>
        </w:r>
      </w:smartTag>
      <w:r>
        <w:rPr>
          <w:rFonts w:ascii="Arial" w:hAnsi="Arial" w:cs="Arial"/>
        </w:rPr>
        <w:t xml:space="preserve"> (13:2-8)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Rescue of </w:t>
      </w:r>
      <w:smartTag w:uri="urn:schemas-microsoft-com:office:smarttags" w:element="place">
        <w:r>
          <w:rPr>
            <w:rFonts w:ascii="Arial" w:hAnsi="Arial" w:cs="Arial"/>
          </w:rPr>
          <w:t>Lot</w:t>
        </w:r>
      </w:smartTag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chs</w:t>
      </w:r>
      <w:proofErr w:type="spellEnd"/>
      <w:r>
        <w:rPr>
          <w:rFonts w:ascii="Arial" w:hAnsi="Arial" w:cs="Arial"/>
        </w:rPr>
        <w:t xml:space="preserve"> 14-15)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Danger of loss of Ishmael (</w:t>
      </w:r>
      <w:proofErr w:type="spellStart"/>
      <w:r>
        <w:rPr>
          <w:rFonts w:ascii="Arial" w:hAnsi="Arial" w:cs="Arial"/>
        </w:rPr>
        <w:t>chs</w:t>
      </w:r>
      <w:proofErr w:type="spellEnd"/>
      <w:r>
        <w:rPr>
          <w:rFonts w:ascii="Arial" w:hAnsi="Arial" w:cs="Arial"/>
        </w:rPr>
        <w:t xml:space="preserve"> 16-17)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Testing through circumcision (18:1-15)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smartTag w:uri="urn:schemas-microsoft-com:office:smarttags" w:element="place">
        <w:r>
          <w:rPr>
            <w:rFonts w:ascii="Arial" w:hAnsi="Arial" w:cs="Arial"/>
          </w:rPr>
          <w:t>Lot</w:t>
        </w:r>
      </w:smartTag>
      <w:r>
        <w:rPr>
          <w:rFonts w:ascii="Arial" w:hAnsi="Arial" w:cs="Arial"/>
        </w:rPr>
        <w:t xml:space="preserve"> in jeopardy from wickedness of neighbours (18:16-19:29)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Abraham again in danger from foreign king (20:1-21:7)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Birth of Isaac (21:8-34)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Offering of Isaac (</w:t>
      </w:r>
      <w:proofErr w:type="spellStart"/>
      <w:r>
        <w:rPr>
          <w:rFonts w:ascii="Arial" w:hAnsi="Arial" w:cs="Arial"/>
        </w:rPr>
        <w:t>ch</w:t>
      </w:r>
      <w:proofErr w:type="spellEnd"/>
      <w:r>
        <w:rPr>
          <w:rFonts w:ascii="Arial" w:hAnsi="Arial" w:cs="Arial"/>
        </w:rPr>
        <w:t>. 22)</w:t>
      </w:r>
    </w:p>
    <w:p w:rsidR="004C3674" w:rsidRDefault="004C3674" w:rsidP="004C3674">
      <w:pPr>
        <w:rPr>
          <w:rFonts w:ascii="Arial" w:hAnsi="Arial" w:cs="Arial"/>
        </w:rPr>
      </w:pPr>
    </w:p>
    <w:p w:rsidR="004C3674" w:rsidRDefault="004C3674" w:rsidP="004C3674">
      <w:pPr>
        <w:pStyle w:val="BodyText"/>
      </w:pPr>
      <w:r>
        <w:t xml:space="preserve">The most striking characteristic of Abraham’s portrayal in the Genesis narrative – and for which it is most admired in later tradition – is his passive obedience to the divine directives he receives. At the beginning of the story, he is told to leave his homeland and travel to a distant land.  That he seems to accept this summons without question or hesitation may be a consequence of the literal economy of the narrative, but in post-biblical interpretation his passive acceptance has been seen as a paradigm of the unquestioning obedience that arises from trust in </w:t>
      </w:r>
      <w:proofErr w:type="gramStart"/>
      <w:r>
        <w:t>God  (</w:t>
      </w:r>
      <w:proofErr w:type="spellStart"/>
      <w:proofErr w:type="gramEnd"/>
      <w:r>
        <w:rPr>
          <w:i/>
          <w:iCs/>
        </w:rPr>
        <w:t>Eerdmans</w:t>
      </w:r>
      <w:proofErr w:type="spellEnd"/>
      <w:r>
        <w:rPr>
          <w:i/>
          <w:iCs/>
        </w:rPr>
        <w:t xml:space="preserve"> Dictionary of the Bible</w:t>
      </w:r>
      <w:r>
        <w:t>, p.10).</w:t>
      </w:r>
    </w:p>
    <w:p w:rsidR="006159B9" w:rsidRDefault="006159B9" w:rsidP="006159B9">
      <w:pPr>
        <w:rPr>
          <w:rFonts w:ascii="Arial" w:hAnsi="Arial" w:cs="Arial"/>
        </w:rPr>
      </w:pPr>
    </w:p>
    <w:p w:rsidR="006159B9" w:rsidRDefault="006159B9" w:rsidP="006159B9">
      <w:pPr>
        <w:rPr>
          <w:rFonts w:ascii="Arial" w:hAnsi="Arial" w:cs="Arial"/>
          <w:b/>
          <w:bCs/>
          <w:color w:val="F79646"/>
        </w:rPr>
      </w:pPr>
      <w:r w:rsidRPr="00B82358">
        <w:rPr>
          <w:rFonts w:ascii="Arial" w:hAnsi="Arial" w:cs="Arial"/>
          <w:b/>
          <w:bCs/>
          <w:color w:val="F79646"/>
        </w:rPr>
        <w:t xml:space="preserve">Genesis 25:19 – 36:1: </w:t>
      </w:r>
    </w:p>
    <w:p w:rsidR="006159B9" w:rsidRDefault="006159B9" w:rsidP="006159B9">
      <w:pPr>
        <w:rPr>
          <w:rFonts w:ascii="Arial" w:hAnsi="Arial" w:cs="Arial"/>
          <w:b/>
          <w:bCs/>
          <w:color w:val="F79646"/>
        </w:rPr>
      </w:pPr>
    </w:p>
    <w:p w:rsidR="006159B9" w:rsidRPr="00B82358" w:rsidRDefault="006159B9" w:rsidP="006159B9">
      <w:pPr>
        <w:rPr>
          <w:rFonts w:ascii="Arial" w:hAnsi="Arial" w:cs="Arial"/>
          <w:color w:val="F79646"/>
        </w:rPr>
      </w:pPr>
      <w:r w:rsidRPr="00B82358">
        <w:rPr>
          <w:rFonts w:ascii="Arial" w:hAnsi="Arial" w:cs="Arial"/>
          <w:b/>
          <w:bCs/>
          <w:color w:val="F79646"/>
        </w:rPr>
        <w:t xml:space="preserve"> The Story of Jacob</w:t>
      </w:r>
    </w:p>
    <w:p w:rsidR="006159B9" w:rsidRDefault="006159B9" w:rsidP="006159B9">
      <w:pPr>
        <w:rPr>
          <w:rFonts w:ascii="Arial" w:hAnsi="Arial" w:cs="Arial"/>
        </w:rPr>
      </w:pPr>
    </w:p>
    <w:p w:rsidR="006159B9" w:rsidRDefault="006159B9" w:rsidP="006159B9">
      <w:pPr>
        <w:rPr>
          <w:rFonts w:ascii="Arial" w:hAnsi="Arial" w:cs="Arial"/>
        </w:rPr>
      </w:pPr>
    </w:p>
    <w:p w:rsidR="006159B9" w:rsidRDefault="006159B9" w:rsidP="006159B9">
      <w:pPr>
        <w:pStyle w:val="BodyText"/>
      </w:pPr>
      <w:r>
        <w:t>Gen. 25:19-34 serves to introduce the story of Jacob. In particular, the two stories about the birth of Esau and Jacob (vv.21-26) and the birthright (vv.27-34) both point forward to the later antagonism between the two and to the precedence of Jacob over his brother.  The two brothers are caricatured as two contrasting types: the ruddy hairy hunter and the quiet man who stays at home.  Vv. 27-34 have been seen as based on an earlier story which reflected problems that arose when the sedentary way of life began to supersede the hunting stage  (</w:t>
      </w:r>
      <w:proofErr w:type="spellStart"/>
      <w:r>
        <w:t>Whybray</w:t>
      </w:r>
      <w:proofErr w:type="spellEnd"/>
      <w:r>
        <w:t xml:space="preserve">, p.55). Ch.26 is given a unity by the theme of Isaac’s relations with </w:t>
      </w:r>
      <w:proofErr w:type="spellStart"/>
      <w:r>
        <w:t>Abimelech</w:t>
      </w:r>
      <w:proofErr w:type="spellEnd"/>
      <w:r>
        <w:t xml:space="preserve">, the Philistine king of </w:t>
      </w:r>
      <w:proofErr w:type="spellStart"/>
      <w:r>
        <w:t>Gerar</w:t>
      </w:r>
      <w:proofErr w:type="spellEnd"/>
      <w:r>
        <w:t>.</w:t>
      </w:r>
    </w:p>
    <w:p w:rsidR="006159B9" w:rsidRDefault="006159B9" w:rsidP="006159B9">
      <w:pPr>
        <w:pStyle w:val="BodyText"/>
      </w:pPr>
    </w:p>
    <w:p w:rsidR="006159B9" w:rsidRDefault="006159B9" w:rsidP="006159B9">
      <w:pPr>
        <w:pStyle w:val="BodyText"/>
      </w:pPr>
      <w:r>
        <w:t xml:space="preserve">At one level this is a story of withdrawal and return, a familiar folk-tale motif.  It is also a story of hatred between brothers followed by eventual reconciliation; but in the context of the book as a whole, it is a continuation of the history of the promise made to the patriarchs.  Although Esau has his reward in the end in terms of material wealth (33:9-11), it is made clear that he was deprived not only of his birthright but also of the blessing (27:36).  He is to be the ancestor of the </w:t>
      </w:r>
      <w:proofErr w:type="spellStart"/>
      <w:r>
        <w:t>Edomites</w:t>
      </w:r>
      <w:proofErr w:type="spellEnd"/>
      <w:r>
        <w:t xml:space="preserve"> and not of </w:t>
      </w:r>
      <w:smartTag w:uri="urn:schemas-microsoft-com:office:smarttags" w:element="country-region">
        <w:r>
          <w:t>Israel</w:t>
        </w:r>
      </w:smartTag>
      <w:r>
        <w:t xml:space="preserve">, and accordingly establishes his residence in the region of </w:t>
      </w:r>
      <w:proofErr w:type="spellStart"/>
      <w:r>
        <w:t>Seir</w:t>
      </w:r>
      <w:proofErr w:type="spellEnd"/>
      <w:r>
        <w:t xml:space="preserve">, later to be part of </w:t>
      </w:r>
      <w:smartTag w:uri="urn:schemas-microsoft-com:office:smarttags" w:element="country-region">
        <w:smartTag w:uri="urn:schemas-microsoft-com:office:smarttags" w:element="place">
          <w:r>
            <w:t>Edom</w:t>
          </w:r>
        </w:smartTag>
      </w:smartTag>
      <w:r>
        <w:t xml:space="preserve"> (32:3; 33:14, 16). Later events are clearly reflected here. Isaac’s blessing of Jacob (27:27-29) and his lesser “blessing” of Esau (27:39-40) reflect the history of the later relations between the state of </w:t>
      </w:r>
      <w:smartTag w:uri="urn:schemas-microsoft-com:office:smarttags" w:element="country-region">
        <w:r>
          <w:t>Israel</w:t>
        </w:r>
      </w:smartTag>
      <w:r>
        <w:t xml:space="preserve"> and </w:t>
      </w:r>
      <w:smartTag w:uri="urn:schemas-microsoft-com:office:smarttags" w:element="country-region">
        <w:r>
          <w:t>Edom</w:t>
        </w:r>
      </w:smartTag>
      <w:r>
        <w:t xml:space="preserve">: </w:t>
      </w:r>
      <w:smartTag w:uri="urn:schemas-microsoft-com:office:smarttags" w:element="country-region">
        <w:r>
          <w:t>Israel</w:t>
        </w:r>
      </w:smartTag>
      <w:r>
        <w:t xml:space="preserve"> will rule over </w:t>
      </w:r>
      <w:smartTag w:uri="urn:schemas-microsoft-com:office:smarttags" w:element="country-region">
        <w:r>
          <w:t>Edom</w:t>
        </w:r>
      </w:smartTag>
      <w:r>
        <w:t xml:space="preserve"> but eventually </w:t>
      </w:r>
      <w:smartTag w:uri="urn:schemas-microsoft-com:office:smarttags" w:element="country-region">
        <w:smartTag w:uri="urn:schemas-microsoft-com:office:smarttags" w:element="place">
          <w:r>
            <w:t>Edom</w:t>
          </w:r>
        </w:smartTag>
      </w:smartTag>
      <w:r>
        <w:t xml:space="preserve"> will “break the yoke” and achieve its independence.   Scholars point out that the account of Jacob’s adventures in these chapters was not originally a composite unit.  The narrative as we have it incorporates many events which the final editor has combined.  In particular, one major section, </w:t>
      </w:r>
      <w:proofErr w:type="spellStart"/>
      <w:r>
        <w:t>chs</w:t>
      </w:r>
      <w:proofErr w:type="spellEnd"/>
      <w:r>
        <w:t xml:space="preserve">. 29-31, which describes Jacob’s extended residence in the house of his uncle </w:t>
      </w:r>
      <w:proofErr w:type="spellStart"/>
      <w:r>
        <w:t>Laban</w:t>
      </w:r>
      <w:proofErr w:type="spellEnd"/>
      <w:r>
        <w:t xml:space="preserve">, originally belonged to a quite distinct tradition about the relations between two peoples: </w:t>
      </w:r>
      <w:smartTag w:uri="urn:schemas-microsoft-com:office:smarttags" w:element="country-region">
        <w:smartTag w:uri="urn:schemas-microsoft-com:office:smarttags" w:element="place">
          <w:r>
            <w:t>Israel</w:t>
          </w:r>
        </w:smartTag>
      </w:smartTag>
      <w:r>
        <w:t xml:space="preserve"> and the </w:t>
      </w:r>
      <w:proofErr w:type="spellStart"/>
      <w:r>
        <w:t>Arameans</w:t>
      </w:r>
      <w:proofErr w:type="spellEnd"/>
      <w:r>
        <w:t>.</w:t>
      </w:r>
    </w:p>
    <w:p w:rsidR="006159B9" w:rsidRDefault="006159B9" w:rsidP="006159B9">
      <w:pPr>
        <w:rPr>
          <w:rFonts w:ascii="Arial" w:hAnsi="Arial" w:cs="Arial"/>
        </w:rPr>
      </w:pPr>
    </w:p>
    <w:p w:rsidR="006159B9" w:rsidRDefault="006159B9" w:rsidP="006159B9">
      <w:pPr>
        <w:pStyle w:val="BodyText"/>
      </w:pPr>
      <w:r>
        <w:t xml:space="preserve">Outside of Genesis, Hosea refers to the Jacob narrative, presenting a slightly different version of Jacob’s encounter at </w:t>
      </w:r>
      <w:proofErr w:type="spellStart"/>
      <w:r>
        <w:t>Penuel</w:t>
      </w:r>
      <w:proofErr w:type="spellEnd"/>
      <w:r>
        <w:t xml:space="preserve"> with God who is now represented as an angel (Hos. 12:2-4).  Jeremiah makes a somewhat disparaging allusion to Jacob’s character as a heel-grabber (Jer. 9:4) but in later literature Jacob is uniformly seen as a wise and pious man (e.g. Jub.25:4-10; Heb. 11:21).</w:t>
      </w:r>
    </w:p>
    <w:p w:rsidR="006159B9" w:rsidRDefault="006159B9" w:rsidP="006159B9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6159B9" w:rsidRPr="00E432DF" w:rsidRDefault="006159B9" w:rsidP="006159B9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color w:val="000000" w:themeColor="text1"/>
          <w:u w:val="single"/>
        </w:rPr>
      </w:pPr>
    </w:p>
    <w:p w:rsidR="004C3674" w:rsidRDefault="004C3674" w:rsidP="004C3674">
      <w:pPr>
        <w:rPr>
          <w:rFonts w:ascii="Arial" w:hAnsi="Arial" w:cs="Arial"/>
        </w:rPr>
      </w:pPr>
    </w:p>
    <w:sectPr w:rsidR="004C3674" w:rsidSect="009571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E502B"/>
    <w:multiLevelType w:val="multilevel"/>
    <w:tmpl w:val="B558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1D1100"/>
    <w:multiLevelType w:val="hybridMultilevel"/>
    <w:tmpl w:val="E13088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3674"/>
    <w:rsid w:val="001C08FF"/>
    <w:rsid w:val="002F30FF"/>
    <w:rsid w:val="004152CB"/>
    <w:rsid w:val="004C3674"/>
    <w:rsid w:val="006159B9"/>
    <w:rsid w:val="006B6135"/>
    <w:rsid w:val="0072259F"/>
    <w:rsid w:val="0095710E"/>
    <w:rsid w:val="00CD3761"/>
    <w:rsid w:val="00E54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3674"/>
    <w:pPr>
      <w:jc w:val="both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4C3674"/>
    <w:rPr>
      <w:rFonts w:ascii="Arial" w:eastAsia="Times New Roman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4C367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54371"/>
    <w:rPr>
      <w:rFonts w:ascii="Verdana" w:hAnsi="Verdana" w:hint="default"/>
      <w:b/>
      <w:bCs/>
      <w:strike w:val="0"/>
      <w:dstrike w:val="0"/>
      <w:color w:val="003366"/>
      <w:sz w:val="24"/>
      <w:szCs w:val="24"/>
      <w:u w:val="none"/>
      <w:effect w:val="none"/>
    </w:rPr>
  </w:style>
  <w:style w:type="character" w:customStyle="1" w:styleId="accesshide1">
    <w:name w:val="accesshide1"/>
    <w:basedOn w:val="DefaultParagraphFont"/>
    <w:rsid w:val="00E54371"/>
    <w:rPr>
      <w:b w:val="0"/>
      <w:bCs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37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52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4134</Characters>
  <Application>Microsoft Office Word</Application>
  <DocSecurity>4</DocSecurity>
  <Lines>34</Lines>
  <Paragraphs>9</Paragraphs>
  <ScaleCrop>false</ScaleCrop>
  <Company/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2</cp:revision>
  <dcterms:created xsi:type="dcterms:W3CDTF">2014-10-14T09:44:00Z</dcterms:created>
  <dcterms:modified xsi:type="dcterms:W3CDTF">2014-10-14T09:44:00Z</dcterms:modified>
</cp:coreProperties>
</file>