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28659F" w14:textId="77777777" w:rsidR="00ED372D" w:rsidRPr="00ED372D" w:rsidRDefault="00ED372D" w:rsidP="00A64511">
      <w:pPr>
        <w:pStyle w:val="Title"/>
      </w:pPr>
      <w:r w:rsidRPr="00ED372D">
        <w:t>Stoptober 2023: Impact of Research on Health Promotion</w:t>
      </w:r>
    </w:p>
    <w:p w14:paraId="79CF2846" w14:textId="4DAD6FB2" w:rsidR="00ED372D" w:rsidRPr="00ED372D" w:rsidRDefault="00ED372D" w:rsidP="00ED372D">
      <w:pPr>
        <w:rPr>
          <w:b/>
          <w:bCs/>
        </w:rPr>
      </w:pPr>
    </w:p>
    <w:p w14:paraId="5BF9A321" w14:textId="545B65EE" w:rsidR="00ED372D" w:rsidRPr="00ED372D" w:rsidRDefault="00ED372D" w:rsidP="00ED372D">
      <w:r w:rsidRPr="00ED372D">
        <w:t xml:space="preserve">Health promotion involves </w:t>
      </w:r>
      <w:r w:rsidR="00A64511" w:rsidRPr="00ED372D">
        <w:t>encouraging</w:t>
      </w:r>
      <w:r w:rsidRPr="00ED372D">
        <w:t xml:space="preserve"> individuals and communities to manage and improve their health by addressing and preventing the </w:t>
      </w:r>
      <w:r w:rsidR="00A64511" w:rsidRPr="00ED372D">
        <w:t>source</w:t>
      </w:r>
      <w:r w:rsidRPr="00ED372D">
        <w:t xml:space="preserve"> causes of ill health (World Health Organization, 1986). This essay will provide an overview of the Stoptober 2023 campaign, </w:t>
      </w:r>
      <w:r w:rsidRPr="00ED372D">
        <w:t>analyse</w:t>
      </w:r>
      <w:r w:rsidRPr="00ED372D">
        <w:t xml:space="preserve"> how research influences this health promotion intervention, and critically evaluate its effectiveness.</w:t>
      </w:r>
    </w:p>
    <w:p w14:paraId="3AB4FBCB" w14:textId="59200E03" w:rsidR="00ED372D" w:rsidRPr="00ED372D" w:rsidRDefault="00ED372D" w:rsidP="00ED372D">
      <w:r w:rsidRPr="00ED372D">
        <w:t xml:space="preserve">Stoptober 2023 is a nationwide smoking cessation campaign in the UK that encourages smokers to quit for 28 days during October. The campaign's primary aim is to help smokers break the habit through a structured and supportive approach. It targets smokers of all ages, with a particular focus on those from lower socioeconomic groups who often face greater barriers to quitting. The intervention outcomes include increased quit rates, reduction in smoking-related diseases, and long-term </w:t>
      </w:r>
      <w:r w:rsidRPr="00ED372D">
        <w:t>behavioural</w:t>
      </w:r>
      <w:r w:rsidRPr="00ED372D">
        <w:t xml:space="preserve"> changes towards healthier lifestyles (Public Health England, 2023).</w:t>
      </w:r>
    </w:p>
    <w:p w14:paraId="60CF0CAC" w14:textId="12FA65F8" w:rsidR="00ED372D" w:rsidRPr="00ED372D" w:rsidRDefault="00ED372D" w:rsidP="00ED372D">
      <w:r w:rsidRPr="00ED372D">
        <w:t xml:space="preserve">The primary goal of Stoptober is to increase quit rates among participants. Research indicates that those who quit smoking for 28 days are five times more likely to quit permanently (Public Health England, 2023). The campaign also aims to reduce the prevalence of smoking-related diseases such as lung cancer, heart disease, and chronic obstructive pulmonary disease (COPD). Additionally, Stoptober seeks to promote long-term </w:t>
      </w:r>
      <w:r w:rsidRPr="00ED372D">
        <w:t>behavioural</w:t>
      </w:r>
      <w:r w:rsidRPr="00ED372D">
        <w:t xml:space="preserve"> changes, encouraging participants to adopt healthier lifestyles beyond the campaign period (Fiore et al., 2008).</w:t>
      </w:r>
    </w:p>
    <w:p w14:paraId="06CF2802" w14:textId="7C04A4E2" w:rsidR="00ED372D" w:rsidRPr="00ED372D" w:rsidRDefault="00ED372D" w:rsidP="00ED372D">
      <w:r w:rsidRPr="00ED372D">
        <w:t xml:space="preserve">Research plays a crucial role in shaping the Stoptober campaign. Studies have shown that setting a quit date and engaging in structured programs significantly increases the chances of successfully quitting smoking (Borland et al., 2012). Social support is also vital for maintaining cessation, with evidence indicating that support from friends, family, and community groups </w:t>
      </w:r>
      <w:r w:rsidR="003C3A99" w:rsidRPr="00ED372D">
        <w:t>increases</w:t>
      </w:r>
      <w:r w:rsidRPr="00ED372D">
        <w:t xml:space="preserve"> quit rates (Lancaster and Stead, 2005). Stoptober integrates these findings by providing various support resources, including the Stoptober app, online communities, and personali</w:t>
      </w:r>
      <w:r w:rsidR="003C3A99">
        <w:t>s</w:t>
      </w:r>
      <w:r w:rsidRPr="00ED372D">
        <w:t>ed quitting plans.</w:t>
      </w:r>
    </w:p>
    <w:p w14:paraId="543E8E20" w14:textId="1F3A8479" w:rsidR="00ED372D" w:rsidRPr="00ED372D" w:rsidRDefault="00ED372D" w:rsidP="00ED372D">
      <w:r w:rsidRPr="00ED372D">
        <w:t xml:space="preserve">Stoptober relies on both primary and secondary data to inform </w:t>
      </w:r>
      <w:r w:rsidR="003C3A99">
        <w:t>the</w:t>
      </w:r>
      <w:r w:rsidRPr="00ED372D">
        <w:t xml:space="preserve"> interventions. Primary data includes surveys, feedback forms, and app usage statistics, providing real-time insights into the campaign's effectiveness. For instance, feedback from participants helps in understanding their experiences and identifying areas for improvement (Public Health England, 2023). </w:t>
      </w:r>
      <w:r w:rsidR="00B13240" w:rsidRPr="00B13240">
        <w:t xml:space="preserve">Secondary data contains several sources including as research studies, public health records, and national smoking statistics. </w:t>
      </w:r>
      <w:r w:rsidR="00B13240" w:rsidRPr="00B13240">
        <w:lastRenderedPageBreak/>
        <w:t>These sources contribute to developing an increased awareness of the campaign's impacts within the context of significant public health developments</w:t>
      </w:r>
      <w:r w:rsidRPr="00ED372D">
        <w:t xml:space="preserve"> (West et al., 2020).</w:t>
      </w:r>
    </w:p>
    <w:p w14:paraId="3DDE5FF5" w14:textId="6CE25985" w:rsidR="00ED372D" w:rsidRPr="00ED372D" w:rsidRDefault="00ED372D" w:rsidP="00ED372D">
      <w:r w:rsidRPr="00ED372D">
        <w:t>Stoptober uses educational materials such as leaflets, brochures, and online content to raise awareness about the benefits of quitting smoking and the dangers of continued smoking. These materials aim to educate and motivate smokers by providing evidence-based information on the health risks associated with smoking and the benefits of quitting. On the other hand, support services, including daily tips, progress tracking, and access to support communities via the app, provide the necessary tools and emotional support to help individuals through the quitting process. Research indicates that combining educational materials with personalized support significantly enhances the likelihood of quitting (Wakefield et al., 2010).</w:t>
      </w:r>
    </w:p>
    <w:p w14:paraId="7544D9ED" w14:textId="6B4BA827" w:rsidR="00ED372D" w:rsidRPr="00ED372D" w:rsidRDefault="00ED372D" w:rsidP="00ED372D">
      <w:r w:rsidRPr="00ED372D">
        <w:t xml:space="preserve">Stoptober encourages the use of Nicotine Replacement Therapy (NRT), such as patches, gum, and </w:t>
      </w:r>
      <w:r w:rsidR="00916735" w:rsidRPr="00ED372D">
        <w:t>pastilles</w:t>
      </w:r>
      <w:r w:rsidRPr="00ED372D">
        <w:t xml:space="preserve">, to manage withdrawal symptoms and reduce nicotine dependency. Studies have shown that NRT can double the chances of quitting compared to willpower alone (Silagy et al., 2004). Additionally, </w:t>
      </w:r>
      <w:r w:rsidRPr="00ED372D">
        <w:t>behavioural</w:t>
      </w:r>
      <w:r w:rsidRPr="00ED372D">
        <w:t xml:space="preserve"> interventions, such as personali</w:t>
      </w:r>
      <w:r w:rsidR="00BC41C1">
        <w:t>s</w:t>
      </w:r>
      <w:r w:rsidRPr="00ED372D">
        <w:t xml:space="preserve">ed quitting plans and daily motivational messages provided through the Stoptober app, address the psychological aspects of quitting smoking. Combining NRT with </w:t>
      </w:r>
      <w:r w:rsidRPr="00ED372D">
        <w:t>behavioural</w:t>
      </w:r>
      <w:r w:rsidRPr="00ED372D">
        <w:t xml:space="preserve"> support has been shown to be more effective than either method alone (Lancaster and Stead, 2005).</w:t>
      </w:r>
    </w:p>
    <w:p w14:paraId="7CEA1845" w14:textId="046AAD01" w:rsidR="00ED372D" w:rsidRPr="00ED372D" w:rsidRDefault="00ED372D" w:rsidP="00ED372D">
      <w:r w:rsidRPr="00ED372D">
        <w:t xml:space="preserve">Stoptober </w:t>
      </w:r>
      <w:r w:rsidR="00BC41C1" w:rsidRPr="00ED372D">
        <w:t>influences</w:t>
      </w:r>
      <w:r w:rsidRPr="00ED372D">
        <w:t xml:space="preserve"> mass media campaigns to reach a broad audience, using television, radio, and social media to spread </w:t>
      </w:r>
      <w:r w:rsidR="00BC41C1">
        <w:t>their</w:t>
      </w:r>
      <w:r w:rsidRPr="00ED372D">
        <w:t xml:space="preserve"> message. These campaigns are effective in raising awareness and motivating a large number of smokers to quit simultaneously (Wakefield et al., 2010). Community-based approaches, such as local support groups and challenges, are also a key part of Stoptober. These initiatives provide personali</w:t>
      </w:r>
      <w:r w:rsidR="00982FCD">
        <w:t>s</w:t>
      </w:r>
      <w:r w:rsidRPr="00ED372D">
        <w:t>ed, face-to-face support, which can be particularly effective in engaging and supporting individuals within specific communities (Borland et al., 2012).</w:t>
      </w:r>
    </w:p>
    <w:p w14:paraId="3AE38616" w14:textId="60AA6B06" w:rsidR="00ED372D" w:rsidRPr="00ED372D" w:rsidRDefault="00ED372D" w:rsidP="00ED372D">
      <w:r w:rsidRPr="00ED372D">
        <w:t xml:space="preserve">Research indicates that combining different types of interventions enhances the overall effectiveness of smoking cessation efforts. Stoptober’s integration of educational materials, support services, NRT, and </w:t>
      </w:r>
      <w:r w:rsidRPr="00ED372D">
        <w:t>behavioural</w:t>
      </w:r>
      <w:r w:rsidRPr="00ED372D">
        <w:t xml:space="preserve"> interventions provides a comprehensive approach to quitting smoking. This multifaceted strategy addresses both the physical and psychological aspects of smoking, increasing the likelihood of long-term success (Stead et al., 2012).</w:t>
      </w:r>
    </w:p>
    <w:p w14:paraId="06CF7BE8" w14:textId="368DEE3F" w:rsidR="00ED372D" w:rsidRPr="00ED372D" w:rsidRDefault="00ED372D" w:rsidP="00ED372D">
      <w:r w:rsidRPr="00ED372D">
        <w:t>Stoptober’s success is supported by broader policy measures such as smoke-free laws and increased tobacco taxes. These policies create an environment conducive to quitting by reducing the visibility and accessibility of tobacco products. The combination of direct interventions and supportive policies enhances the overall impact of the campaign (Fiore et al., 2008).</w:t>
      </w:r>
    </w:p>
    <w:p w14:paraId="540D8389" w14:textId="7391932F" w:rsidR="00ED372D" w:rsidRPr="00ED372D" w:rsidRDefault="00ED372D" w:rsidP="00ED372D">
      <w:r w:rsidRPr="00ED372D">
        <w:lastRenderedPageBreak/>
        <w:t xml:space="preserve">Stoptober has several strengths, including </w:t>
      </w:r>
      <w:r w:rsidR="00AA3CC9">
        <w:t>the</w:t>
      </w:r>
      <w:r w:rsidRPr="00ED372D">
        <w:t xml:space="preserve"> comprehensive approach, reliance on evidence-based interventions, and targeted support for vulnerable populations. However, there are also weaknesses, such as the resource intensity required to sustain the campaign and the varying impact across different populations and settings (Hiscock et al., 2012).</w:t>
      </w:r>
    </w:p>
    <w:p w14:paraId="257BF2D7" w14:textId="3DEEC709" w:rsidR="00ED372D" w:rsidRPr="00ED372D" w:rsidRDefault="00ED372D" w:rsidP="00ED372D">
      <w:r w:rsidRPr="00ED372D">
        <w:t>Stoptober presents opportunities such as utili</w:t>
      </w:r>
      <w:r w:rsidR="0065021A">
        <w:t>s</w:t>
      </w:r>
      <w:r w:rsidRPr="00ED372D">
        <w:t>ing technological advancements for personali</w:t>
      </w:r>
      <w:r w:rsidR="0065021A">
        <w:t>s</w:t>
      </w:r>
      <w:r w:rsidRPr="00ED372D">
        <w:t>ed support and strengthening the integration of smoking cessation programs into broader public health policies. However, there are also threats, including the rise of e-cigarettes and other vaping products and the high relapse rates that require continuous support (Doll et al., 2004).</w:t>
      </w:r>
    </w:p>
    <w:p w14:paraId="1F1FF44E" w14:textId="77777777" w:rsidR="00ED372D" w:rsidRPr="00ED372D" w:rsidRDefault="00ED372D" w:rsidP="00ED372D">
      <w:pPr>
        <w:rPr>
          <w:b/>
          <w:bCs/>
        </w:rPr>
      </w:pPr>
      <w:r w:rsidRPr="00ED372D">
        <w:rPr>
          <w:b/>
          <w:bCs/>
        </w:rPr>
        <w:t>Conclusion</w:t>
      </w:r>
    </w:p>
    <w:p w14:paraId="27EC11C7" w14:textId="6C795B57" w:rsidR="00ED372D" w:rsidRDefault="00ED372D" w:rsidP="00ED372D">
      <w:r w:rsidRPr="00ED372D">
        <w:t xml:space="preserve">Stoptober 2023 offers a comprehensive, evidence-based approach to smoking cessation. By combining educational materials, support services, NRT, and media campaigns, the campaign addresses both the physical and </w:t>
      </w:r>
      <w:r w:rsidRPr="00ED372D">
        <w:t>behavioural</w:t>
      </w:r>
      <w:r w:rsidRPr="00ED372D">
        <w:t xml:space="preserve"> aspects of smoking. Research plays a pivotal role in shaping these interventions, ensuring their effectiveness and adaptability to different populations. While there are challenges in sustaining and tailoring these efforts, the potential benefits in terms of improved health and reduced healthcare costs are substantial. By continually integrating new research and </w:t>
      </w:r>
      <w:r w:rsidR="00DA53C3">
        <w:t>introduc</w:t>
      </w:r>
      <w:r w:rsidRPr="00ED372D">
        <w:t>ing technological advancements, smoking cessation campaigns like Stoptober can remain relevant and effective in combating tobacco use.</w:t>
      </w:r>
    </w:p>
    <w:p w14:paraId="32B66499" w14:textId="77777777" w:rsidR="00ED372D" w:rsidRDefault="00ED372D" w:rsidP="00ED372D"/>
    <w:p w14:paraId="78FB941E" w14:textId="77777777" w:rsidR="00DA53C3" w:rsidRDefault="00DA53C3" w:rsidP="00ED372D"/>
    <w:p w14:paraId="2C005193" w14:textId="77777777" w:rsidR="00DA53C3" w:rsidRDefault="00DA53C3" w:rsidP="00ED372D"/>
    <w:p w14:paraId="595A2788" w14:textId="77777777" w:rsidR="00DA53C3" w:rsidRDefault="00DA53C3" w:rsidP="00ED372D"/>
    <w:p w14:paraId="3897815B" w14:textId="77777777" w:rsidR="00DA53C3" w:rsidRDefault="00DA53C3" w:rsidP="00ED372D"/>
    <w:p w14:paraId="6925ACB5" w14:textId="77777777" w:rsidR="00DA53C3" w:rsidRDefault="00DA53C3" w:rsidP="00ED372D"/>
    <w:p w14:paraId="200B9662" w14:textId="77777777" w:rsidR="00DA53C3" w:rsidRDefault="00DA53C3" w:rsidP="00ED372D"/>
    <w:p w14:paraId="2ACCD16A" w14:textId="77777777" w:rsidR="00DA53C3" w:rsidRDefault="00DA53C3" w:rsidP="00ED372D"/>
    <w:p w14:paraId="5739A33F" w14:textId="77777777" w:rsidR="00ED372D" w:rsidRDefault="00ED372D" w:rsidP="00ED372D"/>
    <w:p w14:paraId="6B7BC435" w14:textId="77777777" w:rsidR="00ED372D" w:rsidRDefault="00ED372D" w:rsidP="00ED372D"/>
    <w:p w14:paraId="0DD0E649" w14:textId="77777777" w:rsidR="00ED372D" w:rsidRDefault="00ED372D" w:rsidP="00ED372D"/>
    <w:p w14:paraId="22BC6A94" w14:textId="77777777" w:rsidR="00ED372D" w:rsidRPr="00ED372D" w:rsidRDefault="00ED372D" w:rsidP="00ED372D"/>
    <w:p w14:paraId="13A57B1E" w14:textId="77777777" w:rsidR="0012060C" w:rsidRDefault="0012060C"/>
    <w:p w14:paraId="14B66959" w14:textId="77777777" w:rsidR="003F7668" w:rsidRPr="003F7668" w:rsidRDefault="003F7668" w:rsidP="003F7668">
      <w:pPr>
        <w:rPr>
          <w:b/>
          <w:bCs/>
        </w:rPr>
      </w:pPr>
      <w:r w:rsidRPr="003F7668">
        <w:rPr>
          <w:b/>
          <w:bCs/>
        </w:rPr>
        <w:lastRenderedPageBreak/>
        <w:t>References</w:t>
      </w:r>
    </w:p>
    <w:p w14:paraId="34F42944" w14:textId="44332458" w:rsidR="003F7668" w:rsidRPr="003F7668" w:rsidRDefault="003F7668" w:rsidP="003F7668">
      <w:pPr>
        <w:numPr>
          <w:ilvl w:val="0"/>
          <w:numId w:val="6"/>
        </w:numPr>
      </w:pPr>
      <w:r w:rsidRPr="003F7668">
        <w:t>Bauld, L.</w:t>
      </w:r>
      <w:r w:rsidR="008D292A">
        <w:t xml:space="preserve"> et al</w:t>
      </w:r>
      <w:r w:rsidRPr="003F7668">
        <w:t xml:space="preserve">., 2010. The effectiveness of smoking cessation interventions during pregnancy: a briefing paper. </w:t>
      </w:r>
      <w:r w:rsidRPr="003F7668">
        <w:rPr>
          <w:i/>
          <w:iCs/>
        </w:rPr>
        <w:t>Nicotine &amp; Tobacco Research</w:t>
      </w:r>
      <w:r w:rsidRPr="003F7668">
        <w:t>, 12(8), pp.887-899.</w:t>
      </w:r>
    </w:p>
    <w:p w14:paraId="15DFD672" w14:textId="43BB287F" w:rsidR="003F7668" w:rsidRPr="003F7668" w:rsidRDefault="003F7668" w:rsidP="003F7668">
      <w:pPr>
        <w:numPr>
          <w:ilvl w:val="0"/>
          <w:numId w:val="6"/>
        </w:numPr>
      </w:pPr>
      <w:r w:rsidRPr="003F7668">
        <w:t>Borland, R.</w:t>
      </w:r>
      <w:r w:rsidR="008D292A">
        <w:t xml:space="preserve"> et al</w:t>
      </w:r>
      <w:r w:rsidRPr="003F7668">
        <w:t xml:space="preserve">., 2012. Motivational factors predict quit attempts but not maintenance of smoking cessation: Findings from the International Tobacco Control Four Country project. </w:t>
      </w:r>
      <w:r w:rsidRPr="003F7668">
        <w:rPr>
          <w:i/>
          <w:iCs/>
        </w:rPr>
        <w:t>Nicotine &amp; Tobacco Research</w:t>
      </w:r>
      <w:r w:rsidRPr="003F7668">
        <w:t>, 12(Suppl 1), pp.S4-S11.</w:t>
      </w:r>
    </w:p>
    <w:p w14:paraId="4732847E" w14:textId="7E0D6F11" w:rsidR="003F7668" w:rsidRPr="003F7668" w:rsidRDefault="003F7668" w:rsidP="003F7668">
      <w:pPr>
        <w:numPr>
          <w:ilvl w:val="0"/>
          <w:numId w:val="6"/>
        </w:numPr>
      </w:pPr>
      <w:r w:rsidRPr="003F7668">
        <w:t>Doll, R.</w:t>
      </w:r>
      <w:r w:rsidR="008D292A">
        <w:t xml:space="preserve"> et al</w:t>
      </w:r>
      <w:r w:rsidRPr="003F7668">
        <w:t xml:space="preserve">., 2004. Mortality in relation to smoking: 50 years' observations on male British doctors. </w:t>
      </w:r>
      <w:r w:rsidRPr="003F7668">
        <w:rPr>
          <w:i/>
          <w:iCs/>
        </w:rPr>
        <w:t>BMJ</w:t>
      </w:r>
      <w:r w:rsidRPr="003F7668">
        <w:t>, 328(7455), p.1519.</w:t>
      </w:r>
    </w:p>
    <w:p w14:paraId="7811AEA3" w14:textId="646AE4B2" w:rsidR="003F7668" w:rsidRPr="003F7668" w:rsidRDefault="003F7668" w:rsidP="003F7668">
      <w:pPr>
        <w:numPr>
          <w:ilvl w:val="0"/>
          <w:numId w:val="6"/>
        </w:numPr>
      </w:pPr>
      <w:r w:rsidRPr="008D292A">
        <w:rPr>
          <w:lang w:val="it-IT"/>
        </w:rPr>
        <w:t>Fiore, M.C.</w:t>
      </w:r>
      <w:r w:rsidR="008D292A">
        <w:rPr>
          <w:lang w:val="it-IT"/>
        </w:rPr>
        <w:t xml:space="preserve"> et al</w:t>
      </w:r>
      <w:r w:rsidRPr="008D292A">
        <w:rPr>
          <w:lang w:val="it-IT"/>
        </w:rPr>
        <w:t xml:space="preserve">., 2008. </w:t>
      </w:r>
      <w:r w:rsidRPr="003F7668">
        <w:rPr>
          <w:i/>
          <w:iCs/>
        </w:rPr>
        <w:t>Treating tobacco use and dependence: 2008 update</w:t>
      </w:r>
      <w:r w:rsidRPr="003F7668">
        <w:t>. US Department of Health and Human Services, Public Health Service.</w:t>
      </w:r>
    </w:p>
    <w:p w14:paraId="59658D63" w14:textId="68C7ABCF" w:rsidR="003F7668" w:rsidRPr="003F7668" w:rsidRDefault="003F7668" w:rsidP="003F7668">
      <w:pPr>
        <w:numPr>
          <w:ilvl w:val="0"/>
          <w:numId w:val="6"/>
        </w:numPr>
      </w:pPr>
      <w:r w:rsidRPr="003F7668">
        <w:t>Hiscock, R.</w:t>
      </w:r>
      <w:r w:rsidR="008D292A">
        <w:t xml:space="preserve"> et al</w:t>
      </w:r>
      <w:r w:rsidRPr="003F7668">
        <w:t xml:space="preserve">., 2012. Socioeconomic status and smoking: a review. </w:t>
      </w:r>
      <w:r w:rsidRPr="003F7668">
        <w:rPr>
          <w:i/>
          <w:iCs/>
        </w:rPr>
        <w:t>Annals of the New York Academy of Sciences</w:t>
      </w:r>
      <w:r w:rsidRPr="003F7668">
        <w:t>, 1248(1), pp.107-123.</w:t>
      </w:r>
    </w:p>
    <w:p w14:paraId="27EDF7A4" w14:textId="77777777" w:rsidR="003F7668" w:rsidRDefault="003F7668" w:rsidP="003F7668">
      <w:pPr>
        <w:numPr>
          <w:ilvl w:val="0"/>
          <w:numId w:val="6"/>
        </w:numPr>
      </w:pPr>
      <w:r w:rsidRPr="003F7668">
        <w:t xml:space="preserve">Lancaster, T. and Stead, L.F., 2005. Individual behavioural counselling for smoking cessation. </w:t>
      </w:r>
      <w:r w:rsidRPr="003F7668">
        <w:rPr>
          <w:i/>
          <w:iCs/>
        </w:rPr>
        <w:t>Cochrane Database of Systematic Reviews</w:t>
      </w:r>
      <w:r w:rsidRPr="003F7668">
        <w:t>, (2).</w:t>
      </w:r>
    </w:p>
    <w:p w14:paraId="791E275B" w14:textId="17CA30EB" w:rsidR="002F6BC2" w:rsidRPr="003F7668" w:rsidRDefault="002F6BC2" w:rsidP="003F7668">
      <w:pPr>
        <w:numPr>
          <w:ilvl w:val="0"/>
          <w:numId w:val="6"/>
        </w:numPr>
      </w:pPr>
      <w:r w:rsidRPr="002F6BC2">
        <w:t>Public Health England, 2023. Stoptober 2023: Free quit smoking support, resources, and tools. Available at: https://www.nhs.uk/better-health/quit-smoking/stoptober [Accessed 24 July 2024].</w:t>
      </w:r>
    </w:p>
    <w:p w14:paraId="6F421EE6" w14:textId="1626D19B" w:rsidR="003F7668" w:rsidRPr="003F7668" w:rsidRDefault="003F7668" w:rsidP="003F7668">
      <w:pPr>
        <w:numPr>
          <w:ilvl w:val="0"/>
          <w:numId w:val="6"/>
        </w:numPr>
      </w:pPr>
      <w:r w:rsidRPr="003F7668">
        <w:t>Silagy, C.</w:t>
      </w:r>
      <w:r w:rsidR="008D292A">
        <w:t xml:space="preserve"> et al</w:t>
      </w:r>
      <w:r w:rsidRPr="003F7668">
        <w:t xml:space="preserve">., 2004. Nicotine replacement therapy for smoking cessation. </w:t>
      </w:r>
      <w:r w:rsidRPr="003F7668">
        <w:rPr>
          <w:i/>
          <w:iCs/>
        </w:rPr>
        <w:t>Cochrane Database of Systematic Reviews</w:t>
      </w:r>
      <w:r w:rsidRPr="003F7668">
        <w:t>, (3).</w:t>
      </w:r>
    </w:p>
    <w:p w14:paraId="56A852F7" w14:textId="701340AB" w:rsidR="003F7668" w:rsidRPr="003F7668" w:rsidRDefault="003F7668" w:rsidP="003F7668">
      <w:pPr>
        <w:numPr>
          <w:ilvl w:val="0"/>
          <w:numId w:val="6"/>
        </w:numPr>
      </w:pPr>
      <w:proofErr w:type="spellStart"/>
      <w:r w:rsidRPr="008D292A">
        <w:rPr>
          <w:lang w:val="nl-NL"/>
        </w:rPr>
        <w:t>Stead</w:t>
      </w:r>
      <w:proofErr w:type="spellEnd"/>
      <w:r w:rsidRPr="008D292A">
        <w:rPr>
          <w:lang w:val="nl-NL"/>
        </w:rPr>
        <w:t>, L.F.</w:t>
      </w:r>
      <w:r w:rsidR="008D292A" w:rsidRPr="008D292A">
        <w:rPr>
          <w:lang w:val="nl-NL"/>
        </w:rPr>
        <w:t xml:space="preserve"> et al</w:t>
      </w:r>
      <w:r w:rsidRPr="008D292A">
        <w:rPr>
          <w:lang w:val="nl-NL"/>
        </w:rPr>
        <w:t xml:space="preserve">., 2012. </w:t>
      </w:r>
      <w:r w:rsidRPr="003F7668">
        <w:t xml:space="preserve">Nicotine replacement therapy for smoking cessation. </w:t>
      </w:r>
      <w:r w:rsidRPr="003F7668">
        <w:rPr>
          <w:i/>
          <w:iCs/>
        </w:rPr>
        <w:t>Cochrane Database of Systematic Reviews</w:t>
      </w:r>
      <w:r w:rsidRPr="003F7668">
        <w:t>, (11).</w:t>
      </w:r>
    </w:p>
    <w:p w14:paraId="1283BFD9" w14:textId="77777777" w:rsidR="003F7668" w:rsidRPr="003F7668" w:rsidRDefault="003F7668" w:rsidP="003F7668">
      <w:pPr>
        <w:numPr>
          <w:ilvl w:val="0"/>
          <w:numId w:val="6"/>
        </w:numPr>
      </w:pPr>
      <w:r w:rsidRPr="003F7668">
        <w:t xml:space="preserve">Wakefield, M.A., Loken, B. and Hornik, R.C., 2010. Use of mass media campaigns to change health behaviour. </w:t>
      </w:r>
      <w:r w:rsidRPr="003F7668">
        <w:rPr>
          <w:i/>
          <w:iCs/>
        </w:rPr>
        <w:t>The Lancet</w:t>
      </w:r>
      <w:r w:rsidRPr="003F7668">
        <w:t>, 376(9748), pp.1261-1271.</w:t>
      </w:r>
    </w:p>
    <w:p w14:paraId="5B57D37C" w14:textId="1662DCF2" w:rsidR="0012060C" w:rsidRDefault="003F7668" w:rsidP="007849B3">
      <w:pPr>
        <w:numPr>
          <w:ilvl w:val="0"/>
          <w:numId w:val="6"/>
        </w:numPr>
      </w:pPr>
      <w:r w:rsidRPr="003F7668">
        <w:t xml:space="preserve">West, R., McNeill, A. and Raw, M., 2000. Smoking cessation guidelines for health professionals: an update. </w:t>
      </w:r>
      <w:r w:rsidRPr="003F7668">
        <w:rPr>
          <w:i/>
          <w:iCs/>
        </w:rPr>
        <w:t>Thorax</w:t>
      </w:r>
      <w:r w:rsidRPr="003F7668">
        <w:t>, 55(12), pp.987-999.</w:t>
      </w:r>
    </w:p>
    <w:p w14:paraId="1F1BEF70" w14:textId="77777777" w:rsidR="0012060C" w:rsidRDefault="0012060C"/>
    <w:sectPr w:rsidR="00120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90038F"/>
    <w:multiLevelType w:val="multilevel"/>
    <w:tmpl w:val="6516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F7C60"/>
    <w:multiLevelType w:val="multilevel"/>
    <w:tmpl w:val="9326B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A0A0D"/>
    <w:multiLevelType w:val="multilevel"/>
    <w:tmpl w:val="7DC2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8D68D6"/>
    <w:multiLevelType w:val="multilevel"/>
    <w:tmpl w:val="5E102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043FF5"/>
    <w:multiLevelType w:val="multilevel"/>
    <w:tmpl w:val="C06C6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1D6BDF"/>
    <w:multiLevelType w:val="multilevel"/>
    <w:tmpl w:val="1F322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4084229">
    <w:abstractNumId w:val="1"/>
  </w:num>
  <w:num w:numId="2" w16cid:durableId="1796870530">
    <w:abstractNumId w:val="2"/>
  </w:num>
  <w:num w:numId="3" w16cid:durableId="1679230779">
    <w:abstractNumId w:val="3"/>
  </w:num>
  <w:num w:numId="4" w16cid:durableId="513686871">
    <w:abstractNumId w:val="0"/>
  </w:num>
  <w:num w:numId="5" w16cid:durableId="1772163930">
    <w:abstractNumId w:val="4"/>
  </w:num>
  <w:num w:numId="6" w16cid:durableId="1951230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B20"/>
    <w:rsid w:val="000F00EC"/>
    <w:rsid w:val="000F0E8F"/>
    <w:rsid w:val="0012060C"/>
    <w:rsid w:val="0016735C"/>
    <w:rsid w:val="00177F6D"/>
    <w:rsid w:val="002A79AC"/>
    <w:rsid w:val="002F6BC2"/>
    <w:rsid w:val="00316F85"/>
    <w:rsid w:val="00372769"/>
    <w:rsid w:val="003C3A99"/>
    <w:rsid w:val="003F7668"/>
    <w:rsid w:val="004D12A3"/>
    <w:rsid w:val="004D227B"/>
    <w:rsid w:val="005A21BA"/>
    <w:rsid w:val="005B2F65"/>
    <w:rsid w:val="005C6976"/>
    <w:rsid w:val="006178E3"/>
    <w:rsid w:val="0062310C"/>
    <w:rsid w:val="00623B20"/>
    <w:rsid w:val="006409DE"/>
    <w:rsid w:val="00641583"/>
    <w:rsid w:val="0065021A"/>
    <w:rsid w:val="0072126E"/>
    <w:rsid w:val="00733A10"/>
    <w:rsid w:val="0078293A"/>
    <w:rsid w:val="007849B3"/>
    <w:rsid w:val="007A7924"/>
    <w:rsid w:val="007F6B20"/>
    <w:rsid w:val="008D292A"/>
    <w:rsid w:val="008F209B"/>
    <w:rsid w:val="0090702A"/>
    <w:rsid w:val="00916735"/>
    <w:rsid w:val="00982FCD"/>
    <w:rsid w:val="00A64511"/>
    <w:rsid w:val="00AA3CC9"/>
    <w:rsid w:val="00AD272E"/>
    <w:rsid w:val="00B13240"/>
    <w:rsid w:val="00B84376"/>
    <w:rsid w:val="00BC41C1"/>
    <w:rsid w:val="00C67852"/>
    <w:rsid w:val="00CA3604"/>
    <w:rsid w:val="00DA210F"/>
    <w:rsid w:val="00DA53C3"/>
    <w:rsid w:val="00DC1276"/>
    <w:rsid w:val="00E707A7"/>
    <w:rsid w:val="00ED372D"/>
    <w:rsid w:val="00FA26DC"/>
    <w:rsid w:val="00FB1BAC"/>
    <w:rsid w:val="00FE6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CA6ED"/>
  <w15:chartTrackingRefBased/>
  <w15:docId w15:val="{733A3F6A-72FE-440C-A7F5-086FDAFBF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B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6B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6B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6B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B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B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B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B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B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B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6B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6B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6B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B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B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B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B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B20"/>
    <w:rPr>
      <w:rFonts w:eastAsiaTheme="majorEastAsia" w:cstheme="majorBidi"/>
      <w:color w:val="272727" w:themeColor="text1" w:themeTint="D8"/>
    </w:rPr>
  </w:style>
  <w:style w:type="paragraph" w:styleId="Title">
    <w:name w:val="Title"/>
    <w:basedOn w:val="Normal"/>
    <w:next w:val="Normal"/>
    <w:link w:val="TitleChar"/>
    <w:uiPriority w:val="10"/>
    <w:qFormat/>
    <w:rsid w:val="007F6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B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B20"/>
    <w:pPr>
      <w:spacing w:before="160"/>
      <w:jc w:val="center"/>
    </w:pPr>
    <w:rPr>
      <w:i/>
      <w:iCs/>
      <w:color w:val="404040" w:themeColor="text1" w:themeTint="BF"/>
    </w:rPr>
  </w:style>
  <w:style w:type="character" w:customStyle="1" w:styleId="QuoteChar">
    <w:name w:val="Quote Char"/>
    <w:basedOn w:val="DefaultParagraphFont"/>
    <w:link w:val="Quote"/>
    <w:uiPriority w:val="29"/>
    <w:rsid w:val="007F6B20"/>
    <w:rPr>
      <w:i/>
      <w:iCs/>
      <w:color w:val="404040" w:themeColor="text1" w:themeTint="BF"/>
    </w:rPr>
  </w:style>
  <w:style w:type="paragraph" w:styleId="ListParagraph">
    <w:name w:val="List Paragraph"/>
    <w:basedOn w:val="Normal"/>
    <w:uiPriority w:val="34"/>
    <w:qFormat/>
    <w:rsid w:val="007F6B20"/>
    <w:pPr>
      <w:ind w:left="720"/>
      <w:contextualSpacing/>
    </w:pPr>
  </w:style>
  <w:style w:type="character" w:styleId="IntenseEmphasis">
    <w:name w:val="Intense Emphasis"/>
    <w:basedOn w:val="DefaultParagraphFont"/>
    <w:uiPriority w:val="21"/>
    <w:qFormat/>
    <w:rsid w:val="007F6B20"/>
    <w:rPr>
      <w:i/>
      <w:iCs/>
      <w:color w:val="0F4761" w:themeColor="accent1" w:themeShade="BF"/>
    </w:rPr>
  </w:style>
  <w:style w:type="paragraph" w:styleId="IntenseQuote">
    <w:name w:val="Intense Quote"/>
    <w:basedOn w:val="Normal"/>
    <w:next w:val="Normal"/>
    <w:link w:val="IntenseQuoteChar"/>
    <w:uiPriority w:val="30"/>
    <w:qFormat/>
    <w:rsid w:val="007F6B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B20"/>
    <w:rPr>
      <w:i/>
      <w:iCs/>
      <w:color w:val="0F4761" w:themeColor="accent1" w:themeShade="BF"/>
    </w:rPr>
  </w:style>
  <w:style w:type="character" w:styleId="IntenseReference">
    <w:name w:val="Intense Reference"/>
    <w:basedOn w:val="DefaultParagraphFont"/>
    <w:uiPriority w:val="32"/>
    <w:qFormat/>
    <w:rsid w:val="007F6B20"/>
    <w:rPr>
      <w:b/>
      <w:bCs/>
      <w:smallCaps/>
      <w:color w:val="0F4761" w:themeColor="accent1" w:themeShade="BF"/>
      <w:spacing w:val="5"/>
    </w:rPr>
  </w:style>
  <w:style w:type="character" w:styleId="Hyperlink">
    <w:name w:val="Hyperlink"/>
    <w:basedOn w:val="DefaultParagraphFont"/>
    <w:uiPriority w:val="99"/>
    <w:unhideWhenUsed/>
    <w:rsid w:val="002F6BC2"/>
    <w:rPr>
      <w:color w:val="467886" w:themeColor="hyperlink"/>
      <w:u w:val="single"/>
    </w:rPr>
  </w:style>
  <w:style w:type="character" w:styleId="UnresolvedMention">
    <w:name w:val="Unresolved Mention"/>
    <w:basedOn w:val="DefaultParagraphFont"/>
    <w:uiPriority w:val="99"/>
    <w:semiHidden/>
    <w:unhideWhenUsed/>
    <w:rsid w:val="002F6B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868495">
      <w:bodyDiv w:val="1"/>
      <w:marLeft w:val="0"/>
      <w:marRight w:val="0"/>
      <w:marTop w:val="0"/>
      <w:marBottom w:val="0"/>
      <w:divBdr>
        <w:top w:val="none" w:sz="0" w:space="0" w:color="auto"/>
        <w:left w:val="none" w:sz="0" w:space="0" w:color="auto"/>
        <w:bottom w:val="none" w:sz="0" w:space="0" w:color="auto"/>
        <w:right w:val="none" w:sz="0" w:space="0" w:color="auto"/>
      </w:divBdr>
    </w:div>
    <w:div w:id="292909697">
      <w:bodyDiv w:val="1"/>
      <w:marLeft w:val="0"/>
      <w:marRight w:val="0"/>
      <w:marTop w:val="0"/>
      <w:marBottom w:val="0"/>
      <w:divBdr>
        <w:top w:val="none" w:sz="0" w:space="0" w:color="auto"/>
        <w:left w:val="none" w:sz="0" w:space="0" w:color="auto"/>
        <w:bottom w:val="none" w:sz="0" w:space="0" w:color="auto"/>
        <w:right w:val="none" w:sz="0" w:space="0" w:color="auto"/>
      </w:divBdr>
    </w:div>
    <w:div w:id="410783844">
      <w:bodyDiv w:val="1"/>
      <w:marLeft w:val="0"/>
      <w:marRight w:val="0"/>
      <w:marTop w:val="0"/>
      <w:marBottom w:val="0"/>
      <w:divBdr>
        <w:top w:val="none" w:sz="0" w:space="0" w:color="auto"/>
        <w:left w:val="none" w:sz="0" w:space="0" w:color="auto"/>
        <w:bottom w:val="none" w:sz="0" w:space="0" w:color="auto"/>
        <w:right w:val="none" w:sz="0" w:space="0" w:color="auto"/>
      </w:divBdr>
    </w:div>
    <w:div w:id="695935308">
      <w:bodyDiv w:val="1"/>
      <w:marLeft w:val="0"/>
      <w:marRight w:val="0"/>
      <w:marTop w:val="0"/>
      <w:marBottom w:val="0"/>
      <w:divBdr>
        <w:top w:val="none" w:sz="0" w:space="0" w:color="auto"/>
        <w:left w:val="none" w:sz="0" w:space="0" w:color="auto"/>
        <w:bottom w:val="none" w:sz="0" w:space="0" w:color="auto"/>
        <w:right w:val="none" w:sz="0" w:space="0" w:color="auto"/>
      </w:divBdr>
    </w:div>
    <w:div w:id="865145041">
      <w:bodyDiv w:val="1"/>
      <w:marLeft w:val="0"/>
      <w:marRight w:val="0"/>
      <w:marTop w:val="0"/>
      <w:marBottom w:val="0"/>
      <w:divBdr>
        <w:top w:val="none" w:sz="0" w:space="0" w:color="auto"/>
        <w:left w:val="none" w:sz="0" w:space="0" w:color="auto"/>
        <w:bottom w:val="none" w:sz="0" w:space="0" w:color="auto"/>
        <w:right w:val="none" w:sz="0" w:space="0" w:color="auto"/>
      </w:divBdr>
    </w:div>
    <w:div w:id="904754392">
      <w:bodyDiv w:val="1"/>
      <w:marLeft w:val="0"/>
      <w:marRight w:val="0"/>
      <w:marTop w:val="0"/>
      <w:marBottom w:val="0"/>
      <w:divBdr>
        <w:top w:val="none" w:sz="0" w:space="0" w:color="auto"/>
        <w:left w:val="none" w:sz="0" w:space="0" w:color="auto"/>
        <w:bottom w:val="none" w:sz="0" w:space="0" w:color="auto"/>
        <w:right w:val="none" w:sz="0" w:space="0" w:color="auto"/>
      </w:divBdr>
    </w:div>
    <w:div w:id="1260411552">
      <w:bodyDiv w:val="1"/>
      <w:marLeft w:val="0"/>
      <w:marRight w:val="0"/>
      <w:marTop w:val="0"/>
      <w:marBottom w:val="0"/>
      <w:divBdr>
        <w:top w:val="none" w:sz="0" w:space="0" w:color="auto"/>
        <w:left w:val="none" w:sz="0" w:space="0" w:color="auto"/>
        <w:bottom w:val="none" w:sz="0" w:space="0" w:color="auto"/>
        <w:right w:val="none" w:sz="0" w:space="0" w:color="auto"/>
      </w:divBdr>
    </w:div>
    <w:div w:id="1294821962">
      <w:bodyDiv w:val="1"/>
      <w:marLeft w:val="0"/>
      <w:marRight w:val="0"/>
      <w:marTop w:val="0"/>
      <w:marBottom w:val="0"/>
      <w:divBdr>
        <w:top w:val="none" w:sz="0" w:space="0" w:color="auto"/>
        <w:left w:val="none" w:sz="0" w:space="0" w:color="auto"/>
        <w:bottom w:val="none" w:sz="0" w:space="0" w:color="auto"/>
        <w:right w:val="none" w:sz="0" w:space="0" w:color="auto"/>
      </w:divBdr>
    </w:div>
    <w:div w:id="1498108177">
      <w:bodyDiv w:val="1"/>
      <w:marLeft w:val="0"/>
      <w:marRight w:val="0"/>
      <w:marTop w:val="0"/>
      <w:marBottom w:val="0"/>
      <w:divBdr>
        <w:top w:val="none" w:sz="0" w:space="0" w:color="auto"/>
        <w:left w:val="none" w:sz="0" w:space="0" w:color="auto"/>
        <w:bottom w:val="none" w:sz="0" w:space="0" w:color="auto"/>
        <w:right w:val="none" w:sz="0" w:space="0" w:color="auto"/>
      </w:divBdr>
    </w:div>
    <w:div w:id="152417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1296</Words>
  <Characters>7390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golgozeanu</dc:creator>
  <cp:keywords/>
  <dc:description/>
  <cp:lastModifiedBy>camelia golgozeanu</cp:lastModifiedBy>
  <cp:revision>46</cp:revision>
  <dcterms:created xsi:type="dcterms:W3CDTF">2024-07-13T22:09:00Z</dcterms:created>
  <dcterms:modified xsi:type="dcterms:W3CDTF">2024-07-26T22:27:00Z</dcterms:modified>
</cp:coreProperties>
</file>