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F37B62">
      <w:pPr>
        <w:spacing w:line="600" w:lineRule="auto"/>
        <w:rPr>
          <w:rFonts w:ascii="Arial" w:hAnsi="Arial" w:cs="Arial"/>
          <w:i/>
          <w:iCs/>
        </w:rPr>
      </w:pPr>
    </w:p>
    <w:p w14:paraId="1EE10BBF" w14:textId="5F13F2FB" w:rsidR="00F37B62" w:rsidRPr="00ED1B29" w:rsidRDefault="00F37B62" w:rsidP="00F37B62">
      <w:pPr>
        <w:spacing w:line="600" w:lineRule="auto"/>
        <w:rPr>
          <w:rFonts w:ascii="Arial" w:hAnsi="Arial" w:cs="Arial"/>
          <w:b/>
          <w:bCs/>
          <w:i/>
          <w:iCs/>
        </w:rPr>
      </w:pPr>
      <w:r w:rsidRPr="008F4215">
        <w:rPr>
          <w:rFonts w:ascii="Arial" w:hAnsi="Arial" w:cs="Arial"/>
          <w:b/>
          <w:bCs/>
          <w:i/>
          <w:iCs/>
        </w:rPr>
        <w:t>Student Name:</w:t>
      </w:r>
      <w:r w:rsidR="00ED1B29" w:rsidRPr="00433035">
        <w:rPr>
          <w:rFonts w:ascii="Arial" w:hAnsi="Arial" w:cs="Arial"/>
          <w:b/>
          <w:bCs/>
          <w:i/>
          <w:iCs/>
        </w:rPr>
        <w:t xml:space="preserve">  </w:t>
      </w:r>
      <w:r w:rsidR="00ED1B29">
        <w:rPr>
          <w:rFonts w:ascii="Arial" w:hAnsi="Arial" w:cs="Arial"/>
          <w:b/>
          <w:bCs/>
          <w:i/>
          <w:iCs/>
        </w:rPr>
        <w:t>Taras Kandelaki</w:t>
      </w:r>
    </w:p>
    <w:p w14:paraId="432CDF3F" w14:textId="126AF455"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ED1B29">
        <w:rPr>
          <w:rFonts w:ascii="Arial" w:hAnsi="Arial" w:cs="Arial"/>
          <w:b/>
          <w:bCs/>
          <w:i/>
          <w:iCs/>
        </w:rPr>
        <w:t xml:space="preserve"> </w:t>
      </w:r>
      <w:r w:rsidR="00FD3073">
        <w:rPr>
          <w:rFonts w:ascii="Arial" w:hAnsi="Arial" w:cs="Arial"/>
          <w:b/>
          <w:bCs/>
          <w:i/>
          <w:iCs/>
        </w:rPr>
        <w:t>2329104</w:t>
      </w:r>
    </w:p>
    <w:p w14:paraId="777CB569" w14:textId="12655473" w:rsidR="00F37B62" w:rsidRPr="00F37B62" w:rsidRDefault="00F37B62" w:rsidP="19DF5ED4">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006833D5">
        <w:rPr>
          <w:rFonts w:ascii="Arial" w:hAnsi="Arial" w:cs="Arial"/>
          <w:i/>
          <w:iCs/>
        </w:rPr>
        <w:t>Understanding and Engaging stakeholders LCLM5001</w:t>
      </w:r>
    </w:p>
    <w:p w14:paraId="556C6252" w14:textId="193BD308" w:rsidR="00F37B62" w:rsidRPr="00F37B62" w:rsidRDefault="00F37B62" w:rsidP="00F37B62">
      <w:pPr>
        <w:spacing w:line="600" w:lineRule="auto"/>
        <w:rPr>
          <w:rFonts w:ascii="Arial" w:hAnsi="Arial" w:cs="Arial"/>
          <w:i/>
          <w:iCs/>
        </w:rPr>
      </w:pPr>
      <w:r w:rsidRPr="008F4215">
        <w:rPr>
          <w:rFonts w:ascii="Arial" w:hAnsi="Arial" w:cs="Arial"/>
          <w:b/>
          <w:bCs/>
          <w:i/>
          <w:iCs/>
        </w:rPr>
        <w:t xml:space="preserve">Lecturer Name: </w:t>
      </w:r>
      <w:r w:rsidR="007F7F30">
        <w:rPr>
          <w:rFonts w:ascii="-webkit-standard" w:eastAsia="Times New Roman" w:hAnsi="-webkit-standard"/>
          <w:color w:val="000000"/>
          <w:sz w:val="27"/>
          <w:szCs w:val="27"/>
          <w:shd w:val="clear" w:color="auto" w:fill="FFFFFF"/>
        </w:rPr>
        <w:t>Nishi Ramsurrun</w:t>
      </w:r>
    </w:p>
    <w:p w14:paraId="0CF901E6" w14:textId="02E81B6B" w:rsidR="00F37B62" w:rsidRPr="00F37B62" w:rsidRDefault="00F37B62" w:rsidP="19DF5ED4">
      <w:pPr>
        <w:spacing w:line="600" w:lineRule="auto"/>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Fe</w:t>
      </w:r>
      <w:r w:rsidR="006833D5">
        <w:rPr>
          <w:rFonts w:ascii="Arial" w:hAnsi="Arial" w:cs="Arial"/>
          <w:i/>
          <w:iCs/>
        </w:rPr>
        <w:t>bruary</w:t>
      </w:r>
      <w:r w:rsidR="008D1598">
        <w:rPr>
          <w:rFonts w:ascii="Arial" w:hAnsi="Arial" w:cs="Arial"/>
          <w:i/>
          <w:iCs/>
        </w:rPr>
        <w:t xml:space="preserve"> </w:t>
      </w:r>
      <w:r w:rsidRPr="19DF5ED4">
        <w:rPr>
          <w:rFonts w:ascii="Arial" w:hAnsi="Arial" w:cs="Arial"/>
          <w:b/>
          <w:bCs/>
          <w:i/>
          <w:iCs/>
        </w:rPr>
        <w:t>202</w:t>
      </w:r>
      <w:r w:rsidR="008D1598">
        <w:rPr>
          <w:rFonts w:ascii="Arial" w:hAnsi="Arial" w:cs="Arial"/>
          <w:b/>
          <w:bCs/>
          <w:i/>
          <w:iCs/>
        </w:rPr>
        <w:t>5</w:t>
      </w:r>
      <w:r w:rsidRPr="19DF5ED4">
        <w:rPr>
          <w:rFonts w:ascii="Arial" w:hAnsi="Arial" w:cs="Arial"/>
          <w:b/>
          <w:bCs/>
          <w:i/>
          <w:iCs/>
        </w:rPr>
        <w:t xml:space="preserve"> 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6005BE0B" w14:textId="562CEB2F" w:rsidR="19DF5ED4" w:rsidRDefault="19DF5ED4" w:rsidP="19DF5ED4">
      <w:pPr>
        <w:spacing w:line="600" w:lineRule="auto"/>
        <w:rPr>
          <w:rFonts w:ascii="Arial" w:hAnsi="Arial" w:cs="Arial"/>
          <w:b/>
          <w:bCs/>
          <w:i/>
          <w:iCs/>
        </w:rPr>
      </w:pPr>
    </w:p>
    <w:p w14:paraId="6E06B615" w14:textId="77777777" w:rsidR="00872501" w:rsidRPr="00433035" w:rsidRDefault="00872501" w:rsidP="00123828">
      <w:pPr>
        <w:spacing w:line="600" w:lineRule="auto"/>
        <w:jc w:val="center"/>
        <w:rPr>
          <w:rFonts w:ascii="Arial" w:hAnsi="Arial" w:cs="Arial"/>
          <w:b/>
          <w:bCs/>
          <w:i/>
          <w:iCs/>
        </w:rPr>
      </w:pPr>
    </w:p>
    <w:p w14:paraId="300834F4" w14:textId="54F249D1" w:rsidR="545F6007" w:rsidRDefault="545F6007" w:rsidP="00123828">
      <w:pPr>
        <w:spacing w:line="600" w:lineRule="auto"/>
        <w:jc w:val="center"/>
        <w:rPr>
          <w:rFonts w:ascii="Arial" w:hAnsi="Arial" w:cs="Arial"/>
          <w:b/>
          <w:bCs/>
          <w:i/>
          <w:iCs/>
        </w:rPr>
      </w:pPr>
      <w:r w:rsidRPr="19DF5ED4">
        <w:rPr>
          <w:rFonts w:ascii="Arial" w:hAnsi="Arial" w:cs="Arial"/>
          <w:b/>
          <w:bCs/>
          <w:i/>
          <w:iCs/>
        </w:rPr>
        <w:lastRenderedPageBreak/>
        <w:t>Table of Content</w:t>
      </w:r>
      <w:r w:rsidR="00C55ABB">
        <w:rPr>
          <w:rFonts w:ascii="Arial" w:hAnsi="Arial" w:cs="Arial"/>
          <w:b/>
          <w:bCs/>
          <w:i/>
          <w:iCs/>
        </w:rPr>
        <w:t>s</w:t>
      </w:r>
    </w:p>
    <w:p w14:paraId="35CE2301" w14:textId="77777777" w:rsidR="001B2694" w:rsidRDefault="001B2694">
      <w:pPr>
        <w:pStyle w:val="p1"/>
        <w:numPr>
          <w:ilvl w:val="0"/>
          <w:numId w:val="1"/>
        </w:numPr>
      </w:pPr>
      <w:r>
        <w:rPr>
          <w:rStyle w:val="s1"/>
        </w:rPr>
        <w:t>Executive Summary</w:t>
      </w:r>
    </w:p>
    <w:p w14:paraId="4021AE5C" w14:textId="77777777" w:rsidR="001B2694" w:rsidRDefault="001B2694">
      <w:pPr>
        <w:pStyle w:val="p1"/>
        <w:numPr>
          <w:ilvl w:val="0"/>
          <w:numId w:val="1"/>
        </w:numPr>
      </w:pPr>
      <w:r>
        <w:rPr>
          <w:rStyle w:val="s1"/>
        </w:rPr>
        <w:t>Introduction of the Company (Fitbit UK)</w:t>
      </w:r>
    </w:p>
    <w:p w14:paraId="672AE6D2" w14:textId="77777777" w:rsidR="001B2694" w:rsidRDefault="001B2694">
      <w:pPr>
        <w:pStyle w:val="p1"/>
        <w:numPr>
          <w:ilvl w:val="0"/>
          <w:numId w:val="1"/>
        </w:numPr>
      </w:pPr>
      <w:r>
        <w:rPr>
          <w:rStyle w:val="s1"/>
        </w:rPr>
        <w:t>Project Overview</w:t>
      </w:r>
    </w:p>
    <w:p w14:paraId="2294A5BD" w14:textId="77777777" w:rsidR="001C6EED" w:rsidRDefault="001B2694" w:rsidP="001C6EED">
      <w:pPr>
        <w:pStyle w:val="p1"/>
        <w:numPr>
          <w:ilvl w:val="0"/>
          <w:numId w:val="1"/>
        </w:numPr>
      </w:pPr>
      <w:r>
        <w:rPr>
          <w:rStyle w:val="s1"/>
        </w:rPr>
        <w:t>Strategic Appraisal of the Company</w:t>
      </w:r>
    </w:p>
    <w:p w14:paraId="58A577B0" w14:textId="4CA64AE9" w:rsidR="001B2694" w:rsidRDefault="001B2694" w:rsidP="001C6EED">
      <w:pPr>
        <w:pStyle w:val="p1"/>
        <w:ind w:left="720"/>
      </w:pPr>
      <w:r>
        <w:rPr>
          <w:rStyle w:val="s1"/>
        </w:rPr>
        <w:t>    4.1 SWOT Analysis</w:t>
      </w:r>
    </w:p>
    <w:p w14:paraId="5EED869C" w14:textId="77777777" w:rsidR="001B2694" w:rsidRDefault="001B2694">
      <w:pPr>
        <w:pStyle w:val="p1"/>
        <w:ind w:left="720"/>
      </w:pPr>
      <w:r>
        <w:rPr>
          <w:rStyle w:val="s1"/>
        </w:rPr>
        <w:t>    4.2 PESTLE Analysis</w:t>
      </w:r>
    </w:p>
    <w:p w14:paraId="5951E92F" w14:textId="77777777" w:rsidR="001B2694" w:rsidRDefault="001B2694">
      <w:pPr>
        <w:pStyle w:val="p1"/>
        <w:ind w:left="720"/>
      </w:pPr>
      <w:r>
        <w:rPr>
          <w:rStyle w:val="s1"/>
        </w:rPr>
        <w:t>    4.3 SMART Objectives</w:t>
      </w:r>
    </w:p>
    <w:p w14:paraId="366B9A19" w14:textId="77777777" w:rsidR="001B2694" w:rsidRDefault="001B2694">
      <w:pPr>
        <w:pStyle w:val="p1"/>
        <w:numPr>
          <w:ilvl w:val="0"/>
          <w:numId w:val="1"/>
        </w:numPr>
      </w:pPr>
      <w:r>
        <w:rPr>
          <w:rStyle w:val="s1"/>
        </w:rPr>
        <w:t>Key Stakeholders Identification</w:t>
      </w:r>
    </w:p>
    <w:p w14:paraId="59038BBE" w14:textId="77777777" w:rsidR="001B2694" w:rsidRDefault="001B2694">
      <w:pPr>
        <w:pStyle w:val="p1"/>
        <w:ind w:left="720"/>
      </w:pPr>
      <w:r>
        <w:rPr>
          <w:rStyle w:val="s1"/>
        </w:rPr>
        <w:t>    5.1 Internal Stakeholders</w:t>
      </w:r>
    </w:p>
    <w:p w14:paraId="7814EFFB" w14:textId="77777777" w:rsidR="001B2694" w:rsidRDefault="001B2694">
      <w:pPr>
        <w:pStyle w:val="p1"/>
        <w:ind w:left="720"/>
      </w:pPr>
      <w:r>
        <w:rPr>
          <w:rStyle w:val="s1"/>
        </w:rPr>
        <w:t>    5.2 External Stakeholders</w:t>
      </w:r>
    </w:p>
    <w:p w14:paraId="564768F8" w14:textId="77777777" w:rsidR="001B2694" w:rsidRDefault="001B2694">
      <w:pPr>
        <w:pStyle w:val="p1"/>
        <w:numPr>
          <w:ilvl w:val="0"/>
          <w:numId w:val="1"/>
        </w:numPr>
      </w:pPr>
      <w:r>
        <w:rPr>
          <w:rStyle w:val="s1"/>
        </w:rPr>
        <w:t>Roles, Responsibilities, Benefits and Challenges of Key Stakeholders</w:t>
      </w:r>
    </w:p>
    <w:p w14:paraId="0C92C472" w14:textId="77777777" w:rsidR="001B2694" w:rsidRDefault="001B2694">
      <w:pPr>
        <w:pStyle w:val="p1"/>
        <w:ind w:left="720"/>
      </w:pPr>
      <w:r>
        <w:rPr>
          <w:rStyle w:val="s1"/>
        </w:rPr>
        <w:t>    6.1 Stakeholder Contribution and Value</w:t>
      </w:r>
    </w:p>
    <w:p w14:paraId="7586EE6D" w14:textId="77777777" w:rsidR="001B2694" w:rsidRDefault="001B2694">
      <w:pPr>
        <w:pStyle w:val="p1"/>
        <w:ind w:left="720"/>
      </w:pPr>
      <w:r>
        <w:rPr>
          <w:rStyle w:val="s1"/>
        </w:rPr>
        <w:t>    6.2 Stakeholder Challenges and Risks</w:t>
      </w:r>
    </w:p>
    <w:p w14:paraId="5475C175" w14:textId="77777777" w:rsidR="001B2694" w:rsidRDefault="001B2694">
      <w:pPr>
        <w:pStyle w:val="p1"/>
        <w:ind w:left="720"/>
      </w:pPr>
      <w:r>
        <w:rPr>
          <w:rStyle w:val="s1"/>
        </w:rPr>
        <w:t>    6.3 RACI Matrix</w:t>
      </w:r>
    </w:p>
    <w:p w14:paraId="448B9B11" w14:textId="77777777" w:rsidR="001B2694" w:rsidRDefault="001B2694">
      <w:pPr>
        <w:pStyle w:val="p1"/>
        <w:numPr>
          <w:ilvl w:val="0"/>
          <w:numId w:val="1"/>
        </w:numPr>
      </w:pPr>
      <w:r>
        <w:rPr>
          <w:rStyle w:val="s1"/>
        </w:rPr>
        <w:t>Stakeholder Engagement Frameworks, Models and Tools</w:t>
      </w:r>
    </w:p>
    <w:p w14:paraId="3AC8B4CA" w14:textId="77777777" w:rsidR="001B2694" w:rsidRDefault="001B2694">
      <w:pPr>
        <w:pStyle w:val="p1"/>
        <w:ind w:left="720"/>
      </w:pPr>
      <w:r>
        <w:rPr>
          <w:rStyle w:val="s1"/>
        </w:rPr>
        <w:t>    7.1 Stakeholder Power–Interest Matrix</w:t>
      </w:r>
    </w:p>
    <w:p w14:paraId="40CC8C83" w14:textId="77777777" w:rsidR="001B2694" w:rsidRDefault="001B2694">
      <w:pPr>
        <w:pStyle w:val="p1"/>
        <w:ind w:left="720"/>
      </w:pPr>
      <w:r>
        <w:rPr>
          <w:rStyle w:val="s1"/>
        </w:rPr>
        <w:t>    7.2 Stakeholder Engagement Plan</w:t>
      </w:r>
    </w:p>
    <w:p w14:paraId="02376359" w14:textId="77777777" w:rsidR="001B2694" w:rsidRDefault="001B2694">
      <w:pPr>
        <w:pStyle w:val="p1"/>
        <w:ind w:left="720"/>
      </w:pPr>
      <w:r>
        <w:rPr>
          <w:rStyle w:val="s1"/>
        </w:rPr>
        <w:t>    7.3 Communication Plan</w:t>
      </w:r>
    </w:p>
    <w:p w14:paraId="21EAF412" w14:textId="77777777" w:rsidR="001B2694" w:rsidRDefault="001B2694">
      <w:pPr>
        <w:pStyle w:val="p1"/>
        <w:ind w:left="720"/>
      </w:pPr>
      <w:r>
        <w:rPr>
          <w:rStyle w:val="s1"/>
        </w:rPr>
        <w:t>    7.4 RACI and Governance Structures</w:t>
      </w:r>
    </w:p>
    <w:p w14:paraId="4DA22CDC" w14:textId="77777777" w:rsidR="001B2694" w:rsidRDefault="001B2694">
      <w:pPr>
        <w:pStyle w:val="p1"/>
        <w:numPr>
          <w:ilvl w:val="0"/>
          <w:numId w:val="1"/>
        </w:numPr>
      </w:pPr>
      <w:r>
        <w:rPr>
          <w:rStyle w:val="s1"/>
        </w:rPr>
        <w:t>Stakeholder Engagement Process and Conflict Management (Project Manager Role)</w:t>
      </w:r>
    </w:p>
    <w:p w14:paraId="619FC7FD" w14:textId="77777777" w:rsidR="001B2694" w:rsidRDefault="001B2694">
      <w:pPr>
        <w:pStyle w:val="p1"/>
        <w:ind w:left="720"/>
      </w:pPr>
      <w:r>
        <w:rPr>
          <w:rStyle w:val="s1"/>
        </w:rPr>
        <w:t>    8.1 Engagement Process Across the Project Lifecycle</w:t>
      </w:r>
    </w:p>
    <w:p w14:paraId="49C82D78" w14:textId="77777777" w:rsidR="001B2694" w:rsidRDefault="001B2694">
      <w:pPr>
        <w:pStyle w:val="p1"/>
        <w:ind w:left="720"/>
      </w:pPr>
      <w:r>
        <w:rPr>
          <w:rStyle w:val="s1"/>
        </w:rPr>
        <w:t>    8.2 Managing Conflict Using the 4C’s Model</w:t>
      </w:r>
    </w:p>
    <w:p w14:paraId="1F853867" w14:textId="77777777" w:rsidR="001B2694" w:rsidRDefault="001B2694">
      <w:pPr>
        <w:pStyle w:val="p1"/>
        <w:numPr>
          <w:ilvl w:val="0"/>
          <w:numId w:val="1"/>
        </w:numPr>
      </w:pPr>
      <w:r>
        <w:rPr>
          <w:rStyle w:val="s1"/>
        </w:rPr>
        <w:t>Impact of Stakeholder Engagement on Business Performance</w:t>
      </w:r>
    </w:p>
    <w:p w14:paraId="54D178CB" w14:textId="77777777" w:rsidR="001B2694" w:rsidRDefault="001B2694">
      <w:pPr>
        <w:pStyle w:val="p1"/>
        <w:numPr>
          <w:ilvl w:val="0"/>
          <w:numId w:val="1"/>
        </w:numPr>
      </w:pPr>
      <w:r>
        <w:rPr>
          <w:rStyle w:val="s1"/>
        </w:rPr>
        <w:t>Recommendations for Future Stakeholder Engagement</w:t>
      </w:r>
    </w:p>
    <w:p w14:paraId="0313F87D" w14:textId="77777777" w:rsidR="001B2694" w:rsidRDefault="001B2694">
      <w:pPr>
        <w:pStyle w:val="p1"/>
        <w:numPr>
          <w:ilvl w:val="0"/>
          <w:numId w:val="1"/>
        </w:numPr>
      </w:pPr>
      <w:r>
        <w:rPr>
          <w:rStyle w:val="s1"/>
        </w:rPr>
        <w:t>Conclusion</w:t>
      </w:r>
    </w:p>
    <w:p w14:paraId="2CA45D0E" w14:textId="77777777" w:rsidR="00872501" w:rsidRPr="00872501" w:rsidRDefault="001B2694" w:rsidP="00872501">
      <w:pPr>
        <w:pStyle w:val="p1"/>
        <w:numPr>
          <w:ilvl w:val="0"/>
          <w:numId w:val="1"/>
        </w:numPr>
        <w:rPr>
          <w:rStyle w:val="s1"/>
        </w:rPr>
      </w:pPr>
      <w:r>
        <w:rPr>
          <w:rStyle w:val="s1"/>
        </w:rPr>
        <w:t>Reference</w:t>
      </w:r>
      <w:r w:rsidR="001C6EED">
        <w:rPr>
          <w:rStyle w:val="s1"/>
        </w:rPr>
        <w:t xml:space="preserve">s </w:t>
      </w:r>
    </w:p>
    <w:p w14:paraId="4C08E247" w14:textId="77777777" w:rsidR="0059315E" w:rsidRDefault="0059315E" w:rsidP="00872501">
      <w:pPr>
        <w:pStyle w:val="p1"/>
        <w:ind w:left="360"/>
        <w:rPr>
          <w:rStyle w:val="s1"/>
          <w:lang w:val="ru-RU"/>
        </w:rPr>
      </w:pPr>
    </w:p>
    <w:p w14:paraId="2B9E1B86" w14:textId="2B5D92C4" w:rsidR="00264F7D" w:rsidRPr="00872501" w:rsidRDefault="00264F7D" w:rsidP="00BE51B1">
      <w:pPr>
        <w:pStyle w:val="p1"/>
        <w:numPr>
          <w:ilvl w:val="0"/>
          <w:numId w:val="6"/>
        </w:numPr>
      </w:pPr>
      <w:r w:rsidRPr="00872501">
        <w:rPr>
          <w:rFonts w:eastAsia="Times New Roman"/>
          <w:b/>
          <w:bCs/>
          <w:sz w:val="36"/>
          <w:szCs w:val="36"/>
        </w:rPr>
        <w:t>Executive Summary</w:t>
      </w:r>
    </w:p>
    <w:p w14:paraId="6B929C8C"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p>
    <w:p w14:paraId="728CA1E4"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r w:rsidRPr="00264F7D">
        <w:rPr>
          <w:rFonts w:ascii="Times New Roman" w:hAnsi="Times New Roman" w:cs="Times New Roman"/>
          <w:sz w:val="24"/>
          <w:szCs w:val="24"/>
          <w:lang w:eastAsia="ru-RU"/>
        </w:rPr>
        <w:t>This report analyses the importance of stakeholder engagement in the successful launch of a new wearable health device developed by Fitbit UK. The organisation plans to introduce an advanced wearable device capable of monitoring heart rate, blood oxygen levels (SpO₂), and sleep patterns, with a planned market launch within six months. Given the competitive and highly regulated nature of the healthcare technology sector, effective stakeholder engagement is considered a critical success factor for this project.</w:t>
      </w:r>
    </w:p>
    <w:p w14:paraId="182B8B69"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p>
    <w:p w14:paraId="598FFE0E"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r w:rsidRPr="00264F7D">
        <w:rPr>
          <w:rFonts w:ascii="Times New Roman" w:hAnsi="Times New Roman" w:cs="Times New Roman"/>
          <w:sz w:val="24"/>
          <w:szCs w:val="24"/>
          <w:lang w:eastAsia="ru-RU"/>
        </w:rPr>
        <w:t>The report is written from the perspective of a project manager responsible for coordinating internal and external stakeholders throughout the project lifecycle. A range of strategic and stakeholder management frameworks are applied to ensure systematic engagement, minimise conflict, and maximise project value. These include strategic analysis tools such as SWOT and PESTLE, stakeholder mapping, RACI matrix, communication and engagement plans, and the 4C’s model of communication, coordination, cooperation, and collaboration.</w:t>
      </w:r>
    </w:p>
    <w:p w14:paraId="041240CC"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p>
    <w:p w14:paraId="4B4C8031"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r w:rsidRPr="00264F7D">
        <w:rPr>
          <w:rFonts w:ascii="Times New Roman" w:hAnsi="Times New Roman" w:cs="Times New Roman"/>
          <w:sz w:val="24"/>
          <w:szCs w:val="24"/>
          <w:lang w:eastAsia="ru-RU"/>
        </w:rPr>
        <w:t>The findings of this report highlight that proactive and structured stakeholder engagement can positively influence business performance by improving innovation outcomes, regulatory compliance, customer trust, and brand reputation. The report concludes by emphasising that stakeholder engagement should be viewed not as a one-off activity but as a continuous managerial process embedded within project governance (Freeman, 1984; Bourne, 2015).</w:t>
      </w:r>
    </w:p>
    <w:p w14:paraId="50DEA67A" w14:textId="42C04461" w:rsidR="00264F7D" w:rsidRPr="00264F7D" w:rsidRDefault="00264F7D" w:rsidP="00264F7D">
      <w:pPr>
        <w:spacing w:after="0" w:line="240" w:lineRule="auto"/>
        <w:rPr>
          <w:rFonts w:ascii="Times New Roman" w:eastAsia="Times New Roman" w:hAnsi="Times New Roman" w:cs="Times New Roman"/>
          <w:sz w:val="24"/>
          <w:szCs w:val="24"/>
          <w:lang w:eastAsia="ru-RU"/>
        </w:rPr>
      </w:pPr>
    </w:p>
    <w:p w14:paraId="5255DB8C" w14:textId="77777777" w:rsidR="00B80024" w:rsidRDefault="00B80024" w:rsidP="00264F7D">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74CAF5B" w14:textId="77777777" w:rsidR="00B80024" w:rsidRDefault="00B80024" w:rsidP="00264F7D">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DF580AE" w14:textId="77777777" w:rsidR="00BE51B1" w:rsidRDefault="00BE51B1" w:rsidP="00264F7D">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34DEBAAE" w14:textId="77777777" w:rsidR="00BE51B1" w:rsidRDefault="00BE51B1" w:rsidP="00264F7D">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609191C" w14:textId="77777777" w:rsidR="00BE51B1" w:rsidRDefault="00BE51B1" w:rsidP="00264F7D">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7ADF314" w14:textId="77777777" w:rsidR="00BE51B1" w:rsidRDefault="00BE51B1" w:rsidP="00264F7D">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BFE5FE8" w14:textId="77777777" w:rsidR="00981D55" w:rsidRDefault="00981D55" w:rsidP="00981D55">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8A56586" w14:textId="3FD5EE37" w:rsidR="00264F7D" w:rsidRPr="00981D55" w:rsidRDefault="00264F7D" w:rsidP="00981D55">
      <w:pPr>
        <w:pStyle w:val="ListParagraph"/>
        <w:numPr>
          <w:ilvl w:val="0"/>
          <w:numId w:val="6"/>
        </w:numPr>
        <w:spacing w:before="100" w:beforeAutospacing="1" w:after="100" w:afterAutospacing="1" w:line="240" w:lineRule="auto"/>
        <w:outlineLvl w:val="1"/>
        <w:rPr>
          <w:rFonts w:ascii="Times New Roman" w:hAnsi="Times New Roman" w:cs="Times New Roman"/>
          <w:b/>
          <w:bCs/>
          <w:sz w:val="36"/>
          <w:szCs w:val="36"/>
          <w:lang w:eastAsia="ru-RU"/>
        </w:rPr>
      </w:pPr>
      <w:r w:rsidRPr="00981D55">
        <w:rPr>
          <w:rFonts w:ascii="Times New Roman" w:eastAsia="Times New Roman" w:hAnsi="Times New Roman" w:cs="Times New Roman"/>
          <w:b/>
          <w:bCs/>
          <w:sz w:val="36"/>
          <w:szCs w:val="36"/>
          <w:lang w:eastAsia="ru-RU"/>
        </w:rPr>
        <w:lastRenderedPageBreak/>
        <w:t>Introduction of the Company</w:t>
      </w:r>
    </w:p>
    <w:p w14:paraId="4C3478EE" w14:textId="77777777" w:rsidR="00264F7D" w:rsidRPr="00264F7D" w:rsidRDefault="00264F7D" w:rsidP="00264F7D">
      <w:pPr>
        <w:spacing w:before="100" w:beforeAutospacing="1" w:after="100" w:afterAutospacing="1" w:line="240" w:lineRule="auto"/>
        <w:rPr>
          <w:rFonts w:ascii="Times New Roman" w:hAnsi="Times New Roman" w:cs="Times New Roman"/>
          <w:sz w:val="24"/>
          <w:szCs w:val="24"/>
          <w:lang w:eastAsia="ru-RU"/>
        </w:rPr>
      </w:pPr>
    </w:p>
    <w:p w14:paraId="1AE6B652" w14:textId="6FDE3B90" w:rsidR="00264F7D" w:rsidRPr="00264F7D" w:rsidRDefault="00264F7D" w:rsidP="00981D55">
      <w:pPr>
        <w:spacing w:before="100" w:beforeAutospacing="1" w:after="100" w:afterAutospacing="1" w:line="240" w:lineRule="auto"/>
        <w:jc w:val="center"/>
        <w:rPr>
          <w:rFonts w:ascii="Times New Roman" w:hAnsi="Times New Roman" w:cs="Times New Roman"/>
          <w:sz w:val="24"/>
          <w:szCs w:val="24"/>
          <w:lang w:eastAsia="ru-RU"/>
        </w:rPr>
      </w:pPr>
      <w:r w:rsidRPr="00264F7D">
        <w:rPr>
          <w:rFonts w:ascii="Times New Roman" w:hAnsi="Times New Roman" w:cs="Times New Roman"/>
          <w:sz w:val="24"/>
          <w:szCs w:val="24"/>
          <w:lang w:eastAsia="ru-RU"/>
        </w:rPr>
        <w:t>Fitbit is a globally recognised company operating within the wearable health technology sector. Established in 2007, the organisation specialises in the design and development of wearable devices and digital health platforms that support individuals in monitoring and improving their health and wellbeing. Fitbit’s product portfolio includes smartwatches and fitness trackers that measure physical activity, heart rate, sleep quality, and other health-related indicators. The company has a strong presence in the United Kingdom, where its products are distributed through major retailers and online platforms (Fitbit Inc., 2023).In 2021, Fitbit became part of Google (Alphabet Inc.), a strategic acquisition that enhanced Fitbit’s capabilities in data analytics, artificial intelligence, and software integration. This acquisition strengthened the company’s competitive position in the wearable health market by enabling more advanced health insights and personalised user experiences (Google LLC, 2023). Fitbit UK operates within a dynamic and competitive environment characterised by rapid technological innovation, increasing consumer awareness of health monitoring, and strict regulatory requirements related to data protection and medical devices.Fitbit’s organisational mission focuses on empowering individuals to lead healthier lives through accessible and user-friendly technology. Trust, data accuracy, and user privacy are central to the company’s values, particularly given the sensitive nature of health data collected through wearable devices. As a result, effective project management and stakeholder engagement are essential to ensure that new products meet regulatory standards, align with consumer expectations, and support long-term business sustainability (Johnson, Scholes and Whittington, 2020).</w:t>
      </w:r>
    </w:p>
    <w:p w14:paraId="67D45A77" w14:textId="77777777" w:rsidR="001C6EED" w:rsidRPr="00433035" w:rsidRDefault="001C6EED" w:rsidP="001C6EED">
      <w:pPr>
        <w:pStyle w:val="p1"/>
        <w:rPr>
          <w:lang w:val="en-GB"/>
        </w:rPr>
      </w:pPr>
    </w:p>
    <w:p w14:paraId="0B321D43" w14:textId="77777777" w:rsidR="00123828" w:rsidRDefault="00123828" w:rsidP="00123828">
      <w:pPr>
        <w:spacing w:line="600" w:lineRule="auto"/>
        <w:rPr>
          <w:rFonts w:ascii="Arial" w:hAnsi="Arial" w:cs="Arial"/>
          <w:b/>
          <w:bCs/>
          <w:i/>
          <w:iCs/>
        </w:rPr>
      </w:pPr>
    </w:p>
    <w:p w14:paraId="557D2D02" w14:textId="4FAFE366" w:rsidR="19DF5ED4" w:rsidRDefault="19DF5ED4" w:rsidP="19DF5ED4">
      <w:pPr>
        <w:spacing w:line="600" w:lineRule="auto"/>
        <w:rPr>
          <w:rFonts w:ascii="Arial" w:hAnsi="Arial" w:cs="Arial"/>
          <w:b/>
          <w:bCs/>
          <w:i/>
          <w:iCs/>
        </w:rPr>
      </w:pPr>
    </w:p>
    <w:p w14:paraId="5AA42B3D" w14:textId="55AB8D7C" w:rsidR="19DF5ED4" w:rsidRDefault="19DF5ED4" w:rsidP="19DF5ED4">
      <w:pPr>
        <w:spacing w:line="600" w:lineRule="auto"/>
        <w:rPr>
          <w:rFonts w:ascii="Arial" w:hAnsi="Arial" w:cs="Arial"/>
          <w:b/>
          <w:bCs/>
          <w:i/>
          <w:iCs/>
        </w:rPr>
      </w:pPr>
    </w:p>
    <w:p w14:paraId="48A12DF4" w14:textId="3BDA537D" w:rsidR="19DF5ED4" w:rsidRDefault="19DF5ED4" w:rsidP="19DF5ED4">
      <w:pPr>
        <w:spacing w:line="600" w:lineRule="auto"/>
        <w:rPr>
          <w:rFonts w:ascii="Arial" w:hAnsi="Arial" w:cs="Arial"/>
          <w:b/>
          <w:bCs/>
          <w:i/>
          <w:iCs/>
        </w:rPr>
      </w:pPr>
    </w:p>
    <w:p w14:paraId="048F3136" w14:textId="6FE39698" w:rsidR="19DF5ED4" w:rsidRDefault="19DF5ED4" w:rsidP="19DF5ED4">
      <w:pPr>
        <w:spacing w:line="600" w:lineRule="auto"/>
        <w:rPr>
          <w:rFonts w:ascii="Arial" w:hAnsi="Arial" w:cs="Arial"/>
          <w:b/>
          <w:bCs/>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455BDFE3" w14:textId="70A8DD8E" w:rsidR="00981D55" w:rsidRPr="00981D55" w:rsidRDefault="0059315E" w:rsidP="00981D55">
      <w:pPr>
        <w:pStyle w:val="ListParagraph"/>
        <w:numPr>
          <w:ilvl w:val="0"/>
          <w:numId w:val="6"/>
        </w:num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981D55">
        <w:rPr>
          <w:rFonts w:ascii="Times New Roman" w:eastAsia="Times New Roman" w:hAnsi="Times New Roman" w:cs="Times New Roman"/>
          <w:b/>
          <w:bCs/>
          <w:sz w:val="36"/>
          <w:szCs w:val="36"/>
          <w:lang w:eastAsia="ru-RU"/>
        </w:rPr>
        <w:lastRenderedPageBreak/>
        <w:t>Project Overview</w:t>
      </w:r>
    </w:p>
    <w:p w14:paraId="48F16406" w14:textId="46074B43" w:rsidR="19DF5ED4" w:rsidRPr="00D4469F" w:rsidRDefault="0059315E" w:rsidP="00D4469F">
      <w:pPr>
        <w:spacing w:before="100" w:beforeAutospacing="1" w:after="100" w:afterAutospacing="1" w:line="240" w:lineRule="auto"/>
        <w:ind w:left="360"/>
        <w:jc w:val="center"/>
        <w:outlineLvl w:val="1"/>
        <w:rPr>
          <w:rFonts w:ascii="Times New Roman" w:eastAsia="Times New Roman" w:hAnsi="Times New Roman" w:cs="Times New Roman"/>
          <w:b/>
          <w:bCs/>
          <w:sz w:val="36"/>
          <w:szCs w:val="36"/>
          <w:lang w:eastAsia="ru-RU"/>
        </w:rPr>
      </w:pPr>
      <w:r w:rsidRPr="00981D55">
        <w:rPr>
          <w:rFonts w:ascii="Times New Roman" w:hAnsi="Times New Roman" w:cs="Times New Roman"/>
          <w:sz w:val="24"/>
          <w:szCs w:val="24"/>
          <w:lang w:eastAsia="ru-RU"/>
        </w:rPr>
        <w:t>The project under consideration involves the development and launch of a new wearable health device by Fitbit UK. The device is designed to track key health indicators, including heart rate, blood oxygen saturation (SpO₂), and sleep patterns. While these features exist in current wearable technologies, the proposed product aims to improve measurement accuracy, enhance battery efficiency, and provide more advanced data analysis through integrated software and artificial intelligence.</w:t>
      </w:r>
      <w:r w:rsidRPr="0059315E">
        <w:rPr>
          <w:rFonts w:ascii="Times New Roman" w:hAnsi="Times New Roman" w:cs="Times New Roman"/>
          <w:sz w:val="24"/>
          <w:szCs w:val="24"/>
          <w:lang w:eastAsia="ru-RU"/>
        </w:rPr>
        <w:t>The planned duration of the project is six months, making it a time-constrained initiative that requires close coordination between multiple functional departments. The project lifecycle includes product design and prototyping, software development, sensor testing, quality assurance, regulatory compliance, marketing preparation, supply chain coordination, and launch planning. Each stage of the project depends on the effective contribution and cooperation of various stakeholders, both internal and external.As the appointed project manager, the primary responsibility is to ensure that the project is delivered on time, within budget, and in accordance with quality and regulatory standards. A key aspect of this role is stakeholder engagement, as the project involves diverse stakeholder groups with varying levels of influence, interest, and expectations. Internal stakeholders include the product development team, IT specialists, marketing and sales departments, and senior management. External stakeholders include suppliers, regulatory authorities, healthcare partners, retailers, and end users.Given that the device collects sensitive health data, the project must comply with UK data protection legislation such as the General Data Protection Regulation (GDPR). Failure to adequately engage regulatory bodies or address data privacy concerns could result in project delays, financial penalties, or reputational damage (UK Government, 2018). Therefore, structured stakeholder engagement is essential to identify risks early, manage expectations, and support informed decision-making throughout the project lifecycle (PMI, 2021).</w:t>
      </w:r>
    </w:p>
    <w:p w14:paraId="1CFD101F" w14:textId="0DE7090E" w:rsidR="19DF5ED4" w:rsidRDefault="19DF5ED4" w:rsidP="0082078E">
      <w:pPr>
        <w:spacing w:line="600" w:lineRule="auto"/>
        <w:jc w:val="center"/>
        <w:rPr>
          <w:rFonts w:ascii="Arial" w:hAnsi="Arial" w:cs="Arial"/>
          <w:b/>
          <w:bCs/>
          <w:i/>
          <w:iCs/>
        </w:rPr>
      </w:pPr>
    </w:p>
    <w:p w14:paraId="2DBEBD15" w14:textId="56E1C93C" w:rsidR="19DF5ED4" w:rsidRDefault="19DF5ED4" w:rsidP="0082078E">
      <w:pPr>
        <w:spacing w:line="600" w:lineRule="auto"/>
        <w:jc w:val="center"/>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082E9941" w14:textId="407513F6" w:rsidR="19DF5ED4" w:rsidRDefault="19DF5ED4" w:rsidP="19DF5ED4">
      <w:pPr>
        <w:spacing w:line="600" w:lineRule="auto"/>
        <w:rPr>
          <w:rFonts w:ascii="Arial" w:hAnsi="Arial" w:cs="Arial"/>
          <w:b/>
          <w:bCs/>
          <w:i/>
          <w:iCs/>
        </w:rPr>
      </w:pPr>
    </w:p>
    <w:p w14:paraId="2BF0A667" w14:textId="77777777" w:rsidR="00D4469F" w:rsidRDefault="00D4469F" w:rsidP="00855644">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707C673" w14:textId="77777777" w:rsidR="00D4469F" w:rsidRDefault="00D4469F" w:rsidP="00855644">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69B6B8B" w14:textId="77777777" w:rsidR="00D4469F" w:rsidRDefault="00D4469F" w:rsidP="00855644">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3267BC07" w14:textId="77777777" w:rsidR="00D4469F" w:rsidRDefault="00D4469F" w:rsidP="00855644">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55BED208" w14:textId="13796015" w:rsidR="00855644" w:rsidRPr="00855644" w:rsidRDefault="00855644" w:rsidP="00855644">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855644">
        <w:rPr>
          <w:rFonts w:ascii="Times New Roman" w:eastAsia="Times New Roman" w:hAnsi="Times New Roman" w:cs="Times New Roman"/>
          <w:b/>
          <w:bCs/>
          <w:sz w:val="36"/>
          <w:szCs w:val="36"/>
          <w:lang w:eastAsia="ru-RU"/>
        </w:rPr>
        <w:lastRenderedPageBreak/>
        <w:t>4. Strategic Appraisal of Fitbit UK</w:t>
      </w:r>
    </w:p>
    <w:p w14:paraId="148C6463" w14:textId="77777777" w:rsidR="00855644" w:rsidRPr="00855644" w:rsidRDefault="00855644" w:rsidP="00855644">
      <w:pPr>
        <w:spacing w:before="100" w:beforeAutospacing="1" w:after="100" w:afterAutospacing="1" w:line="240" w:lineRule="auto"/>
        <w:rPr>
          <w:rFonts w:ascii="Times New Roman" w:hAnsi="Times New Roman" w:cs="Times New Roman"/>
          <w:sz w:val="24"/>
          <w:szCs w:val="24"/>
          <w:lang w:eastAsia="ru-RU"/>
        </w:rPr>
      </w:pPr>
    </w:p>
    <w:p w14:paraId="68F3D785" w14:textId="77777777" w:rsidR="00855644" w:rsidRPr="00855644" w:rsidRDefault="00855644" w:rsidP="00855644">
      <w:pPr>
        <w:spacing w:before="100" w:beforeAutospacing="1" w:after="100" w:afterAutospacing="1" w:line="240" w:lineRule="auto"/>
        <w:rPr>
          <w:rFonts w:ascii="Times New Roman" w:hAnsi="Times New Roman" w:cs="Times New Roman"/>
          <w:sz w:val="24"/>
          <w:szCs w:val="24"/>
          <w:lang w:eastAsia="ru-RU"/>
        </w:rPr>
      </w:pPr>
      <w:r w:rsidRPr="00855644">
        <w:rPr>
          <w:rFonts w:ascii="Times New Roman" w:hAnsi="Times New Roman" w:cs="Times New Roman"/>
          <w:sz w:val="24"/>
          <w:szCs w:val="24"/>
          <w:lang w:eastAsia="ru-RU"/>
        </w:rPr>
        <w:t>Strategic appraisal is essential to understand the internal and external factors that may influence the successful launch of the new wearable health device. This section applies recognised strategic planning tools, including SWOT analysis, PESTLE analysis, and SMART objectives, to evaluate Fitbit UK’s current position and readiness for the project. These tools support informed decision-making and enable the project manager to anticipate risks, opportunities, and stakeholder expectations (Johnson, Scholes and Whittington, 2020).</w:t>
      </w:r>
    </w:p>
    <w:p w14:paraId="219137B4" w14:textId="1DE9F2E0" w:rsidR="003236E2" w:rsidRPr="003236E2" w:rsidRDefault="003236E2" w:rsidP="00D4469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3236E2">
        <w:rPr>
          <w:rFonts w:ascii="Times New Roman" w:eastAsia="Times New Roman" w:hAnsi="Times New Roman" w:cs="Times New Roman"/>
          <w:b/>
          <w:bCs/>
          <w:sz w:val="36"/>
          <w:szCs w:val="36"/>
          <w:lang w:eastAsia="ru-RU"/>
        </w:rPr>
        <w:t>4.1 SWOT Analysis</w:t>
      </w:r>
      <w:r w:rsidR="00D4469F">
        <w:rPr>
          <w:rFonts w:ascii="Times New Roman" w:eastAsia="Times New Roman" w:hAnsi="Times New Roman" w:cs="Times New Roman"/>
          <w:b/>
          <w:bCs/>
          <w:sz w:val="36"/>
          <w:szCs w:val="36"/>
          <w:lang w:eastAsia="ru-RU"/>
        </w:rPr>
        <w:t xml:space="preserve">.                                                                 </w:t>
      </w:r>
      <w:r w:rsidRPr="003236E2">
        <w:rPr>
          <w:rFonts w:ascii="Times New Roman" w:hAnsi="Times New Roman" w:cs="Times New Roman"/>
          <w:sz w:val="24"/>
          <w:szCs w:val="24"/>
          <w:lang w:eastAsia="ru-RU"/>
        </w:rPr>
        <w:t>A SWOT analysis is used to evaluate the internal strengths and weaknesses of Fitbit UK, alongside external opportunities and threats that may affect the project. This framework is widely applied in strategic management to support organisational planning and competitive positioning (Kotler and Keller, 2016).</w:t>
      </w:r>
    </w:p>
    <w:p w14:paraId="5B12C131"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09B3BC02" w14:textId="77777777" w:rsidR="00D4469F" w:rsidRDefault="003236E2" w:rsidP="00D4469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Strengths</w:t>
      </w:r>
    </w:p>
    <w:p w14:paraId="5D1725CB" w14:textId="4F405215" w:rsidR="003236E2" w:rsidRPr="003236E2" w:rsidRDefault="003236E2" w:rsidP="00D4469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hAnsi="Times New Roman" w:cs="Times New Roman"/>
          <w:sz w:val="24"/>
          <w:szCs w:val="24"/>
          <w:lang w:eastAsia="ru-RU"/>
        </w:rPr>
        <w:t>One of Fitbit’s key strengths is its strong brand recognition within the global and UK wearable health technology market. Consumers associate Fitbit with reliable health tracking, ease of use, and innovative features, which provides a competitive advantage when launching a new product. In addition, Fitbit benefits from its integration with Google, which enhances its technological capabilities in data analytics, artificial intelligence, and software development (Google LLC, 2023).Another significant strength is Fitbit’s existing expertise in health monitoring technologies, particularly in heart rate and sleep tracking. This experience reduces development risks and supports faster product development within the six-month project timeline. Furthermore, Fitbit has established distribution channels and partnerships with major UK retailers, enabling efficient market entry.</w:t>
      </w:r>
    </w:p>
    <w:p w14:paraId="5C11D168"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1FBB6078" w14:textId="77777777" w:rsidR="00D4469F" w:rsidRDefault="003236E2" w:rsidP="00D4469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Weaknesses</w:t>
      </w:r>
    </w:p>
    <w:p w14:paraId="0ACDB662" w14:textId="7270B08F" w:rsidR="003236E2" w:rsidRPr="003236E2" w:rsidRDefault="003236E2" w:rsidP="00D4469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hAnsi="Times New Roman" w:cs="Times New Roman"/>
          <w:sz w:val="24"/>
          <w:szCs w:val="24"/>
          <w:lang w:eastAsia="ru-RU"/>
        </w:rPr>
        <w:t>Despite its strengths, Fitbit UK faces several internal weaknesses. One limitation is its high reliance on digital ecosystems, which increases exposure to data privacy and cybersecurity risks. Given that the new device will collect sensitive health data, any weaknesses in data protection could negatively impact consumer trust and regulatory compliance.Additionally, Fitbit operates in a highly competitive environment where product differentiation can be challenging. Incremental improvements in features may not always be sufficient to attract new customers, particularly when competing against companies with broader hardware ecosystems. This places pressure on the project team to deliver meaningful innovation within limited time and budget constraints.</w:t>
      </w:r>
    </w:p>
    <w:p w14:paraId="10DA7431"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6F361135" w14:textId="77777777" w:rsidR="00D4469F" w:rsidRDefault="00D4469F" w:rsidP="003236E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p>
    <w:p w14:paraId="27A8442F" w14:textId="68325D66" w:rsidR="003236E2" w:rsidRPr="003236E2" w:rsidRDefault="003236E2" w:rsidP="003236E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lastRenderedPageBreak/>
        <w:t>Opportunities</w:t>
      </w:r>
    </w:p>
    <w:p w14:paraId="195330B1" w14:textId="2D1BB8D0"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The growing consumer focus on health and wellbeing presents a significant opportunity for Fitbit UK. Increased awareness of sleep quality, oxygen levels, and heart health has driven demand for advanced wearable devices, particularly following the COVID-19 pandemic (Statista, 2024). This trend supports the commercial potential of the new wearable health device.There is also an opportunity to expand partnerships with healthcare providers and wellness programmes in the UK. By aligning the new device with preventive healthcare initiatives, Fitbit could strengthen its market position and enhance long-term customer engagement.</w:t>
      </w:r>
    </w:p>
    <w:p w14:paraId="277FA881"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7DE697BA" w14:textId="77777777" w:rsidR="00770C83" w:rsidRDefault="003236E2" w:rsidP="00770C83">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Threats</w:t>
      </w:r>
    </w:p>
    <w:p w14:paraId="4CB1D4D3" w14:textId="1257B8C1" w:rsidR="003236E2" w:rsidRPr="003236E2" w:rsidRDefault="003236E2" w:rsidP="00770C83">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hAnsi="Times New Roman" w:cs="Times New Roman"/>
          <w:sz w:val="24"/>
          <w:szCs w:val="24"/>
          <w:lang w:eastAsia="ru-RU"/>
        </w:rPr>
        <w:t>External threats include intense competition from established brands such as Apple, Garmin, and Samsung, all of which invest heavily in research and development. Rapid technological advancements mean that competitors may introduce similar or superior products within short timeframes.Regulatory challenges also pose a threat, particularly in relation to medical device classification and data protection requirements under GDPR. Failure to meet regulatory standards could result in project delays, fines, or reputational damage (UK Government, 2018).</w:t>
      </w:r>
    </w:p>
    <w:p w14:paraId="7166D333" w14:textId="77777777" w:rsidR="001E200D" w:rsidRDefault="003236E2" w:rsidP="001E200D">
      <w:pPr>
        <w:spacing w:before="100" w:beforeAutospacing="1" w:after="100" w:afterAutospacing="1" w:line="240" w:lineRule="auto"/>
        <w:outlineLvl w:val="1"/>
        <w:rPr>
          <w:rFonts w:ascii="Times New Roman" w:hAnsi="Times New Roman" w:cs="Times New Roman"/>
          <w:b/>
          <w:bCs/>
          <w:sz w:val="36"/>
          <w:szCs w:val="36"/>
          <w:lang w:eastAsia="ru-RU"/>
        </w:rPr>
      </w:pPr>
      <w:r w:rsidRPr="003236E2">
        <w:rPr>
          <w:rFonts w:ascii="Times New Roman" w:eastAsia="Times New Roman" w:hAnsi="Times New Roman" w:cs="Times New Roman"/>
          <w:b/>
          <w:bCs/>
          <w:sz w:val="36"/>
          <w:szCs w:val="36"/>
          <w:lang w:eastAsia="ru-RU"/>
        </w:rPr>
        <w:t>4.2 PESTLE Analysis</w:t>
      </w:r>
    </w:p>
    <w:p w14:paraId="5276CEC3" w14:textId="15762B46" w:rsidR="003236E2" w:rsidRPr="003236E2" w:rsidRDefault="003236E2" w:rsidP="001E200D">
      <w:pPr>
        <w:spacing w:before="100" w:beforeAutospacing="1" w:after="100" w:afterAutospacing="1" w:line="240" w:lineRule="auto"/>
        <w:outlineLvl w:val="1"/>
        <w:rPr>
          <w:rFonts w:ascii="Times New Roman" w:hAnsi="Times New Roman" w:cs="Times New Roman"/>
          <w:b/>
          <w:bCs/>
          <w:sz w:val="36"/>
          <w:szCs w:val="36"/>
          <w:lang w:eastAsia="ru-RU"/>
        </w:rPr>
      </w:pPr>
      <w:r w:rsidRPr="003236E2">
        <w:rPr>
          <w:rFonts w:ascii="Times New Roman" w:hAnsi="Times New Roman" w:cs="Times New Roman"/>
          <w:sz w:val="24"/>
          <w:szCs w:val="24"/>
          <w:lang w:eastAsia="ru-RU"/>
        </w:rPr>
        <w:t>PESTLE analysis examines the macro-environmental factors that may influence the project. This tool is particularly relevant for healthcare technology projects due to their exposure to regulatory, technological, and social factors (Johnson, Scholes and Whittington, 2020).</w:t>
      </w:r>
    </w:p>
    <w:p w14:paraId="32E6E96E"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0D40FA23" w14:textId="77777777" w:rsidR="00433035" w:rsidRDefault="003236E2" w:rsidP="001E200D">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Political Factors</w:t>
      </w:r>
    </w:p>
    <w:p w14:paraId="4ADCD907" w14:textId="03EBEF1E" w:rsidR="003236E2" w:rsidRPr="003236E2" w:rsidRDefault="003236E2" w:rsidP="001E200D">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hAnsi="Times New Roman" w:cs="Times New Roman"/>
          <w:sz w:val="24"/>
          <w:szCs w:val="24"/>
          <w:lang w:eastAsia="ru-RU"/>
        </w:rPr>
        <w:t>In the UK, healthcare-related technologies are subject to government regulation and oversight. Policies related to digital health innovation and public health create both opportunities and constraints for Fitbit UK. Support for digital health solutions may encourage adoption, while regulatory scrutiny may increase compliance requirements.</w:t>
      </w:r>
    </w:p>
    <w:p w14:paraId="157EB072"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52E2DCB2" w14:textId="77777777" w:rsidR="001E200D" w:rsidRDefault="003236E2" w:rsidP="001E200D">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Economic Factors</w:t>
      </w:r>
    </w:p>
    <w:p w14:paraId="6C4BB6E8" w14:textId="037C4EAC" w:rsidR="003236E2" w:rsidRPr="003236E2" w:rsidRDefault="003236E2" w:rsidP="001E200D">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hAnsi="Times New Roman" w:cs="Times New Roman"/>
          <w:sz w:val="24"/>
          <w:szCs w:val="24"/>
          <w:lang w:eastAsia="ru-RU"/>
        </w:rPr>
        <w:t>Economic conditions such as inflation and changes in consumer spending power can influence demand for wearable health devices. While health technology is often viewed as a long-term investment, rising living costs may reduce discretionary spending, potentially affecting product sales in the short term.</w:t>
      </w:r>
    </w:p>
    <w:p w14:paraId="2FB4E3D5"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49953E77" w14:textId="77777777" w:rsidR="003236E2" w:rsidRPr="003236E2" w:rsidRDefault="003236E2" w:rsidP="003236E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lastRenderedPageBreak/>
        <w:t>Social Factors</w:t>
      </w:r>
    </w:p>
    <w:p w14:paraId="3B7E9590"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Social trends strongly favour health monitoring and preventive care. Consumers are increasingly interested in understanding their health data and improving lifestyle behaviours. This social shift supports the relevance of Fitbit’s new device, particularly among health-conscious and ageing populations.</w:t>
      </w:r>
    </w:p>
    <w:p w14:paraId="023C8EDB"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68411D5B" w14:textId="77777777" w:rsidR="003236E2" w:rsidRPr="003236E2" w:rsidRDefault="003236E2" w:rsidP="003236E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Technological Factors</w:t>
      </w:r>
    </w:p>
    <w:p w14:paraId="7526558D"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Rapid technological advancement is both an opportunity and a challenge. Improvements in sensor accuracy, artificial intelligence, and data integration enable enhanced product functionality. However, the pace of innovation also increases pressure on project teams to deliver cutting-edge solutions within limited timeframes (PMI, 2021).</w:t>
      </w:r>
    </w:p>
    <w:p w14:paraId="5AACF95B"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38E710EB" w14:textId="77777777" w:rsidR="003236E2" w:rsidRPr="003236E2" w:rsidRDefault="003236E2" w:rsidP="003236E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Legal Factors</w:t>
      </w:r>
    </w:p>
    <w:p w14:paraId="52388732"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Legal considerations are critical due to the handling of personal health data. Compliance with GDPR is mandatory, requiring robust data protection measures and transparent data usage policies. Non-compliance could lead to legal penalties and loss of consumer trust (UK Government, 2018).</w:t>
      </w:r>
    </w:p>
    <w:p w14:paraId="5DA75909" w14:textId="77777777" w:rsidR="003236E2" w:rsidRPr="00246E59" w:rsidRDefault="003236E2" w:rsidP="003236E2">
      <w:pPr>
        <w:spacing w:before="100" w:beforeAutospacing="1" w:after="100" w:afterAutospacing="1" w:line="240" w:lineRule="auto"/>
        <w:rPr>
          <w:rFonts w:ascii="Times New Roman" w:hAnsi="Times New Roman" w:cs="Times New Roman"/>
          <w:sz w:val="24"/>
          <w:szCs w:val="24"/>
          <w:lang w:val="ru-RU" w:eastAsia="ru-RU"/>
        </w:rPr>
      </w:pPr>
    </w:p>
    <w:p w14:paraId="4782BDE0" w14:textId="77777777" w:rsidR="001E200D" w:rsidRDefault="003236E2" w:rsidP="001E200D">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eastAsia="Times New Roman" w:hAnsi="Times New Roman" w:cs="Times New Roman"/>
          <w:b/>
          <w:bCs/>
          <w:sz w:val="27"/>
          <w:szCs w:val="27"/>
          <w:lang w:eastAsia="ru-RU"/>
        </w:rPr>
        <w:t>Environmental Factors</w:t>
      </w:r>
    </w:p>
    <w:p w14:paraId="5EF847A6" w14:textId="0EBEC470" w:rsidR="003236E2" w:rsidRPr="003236E2" w:rsidRDefault="003236E2" w:rsidP="001E200D">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3236E2">
        <w:rPr>
          <w:rFonts w:ascii="Times New Roman" w:hAnsi="Times New Roman" w:cs="Times New Roman"/>
          <w:sz w:val="24"/>
          <w:szCs w:val="24"/>
          <w:lang w:eastAsia="ru-RU"/>
        </w:rPr>
        <w:t>Environmental sustainability is becoming increasingly important to consumers and regulators. Fitbit UK faces pressure to consider sustainable materials, ethical sourcing, and environmentally responsible manufacturing processes. Addressing these factors can enhance brand reputation and stakeholder trust.</w:t>
      </w:r>
    </w:p>
    <w:p w14:paraId="75E1A56F" w14:textId="5A1E9DB7" w:rsidR="003236E2" w:rsidRPr="003236E2" w:rsidRDefault="003236E2" w:rsidP="003236E2">
      <w:pPr>
        <w:spacing w:after="0" w:line="240" w:lineRule="auto"/>
        <w:rPr>
          <w:rFonts w:ascii="Times New Roman" w:eastAsia="Times New Roman" w:hAnsi="Times New Roman" w:cs="Times New Roman"/>
          <w:sz w:val="24"/>
          <w:szCs w:val="24"/>
          <w:lang w:eastAsia="ru-RU"/>
        </w:rPr>
      </w:pPr>
    </w:p>
    <w:p w14:paraId="6C94965F" w14:textId="77777777" w:rsidR="003236E2" w:rsidRPr="003236E2" w:rsidRDefault="003236E2" w:rsidP="003236E2">
      <w:pPr>
        <w:spacing w:before="100" w:beforeAutospacing="1" w:after="100" w:afterAutospacing="1" w:line="240" w:lineRule="auto"/>
        <w:outlineLvl w:val="1"/>
        <w:rPr>
          <w:rFonts w:ascii="Times New Roman" w:hAnsi="Times New Roman" w:cs="Times New Roman"/>
          <w:b/>
          <w:bCs/>
          <w:sz w:val="36"/>
          <w:szCs w:val="36"/>
          <w:lang w:eastAsia="ru-RU"/>
        </w:rPr>
      </w:pPr>
      <w:r w:rsidRPr="003236E2">
        <w:rPr>
          <w:rFonts w:ascii="Times New Roman" w:eastAsia="Times New Roman" w:hAnsi="Times New Roman" w:cs="Times New Roman"/>
          <w:b/>
          <w:bCs/>
          <w:sz w:val="36"/>
          <w:szCs w:val="36"/>
          <w:lang w:eastAsia="ru-RU"/>
        </w:rPr>
        <w:t>4.3 SMART Objectives</w:t>
      </w:r>
    </w:p>
    <w:p w14:paraId="5A96A4A9"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SMART objectives provide clear and measurable goals that support effective project management. According to Doran (1981), objectives should be Specific, Measurable, Achievable, Relevant, and Time-bound.</w:t>
      </w:r>
    </w:p>
    <w:p w14:paraId="6037C6B4" w14:textId="77777777" w:rsidR="003236E2" w:rsidRPr="003236E2" w:rsidRDefault="003236E2" w:rsidP="003236E2">
      <w:pPr>
        <w:numPr>
          <w:ilvl w:val="0"/>
          <w:numId w:val="2"/>
        </w:num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Specific: To successfully launch a new wearable health device in the UK market that accurately tracks heart rate, SpO₂, and sleep patterns.</w:t>
      </w:r>
    </w:p>
    <w:p w14:paraId="56CEC307" w14:textId="77777777" w:rsidR="003236E2" w:rsidRPr="003236E2" w:rsidRDefault="003236E2" w:rsidP="003236E2">
      <w:pPr>
        <w:numPr>
          <w:ilvl w:val="0"/>
          <w:numId w:val="2"/>
        </w:num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Measurable: To achieve at least 95% accuracy in health data tracking during product testing and to meet all regulatory approval requirements before launch.</w:t>
      </w:r>
    </w:p>
    <w:p w14:paraId="551CC300" w14:textId="77777777" w:rsidR="003236E2" w:rsidRPr="003236E2" w:rsidRDefault="003236E2" w:rsidP="003236E2">
      <w:pPr>
        <w:numPr>
          <w:ilvl w:val="0"/>
          <w:numId w:val="2"/>
        </w:num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Achievable: To complete product development, testing, and marketing preparation within the allocated six-month timeframe using existing organisational resources.</w:t>
      </w:r>
    </w:p>
    <w:p w14:paraId="4B71C093" w14:textId="77777777" w:rsidR="003236E2" w:rsidRPr="003236E2" w:rsidRDefault="003236E2" w:rsidP="003236E2">
      <w:pPr>
        <w:numPr>
          <w:ilvl w:val="0"/>
          <w:numId w:val="2"/>
        </w:num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lastRenderedPageBreak/>
        <w:t>Relevant: To support Fitbit UK’s strategic goal of strengthening its position in the wearable health technology market.</w:t>
      </w:r>
    </w:p>
    <w:p w14:paraId="65F59E9E" w14:textId="77777777" w:rsidR="003236E2" w:rsidRPr="003236E2" w:rsidRDefault="003236E2" w:rsidP="003236E2">
      <w:pPr>
        <w:numPr>
          <w:ilvl w:val="0"/>
          <w:numId w:val="2"/>
        </w:num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Time-bound: To complete the product launch within six months from project initiation.</w:t>
      </w:r>
    </w:p>
    <w:p w14:paraId="1AD2FDB9"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p>
    <w:p w14:paraId="2B5C7262" w14:textId="77777777" w:rsidR="003236E2" w:rsidRPr="003236E2" w:rsidRDefault="003236E2" w:rsidP="003236E2">
      <w:pPr>
        <w:spacing w:before="100" w:beforeAutospacing="1" w:after="100" w:afterAutospacing="1" w:line="240" w:lineRule="auto"/>
        <w:rPr>
          <w:rFonts w:ascii="Times New Roman" w:hAnsi="Times New Roman" w:cs="Times New Roman"/>
          <w:sz w:val="24"/>
          <w:szCs w:val="24"/>
          <w:lang w:eastAsia="ru-RU"/>
        </w:rPr>
      </w:pPr>
      <w:r w:rsidRPr="003236E2">
        <w:rPr>
          <w:rFonts w:ascii="Times New Roman" w:hAnsi="Times New Roman" w:cs="Times New Roman"/>
          <w:sz w:val="24"/>
          <w:szCs w:val="24"/>
          <w:lang w:eastAsia="ru-RU"/>
        </w:rPr>
        <w:t>These objectives provide a structured framework for monitoring project progress and aligning stakeholder efforts throughout the project lifecycle (PMI, 2021).</w:t>
      </w:r>
    </w:p>
    <w:p w14:paraId="773822EC" w14:textId="77777777" w:rsidR="003236E2" w:rsidRPr="00433035" w:rsidRDefault="003236E2" w:rsidP="19DF5ED4">
      <w:pPr>
        <w:spacing w:line="600" w:lineRule="auto"/>
        <w:rPr>
          <w:rFonts w:ascii="Arial" w:hAnsi="Arial" w:cs="Arial"/>
          <w:b/>
          <w:bCs/>
          <w:i/>
          <w:iCs/>
        </w:rPr>
      </w:pPr>
    </w:p>
    <w:p w14:paraId="2FEEB4C8" w14:textId="77777777" w:rsidR="00730CEF" w:rsidRPr="00433035" w:rsidRDefault="00730CEF" w:rsidP="19DF5ED4">
      <w:pPr>
        <w:spacing w:line="600" w:lineRule="auto"/>
        <w:rPr>
          <w:rFonts w:ascii="Arial" w:hAnsi="Arial" w:cs="Arial"/>
          <w:b/>
          <w:bCs/>
          <w:i/>
          <w:iCs/>
        </w:rPr>
      </w:pPr>
    </w:p>
    <w:p w14:paraId="7D016520" w14:textId="77777777" w:rsidR="00730CEF" w:rsidRPr="00433035" w:rsidRDefault="00730CEF" w:rsidP="19DF5ED4">
      <w:pPr>
        <w:spacing w:line="600" w:lineRule="auto"/>
        <w:rPr>
          <w:rFonts w:ascii="Arial" w:hAnsi="Arial" w:cs="Arial"/>
          <w:b/>
          <w:bCs/>
          <w:i/>
          <w:iCs/>
        </w:rPr>
      </w:pPr>
    </w:p>
    <w:p w14:paraId="1DBF1F25" w14:textId="77777777" w:rsidR="00730CEF" w:rsidRPr="00433035" w:rsidRDefault="00730CEF" w:rsidP="19DF5ED4">
      <w:pPr>
        <w:spacing w:line="600" w:lineRule="auto"/>
        <w:rPr>
          <w:rFonts w:ascii="Arial" w:hAnsi="Arial" w:cs="Arial"/>
          <w:b/>
          <w:bCs/>
          <w:i/>
          <w:iCs/>
        </w:rPr>
      </w:pPr>
    </w:p>
    <w:p w14:paraId="4861780F"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DB44935"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52C3E34D"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7C81EA1"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9D9B989"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8A52DB4"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D2DEE9F"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59DF9FAA"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2EB56A8"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3180EE0"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1324AF9" w14:textId="77777777" w:rsidR="001E200D" w:rsidRDefault="001E200D"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207C2E5" w14:textId="0CFF8231" w:rsidR="00730CEF" w:rsidRPr="00730CEF" w:rsidRDefault="00730CEF"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730CEF">
        <w:rPr>
          <w:rFonts w:ascii="Times New Roman" w:eastAsia="Times New Roman" w:hAnsi="Times New Roman" w:cs="Times New Roman"/>
          <w:b/>
          <w:bCs/>
          <w:sz w:val="36"/>
          <w:szCs w:val="36"/>
          <w:lang w:eastAsia="ru-RU"/>
        </w:rPr>
        <w:lastRenderedPageBreak/>
        <w:t>5. Identification of Key Stakeholders</w:t>
      </w:r>
    </w:p>
    <w:p w14:paraId="1ECC9513"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7833F990" w14:textId="7352CC4F"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Stakeholders are individuals or groups who can influence or are influenced by the achievement of project objectives. Effective identification and management of stakeholders is essential for project success, particularly in complex healthcare technology projects involving multiple interests and regulatory requirements (Freeman, 1984). For the launch of the new wearable health device at Fitbit UK, both internal and external stakeholders play a significant role throughout the project lifecycle.</w:t>
      </w:r>
      <w:r w:rsidR="001E200D">
        <w:rPr>
          <w:rFonts w:ascii="Times New Roman" w:hAnsi="Times New Roman" w:cs="Times New Roman"/>
          <w:sz w:val="24"/>
          <w:szCs w:val="24"/>
          <w:lang w:eastAsia="ru-RU"/>
        </w:rPr>
        <w:t xml:space="preserve"> </w:t>
      </w:r>
      <w:r w:rsidRPr="00730CEF">
        <w:rPr>
          <w:rFonts w:ascii="Times New Roman" w:hAnsi="Times New Roman" w:cs="Times New Roman"/>
          <w:sz w:val="24"/>
          <w:szCs w:val="24"/>
          <w:lang w:eastAsia="ru-RU"/>
        </w:rPr>
        <w:t>Stakeholders differ in their levels of power, interest, and expectations. Therefore, understanding their roles and influence allows the project manager to prioritise engagement efforts and minimise potential risks (Mendelow, 1991).</w:t>
      </w:r>
    </w:p>
    <w:p w14:paraId="7CFA10A1" w14:textId="02138B6D" w:rsidR="00730CEF" w:rsidRPr="00730CEF" w:rsidRDefault="00730CEF" w:rsidP="00730CEF">
      <w:pPr>
        <w:spacing w:after="0" w:line="240" w:lineRule="auto"/>
        <w:rPr>
          <w:rFonts w:ascii="Times New Roman" w:eastAsia="Times New Roman" w:hAnsi="Times New Roman" w:cs="Times New Roman"/>
          <w:sz w:val="24"/>
          <w:szCs w:val="24"/>
          <w:lang w:eastAsia="ru-RU"/>
        </w:rPr>
      </w:pPr>
    </w:p>
    <w:p w14:paraId="6757AE11" w14:textId="77777777" w:rsidR="001E200D" w:rsidRDefault="00730CEF" w:rsidP="001E200D">
      <w:pPr>
        <w:spacing w:before="100" w:beforeAutospacing="1" w:after="100" w:afterAutospacing="1" w:line="240" w:lineRule="auto"/>
        <w:outlineLvl w:val="1"/>
        <w:rPr>
          <w:rFonts w:ascii="Times New Roman" w:hAnsi="Times New Roman" w:cs="Times New Roman"/>
          <w:b/>
          <w:bCs/>
          <w:sz w:val="36"/>
          <w:szCs w:val="36"/>
          <w:lang w:eastAsia="ru-RU"/>
        </w:rPr>
      </w:pPr>
      <w:r w:rsidRPr="00730CEF">
        <w:rPr>
          <w:rFonts w:ascii="Times New Roman" w:eastAsia="Times New Roman" w:hAnsi="Times New Roman" w:cs="Times New Roman"/>
          <w:b/>
          <w:bCs/>
          <w:sz w:val="36"/>
          <w:szCs w:val="36"/>
          <w:lang w:eastAsia="ru-RU"/>
        </w:rPr>
        <w:t>5.1 Internal Stakeholders</w:t>
      </w:r>
    </w:p>
    <w:p w14:paraId="5F9F2E4F" w14:textId="3AA8587E" w:rsidR="00730CEF" w:rsidRPr="00730CEF" w:rsidRDefault="00730CEF" w:rsidP="001E200D">
      <w:pPr>
        <w:spacing w:before="100" w:beforeAutospacing="1" w:after="100" w:afterAutospacing="1" w:line="240" w:lineRule="auto"/>
        <w:outlineLvl w:val="1"/>
        <w:rPr>
          <w:rFonts w:ascii="Times New Roman" w:hAnsi="Times New Roman" w:cs="Times New Roman"/>
          <w:b/>
          <w:bCs/>
          <w:sz w:val="36"/>
          <w:szCs w:val="36"/>
          <w:lang w:eastAsia="ru-RU"/>
        </w:rPr>
      </w:pPr>
      <w:r w:rsidRPr="00730CEF">
        <w:rPr>
          <w:rFonts w:ascii="Times New Roman" w:eastAsia="Times New Roman" w:hAnsi="Times New Roman" w:cs="Times New Roman"/>
          <w:b/>
          <w:bCs/>
          <w:sz w:val="27"/>
          <w:szCs w:val="27"/>
          <w:lang w:eastAsia="ru-RU"/>
        </w:rPr>
        <w:t>Senior Management</w:t>
      </w:r>
    </w:p>
    <w:p w14:paraId="0CCAD887"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Senior management provides strategic direction, approves budgets, and makes high-level decisions regarding project priorities. Their support is critical to ensure adequate resources and alignment with organisational strategy. However, senior managers may face challenges balancing this project with other strategic initiatives, which could limit their availability and involvement.</w:t>
      </w:r>
    </w:p>
    <w:p w14:paraId="5CE15C2D"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4C9A1FD6" w14:textId="77777777"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Product Development Team</w:t>
      </w:r>
    </w:p>
    <w:p w14:paraId="3327E838"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The product development team is responsible for designing and developing the wearable device, including hardware and software components. This stakeholder group brings technical expertise and innovation capabilities, which are essential for product quality and functionality. Challenges may include tight deadlines, technical complexity, and pressure to meet performance standards within the six-month timeframe.</w:t>
      </w:r>
    </w:p>
    <w:p w14:paraId="1D046B5C"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4D97790B" w14:textId="77777777"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IT and Data Analytics Team</w:t>
      </w:r>
    </w:p>
    <w:p w14:paraId="201D69EE"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The IT and data analytics team supports system integration, data processing, and cybersecurity. Their role is particularly important due to the sensitive nature of health data collected by the device. Challenges may arise from ensuring GDPR compliance and maintaining data security while enabling advanced analytics (UK Government, 2018).</w:t>
      </w:r>
    </w:p>
    <w:p w14:paraId="237595F8"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71259ED3" w14:textId="77777777" w:rsidR="00343626" w:rsidRDefault="00343626"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p>
    <w:p w14:paraId="71072202" w14:textId="065E77C6"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lastRenderedPageBreak/>
        <w:t>Marketing Department</w:t>
      </w:r>
    </w:p>
    <w:p w14:paraId="474BDDDD"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The marketing team is responsible for branding, promotional campaigns, and market positioning of the new device. Their contribution supports customer awareness and market penetration. However, misalignment between marketing messages and actual product capabilities could lead to reputational risks if not managed effectively.</w:t>
      </w:r>
    </w:p>
    <w:p w14:paraId="448B543B"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52DBDB77" w14:textId="77777777" w:rsidR="00343626" w:rsidRDefault="00730CEF" w:rsidP="00343626">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Sales Department</w:t>
      </w:r>
    </w:p>
    <w:p w14:paraId="6E2A64EE" w14:textId="152BF828" w:rsidR="00730CEF" w:rsidRPr="00730CEF" w:rsidRDefault="00730CEF" w:rsidP="00343626">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hAnsi="Times New Roman" w:cs="Times New Roman"/>
          <w:sz w:val="24"/>
          <w:szCs w:val="24"/>
          <w:lang w:eastAsia="ru-RU"/>
        </w:rPr>
        <w:t>The sales department coordinates distribution channels and retailer relationships within the UK market. Their involvement ensures that the product reaches consumers efficiently. Challenges may include forecasting demand accurately and managing retailer expectations prior to launch.</w:t>
      </w:r>
    </w:p>
    <w:p w14:paraId="6B6EE0EA" w14:textId="030923E4" w:rsidR="00730CEF" w:rsidRPr="00730CEF" w:rsidRDefault="00730CEF" w:rsidP="00730CEF">
      <w:pPr>
        <w:spacing w:after="0" w:line="240" w:lineRule="auto"/>
        <w:rPr>
          <w:rFonts w:ascii="Times New Roman" w:eastAsia="Times New Roman" w:hAnsi="Times New Roman" w:cs="Times New Roman"/>
          <w:sz w:val="24"/>
          <w:szCs w:val="24"/>
          <w:lang w:eastAsia="ru-RU"/>
        </w:rPr>
      </w:pPr>
    </w:p>
    <w:p w14:paraId="17B764C6" w14:textId="77777777" w:rsidR="00730CEF" w:rsidRPr="00730CEF" w:rsidRDefault="00730CEF" w:rsidP="00730CEF">
      <w:pPr>
        <w:spacing w:before="100" w:beforeAutospacing="1" w:after="100" w:afterAutospacing="1" w:line="240" w:lineRule="auto"/>
        <w:outlineLvl w:val="1"/>
        <w:rPr>
          <w:rFonts w:ascii="Times New Roman" w:hAnsi="Times New Roman" w:cs="Times New Roman"/>
          <w:b/>
          <w:bCs/>
          <w:sz w:val="36"/>
          <w:szCs w:val="36"/>
          <w:lang w:eastAsia="ru-RU"/>
        </w:rPr>
      </w:pPr>
      <w:r w:rsidRPr="00730CEF">
        <w:rPr>
          <w:rFonts w:ascii="Times New Roman" w:eastAsia="Times New Roman" w:hAnsi="Times New Roman" w:cs="Times New Roman"/>
          <w:b/>
          <w:bCs/>
          <w:sz w:val="36"/>
          <w:szCs w:val="36"/>
          <w:lang w:eastAsia="ru-RU"/>
        </w:rPr>
        <w:t>5.2 External Stakeholders</w:t>
      </w:r>
    </w:p>
    <w:p w14:paraId="6715844A" w14:textId="77777777"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Suppliers and Manufacturers</w:t>
      </w:r>
    </w:p>
    <w:p w14:paraId="54651EBB"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Suppliers provide key components such as sensors and materials used in the wearable device. Their reliability directly impacts product quality and timelines. Risks include supply chain disruptions, quality issues, or cost increases.</w:t>
      </w:r>
    </w:p>
    <w:p w14:paraId="4658E0E6"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5AB89FC9" w14:textId="77777777"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Regulatory Authorities</w:t>
      </w:r>
    </w:p>
    <w:p w14:paraId="048731DF"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Regulatory bodies ensure that the product complies with UK health, safety, and data protection regulations. While their involvement enhances credibility and consumer trust, regulatory approval processes can be time-consuming and may delay the project if requirements are not met (PMI, 2021).</w:t>
      </w:r>
    </w:p>
    <w:p w14:paraId="5190FAEC"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41F71171" w14:textId="77777777"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Healthcare Partners</w:t>
      </w:r>
    </w:p>
    <w:p w14:paraId="416B06D0"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Healthcare organisations and professionals may support product validation, credibility, and potential integration into wellness programmes. Challenges include aligning commercial objectives with clinical standards and ethical considerations.</w:t>
      </w:r>
    </w:p>
    <w:p w14:paraId="41F128C3"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767A5256" w14:textId="77777777" w:rsidR="00343626" w:rsidRDefault="00343626"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p>
    <w:p w14:paraId="4E38FB3F" w14:textId="77777777" w:rsidR="00343626" w:rsidRDefault="00343626"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p>
    <w:p w14:paraId="5BB59A74" w14:textId="4DB5B04B"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lastRenderedPageBreak/>
        <w:t>Customers (End Users)</w:t>
      </w:r>
    </w:p>
    <w:p w14:paraId="60F33745"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p>
    <w:p w14:paraId="6D9C37D1"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End users are central stakeholders whose expectations influence product success. They benefit from improved health monitoring and personalised insights. However, concerns related to data privacy, usability, and device accuracy may affect adoption rates if not addressed effectively.</w:t>
      </w:r>
    </w:p>
    <w:p w14:paraId="1D164065" w14:textId="1976D592" w:rsidR="00730CEF" w:rsidRPr="00730CEF" w:rsidRDefault="00730CEF" w:rsidP="00730CEF">
      <w:pPr>
        <w:spacing w:after="0" w:line="240" w:lineRule="auto"/>
        <w:rPr>
          <w:rFonts w:ascii="Times New Roman" w:eastAsia="Times New Roman" w:hAnsi="Times New Roman" w:cs="Times New Roman"/>
          <w:sz w:val="24"/>
          <w:szCs w:val="24"/>
          <w:lang w:eastAsia="ru-RU"/>
        </w:rPr>
      </w:pPr>
    </w:p>
    <w:p w14:paraId="7774D60F"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B16F227"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DC909AE"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3C71AF0"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8ADFA30"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30837D1E"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DDEC5EE"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7E602E8"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1672674"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F171B9D"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052D583"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DAC8027"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2F431B2"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3CAF4B69"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36914648" w14:textId="77777777" w:rsidR="00343626" w:rsidRDefault="00343626" w:rsidP="00730CEF">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9B112B8" w14:textId="2BECCD6B" w:rsidR="00730CEF" w:rsidRPr="00730CEF" w:rsidRDefault="00730CEF" w:rsidP="00730CEF">
      <w:pPr>
        <w:spacing w:before="100" w:beforeAutospacing="1" w:after="100" w:afterAutospacing="1" w:line="240" w:lineRule="auto"/>
        <w:outlineLvl w:val="1"/>
        <w:rPr>
          <w:rFonts w:ascii="Times New Roman" w:hAnsi="Times New Roman" w:cs="Times New Roman"/>
          <w:b/>
          <w:bCs/>
          <w:sz w:val="36"/>
          <w:szCs w:val="36"/>
          <w:lang w:eastAsia="ru-RU"/>
        </w:rPr>
      </w:pPr>
      <w:r w:rsidRPr="00730CEF">
        <w:rPr>
          <w:rFonts w:ascii="Times New Roman" w:eastAsia="Times New Roman" w:hAnsi="Times New Roman" w:cs="Times New Roman"/>
          <w:b/>
          <w:bCs/>
          <w:sz w:val="36"/>
          <w:szCs w:val="36"/>
          <w:lang w:eastAsia="ru-RU"/>
        </w:rPr>
        <w:lastRenderedPageBreak/>
        <w:t>6. Roles, Responsibilities, Benefits and Challenges of Key Stakeholders</w:t>
      </w:r>
    </w:p>
    <w:p w14:paraId="2FAAACAB"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Clear definition of roles and responsibilities helps reduce ambiguity and conflict within projects. According to Turner (2014), role clarity improves accountability and coordination across stakeholder groups.</w:t>
      </w:r>
    </w:p>
    <w:p w14:paraId="666A9C3D" w14:textId="77777777" w:rsidR="00343626" w:rsidRDefault="00730CEF" w:rsidP="00343626">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Stakeholder Benefits</w:t>
      </w:r>
    </w:p>
    <w:p w14:paraId="1ABD9B58" w14:textId="46CAA00B" w:rsidR="00730CEF" w:rsidRPr="00730CEF" w:rsidRDefault="00730CEF" w:rsidP="00343626">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hAnsi="Times New Roman" w:cs="Times New Roman"/>
          <w:sz w:val="24"/>
          <w:szCs w:val="24"/>
          <w:lang w:eastAsia="ru-RU"/>
        </w:rPr>
        <w:t>Stakeholders contribute expertise, resources, and legitimacy to the project. Internal teams benefit from skill development and organisational learning, while external stakeholders gain commercial opportunities, improved healthcare outcomes, or regulatory assurance. Effective collaboration can result in innovation, improved product quality, and stronger market positioning (Bourne, 2015).</w:t>
      </w:r>
    </w:p>
    <w:p w14:paraId="6A5FB2C4" w14:textId="77777777" w:rsidR="00730CEF" w:rsidRPr="00730CEF" w:rsidRDefault="00730CEF" w:rsidP="00730CEF">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730CEF">
        <w:rPr>
          <w:rFonts w:ascii="Times New Roman" w:eastAsia="Times New Roman" w:hAnsi="Times New Roman" w:cs="Times New Roman"/>
          <w:b/>
          <w:bCs/>
          <w:sz w:val="27"/>
          <w:szCs w:val="27"/>
          <w:lang w:eastAsia="ru-RU"/>
        </w:rPr>
        <w:t>Stakeholder Challenges</w:t>
      </w:r>
    </w:p>
    <w:p w14:paraId="39A11510"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Despite these benefits, stakeholders may face challenges such as conflicting priorities, communication barriers, and resistance to change. For example, regulatory stakeholders may prioritise compliance over speed, while marketing teams may push for faster launches. These tensions require careful management by the project manager.</w:t>
      </w:r>
    </w:p>
    <w:p w14:paraId="73B1D5DC" w14:textId="417769D9" w:rsidR="00730CEF" w:rsidRPr="00730CEF" w:rsidRDefault="00730CEF" w:rsidP="00730CEF">
      <w:pPr>
        <w:spacing w:after="0" w:line="240" w:lineRule="auto"/>
        <w:rPr>
          <w:rFonts w:ascii="Times New Roman" w:eastAsia="Times New Roman" w:hAnsi="Times New Roman" w:cs="Times New Roman"/>
          <w:sz w:val="24"/>
          <w:szCs w:val="24"/>
          <w:lang w:eastAsia="ru-RU"/>
        </w:rPr>
      </w:pPr>
    </w:p>
    <w:p w14:paraId="08664AF7" w14:textId="77777777" w:rsidR="00730CEF" w:rsidRPr="00730CEF" w:rsidRDefault="00730CEF" w:rsidP="00730CEF">
      <w:pPr>
        <w:spacing w:before="100" w:beforeAutospacing="1" w:after="100" w:afterAutospacing="1" w:line="240" w:lineRule="auto"/>
        <w:outlineLvl w:val="1"/>
        <w:rPr>
          <w:rFonts w:ascii="Times New Roman" w:hAnsi="Times New Roman" w:cs="Times New Roman"/>
          <w:b/>
          <w:bCs/>
          <w:sz w:val="36"/>
          <w:szCs w:val="36"/>
          <w:lang w:eastAsia="ru-RU"/>
        </w:rPr>
      </w:pPr>
      <w:r w:rsidRPr="00730CEF">
        <w:rPr>
          <w:rFonts w:ascii="Times New Roman" w:eastAsia="Times New Roman" w:hAnsi="Times New Roman" w:cs="Times New Roman"/>
          <w:b/>
          <w:bCs/>
          <w:sz w:val="36"/>
          <w:szCs w:val="36"/>
          <w:lang w:eastAsia="ru-RU"/>
        </w:rPr>
        <w:t>6.3 RACI Matrix (Roles and Responsibilities)</w:t>
      </w:r>
    </w:p>
    <w:p w14:paraId="32E0F9AA"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The RACI matrix is a project management tool used to clarify roles by identifying who is Responsible, Accountable, Consulted, and Informed for key project activities (PMI, 2021).</w:t>
      </w:r>
    </w:p>
    <w:p w14:paraId="78FFF114"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For this project:</w:t>
      </w:r>
    </w:p>
    <w:p w14:paraId="0DD09251" w14:textId="77777777" w:rsidR="00730CEF" w:rsidRPr="00730CEF" w:rsidRDefault="00730CEF" w:rsidP="00730CEF">
      <w:pPr>
        <w:numPr>
          <w:ilvl w:val="0"/>
          <w:numId w:val="3"/>
        </w:num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Responsible: Product development team and IT specialists are responsible for designing, testing, and implementing the device.</w:t>
      </w:r>
    </w:p>
    <w:p w14:paraId="1589DF42" w14:textId="77777777" w:rsidR="00730CEF" w:rsidRPr="00730CEF" w:rsidRDefault="00730CEF" w:rsidP="00730CEF">
      <w:pPr>
        <w:numPr>
          <w:ilvl w:val="0"/>
          <w:numId w:val="3"/>
        </w:num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Accountable: The project manager is accountable for overall project delivery, timelines, and stakeholder coordination.</w:t>
      </w:r>
    </w:p>
    <w:p w14:paraId="6546926F" w14:textId="77777777" w:rsidR="00730CEF" w:rsidRPr="00730CEF" w:rsidRDefault="00730CEF" w:rsidP="00730CEF">
      <w:pPr>
        <w:numPr>
          <w:ilvl w:val="0"/>
          <w:numId w:val="3"/>
        </w:num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Consulted: Regulatory authorities, healthcare partners, and marketing teams are consulted during development and launch planning.</w:t>
      </w:r>
    </w:p>
    <w:p w14:paraId="5F6C93A6" w14:textId="77777777" w:rsidR="00730CEF" w:rsidRPr="00730CEF" w:rsidRDefault="00730CEF" w:rsidP="00730CEF">
      <w:pPr>
        <w:numPr>
          <w:ilvl w:val="0"/>
          <w:numId w:val="3"/>
        </w:num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Informed: Senior management, sales teams, and external partners are kept informed of project progress and key decisions.</w:t>
      </w:r>
    </w:p>
    <w:p w14:paraId="55EF5A2B" w14:textId="77777777" w:rsidR="00730CEF" w:rsidRPr="00730CEF" w:rsidRDefault="00730CEF" w:rsidP="00730CEF">
      <w:pPr>
        <w:spacing w:before="100" w:beforeAutospacing="1" w:after="100" w:afterAutospacing="1" w:line="240" w:lineRule="auto"/>
        <w:rPr>
          <w:rFonts w:ascii="Times New Roman" w:hAnsi="Times New Roman" w:cs="Times New Roman"/>
          <w:sz w:val="24"/>
          <w:szCs w:val="24"/>
          <w:lang w:eastAsia="ru-RU"/>
        </w:rPr>
      </w:pPr>
      <w:r w:rsidRPr="00730CEF">
        <w:rPr>
          <w:rFonts w:ascii="Times New Roman" w:hAnsi="Times New Roman" w:cs="Times New Roman"/>
          <w:sz w:val="24"/>
          <w:szCs w:val="24"/>
          <w:lang w:eastAsia="ru-RU"/>
        </w:rPr>
        <w:t>The use of a RACI matrix supports transparency, reduces duplication of effort, and improves stakeholder coordination throughout the project lifecycle (Turner, 2014).</w:t>
      </w:r>
    </w:p>
    <w:p w14:paraId="3CE57B4F" w14:textId="77777777" w:rsidR="00730CEF" w:rsidRPr="00433035" w:rsidRDefault="00730CEF" w:rsidP="19DF5ED4">
      <w:pPr>
        <w:spacing w:line="600" w:lineRule="auto"/>
        <w:rPr>
          <w:rFonts w:ascii="Arial" w:hAnsi="Arial" w:cs="Arial"/>
          <w:b/>
          <w:bCs/>
          <w:i/>
          <w:iCs/>
        </w:rPr>
      </w:pPr>
    </w:p>
    <w:p w14:paraId="5D5C43EF" w14:textId="77777777" w:rsidR="00B64F89" w:rsidRPr="00B64F89" w:rsidRDefault="00B64F89"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64F89">
        <w:rPr>
          <w:rFonts w:ascii="Times New Roman" w:eastAsia="Times New Roman" w:hAnsi="Times New Roman" w:cs="Times New Roman"/>
          <w:b/>
          <w:bCs/>
          <w:sz w:val="36"/>
          <w:szCs w:val="36"/>
          <w:lang w:eastAsia="ru-RU"/>
        </w:rPr>
        <w:lastRenderedPageBreak/>
        <w:t>7. Stakeholder Engagement Frameworks, Models and Tools</w:t>
      </w:r>
    </w:p>
    <w:p w14:paraId="1F226F79"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Effective stakeholder engagement requires the application of structured frameworks and tools that support communication, decision-making, and relationship management. In complex healthcare technology projects, such as the launch of a wearable health device, these tools enable the project manager to balance diverse stakeholder interests and reduce uncertainty (Bourne, 2015).</w:t>
      </w:r>
    </w:p>
    <w:p w14:paraId="39638B0E" w14:textId="77777777" w:rsidR="00B64F89" w:rsidRPr="00B64F89" w:rsidRDefault="00B64F89" w:rsidP="00B64F89">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eastAsia="Times New Roman" w:hAnsi="Times New Roman" w:cs="Times New Roman"/>
          <w:b/>
          <w:bCs/>
          <w:sz w:val="27"/>
          <w:szCs w:val="27"/>
          <w:lang w:eastAsia="ru-RU"/>
        </w:rPr>
        <w:t>7.1 Stakeholder Power–Interest Matrix</w:t>
      </w:r>
    </w:p>
    <w:p w14:paraId="19F82483" w14:textId="1F9403D3"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The stakeholder power–interest matrix is used to classify stakeholders based on their level of influence and interest in the project (Mendelow, 1991). In this project, senior management and regulatory authorities possess high power and high interest, requiring close management and frequent engagement. Product development and IT teams have high interest but moderate power, meaning they should be actively involved and supported. Customers typically have high interest but low direct power, indicating the need for regular communication and feedback mechanisms.This model helps the project manager prioritise engagement efforts and allocate resources effectively.</w:t>
      </w:r>
    </w:p>
    <w:p w14:paraId="7EA3179B" w14:textId="77777777" w:rsidR="003877C2" w:rsidRDefault="00B64F89" w:rsidP="003877C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eastAsia="Times New Roman" w:hAnsi="Times New Roman" w:cs="Times New Roman"/>
          <w:b/>
          <w:bCs/>
          <w:sz w:val="27"/>
          <w:szCs w:val="27"/>
          <w:lang w:eastAsia="ru-RU"/>
        </w:rPr>
        <w:t>7.2 Stakeholder Engagement Plan</w:t>
      </w:r>
    </w:p>
    <w:p w14:paraId="6A2DED5B" w14:textId="60963CB0" w:rsidR="00B64F89" w:rsidRPr="00B64F89" w:rsidRDefault="00B64F89" w:rsidP="003877C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hAnsi="Times New Roman" w:cs="Times New Roman"/>
          <w:sz w:val="24"/>
          <w:szCs w:val="24"/>
          <w:lang w:eastAsia="ru-RU"/>
        </w:rPr>
        <w:t>A stakeholder engagement plan outlines how and when stakeholders will be involved throughout the project lifecycle. For Fitbit UK, this includes regular progress meetings with internal teams, formal consultations with regulatory authorities, and feedback collection from potential users during testing phases. Structured engagement ensures alignment between stakeholder expectations and project objectives (PMI, 2021).</w:t>
      </w:r>
    </w:p>
    <w:p w14:paraId="53D760BF" w14:textId="77777777" w:rsidR="003877C2" w:rsidRDefault="00B64F89" w:rsidP="003877C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eastAsia="Times New Roman" w:hAnsi="Times New Roman" w:cs="Times New Roman"/>
          <w:b/>
          <w:bCs/>
          <w:sz w:val="27"/>
          <w:szCs w:val="27"/>
          <w:lang w:eastAsia="ru-RU"/>
        </w:rPr>
        <w:t>7.3 Communication Plan</w:t>
      </w:r>
    </w:p>
    <w:p w14:paraId="670555F5" w14:textId="57077319" w:rsidR="00B64F89" w:rsidRPr="00B64F89" w:rsidRDefault="00B64F89" w:rsidP="003877C2">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hAnsi="Times New Roman" w:cs="Times New Roman"/>
          <w:sz w:val="24"/>
          <w:szCs w:val="24"/>
          <w:lang w:eastAsia="ru-RU"/>
        </w:rPr>
        <w:t>Communication planning is critical to ensure that stakeholders receive relevant information in a timely and appropriate manner. According to Turner (2014), ineffective communication is a major cause of project failure. In this project, communication channels include email updates, virtual meetings, project dashboards, and formal reports. The frequency and format of communication are tailored to stakeholder needs, ensuring clarity and transparency.</w:t>
      </w:r>
    </w:p>
    <w:p w14:paraId="52BF8FBD" w14:textId="5184B654" w:rsidR="00B64F89" w:rsidRPr="00B64F89" w:rsidRDefault="00B64F89" w:rsidP="00B64F89">
      <w:pPr>
        <w:spacing w:after="0" w:line="240" w:lineRule="auto"/>
        <w:rPr>
          <w:rFonts w:ascii="Times New Roman" w:eastAsia="Times New Roman" w:hAnsi="Times New Roman" w:cs="Times New Roman"/>
          <w:sz w:val="24"/>
          <w:szCs w:val="24"/>
          <w:lang w:eastAsia="ru-RU"/>
        </w:rPr>
      </w:pPr>
    </w:p>
    <w:p w14:paraId="52EFE1F7"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92C6896"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102EA72"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C00D8DE"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19FA298B" w14:textId="27E8E0B2" w:rsidR="00B64F89" w:rsidRPr="00B64F89" w:rsidRDefault="00B64F89" w:rsidP="00B64F89">
      <w:pPr>
        <w:spacing w:before="100" w:beforeAutospacing="1" w:after="100" w:afterAutospacing="1" w:line="240" w:lineRule="auto"/>
        <w:outlineLvl w:val="1"/>
        <w:rPr>
          <w:rFonts w:ascii="Times New Roman" w:hAnsi="Times New Roman" w:cs="Times New Roman"/>
          <w:b/>
          <w:bCs/>
          <w:sz w:val="36"/>
          <w:szCs w:val="36"/>
          <w:lang w:eastAsia="ru-RU"/>
        </w:rPr>
      </w:pPr>
      <w:r w:rsidRPr="00B64F89">
        <w:rPr>
          <w:rFonts w:ascii="Times New Roman" w:eastAsia="Times New Roman" w:hAnsi="Times New Roman" w:cs="Times New Roman"/>
          <w:b/>
          <w:bCs/>
          <w:sz w:val="36"/>
          <w:szCs w:val="36"/>
          <w:lang w:eastAsia="ru-RU"/>
        </w:rPr>
        <w:lastRenderedPageBreak/>
        <w:t>8. Stakeholder Engagement Process and Conflict Management</w:t>
      </w:r>
    </w:p>
    <w:p w14:paraId="1DD435BA" w14:textId="77777777" w:rsidR="00B64F89" w:rsidRPr="00B64F89" w:rsidRDefault="00B64F89" w:rsidP="00B64F89">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eastAsia="Times New Roman" w:hAnsi="Times New Roman" w:cs="Times New Roman"/>
          <w:b/>
          <w:bCs/>
          <w:sz w:val="27"/>
          <w:szCs w:val="27"/>
          <w:lang w:eastAsia="ru-RU"/>
        </w:rPr>
        <w:t>8.1 Engagement Process and Project Manager’s Role</w:t>
      </w:r>
    </w:p>
    <w:p w14:paraId="206541A5"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As the project manager, engaging stakeholders is a continuous responsibility throughout the project lifecycle. This process begins with stakeholder identification and analysis, followed by planning, implementation, monitoring, and review of engagement activities. Active listening, expectation management, and transparency are essential skills in this role (Kerzner, 2017).</w:t>
      </w:r>
    </w:p>
    <w:p w14:paraId="39379050"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Early engagement with key stakeholders, particularly regulatory authorities and internal technical teams, reduces uncertainty and supports proactive risk management. Continuous engagement also allows the project manager to identify emerging concerns and address them before they escalate into conflicts.</w:t>
      </w:r>
    </w:p>
    <w:p w14:paraId="06592D0A" w14:textId="77777777" w:rsidR="00B64F89" w:rsidRPr="00B64F89" w:rsidRDefault="00B64F89" w:rsidP="00B64F89">
      <w:pPr>
        <w:spacing w:before="100" w:beforeAutospacing="1" w:after="100" w:afterAutospacing="1" w:line="240" w:lineRule="auto"/>
        <w:outlineLvl w:val="2"/>
        <w:rPr>
          <w:rFonts w:ascii="Times New Roman" w:eastAsia="Times New Roman" w:hAnsi="Times New Roman" w:cs="Times New Roman"/>
          <w:b/>
          <w:bCs/>
          <w:sz w:val="27"/>
          <w:szCs w:val="27"/>
          <w:lang w:eastAsia="ru-RU"/>
        </w:rPr>
      </w:pPr>
      <w:r w:rsidRPr="00B64F89">
        <w:rPr>
          <w:rFonts w:ascii="Times New Roman" w:eastAsia="Times New Roman" w:hAnsi="Times New Roman" w:cs="Times New Roman"/>
          <w:b/>
          <w:bCs/>
          <w:sz w:val="27"/>
          <w:szCs w:val="27"/>
          <w:lang w:eastAsia="ru-RU"/>
        </w:rPr>
        <w:t>8.2 Managing Conflict Using the 4C’s Model</w:t>
      </w:r>
    </w:p>
    <w:p w14:paraId="71679010"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The 4C’s model—communication, coordination, cooperation, and collaboration—provides a practical framework for managing stakeholder relationships and resolving conflict (Thompson, 2015).</w:t>
      </w:r>
    </w:p>
    <w:p w14:paraId="2D0EB185" w14:textId="77777777" w:rsidR="00B64F89" w:rsidRPr="00B64F89" w:rsidRDefault="00B64F89" w:rsidP="00B64F89">
      <w:pPr>
        <w:numPr>
          <w:ilvl w:val="0"/>
          <w:numId w:val="4"/>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Communication: Clear and open communication helps prevent misunderstandings and aligns stakeholder expectations. Regular updates and feedback mechanisms support trust.</w:t>
      </w:r>
    </w:p>
    <w:p w14:paraId="27BD10F6" w14:textId="77777777" w:rsidR="00B64F89" w:rsidRPr="00B64F89" w:rsidRDefault="00B64F89" w:rsidP="00B64F89">
      <w:pPr>
        <w:numPr>
          <w:ilvl w:val="0"/>
          <w:numId w:val="4"/>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Coordination: Effective coordination ensures that tasks and responsibilities are aligned across departments, reducing duplication and delays.</w:t>
      </w:r>
    </w:p>
    <w:p w14:paraId="1B407873" w14:textId="77777777" w:rsidR="00B64F89" w:rsidRPr="00B64F89" w:rsidRDefault="00B64F89" w:rsidP="00B64F89">
      <w:pPr>
        <w:numPr>
          <w:ilvl w:val="0"/>
          <w:numId w:val="4"/>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Cooperation: Encouraging cooperation promotes shared ownership of project goals, particularly between technical and non-technical teams.</w:t>
      </w:r>
    </w:p>
    <w:p w14:paraId="13598768" w14:textId="77777777" w:rsidR="00B64F89" w:rsidRPr="00B64F89" w:rsidRDefault="00B64F89" w:rsidP="00B64F89">
      <w:pPr>
        <w:numPr>
          <w:ilvl w:val="0"/>
          <w:numId w:val="4"/>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Collaboration: Collaboration enables stakeholders to jointly solve problems and innovate, enhancing project outcomes.</w:t>
      </w:r>
    </w:p>
    <w:p w14:paraId="2B068FB1"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By applying the 4C’s model, the project manager can manage conflicting priorities, such as speed versus regulatory compliance, in a structured and constructive manner.</w:t>
      </w:r>
    </w:p>
    <w:p w14:paraId="35C3485A" w14:textId="6F37D241" w:rsidR="00B64F89" w:rsidRPr="00B64F89" w:rsidRDefault="00B64F89" w:rsidP="00B64F89">
      <w:pPr>
        <w:spacing w:after="0" w:line="240" w:lineRule="auto"/>
        <w:rPr>
          <w:rFonts w:ascii="Times New Roman" w:eastAsia="Times New Roman" w:hAnsi="Times New Roman" w:cs="Times New Roman"/>
          <w:sz w:val="24"/>
          <w:szCs w:val="24"/>
          <w:lang w:eastAsia="ru-RU"/>
        </w:rPr>
      </w:pPr>
    </w:p>
    <w:p w14:paraId="7791BE9D"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1D532EC7"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D9F43B6"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CE4F497"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A03BE68"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1FBB7060" w14:textId="6687FD0D" w:rsidR="00B64F89" w:rsidRPr="00B64F89" w:rsidRDefault="00B64F89" w:rsidP="00B64F89">
      <w:pPr>
        <w:spacing w:before="100" w:beforeAutospacing="1" w:after="100" w:afterAutospacing="1" w:line="240" w:lineRule="auto"/>
        <w:outlineLvl w:val="1"/>
        <w:rPr>
          <w:rFonts w:ascii="Times New Roman" w:hAnsi="Times New Roman" w:cs="Times New Roman"/>
          <w:b/>
          <w:bCs/>
          <w:sz w:val="36"/>
          <w:szCs w:val="36"/>
          <w:lang w:eastAsia="ru-RU"/>
        </w:rPr>
      </w:pPr>
      <w:r w:rsidRPr="00B64F89">
        <w:rPr>
          <w:rFonts w:ascii="Times New Roman" w:eastAsia="Times New Roman" w:hAnsi="Times New Roman" w:cs="Times New Roman"/>
          <w:b/>
          <w:bCs/>
          <w:sz w:val="36"/>
          <w:szCs w:val="36"/>
          <w:lang w:eastAsia="ru-RU"/>
        </w:rPr>
        <w:lastRenderedPageBreak/>
        <w:t>9. Impact of Stakeholder Engagement on Business Performance</w:t>
      </w:r>
    </w:p>
    <w:p w14:paraId="0130BACF" w14:textId="4CAC57B9"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Effective stakeholder engagement has a direct and positive impact on business performance. Engaged stakeholders contribute to improved decision-making, higher product quality, and reduced project risks. In the context of Fitbit UK, strong engagement with internal teams supports innovation and operational efficiency, while engagement with external stakeholders enhances regulatory compliance and market credibility (Freeman, 1984).Customer engagement improves product usability and satisfaction, increasing adoption rates and brand loyalty. Furthermore, transparent engagement with regulatory bodies reduces the likelihood of compliance issues, protecting the organisation from legal and reputational risks. Overall, effective stakeholder engagement supports competitive advantage and long-term business sustainability (Bourne, 2015).</w:t>
      </w:r>
    </w:p>
    <w:p w14:paraId="457B5085" w14:textId="62251ABC" w:rsidR="00B64F89" w:rsidRPr="00B64F89" w:rsidRDefault="00B64F89" w:rsidP="00B64F89">
      <w:pPr>
        <w:spacing w:after="0" w:line="240" w:lineRule="auto"/>
        <w:rPr>
          <w:rFonts w:ascii="Times New Roman" w:eastAsia="Times New Roman" w:hAnsi="Times New Roman" w:cs="Times New Roman"/>
          <w:sz w:val="24"/>
          <w:szCs w:val="24"/>
          <w:lang w:eastAsia="ru-RU"/>
        </w:rPr>
      </w:pPr>
    </w:p>
    <w:p w14:paraId="0D6E4589"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57249F64"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CAA71B3"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F8DCBC9"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EC5AA0B"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121F7604"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6B742C9"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F21BAF4"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598012B5"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AE9D3B3"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1904D9C6"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7306253"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1452221D" w14:textId="77777777" w:rsidR="00D3424D" w:rsidRDefault="00D3424D"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6CCD66F" w14:textId="463903C3" w:rsidR="00B64F89" w:rsidRPr="00B64F89" w:rsidRDefault="00B64F89" w:rsidP="00B64F89">
      <w:pPr>
        <w:spacing w:before="100" w:beforeAutospacing="1" w:after="100" w:afterAutospacing="1" w:line="240" w:lineRule="auto"/>
        <w:outlineLvl w:val="1"/>
        <w:rPr>
          <w:rFonts w:ascii="Times New Roman" w:hAnsi="Times New Roman" w:cs="Times New Roman"/>
          <w:b/>
          <w:bCs/>
          <w:sz w:val="36"/>
          <w:szCs w:val="36"/>
          <w:lang w:eastAsia="ru-RU"/>
        </w:rPr>
      </w:pPr>
      <w:r w:rsidRPr="00B64F89">
        <w:rPr>
          <w:rFonts w:ascii="Times New Roman" w:eastAsia="Times New Roman" w:hAnsi="Times New Roman" w:cs="Times New Roman"/>
          <w:b/>
          <w:bCs/>
          <w:sz w:val="36"/>
          <w:szCs w:val="36"/>
          <w:lang w:eastAsia="ru-RU"/>
        </w:rPr>
        <w:lastRenderedPageBreak/>
        <w:t>10. Recommendations for Future Stakeholder Engagement</w:t>
      </w:r>
    </w:p>
    <w:p w14:paraId="2F7C1502"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Based on the analysis, the following recommendations are proposed:</w:t>
      </w:r>
    </w:p>
    <w:p w14:paraId="463EC8FD" w14:textId="77777777" w:rsidR="00B64F89" w:rsidRPr="00B64F89" w:rsidRDefault="00B64F89" w:rsidP="00B64F89">
      <w:pPr>
        <w:numPr>
          <w:ilvl w:val="0"/>
          <w:numId w:val="5"/>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Fitbit UK should embed stakeholder engagement into its project governance framework rather than treating it as a standalone activity.</w:t>
      </w:r>
    </w:p>
    <w:p w14:paraId="71B174E3" w14:textId="77777777" w:rsidR="00B64F89" w:rsidRPr="00B64F89" w:rsidRDefault="00B64F89" w:rsidP="00B64F89">
      <w:pPr>
        <w:numPr>
          <w:ilvl w:val="0"/>
          <w:numId w:val="5"/>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Greater use of digital engagement tools should be adopted to improve real-time communication and feedback.</w:t>
      </w:r>
    </w:p>
    <w:p w14:paraId="3FDE26A5" w14:textId="77777777" w:rsidR="00B64F89" w:rsidRPr="00B64F89" w:rsidRDefault="00B64F89" w:rsidP="00B64F89">
      <w:pPr>
        <w:numPr>
          <w:ilvl w:val="0"/>
          <w:numId w:val="5"/>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Early and continuous engagement with regulatory authorities should be prioritised to minimise approval delays.</w:t>
      </w:r>
    </w:p>
    <w:p w14:paraId="487D5D49" w14:textId="77777777" w:rsidR="00B64F89" w:rsidRPr="00B64F89" w:rsidRDefault="00B64F89" w:rsidP="00B64F89">
      <w:pPr>
        <w:numPr>
          <w:ilvl w:val="0"/>
          <w:numId w:val="5"/>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Customer involvement in testing phases should be expanded to enhance product relevance and trust.</w:t>
      </w:r>
    </w:p>
    <w:p w14:paraId="0C708F17" w14:textId="77777777" w:rsidR="00B64F89" w:rsidRPr="00B64F89" w:rsidRDefault="00B64F89" w:rsidP="00B64F89">
      <w:pPr>
        <w:numPr>
          <w:ilvl w:val="0"/>
          <w:numId w:val="5"/>
        </w:num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Ongoing stakeholder training should be provided to improve communication and collaboration skills within project teams.</w:t>
      </w:r>
    </w:p>
    <w:p w14:paraId="552E2977" w14:textId="07A4B939" w:rsidR="00B64F89" w:rsidRPr="00B64F89" w:rsidRDefault="00B64F89" w:rsidP="00B64F89">
      <w:pPr>
        <w:spacing w:after="0" w:line="240" w:lineRule="auto"/>
        <w:rPr>
          <w:rFonts w:ascii="Times New Roman" w:eastAsia="Times New Roman" w:hAnsi="Times New Roman" w:cs="Times New Roman"/>
          <w:sz w:val="24"/>
          <w:szCs w:val="24"/>
          <w:lang w:eastAsia="ru-RU"/>
        </w:rPr>
      </w:pPr>
    </w:p>
    <w:p w14:paraId="1EAB4204"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E5D9D84"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74EAA433"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5189210"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5497B67"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F21B6C5"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390B047C"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7936FA0"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35042D9"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B1AC0C9"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523B0304"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D9345AB" w14:textId="77777777" w:rsidR="00776C56" w:rsidRDefault="00776C56" w:rsidP="00B64F89">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66F99857" w14:textId="3CEF90D0" w:rsidR="00B64F89" w:rsidRPr="00B64F89" w:rsidRDefault="00B64F89" w:rsidP="00B64F89">
      <w:pPr>
        <w:spacing w:before="100" w:beforeAutospacing="1" w:after="100" w:afterAutospacing="1" w:line="240" w:lineRule="auto"/>
        <w:outlineLvl w:val="1"/>
        <w:rPr>
          <w:rFonts w:ascii="Times New Roman" w:hAnsi="Times New Roman" w:cs="Times New Roman"/>
          <w:b/>
          <w:bCs/>
          <w:sz w:val="36"/>
          <w:szCs w:val="36"/>
          <w:lang w:eastAsia="ru-RU"/>
        </w:rPr>
      </w:pPr>
      <w:r w:rsidRPr="00B64F89">
        <w:rPr>
          <w:rFonts w:ascii="Times New Roman" w:eastAsia="Times New Roman" w:hAnsi="Times New Roman" w:cs="Times New Roman"/>
          <w:b/>
          <w:bCs/>
          <w:sz w:val="36"/>
          <w:szCs w:val="36"/>
          <w:lang w:eastAsia="ru-RU"/>
        </w:rPr>
        <w:lastRenderedPageBreak/>
        <w:t>11. Conclusion</w:t>
      </w:r>
    </w:p>
    <w:p w14:paraId="51B9636D" w14:textId="25E47D40"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This report has demonstrated the critical importance of stakeholder engagement in the successful launch of a new wearable health device by Fitbit UK. By applying strategic analysis tools and stakeholder management frameworks, the report highlighted how structured engagement supports project success in a complex and regulated environment. The role of the project manager was shown to be central in coordinating stakeholders, managing conflict, and aligning project objectives with organisational strategy.The findings confirm that effective stakeholder engagement positively influences business performance by enhancing innovation, compliance, customer satisfaction, and brand reputation. As wearable health technology continues to evolve, organisations such as Fitbit UK must adopt proactive and continuous stakeholder engagement practices to remain competitive and sustainable.</w:t>
      </w:r>
    </w:p>
    <w:p w14:paraId="50282756" w14:textId="452EBB43" w:rsidR="00B64F89" w:rsidRPr="00B64F89" w:rsidRDefault="00B64F89" w:rsidP="00B64F89">
      <w:pPr>
        <w:spacing w:after="0" w:line="240" w:lineRule="auto"/>
        <w:rPr>
          <w:rFonts w:ascii="Times New Roman" w:eastAsia="Times New Roman" w:hAnsi="Times New Roman" w:cs="Times New Roman"/>
          <w:sz w:val="24"/>
          <w:szCs w:val="24"/>
          <w:lang w:eastAsia="ru-RU"/>
        </w:rPr>
      </w:pPr>
    </w:p>
    <w:p w14:paraId="3A36FDAD"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4A82A584"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5BD1F89E"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08EE069A"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7D0E2C61"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0348064A"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351A4E92"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6CA864CA"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20EDC63A"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43BF3B6E" w14:textId="77777777" w:rsidR="00776C56" w:rsidRDefault="00776C56"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2D123258" w14:textId="77777777" w:rsidR="006A1388" w:rsidRDefault="006A1388"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6DF162FC" w14:textId="77777777" w:rsidR="006A1388" w:rsidRDefault="006A1388" w:rsidP="00B64F89">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p>
    <w:p w14:paraId="2F79E6CF" w14:textId="2E221E4E" w:rsidR="00B64F89" w:rsidRPr="00B64F89" w:rsidRDefault="00B64F89" w:rsidP="00B64F89">
      <w:pPr>
        <w:spacing w:before="100" w:beforeAutospacing="1" w:after="100" w:afterAutospacing="1" w:line="240" w:lineRule="auto"/>
        <w:outlineLvl w:val="0"/>
        <w:rPr>
          <w:rFonts w:ascii="Times New Roman" w:hAnsi="Times New Roman" w:cs="Times New Roman"/>
          <w:b/>
          <w:bCs/>
          <w:kern w:val="36"/>
          <w:sz w:val="48"/>
          <w:szCs w:val="48"/>
          <w:lang w:eastAsia="ru-RU"/>
        </w:rPr>
      </w:pPr>
      <w:r w:rsidRPr="00B64F89">
        <w:rPr>
          <w:rFonts w:ascii="Times New Roman" w:eastAsia="Times New Roman" w:hAnsi="Times New Roman" w:cs="Times New Roman"/>
          <w:b/>
          <w:bCs/>
          <w:kern w:val="36"/>
          <w:sz w:val="48"/>
          <w:szCs w:val="48"/>
          <w:lang w:eastAsia="ru-RU"/>
        </w:rPr>
        <w:t>12. Reference List</w:t>
      </w:r>
    </w:p>
    <w:p w14:paraId="5AE13E38"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Bourne, L. (2015) Stakeholder Relationship Management. 2nd edn. Farnham: Gower.</w:t>
      </w:r>
    </w:p>
    <w:p w14:paraId="03ACED93"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Doran, G.T. (1981) ‘There’s a S.M.A.R.T. way to write management’s goals and objectives’, Management Review, 70(11), pp. 35–36.</w:t>
      </w:r>
    </w:p>
    <w:p w14:paraId="7DD3FFAB"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Fitbit Inc. (2023) About Fitbit. Available at: https://www.fitbit.com/global/uk/about (Accessed: 15 December 2025).</w:t>
      </w:r>
    </w:p>
    <w:p w14:paraId="41A92F25"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Freeman, R.E. (1984) Strategic Management: A Stakeholder Approach. Boston: Pitman.</w:t>
      </w:r>
    </w:p>
    <w:p w14:paraId="3044EB3D" w14:textId="2A610C73"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Google LLC (2023) Fitbit and Google: Health and wellness innovation. Available at: https://blog.google/products/fitbit (Accessed: 15 December 2025).</w:t>
      </w:r>
    </w:p>
    <w:p w14:paraId="4F15204E"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Johnson, G., Scholes, K. and Whittington, R. (2020) Exploring Strategy. 12th edn. Harlow: Pearson Education.</w:t>
      </w:r>
    </w:p>
    <w:p w14:paraId="291CE199"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Kerzner, H. (2017) Project Management: A Systems Approach to Planning, Scheduling, and Controlling. 12th edn. Hoboken: Wiley.</w:t>
      </w:r>
    </w:p>
    <w:p w14:paraId="3BAFE01A"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Kotler, P. and Keller, K.L. (2016) Marketing Management. 15th edn. Harlow: Pearson.</w:t>
      </w:r>
    </w:p>
    <w:p w14:paraId="413A8DFC"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Mendelow, A.L. (1991) ‘Environmental scanning: The impact of stakeholder concept’, Proceedings of the International Conference on Information Systems, pp. 407–418.</w:t>
      </w:r>
    </w:p>
    <w:p w14:paraId="258D923D"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PMI (2021) A Guide to the Project Management Body of Knowledge (PMBOK® Guide). 7th edn. Pennsylvania: Project Management Institute.</w:t>
      </w:r>
    </w:p>
    <w:p w14:paraId="23F7C1F3"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Statista (2024) Wearable technology market size in the UK. Available at: https://www.statista.com (Accessed: 15 December 2025).</w:t>
      </w:r>
    </w:p>
    <w:p w14:paraId="7149569F"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Thompson, L. (2015) The Mind and Heart of the Negotiator. 6th edn. Harlow: Pearson.</w:t>
      </w:r>
    </w:p>
    <w:p w14:paraId="2D22A312"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Turner, J.R. (2014) The Handbook of Project-based Management. 4th edn. London: McGraw-Hill Education.</w:t>
      </w:r>
    </w:p>
    <w:p w14:paraId="59B40437" w14:textId="77777777" w:rsidR="00B64F89" w:rsidRPr="00B64F89" w:rsidRDefault="00B64F89" w:rsidP="00B64F89">
      <w:pPr>
        <w:spacing w:before="100" w:beforeAutospacing="1" w:after="100" w:afterAutospacing="1" w:line="240" w:lineRule="auto"/>
        <w:rPr>
          <w:rFonts w:ascii="Times New Roman" w:hAnsi="Times New Roman" w:cs="Times New Roman"/>
          <w:sz w:val="24"/>
          <w:szCs w:val="24"/>
          <w:lang w:eastAsia="ru-RU"/>
        </w:rPr>
      </w:pPr>
      <w:r w:rsidRPr="00B64F89">
        <w:rPr>
          <w:rFonts w:ascii="Times New Roman" w:hAnsi="Times New Roman" w:cs="Times New Roman"/>
          <w:sz w:val="24"/>
          <w:szCs w:val="24"/>
          <w:lang w:eastAsia="ru-RU"/>
        </w:rPr>
        <w:t>UK Government (2018) General Data Protection Regulation (GDPR). Available at: https://www.gov.uk/data-protection (Accessed: 15 December 2025).</w:t>
      </w:r>
    </w:p>
    <w:p w14:paraId="02149AEF" w14:textId="77777777" w:rsidR="00B64F89" w:rsidRPr="00433035" w:rsidRDefault="00B64F89" w:rsidP="19DF5ED4">
      <w:pPr>
        <w:spacing w:line="600" w:lineRule="auto"/>
        <w:rPr>
          <w:rFonts w:ascii="Arial" w:hAnsi="Arial" w:cs="Arial"/>
          <w:b/>
          <w:bCs/>
          <w:i/>
          <w:iCs/>
        </w:rPr>
      </w:pPr>
    </w:p>
    <w:p w14:paraId="60C96B4D" w14:textId="77777777" w:rsidR="00730CEF" w:rsidRPr="00433035" w:rsidRDefault="00730CEF" w:rsidP="19DF5ED4">
      <w:pPr>
        <w:spacing w:line="600" w:lineRule="auto"/>
        <w:rPr>
          <w:rFonts w:ascii="Arial" w:hAnsi="Arial" w:cs="Arial"/>
          <w:b/>
          <w:bCs/>
          <w:i/>
          <w:iCs/>
        </w:rPr>
      </w:pPr>
    </w:p>
    <w:p w14:paraId="1C5F4720" w14:textId="7F4EFB7D" w:rsidR="19DF5ED4" w:rsidRDefault="19DF5ED4" w:rsidP="19DF5ED4">
      <w:pPr>
        <w:spacing w:line="600" w:lineRule="auto"/>
        <w:rPr>
          <w:rFonts w:ascii="Arial" w:hAnsi="Arial" w:cs="Arial"/>
          <w:b/>
          <w:bCs/>
          <w:i/>
          <w:iCs/>
        </w:rPr>
      </w:pPr>
    </w:p>
    <w:p w14:paraId="1028C0FF" w14:textId="39E974B0" w:rsidR="19DF5ED4" w:rsidRDefault="19DF5ED4" w:rsidP="19DF5ED4">
      <w:pPr>
        <w:spacing w:line="600" w:lineRule="auto"/>
        <w:rPr>
          <w:rFonts w:ascii="Arial" w:hAnsi="Arial" w:cs="Arial"/>
          <w:b/>
          <w:bCs/>
          <w:i/>
          <w:iCs/>
        </w:rPr>
      </w:pPr>
    </w:p>
    <w:p w14:paraId="1766FA8E" w14:textId="30C7E9B5" w:rsidR="19DF5ED4" w:rsidRDefault="19DF5ED4" w:rsidP="19DF5ED4">
      <w:pPr>
        <w:spacing w:line="600" w:lineRule="auto"/>
        <w:rPr>
          <w:rFonts w:ascii="Arial" w:hAnsi="Arial" w:cs="Arial"/>
          <w:b/>
          <w:bCs/>
          <w:i/>
          <w:iCs/>
        </w:rPr>
      </w:pPr>
    </w:p>
    <w:sectPr w:rsidR="19DF5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F18C8" w14:textId="77777777" w:rsidR="00981307" w:rsidRDefault="00981307" w:rsidP="00F37B62">
      <w:pPr>
        <w:spacing w:after="0" w:line="240" w:lineRule="auto"/>
      </w:pPr>
      <w:r>
        <w:separator/>
      </w:r>
    </w:p>
  </w:endnote>
  <w:endnote w:type="continuationSeparator" w:id="0">
    <w:p w14:paraId="4326EE5C" w14:textId="77777777" w:rsidR="00981307" w:rsidRDefault="00981307"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2B259" w14:textId="77777777" w:rsidR="00981307" w:rsidRDefault="00981307" w:rsidP="00F37B62">
      <w:pPr>
        <w:spacing w:after="0" w:line="240" w:lineRule="auto"/>
      </w:pPr>
      <w:r>
        <w:separator/>
      </w:r>
    </w:p>
  </w:footnote>
  <w:footnote w:type="continuationSeparator" w:id="0">
    <w:p w14:paraId="687E1F46" w14:textId="77777777" w:rsidR="00981307" w:rsidRDefault="00981307"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D6E20"/>
    <w:multiLevelType w:val="hybridMultilevel"/>
    <w:tmpl w:val="7E0611D2"/>
    <w:lvl w:ilvl="0" w:tplc="FFFFFFFF">
      <w:start w:val="1"/>
      <w:numFmt w:val="decimal"/>
      <w:lvlText w:val="%1."/>
      <w:lvlJc w:val="left"/>
      <w:pPr>
        <w:ind w:left="720" w:hanging="360"/>
      </w:pPr>
      <w:rPr>
        <w:rFonts w:eastAsia="Times New Roman"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2A2518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A010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0779D4"/>
    <w:multiLevelType w:val="hybridMultilevel"/>
    <w:tmpl w:val="80AE0894"/>
    <w:lvl w:ilvl="0" w:tplc="FFFFFFFF">
      <w:start w:val="1"/>
      <w:numFmt w:val="decimal"/>
      <w:lvlText w:val="%1."/>
      <w:lvlJc w:val="left"/>
      <w:pPr>
        <w:ind w:left="720" w:hanging="360"/>
      </w:pPr>
      <w:rPr>
        <w:rFonts w:eastAsia="Times New Roman" w:hint="default"/>
        <w:b/>
        <w:sz w:val="36"/>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6B09757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876F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3B5C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8435719">
    <w:abstractNumId w:val="6"/>
  </w:num>
  <w:num w:numId="2" w16cid:durableId="510416954">
    <w:abstractNumId w:val="2"/>
  </w:num>
  <w:num w:numId="3" w16cid:durableId="1565020509">
    <w:abstractNumId w:val="1"/>
  </w:num>
  <w:num w:numId="4" w16cid:durableId="305740335">
    <w:abstractNumId w:val="5"/>
  </w:num>
  <w:num w:numId="5" w16cid:durableId="2145346338">
    <w:abstractNumId w:val="4"/>
  </w:num>
  <w:num w:numId="6" w16cid:durableId="8147180">
    <w:abstractNumId w:val="3"/>
  </w:num>
  <w:num w:numId="7" w16cid:durableId="487133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21416"/>
    <w:rsid w:val="000B4E76"/>
    <w:rsid w:val="001163EE"/>
    <w:rsid w:val="00123828"/>
    <w:rsid w:val="001B2694"/>
    <w:rsid w:val="001C6EED"/>
    <w:rsid w:val="001E200D"/>
    <w:rsid w:val="00246E59"/>
    <w:rsid w:val="00264F7D"/>
    <w:rsid w:val="003236E2"/>
    <w:rsid w:val="00343626"/>
    <w:rsid w:val="003877C2"/>
    <w:rsid w:val="003C42A2"/>
    <w:rsid w:val="003F3651"/>
    <w:rsid w:val="00433035"/>
    <w:rsid w:val="004628C4"/>
    <w:rsid w:val="004D759A"/>
    <w:rsid w:val="0059315E"/>
    <w:rsid w:val="006833D5"/>
    <w:rsid w:val="006A1388"/>
    <w:rsid w:val="0072707E"/>
    <w:rsid w:val="00730CEF"/>
    <w:rsid w:val="00770C83"/>
    <w:rsid w:val="00776C56"/>
    <w:rsid w:val="00784916"/>
    <w:rsid w:val="007F7F30"/>
    <w:rsid w:val="0082078E"/>
    <w:rsid w:val="00855644"/>
    <w:rsid w:val="00872501"/>
    <w:rsid w:val="008D1598"/>
    <w:rsid w:val="008F4215"/>
    <w:rsid w:val="00981307"/>
    <w:rsid w:val="00981D55"/>
    <w:rsid w:val="00AD6C85"/>
    <w:rsid w:val="00B465A0"/>
    <w:rsid w:val="00B64F89"/>
    <w:rsid w:val="00B80024"/>
    <w:rsid w:val="00BE51B1"/>
    <w:rsid w:val="00BF5CCA"/>
    <w:rsid w:val="00C55ABB"/>
    <w:rsid w:val="00CC6AD0"/>
    <w:rsid w:val="00D3424D"/>
    <w:rsid w:val="00D41CE9"/>
    <w:rsid w:val="00D4469F"/>
    <w:rsid w:val="00E12960"/>
    <w:rsid w:val="00ED1B29"/>
    <w:rsid w:val="00F37B62"/>
    <w:rsid w:val="00F5191F"/>
    <w:rsid w:val="00F67811"/>
    <w:rsid w:val="00FD3073"/>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64F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36E2"/>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customStyle="1" w:styleId="p1">
    <w:name w:val="p1"/>
    <w:basedOn w:val="Normal"/>
    <w:rsid w:val="001B2694"/>
    <w:pPr>
      <w:spacing w:before="100" w:beforeAutospacing="1" w:after="100" w:afterAutospacing="1" w:line="240" w:lineRule="auto"/>
    </w:pPr>
    <w:rPr>
      <w:rFonts w:ascii="Times New Roman" w:hAnsi="Times New Roman" w:cs="Times New Roman"/>
      <w:sz w:val="24"/>
      <w:szCs w:val="24"/>
      <w:lang w:eastAsia="ru-RU"/>
    </w:rPr>
  </w:style>
  <w:style w:type="character" w:customStyle="1" w:styleId="s1">
    <w:name w:val="s1"/>
    <w:basedOn w:val="DefaultParagraphFont"/>
    <w:rsid w:val="001B2694"/>
  </w:style>
  <w:style w:type="character" w:customStyle="1" w:styleId="Heading2Char">
    <w:name w:val="Heading 2 Char"/>
    <w:basedOn w:val="DefaultParagraphFont"/>
    <w:link w:val="Heading2"/>
    <w:uiPriority w:val="9"/>
    <w:semiHidden/>
    <w:rsid w:val="00264F7D"/>
    <w:rPr>
      <w:rFonts w:asciiTheme="majorHAnsi" w:eastAsiaTheme="majorEastAsia" w:hAnsiTheme="majorHAnsi" w:cstheme="majorBidi"/>
      <w:color w:val="2F5496" w:themeColor="accent1" w:themeShade="BF"/>
      <w:sz w:val="32"/>
      <w:szCs w:val="32"/>
    </w:rPr>
  </w:style>
  <w:style w:type="paragraph" w:customStyle="1" w:styleId="p2">
    <w:name w:val="p2"/>
    <w:basedOn w:val="Normal"/>
    <w:rsid w:val="00264F7D"/>
    <w:pPr>
      <w:spacing w:before="100" w:beforeAutospacing="1" w:after="100" w:afterAutospacing="1" w:line="240" w:lineRule="auto"/>
    </w:pPr>
    <w:rPr>
      <w:rFonts w:ascii="Times New Roman" w:hAnsi="Times New Roman" w:cs="Times New Roman"/>
      <w:sz w:val="24"/>
      <w:szCs w:val="24"/>
      <w:lang w:eastAsia="ru-RU"/>
    </w:rPr>
  </w:style>
  <w:style w:type="character" w:customStyle="1" w:styleId="s2">
    <w:name w:val="s2"/>
    <w:basedOn w:val="DefaultParagraphFont"/>
    <w:rsid w:val="00264F7D"/>
  </w:style>
  <w:style w:type="paragraph" w:customStyle="1" w:styleId="p3">
    <w:name w:val="p3"/>
    <w:basedOn w:val="Normal"/>
    <w:rsid w:val="00264F7D"/>
    <w:pPr>
      <w:spacing w:before="100" w:beforeAutospacing="1" w:after="100" w:afterAutospacing="1" w:line="240" w:lineRule="auto"/>
    </w:pPr>
    <w:rPr>
      <w:rFonts w:ascii="Times New Roman" w:hAnsi="Times New Roman" w:cs="Times New Roman"/>
      <w:sz w:val="24"/>
      <w:szCs w:val="24"/>
      <w:lang w:eastAsia="ru-RU"/>
    </w:rPr>
  </w:style>
  <w:style w:type="character" w:customStyle="1" w:styleId="Heading3Char">
    <w:name w:val="Heading 3 Char"/>
    <w:basedOn w:val="DefaultParagraphFont"/>
    <w:link w:val="Heading3"/>
    <w:uiPriority w:val="9"/>
    <w:semiHidden/>
    <w:rsid w:val="003236E2"/>
    <w:rPr>
      <w:rFonts w:eastAsiaTheme="majorEastAsia" w:cstheme="majorBidi"/>
      <w:color w:val="2F5496" w:themeColor="accent1" w:themeShade="BF"/>
      <w:sz w:val="28"/>
      <w:szCs w:val="28"/>
    </w:rPr>
  </w:style>
  <w:style w:type="character" w:customStyle="1" w:styleId="Heading1Char">
    <w:name w:val="Heading 1 Char"/>
    <w:basedOn w:val="DefaultParagraphFont"/>
    <w:link w:val="Heading1"/>
    <w:uiPriority w:val="9"/>
    <w:rsid w:val="00B64F89"/>
    <w:rPr>
      <w:rFonts w:asciiTheme="majorHAnsi" w:eastAsiaTheme="majorEastAsia" w:hAnsiTheme="majorHAnsi" w:cstheme="majorBidi"/>
      <w:color w:val="2F5496" w:themeColor="accent1" w:themeShade="BF"/>
      <w:sz w:val="40"/>
      <w:szCs w:val="40"/>
    </w:rPr>
  </w:style>
  <w:style w:type="character" w:customStyle="1" w:styleId="s3">
    <w:name w:val="s3"/>
    <w:basedOn w:val="DefaultParagraphFont"/>
    <w:rsid w:val="00B64F89"/>
  </w:style>
  <w:style w:type="paragraph" w:styleId="ListParagraph">
    <w:name w:val="List Paragraph"/>
    <w:basedOn w:val="Normal"/>
    <w:uiPriority w:val="34"/>
    <w:qFormat/>
    <w:rsid w:val="00981D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20</Pages>
  <Words>4133</Words>
  <Characters>23559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Taras Kandelaki (2329104)</cp:lastModifiedBy>
  <cp:revision>3</cp:revision>
  <dcterms:created xsi:type="dcterms:W3CDTF">2025-12-15T09:11:00Z</dcterms:created>
  <dcterms:modified xsi:type="dcterms:W3CDTF">2025-12-16T11:04:00Z</dcterms:modified>
</cp:coreProperties>
</file>