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9F57D5" w14:textId="31A0BB7C" w:rsidR="00191D3B" w:rsidRDefault="00EF71C0">
      <w:r>
        <w:t xml:space="preserve">Ethics and Law – Assessment guidance </w:t>
      </w:r>
    </w:p>
    <w:p w14:paraId="42194E36" w14:textId="77777777" w:rsidR="00EF71C0" w:rsidRDefault="00EF71C0"/>
    <w:p w14:paraId="63D380D7" w14:textId="6538A2E7" w:rsidR="00EF71C0" w:rsidRDefault="00EF71C0" w:rsidP="00EF71C0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b/>
          <w:bCs/>
        </w:rPr>
      </w:pPr>
      <w:r w:rsidRPr="00C72354">
        <w:rPr>
          <w:rFonts w:ascii="Arial" w:hAnsi="Arial" w:cs="Arial"/>
          <w:b/>
          <w:bCs/>
        </w:rPr>
        <w:t xml:space="preserve">Explain the process of forming a valid contract. Ensure that you support your answer with case law. [ 25 Marks] </w:t>
      </w:r>
    </w:p>
    <w:p w14:paraId="2E2ED0A2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5B99C9E0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2668B8F4" w14:textId="13C20981" w:rsidR="00EF71C0" w:rsidRPr="00EF71C0" w:rsidRDefault="00EF71C0" w:rsidP="00EF71C0">
      <w:p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 xml:space="preserve">Within your answer you may wish to discuss; </w:t>
      </w:r>
    </w:p>
    <w:p w14:paraId="346BD770" w14:textId="77777777" w:rsidR="00EF71C0" w:rsidRPr="00EF71C0" w:rsidRDefault="00EF71C0" w:rsidP="00EF71C0">
      <w:pPr>
        <w:spacing w:after="0" w:line="240" w:lineRule="auto"/>
        <w:rPr>
          <w:rFonts w:ascii="Arial" w:hAnsi="Arial" w:cs="Arial"/>
        </w:rPr>
      </w:pPr>
    </w:p>
    <w:p w14:paraId="0A889385" w14:textId="7821A3B0" w:rsidR="00EF71C0" w:rsidRPr="00EF71C0" w:rsidRDefault="00EF71C0" w:rsidP="00EF71C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>Offer and acceptance ( What is an offer? How is it different from an invitation to treat, how can acceptance happen?)</w:t>
      </w:r>
    </w:p>
    <w:p w14:paraId="16EF9FED" w14:textId="0FB6D4D8" w:rsidR="00EF71C0" w:rsidRPr="00EF71C0" w:rsidRDefault="00EF71C0" w:rsidP="00EF71C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 xml:space="preserve">Consideration (What is it and the rules surrounding it) </w:t>
      </w:r>
    </w:p>
    <w:p w14:paraId="2ACFF7F0" w14:textId="5CC1C922" w:rsidR="00EF71C0" w:rsidRPr="00EF71C0" w:rsidRDefault="00EF71C0" w:rsidP="00EF71C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 xml:space="preserve">Intention to create legal relations (Family and Business situation) </w:t>
      </w:r>
    </w:p>
    <w:p w14:paraId="77E59AE6" w14:textId="0045D63E" w:rsidR="00EF71C0" w:rsidRPr="00EF71C0" w:rsidRDefault="00EF71C0" w:rsidP="00EF71C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 xml:space="preserve">Issues relating to capacity (Age and Duress for example. </w:t>
      </w:r>
    </w:p>
    <w:p w14:paraId="22890098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4FB6D8D6" w14:textId="031BCCC1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Suggested case law (Please note you are expected to include more) ; </w:t>
      </w:r>
    </w:p>
    <w:p w14:paraId="4AE14905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095D1BA7" w14:textId="2A68D1AF" w:rsidR="00EF71C0" w:rsidRPr="00EF71C0" w:rsidRDefault="00EF71C0" w:rsidP="00EF71C0">
      <w:p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>Scammell and Nephew Ltd v Ouston [1941]</w:t>
      </w:r>
    </w:p>
    <w:p w14:paraId="62F61176" w14:textId="6C01F5FC" w:rsidR="00EF71C0" w:rsidRPr="00EF71C0" w:rsidRDefault="00EF71C0" w:rsidP="00EF71C0">
      <w:pPr>
        <w:spacing w:after="0" w:line="240" w:lineRule="auto"/>
        <w:rPr>
          <w:rFonts w:ascii="Arial" w:hAnsi="Arial" w:cs="Arial"/>
        </w:rPr>
      </w:pPr>
      <w:proofErr w:type="spellStart"/>
      <w:r w:rsidRPr="00EF71C0">
        <w:rPr>
          <w:rFonts w:ascii="Arial" w:hAnsi="Arial" w:cs="Arial"/>
        </w:rPr>
        <w:t>Felthouse</w:t>
      </w:r>
      <w:proofErr w:type="spellEnd"/>
      <w:r w:rsidRPr="00EF71C0">
        <w:rPr>
          <w:rFonts w:ascii="Arial" w:hAnsi="Arial" w:cs="Arial"/>
        </w:rPr>
        <w:t xml:space="preserve"> v Bindley [1862]</w:t>
      </w:r>
    </w:p>
    <w:p w14:paraId="0C47F5EB" w14:textId="127C8EA0" w:rsidR="00EF71C0" w:rsidRPr="00EF71C0" w:rsidRDefault="00EF71C0" w:rsidP="00EF71C0">
      <w:p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>Dunlop Pneumatic Tyre Co Ltd v Selfridge &amp; Co Ltd [1915],</w:t>
      </w:r>
    </w:p>
    <w:p w14:paraId="52284F3D" w14:textId="574C4597" w:rsidR="00EF71C0" w:rsidRPr="00EF71C0" w:rsidRDefault="00EF71C0" w:rsidP="00EF71C0">
      <w:p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>Nash v Inman [1908]</w:t>
      </w:r>
    </w:p>
    <w:p w14:paraId="12166507" w14:textId="064F2265" w:rsidR="00EF71C0" w:rsidRPr="00EF71C0" w:rsidRDefault="00EF71C0" w:rsidP="00EF71C0">
      <w:p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>Balfour v Balfour [1919]</w:t>
      </w:r>
    </w:p>
    <w:p w14:paraId="546598DE" w14:textId="402D4F72" w:rsidR="00EF71C0" w:rsidRPr="00EF71C0" w:rsidRDefault="00EF71C0" w:rsidP="00EF71C0">
      <w:p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>Carlill v Carbolic Smoke Ball Co [1893]</w:t>
      </w:r>
    </w:p>
    <w:p w14:paraId="51D55B52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5AA75F94" w14:textId="77777777" w:rsidR="00EF71C0" w:rsidRP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32329C40" w14:textId="77777777" w:rsidR="00EF71C0" w:rsidRPr="00C72354" w:rsidRDefault="00EF71C0" w:rsidP="00EF71C0">
      <w:pPr>
        <w:rPr>
          <w:rFonts w:ascii="Arial" w:hAnsi="Arial" w:cs="Arial"/>
          <w:b/>
          <w:bCs/>
        </w:rPr>
      </w:pPr>
    </w:p>
    <w:p w14:paraId="5AA11286" w14:textId="77777777" w:rsidR="00EF71C0" w:rsidRDefault="00EF71C0" w:rsidP="00EF71C0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b/>
          <w:bCs/>
        </w:rPr>
      </w:pPr>
      <w:r w:rsidRPr="00C72354">
        <w:rPr>
          <w:rFonts w:ascii="Arial" w:hAnsi="Arial" w:cs="Arial"/>
          <w:b/>
          <w:bCs/>
        </w:rPr>
        <w:t xml:space="preserve">With particular reference to the case of Black Horse Limited v Andrew Curtis (Bristol CC, 21 February 2024, discuss the extent to which the </w:t>
      </w:r>
      <w:r w:rsidRPr="00C72354">
        <w:rPr>
          <w:rFonts w:ascii="Arial" w:hAnsi="Arial" w:cs="Arial"/>
          <w:b/>
          <w:bCs/>
        </w:rPr>
        <w:tab/>
        <w:t xml:space="preserve">Consumer Rights Act 2015 is in need of reform to ensure that consumer rights are clear. [25 Marks] </w:t>
      </w:r>
    </w:p>
    <w:p w14:paraId="2D4E00A6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4C7001BE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11DC0280" w14:textId="29728052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Within your answer you may wish to discuss; </w:t>
      </w:r>
    </w:p>
    <w:p w14:paraId="408638AE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47689D6A" w14:textId="4EDF9C0B" w:rsidR="00EF71C0" w:rsidRPr="00EF71C0" w:rsidRDefault="00EF71C0" w:rsidP="00EF71C0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 xml:space="preserve">What is the Consumer Rights Act 2015? (To include rights afforded to consumers, right to reject and replace for example) </w:t>
      </w:r>
    </w:p>
    <w:p w14:paraId="007B31B0" w14:textId="442D7AC0" w:rsidR="00EF71C0" w:rsidRPr="00EF71C0" w:rsidRDefault="00EF71C0" w:rsidP="00EF71C0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 xml:space="preserve">Overview of the Black Horse case (Brief information about facts and outcome) </w:t>
      </w:r>
    </w:p>
    <w:p w14:paraId="46BA2A01" w14:textId="4FF7F66F" w:rsidR="00EF71C0" w:rsidRPr="00EF71C0" w:rsidRDefault="00EF71C0" w:rsidP="00EF71C0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 xml:space="preserve">Advantages of Consumer Rights Act 2015 (Legislation includes definitions) Utilise point, evidence, explain and link) </w:t>
      </w:r>
    </w:p>
    <w:p w14:paraId="3B178AF4" w14:textId="5547E040" w:rsidR="00EF71C0" w:rsidRPr="00EF71C0" w:rsidRDefault="00EF71C0" w:rsidP="00EF71C0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</w:rPr>
      </w:pPr>
      <w:r w:rsidRPr="00EF71C0">
        <w:rPr>
          <w:rFonts w:ascii="Arial" w:hAnsi="Arial" w:cs="Arial"/>
        </w:rPr>
        <w:t xml:space="preserve">Disadvantages of Consumer Rights Act 2015 (Point, evidence, explain and link) ( Definitions may not be clear) </w:t>
      </w:r>
    </w:p>
    <w:p w14:paraId="228CD5AF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46FDFA52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75739C23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1B3293EA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738B6629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04022651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39DF1645" w14:textId="77777777" w:rsid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70B230FF" w14:textId="77777777" w:rsidR="00EF71C0" w:rsidRPr="00EF71C0" w:rsidRDefault="00EF71C0" w:rsidP="00EF71C0">
      <w:pPr>
        <w:spacing w:after="0" w:line="240" w:lineRule="auto"/>
        <w:rPr>
          <w:rFonts w:ascii="Arial" w:hAnsi="Arial" w:cs="Arial"/>
          <w:b/>
          <w:bCs/>
        </w:rPr>
      </w:pPr>
    </w:p>
    <w:p w14:paraId="70507F42" w14:textId="77777777" w:rsidR="00EF71C0" w:rsidRPr="00C72354" w:rsidRDefault="00EF71C0" w:rsidP="00EF71C0">
      <w:pPr>
        <w:rPr>
          <w:rFonts w:ascii="Arial" w:hAnsi="Arial" w:cs="Arial"/>
          <w:b/>
          <w:bCs/>
        </w:rPr>
      </w:pPr>
    </w:p>
    <w:p w14:paraId="5B2F0C59" w14:textId="77777777" w:rsidR="00EF71C0" w:rsidRPr="00C72354" w:rsidRDefault="00EF71C0" w:rsidP="00EF71C0">
      <w:pPr>
        <w:rPr>
          <w:rFonts w:ascii="Arial" w:hAnsi="Arial" w:cs="Arial"/>
          <w:b/>
          <w:bCs/>
        </w:rPr>
      </w:pPr>
    </w:p>
    <w:p w14:paraId="36F99876" w14:textId="77777777" w:rsidR="00EF71C0" w:rsidRPr="00C72354" w:rsidRDefault="00EF71C0" w:rsidP="00EF71C0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b/>
          <w:bCs/>
        </w:rPr>
      </w:pPr>
      <w:r w:rsidRPr="00C72354">
        <w:rPr>
          <w:rFonts w:ascii="Arial" w:hAnsi="Arial" w:cs="Arial"/>
          <w:b/>
          <w:bCs/>
        </w:rPr>
        <w:t xml:space="preserve">With particular reference to section 5 and section 7 of the General Product Safety Regulations 2005, discuss the obligations of producers and how they apply to your current workplace. [ 25 Marks] </w:t>
      </w:r>
    </w:p>
    <w:p w14:paraId="205AB073" w14:textId="77777777" w:rsidR="00EF71C0" w:rsidRPr="007B22D4" w:rsidRDefault="00EF71C0" w:rsidP="00EF71C0">
      <w:pPr>
        <w:rPr>
          <w:rFonts w:ascii="Arial" w:hAnsi="Arial" w:cs="Arial"/>
        </w:rPr>
      </w:pPr>
    </w:p>
    <w:p w14:paraId="474BB380" w14:textId="0D0C1EAC" w:rsidR="00EF71C0" w:rsidRPr="007B22D4" w:rsidRDefault="00EF71C0" w:rsidP="00EF71C0">
      <w:pPr>
        <w:rPr>
          <w:rFonts w:ascii="Arial" w:hAnsi="Arial" w:cs="Arial"/>
        </w:rPr>
      </w:pPr>
      <w:r w:rsidRPr="007B22D4">
        <w:rPr>
          <w:rFonts w:ascii="Arial" w:hAnsi="Arial" w:cs="Arial"/>
        </w:rPr>
        <w:t xml:space="preserve">Within your answer you may wish to include; </w:t>
      </w:r>
    </w:p>
    <w:p w14:paraId="40161A30" w14:textId="77777777" w:rsidR="00EF71C0" w:rsidRPr="007B22D4" w:rsidRDefault="00EF71C0" w:rsidP="00EF71C0">
      <w:pPr>
        <w:rPr>
          <w:rFonts w:ascii="Arial" w:hAnsi="Arial" w:cs="Arial"/>
        </w:rPr>
      </w:pPr>
    </w:p>
    <w:p w14:paraId="72268EA1" w14:textId="1A424AD8" w:rsidR="00EF71C0" w:rsidRPr="007B22D4" w:rsidRDefault="00EF71C0" w:rsidP="00EF71C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B22D4">
        <w:rPr>
          <w:rFonts w:ascii="Arial" w:hAnsi="Arial" w:cs="Arial"/>
        </w:rPr>
        <w:t>What is the General Product safety regulations 2005? (Including its aim</w:t>
      </w:r>
      <w:r w:rsidR="007B22D4" w:rsidRPr="007B22D4">
        <w:rPr>
          <w:rFonts w:ascii="Arial" w:hAnsi="Arial" w:cs="Arial"/>
        </w:rPr>
        <w:t>s and obligations of producers</w:t>
      </w:r>
      <w:r w:rsidRPr="007B22D4">
        <w:rPr>
          <w:rFonts w:ascii="Arial" w:hAnsi="Arial" w:cs="Arial"/>
        </w:rPr>
        <w:t xml:space="preserve">) </w:t>
      </w:r>
    </w:p>
    <w:p w14:paraId="71ACF385" w14:textId="58AD9F4B" w:rsidR="007B22D4" w:rsidRPr="007B22D4" w:rsidRDefault="007B22D4" w:rsidP="00EF71C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B22D4">
        <w:rPr>
          <w:rFonts w:ascii="Arial" w:hAnsi="Arial" w:cs="Arial"/>
        </w:rPr>
        <w:t>What is section 5? (A brief overview is needed)</w:t>
      </w:r>
    </w:p>
    <w:p w14:paraId="7584F472" w14:textId="015192B5" w:rsidR="007B22D4" w:rsidRPr="007B22D4" w:rsidRDefault="007B22D4" w:rsidP="00EF71C0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B22D4">
        <w:rPr>
          <w:rFonts w:ascii="Arial" w:hAnsi="Arial" w:cs="Arial"/>
        </w:rPr>
        <w:t xml:space="preserve">How does section 5 apply to your workplace? (Detail is needed here) </w:t>
      </w:r>
    </w:p>
    <w:p w14:paraId="7BADFE3A" w14:textId="366AB3A3" w:rsidR="007B22D4" w:rsidRPr="007B22D4" w:rsidRDefault="007B22D4" w:rsidP="007B22D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B22D4">
        <w:rPr>
          <w:rFonts w:ascii="Arial" w:hAnsi="Arial" w:cs="Arial"/>
        </w:rPr>
        <w:t xml:space="preserve">What is section 7? (A brief overview is needed) </w:t>
      </w:r>
    </w:p>
    <w:p w14:paraId="0BD50EFD" w14:textId="5BABC6E7" w:rsidR="007B22D4" w:rsidRPr="007B22D4" w:rsidRDefault="007B22D4" w:rsidP="007B22D4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7B22D4">
        <w:rPr>
          <w:rFonts w:ascii="Arial" w:hAnsi="Arial" w:cs="Arial"/>
        </w:rPr>
        <w:t>How does section 7 apply to your workplace?</w:t>
      </w:r>
    </w:p>
    <w:p w14:paraId="522FED7D" w14:textId="77777777" w:rsidR="00EF71C0" w:rsidRPr="00C72354" w:rsidRDefault="00EF71C0" w:rsidP="00EF71C0">
      <w:pPr>
        <w:rPr>
          <w:rFonts w:ascii="Arial" w:hAnsi="Arial" w:cs="Arial"/>
          <w:b/>
          <w:bCs/>
        </w:rPr>
      </w:pPr>
    </w:p>
    <w:p w14:paraId="13B6B9B7" w14:textId="77777777" w:rsidR="00EF71C0" w:rsidRDefault="00EF71C0" w:rsidP="00EF71C0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  <w:b/>
          <w:bCs/>
        </w:rPr>
      </w:pPr>
      <w:r w:rsidRPr="00C72354">
        <w:rPr>
          <w:rFonts w:ascii="Arial" w:hAnsi="Arial" w:cs="Arial"/>
          <w:b/>
          <w:bCs/>
        </w:rPr>
        <w:t xml:space="preserve">Explain ‘’ The Environmental Protection (Single-use Plastic Products) (Wales) Act 2023’’ and its effect on the workplace/supply chain. [25 Marks] </w:t>
      </w:r>
    </w:p>
    <w:p w14:paraId="0B46FEDA" w14:textId="77777777" w:rsidR="007B22D4" w:rsidRDefault="007B22D4" w:rsidP="007B22D4">
      <w:pPr>
        <w:spacing w:after="0" w:line="240" w:lineRule="auto"/>
        <w:rPr>
          <w:rFonts w:ascii="Arial" w:hAnsi="Arial" w:cs="Arial"/>
          <w:b/>
          <w:bCs/>
        </w:rPr>
      </w:pPr>
    </w:p>
    <w:p w14:paraId="013E4CC0" w14:textId="0D23E485" w:rsidR="007B22D4" w:rsidRDefault="007B22D4" w:rsidP="007B22D4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Within your answer you may wish to include; </w:t>
      </w:r>
    </w:p>
    <w:p w14:paraId="3DE8D654" w14:textId="77777777" w:rsidR="007B22D4" w:rsidRDefault="007B22D4" w:rsidP="007B22D4">
      <w:pPr>
        <w:spacing w:after="0" w:line="240" w:lineRule="auto"/>
        <w:rPr>
          <w:rFonts w:ascii="Arial" w:hAnsi="Arial" w:cs="Arial"/>
          <w:b/>
          <w:bCs/>
        </w:rPr>
      </w:pPr>
    </w:p>
    <w:p w14:paraId="63FA3F6C" w14:textId="33696EB6" w:rsidR="007B22D4" w:rsidRPr="007B22D4" w:rsidRDefault="007B22D4" w:rsidP="007B22D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7B22D4">
        <w:rPr>
          <w:rFonts w:ascii="Arial" w:hAnsi="Arial" w:cs="Arial"/>
        </w:rPr>
        <w:t xml:space="preserve">What is the Environmental protection (single use plastic products) (Wales) Act 2023? (Include its aims and what has already been banned) </w:t>
      </w:r>
    </w:p>
    <w:p w14:paraId="342B205E" w14:textId="7EB3DC54" w:rsidR="007B22D4" w:rsidRPr="007B22D4" w:rsidRDefault="007B22D4" w:rsidP="007B22D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7B22D4">
        <w:rPr>
          <w:rFonts w:ascii="Arial" w:hAnsi="Arial" w:cs="Arial"/>
        </w:rPr>
        <w:t xml:space="preserve">Further implementation of the legislation (Spring 2026) </w:t>
      </w:r>
    </w:p>
    <w:p w14:paraId="25172427" w14:textId="4AF4E30A" w:rsidR="007B22D4" w:rsidRPr="007B22D4" w:rsidRDefault="007B22D4" w:rsidP="007B22D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7B22D4">
        <w:rPr>
          <w:rFonts w:ascii="Arial" w:hAnsi="Arial" w:cs="Arial"/>
        </w:rPr>
        <w:t xml:space="preserve">What this means for businesses? </w:t>
      </w:r>
    </w:p>
    <w:p w14:paraId="1334C5F6" w14:textId="71A20195" w:rsidR="007B22D4" w:rsidRDefault="007B22D4" w:rsidP="007B22D4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7B22D4">
        <w:rPr>
          <w:rFonts w:ascii="Arial" w:hAnsi="Arial" w:cs="Arial"/>
        </w:rPr>
        <w:t>You can focus here on a specific workplace if you wish, but must also consider the supply chain. (Industries for example include medical industries, catering or Manufacturing industries)</w:t>
      </w:r>
    </w:p>
    <w:p w14:paraId="433ACAF6" w14:textId="77777777" w:rsidR="007B22D4" w:rsidRDefault="007B22D4" w:rsidP="007B22D4">
      <w:pPr>
        <w:spacing w:after="0" w:line="240" w:lineRule="auto"/>
        <w:rPr>
          <w:rFonts w:ascii="Arial" w:hAnsi="Arial" w:cs="Arial"/>
        </w:rPr>
      </w:pPr>
    </w:p>
    <w:p w14:paraId="5504404E" w14:textId="77777777" w:rsidR="007B22D4" w:rsidRDefault="007B22D4" w:rsidP="007B22D4">
      <w:pPr>
        <w:spacing w:after="0" w:line="240" w:lineRule="auto"/>
        <w:rPr>
          <w:rFonts w:ascii="Arial" w:hAnsi="Arial" w:cs="Arial"/>
        </w:rPr>
      </w:pPr>
    </w:p>
    <w:p w14:paraId="3CE75CD0" w14:textId="45EB06F8" w:rsidR="007B22D4" w:rsidRDefault="007B22D4" w:rsidP="007B22D4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 sources to consider; </w:t>
      </w:r>
    </w:p>
    <w:p w14:paraId="4C44C9AD" w14:textId="77777777" w:rsidR="007B22D4" w:rsidRDefault="007B22D4" w:rsidP="007B22D4">
      <w:pPr>
        <w:spacing w:after="0" w:line="240" w:lineRule="auto"/>
        <w:rPr>
          <w:rFonts w:ascii="Arial" w:hAnsi="Arial" w:cs="Arial"/>
        </w:rPr>
      </w:pPr>
    </w:p>
    <w:p w14:paraId="5BEB0664" w14:textId="08DB6C9B" w:rsidR="007B22D4" w:rsidRDefault="007B22D4" w:rsidP="007B22D4">
      <w:pPr>
        <w:spacing w:after="0" w:line="240" w:lineRule="auto"/>
        <w:rPr>
          <w:rFonts w:ascii="Arial" w:hAnsi="Arial" w:cs="Arial"/>
        </w:rPr>
      </w:pPr>
      <w:hyperlink r:id="rId5" w:history="1">
        <w:r w:rsidRPr="007B22D4">
          <w:rPr>
            <w:rStyle w:val="Hyperlink"/>
            <w:rFonts w:ascii="Arial" w:hAnsi="Arial" w:cs="Arial"/>
          </w:rPr>
          <w:t>Consumer Rights Act 2015 - Explanatory Notes</w:t>
        </w:r>
      </w:hyperlink>
    </w:p>
    <w:p w14:paraId="50169CAF" w14:textId="77777777" w:rsidR="007B22D4" w:rsidRDefault="007B22D4" w:rsidP="007B22D4">
      <w:pPr>
        <w:spacing w:after="0" w:line="240" w:lineRule="auto"/>
        <w:rPr>
          <w:rFonts w:ascii="Arial" w:hAnsi="Arial" w:cs="Arial"/>
        </w:rPr>
      </w:pPr>
    </w:p>
    <w:p w14:paraId="3C63534D" w14:textId="3FDDF601" w:rsidR="007B22D4" w:rsidRDefault="007B22D4" w:rsidP="007B22D4">
      <w:pPr>
        <w:spacing w:after="0" w:line="240" w:lineRule="auto"/>
        <w:rPr>
          <w:rFonts w:ascii="Arial" w:hAnsi="Arial" w:cs="Arial"/>
        </w:rPr>
      </w:pPr>
      <w:hyperlink r:id="rId6" w:history="1">
        <w:r w:rsidRPr="007B22D4">
          <w:rPr>
            <w:rStyle w:val="Hyperlink"/>
            <w:rFonts w:ascii="Arial" w:hAnsi="Arial" w:cs="Arial"/>
          </w:rPr>
          <w:t xml:space="preserve">Reaffirming Consumer Rights: Alan King v. Black Horse Ltd and Another [2024]: Scottish Court of Session | </w:t>
        </w:r>
        <w:proofErr w:type="spellStart"/>
        <w:r w:rsidRPr="007B22D4">
          <w:rPr>
            <w:rStyle w:val="Hyperlink"/>
            <w:rFonts w:ascii="Arial" w:hAnsi="Arial" w:cs="Arial"/>
          </w:rPr>
          <w:t>CaseMine</w:t>
        </w:r>
        <w:proofErr w:type="spellEnd"/>
      </w:hyperlink>
    </w:p>
    <w:p w14:paraId="313C065C" w14:textId="77777777" w:rsidR="007B22D4" w:rsidRDefault="007B22D4" w:rsidP="007B22D4">
      <w:pPr>
        <w:spacing w:after="0" w:line="240" w:lineRule="auto"/>
        <w:rPr>
          <w:rFonts w:ascii="Arial" w:hAnsi="Arial" w:cs="Arial"/>
        </w:rPr>
      </w:pPr>
    </w:p>
    <w:p w14:paraId="5B034352" w14:textId="05A72D93" w:rsidR="007B22D4" w:rsidRDefault="007B22D4" w:rsidP="007B22D4">
      <w:pPr>
        <w:spacing w:after="0" w:line="240" w:lineRule="auto"/>
        <w:rPr>
          <w:rFonts w:ascii="Arial" w:hAnsi="Arial" w:cs="Arial"/>
        </w:rPr>
      </w:pPr>
      <w:hyperlink r:id="rId7" w:history="1">
        <w:r w:rsidRPr="007B22D4">
          <w:rPr>
            <w:rStyle w:val="Hyperlink"/>
            <w:rFonts w:ascii="Arial" w:hAnsi="Arial" w:cs="Arial"/>
          </w:rPr>
          <w:t>The Environmental Protection (Single</w:t>
        </w:r>
        <w:r w:rsidRPr="007B22D4">
          <w:rPr>
            <w:rStyle w:val="Hyperlink"/>
            <w:rFonts w:ascii="Arial" w:hAnsi="Arial" w:cs="Arial"/>
          </w:rPr>
          <w:noBreakHyphen/>
          <w:t>Use Plastic Products) (Wales) Act 2023</w:t>
        </w:r>
      </w:hyperlink>
    </w:p>
    <w:p w14:paraId="43014BC2" w14:textId="77777777" w:rsidR="007B22D4" w:rsidRDefault="007B22D4" w:rsidP="007B22D4">
      <w:pPr>
        <w:spacing w:after="0" w:line="240" w:lineRule="auto"/>
        <w:rPr>
          <w:rFonts w:ascii="Arial" w:hAnsi="Arial" w:cs="Arial"/>
        </w:rPr>
      </w:pPr>
    </w:p>
    <w:p w14:paraId="38DB274C" w14:textId="1B49941E" w:rsidR="007B22D4" w:rsidRDefault="007B22D4" w:rsidP="007B22D4">
      <w:pPr>
        <w:spacing w:after="0" w:line="240" w:lineRule="auto"/>
        <w:rPr>
          <w:rFonts w:ascii="Arial" w:hAnsi="Arial" w:cs="Arial"/>
        </w:rPr>
      </w:pPr>
      <w:hyperlink r:id="rId8" w:history="1">
        <w:r w:rsidRPr="007B22D4">
          <w:rPr>
            <w:rStyle w:val="Hyperlink"/>
            <w:rFonts w:ascii="Arial" w:hAnsi="Arial" w:cs="Arial"/>
          </w:rPr>
          <w:t>The General Product Safety Regulations 2005</w:t>
        </w:r>
      </w:hyperlink>
    </w:p>
    <w:p w14:paraId="04D29667" w14:textId="77777777" w:rsidR="007B22D4" w:rsidRDefault="007B22D4" w:rsidP="007B22D4">
      <w:pPr>
        <w:spacing w:after="0" w:line="240" w:lineRule="auto"/>
        <w:rPr>
          <w:rFonts w:ascii="Arial" w:hAnsi="Arial" w:cs="Arial"/>
        </w:rPr>
      </w:pPr>
    </w:p>
    <w:p w14:paraId="4EC574A3" w14:textId="2778290D" w:rsidR="007B22D4" w:rsidRPr="007B22D4" w:rsidRDefault="007B22D4" w:rsidP="007B22D4">
      <w:pPr>
        <w:spacing w:after="0" w:line="240" w:lineRule="auto"/>
        <w:rPr>
          <w:rFonts w:ascii="Arial" w:hAnsi="Arial" w:cs="Arial"/>
        </w:rPr>
      </w:pPr>
      <w:hyperlink r:id="rId9" w:history="1">
        <w:r w:rsidRPr="007B22D4">
          <w:rPr>
            <w:rStyle w:val="Hyperlink"/>
            <w:rFonts w:ascii="Arial" w:hAnsi="Arial" w:cs="Arial"/>
          </w:rPr>
          <w:t>General Product Safety Regulations 2005: Great Britain - GOV.UK</w:t>
        </w:r>
      </w:hyperlink>
    </w:p>
    <w:p w14:paraId="547E1EF8" w14:textId="63FF6B22" w:rsidR="00EF71C0" w:rsidRDefault="00EF71C0"/>
    <w:p w14:paraId="617064A1" w14:textId="77777777" w:rsidR="007B22D4" w:rsidRDefault="007B22D4"/>
    <w:p w14:paraId="0E54800F" w14:textId="5E856A1D" w:rsidR="007B22D4" w:rsidRDefault="007B22D4">
      <w:r>
        <w:t xml:space="preserve">Please avoid the use of sources such as law teacher, </w:t>
      </w:r>
      <w:proofErr w:type="spellStart"/>
      <w:r>
        <w:t>bbc</w:t>
      </w:r>
      <w:proofErr w:type="spellEnd"/>
      <w:r>
        <w:t xml:space="preserve"> bitesize, tutor 2 U and any a level source such as </w:t>
      </w:r>
      <w:proofErr w:type="spellStart"/>
      <w:r>
        <w:t>elawresources</w:t>
      </w:r>
      <w:proofErr w:type="spellEnd"/>
      <w:r>
        <w:t xml:space="preserve">. </w:t>
      </w:r>
    </w:p>
    <w:p w14:paraId="4D99EC93" w14:textId="77777777" w:rsidR="007B22D4" w:rsidRDefault="007B22D4"/>
    <w:p w14:paraId="4BEA466A" w14:textId="77777777" w:rsidR="007B22D4" w:rsidRDefault="007B22D4"/>
    <w:sectPr w:rsidR="007B22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BC29E7"/>
    <w:multiLevelType w:val="hybridMultilevel"/>
    <w:tmpl w:val="83E0C9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92307A"/>
    <w:multiLevelType w:val="hybridMultilevel"/>
    <w:tmpl w:val="43A6C1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4A1777"/>
    <w:multiLevelType w:val="hybridMultilevel"/>
    <w:tmpl w:val="37BA35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3B0254"/>
    <w:multiLevelType w:val="hybridMultilevel"/>
    <w:tmpl w:val="BC9EA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02B7B30"/>
    <w:multiLevelType w:val="hybridMultilevel"/>
    <w:tmpl w:val="66401E10"/>
    <w:lvl w:ilvl="0" w:tplc="FDDC7470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D00BB6"/>
    <w:multiLevelType w:val="hybridMultilevel"/>
    <w:tmpl w:val="F8E4F5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5955316">
    <w:abstractNumId w:val="2"/>
  </w:num>
  <w:num w:numId="2" w16cid:durableId="1042053304">
    <w:abstractNumId w:val="4"/>
  </w:num>
  <w:num w:numId="3" w16cid:durableId="1481078006">
    <w:abstractNumId w:val="0"/>
  </w:num>
  <w:num w:numId="4" w16cid:durableId="806053069">
    <w:abstractNumId w:val="3"/>
  </w:num>
  <w:num w:numId="5" w16cid:durableId="2115781278">
    <w:abstractNumId w:val="5"/>
  </w:num>
  <w:num w:numId="6" w16cid:durableId="15979759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1C0"/>
    <w:rsid w:val="00191D3B"/>
    <w:rsid w:val="00274D30"/>
    <w:rsid w:val="00336B9F"/>
    <w:rsid w:val="0058700A"/>
    <w:rsid w:val="007B22D4"/>
    <w:rsid w:val="00C6010D"/>
    <w:rsid w:val="00EF71C0"/>
    <w:rsid w:val="00FE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D757A"/>
  <w15:chartTrackingRefBased/>
  <w15:docId w15:val="{9DE5C11B-D5A1-42FA-961C-A0288ADB6F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71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71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71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71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71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71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71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71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71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1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71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71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71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71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71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71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71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71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71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71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71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71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71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71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71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71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71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71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71C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22D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22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si/2005/1803/conten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wales/sites/default/files/publications/2023-11/single-use-plastic-statutory-guidance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asemine.com/commentary/uk/reaffirming-consumer-rights:-alan-king-v.-black-horse-ltd-and-another-2024/view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legislation.gov.uk/ukpga/2015/15/notes/contents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general-product-safety-regulations-2005/general-product-safety-regulations-2005-great-brit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558</Words>
  <Characters>3181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2025-05-29T14:45:00Z</dcterms:created>
  <dcterms:modified xsi:type="dcterms:W3CDTF">2025-05-29T15:05:00Z</dcterms:modified>
</cp:coreProperties>
</file>