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0F4D75" w14:textId="77777777" w:rsidR="004E50D4" w:rsidRDefault="004E50D4" w:rsidP="004E50D4">
      <w:pPr>
        <w:spacing w:after="2000" w:line="360" w:lineRule="auto"/>
        <w:jc w:val="both"/>
        <w:rPr>
          <w:sz w:val="24"/>
          <w:szCs w:val="24"/>
        </w:rPr>
      </w:pPr>
      <w:r>
        <w:rPr>
          <w:sz w:val="24"/>
          <w:szCs w:val="24"/>
        </w:rPr>
        <w:tab/>
      </w:r>
      <w:r>
        <w:rPr>
          <w:sz w:val="24"/>
          <w:szCs w:val="24"/>
        </w:rPr>
        <w:tab/>
      </w:r>
      <w:r>
        <w:rPr>
          <w:sz w:val="24"/>
          <w:szCs w:val="24"/>
        </w:rPr>
        <w:tab/>
      </w:r>
      <w:r>
        <w:rPr>
          <w:sz w:val="24"/>
          <w:szCs w:val="24"/>
        </w:rPr>
        <w:tab/>
      </w:r>
    </w:p>
    <w:p w14:paraId="1C5E9C09" w14:textId="005C9D68" w:rsidR="004E50D4" w:rsidRDefault="004E50D4" w:rsidP="004E50D4">
      <w:pPr>
        <w:spacing w:after="2000" w:line="360" w:lineRule="auto"/>
        <w:ind w:left="2160" w:firstLine="720"/>
        <w:jc w:val="both"/>
        <w:rPr>
          <w:b/>
          <w:bCs/>
          <w:sz w:val="24"/>
          <w:szCs w:val="24"/>
        </w:rPr>
      </w:pPr>
      <w:r w:rsidRPr="004E50D4">
        <w:rPr>
          <w:b/>
          <w:bCs/>
          <w:sz w:val="24"/>
          <w:szCs w:val="24"/>
        </w:rPr>
        <w:t>Design Th</w:t>
      </w:r>
      <w:r>
        <w:rPr>
          <w:b/>
          <w:bCs/>
          <w:sz w:val="24"/>
          <w:szCs w:val="24"/>
        </w:rPr>
        <w:t>i</w:t>
      </w:r>
      <w:r w:rsidRPr="004E50D4">
        <w:rPr>
          <w:b/>
          <w:bCs/>
          <w:sz w:val="24"/>
          <w:szCs w:val="24"/>
        </w:rPr>
        <w:t xml:space="preserve">nking and Innovation LCLM6002 </w:t>
      </w:r>
    </w:p>
    <w:p w14:paraId="16DC2746" w14:textId="233CF322" w:rsidR="008252A7" w:rsidRPr="004E50D4" w:rsidRDefault="00000000" w:rsidP="004E50D4">
      <w:pPr>
        <w:spacing w:after="2000" w:line="360" w:lineRule="auto"/>
        <w:ind w:left="1440" w:firstLine="720"/>
        <w:jc w:val="center"/>
        <w:rPr>
          <w:b/>
          <w:bCs/>
          <w:sz w:val="24"/>
          <w:szCs w:val="24"/>
        </w:rPr>
      </w:pPr>
      <w:r w:rsidRPr="00257D15">
        <w:rPr>
          <w:rFonts w:eastAsia="Arial"/>
          <w:b/>
          <w:bCs/>
          <w:sz w:val="24"/>
          <w:szCs w:val="24"/>
        </w:rPr>
        <w:t>Digital Transformation and E-Commerce Growth in the UK:</w:t>
      </w:r>
      <w:r w:rsidR="004E50D4">
        <w:rPr>
          <w:b/>
          <w:bCs/>
          <w:sz w:val="24"/>
          <w:szCs w:val="24"/>
        </w:rPr>
        <w:t xml:space="preserve"> </w:t>
      </w:r>
      <w:r w:rsidRPr="00257D15">
        <w:rPr>
          <w:rFonts w:eastAsia="Arial"/>
          <w:b/>
          <w:bCs/>
          <w:sz w:val="24"/>
          <w:szCs w:val="24"/>
        </w:rPr>
        <w:t>A Design Thinking Approach to Identifying Innovation Opportunities and Developing a New Venture Concept</w:t>
      </w:r>
    </w:p>
    <w:p w14:paraId="16DB6353" w14:textId="77777777" w:rsidR="008252A7" w:rsidRDefault="00000000" w:rsidP="004E50D4">
      <w:pPr>
        <w:spacing w:after="200" w:line="360" w:lineRule="auto"/>
        <w:jc w:val="center"/>
        <w:rPr>
          <w:rFonts w:eastAsia="Arial"/>
          <w:i/>
          <w:iCs/>
          <w:sz w:val="24"/>
          <w:szCs w:val="24"/>
        </w:rPr>
      </w:pPr>
      <w:r w:rsidRPr="00257D15">
        <w:rPr>
          <w:rFonts w:eastAsia="Arial"/>
          <w:i/>
          <w:iCs/>
          <w:sz w:val="24"/>
          <w:szCs w:val="24"/>
        </w:rPr>
        <w:t>Portfolio: Task 1 and Task 2</w:t>
      </w:r>
    </w:p>
    <w:p w14:paraId="7B6D6E21" w14:textId="12691497" w:rsidR="00FF730F" w:rsidRPr="00FF730F" w:rsidRDefault="00FF730F" w:rsidP="004E50D4">
      <w:pPr>
        <w:spacing w:after="200" w:line="360" w:lineRule="auto"/>
        <w:jc w:val="center"/>
        <w:rPr>
          <w:rFonts w:eastAsia="Arial"/>
          <w:b/>
          <w:bCs/>
          <w:sz w:val="24"/>
          <w:szCs w:val="24"/>
        </w:rPr>
      </w:pPr>
      <w:r w:rsidRPr="00FF730F">
        <w:rPr>
          <w:rFonts w:eastAsia="Arial"/>
          <w:b/>
          <w:bCs/>
          <w:sz w:val="24"/>
          <w:szCs w:val="24"/>
        </w:rPr>
        <w:t>Elvis Lazar</w:t>
      </w:r>
    </w:p>
    <w:p w14:paraId="61CF5A39" w14:textId="5DE148E2" w:rsidR="00FF730F" w:rsidRDefault="00FF730F" w:rsidP="004E50D4">
      <w:pPr>
        <w:spacing w:after="200" w:line="360" w:lineRule="auto"/>
        <w:jc w:val="center"/>
        <w:rPr>
          <w:rFonts w:eastAsia="Arial"/>
          <w:b/>
          <w:bCs/>
          <w:sz w:val="24"/>
          <w:szCs w:val="24"/>
        </w:rPr>
      </w:pPr>
      <w:r w:rsidRPr="00FF730F">
        <w:rPr>
          <w:rFonts w:eastAsia="Arial"/>
          <w:b/>
          <w:bCs/>
          <w:sz w:val="24"/>
          <w:szCs w:val="24"/>
        </w:rPr>
        <w:t>2247597</w:t>
      </w:r>
    </w:p>
    <w:p w14:paraId="591783E1" w14:textId="77777777" w:rsidR="00FF730F" w:rsidRPr="00FF730F" w:rsidRDefault="00FF730F" w:rsidP="00246848">
      <w:pPr>
        <w:spacing w:after="200" w:line="360" w:lineRule="auto"/>
        <w:jc w:val="center"/>
        <w:rPr>
          <w:rFonts w:eastAsia="Arial"/>
          <w:b/>
          <w:bCs/>
          <w:sz w:val="24"/>
          <w:szCs w:val="24"/>
        </w:rPr>
      </w:pPr>
    </w:p>
    <w:p w14:paraId="3A5A466B" w14:textId="3C1A80EC" w:rsidR="00FF730F" w:rsidRPr="00FF730F" w:rsidRDefault="00FF730F" w:rsidP="00246848">
      <w:pPr>
        <w:spacing w:after="200" w:line="360" w:lineRule="auto"/>
        <w:jc w:val="center"/>
        <w:rPr>
          <w:b/>
          <w:bCs/>
          <w:sz w:val="24"/>
          <w:szCs w:val="24"/>
        </w:rPr>
      </w:pPr>
      <w:r w:rsidRPr="00FF730F">
        <w:rPr>
          <w:rFonts w:eastAsia="Arial"/>
          <w:b/>
          <w:bCs/>
          <w:sz w:val="24"/>
          <w:szCs w:val="24"/>
        </w:rPr>
        <w:t xml:space="preserve">Lecturer: </w:t>
      </w:r>
      <w:proofErr w:type="spellStart"/>
      <w:r w:rsidRPr="00FF730F">
        <w:rPr>
          <w:rFonts w:eastAsia="Arial"/>
          <w:b/>
          <w:bCs/>
          <w:sz w:val="24"/>
          <w:szCs w:val="24"/>
        </w:rPr>
        <w:t>Rexon</w:t>
      </w:r>
      <w:proofErr w:type="spellEnd"/>
      <w:r w:rsidRPr="00FF730F">
        <w:rPr>
          <w:rFonts w:eastAsia="Arial"/>
          <w:b/>
          <w:bCs/>
          <w:sz w:val="24"/>
          <w:szCs w:val="24"/>
        </w:rPr>
        <w:t xml:space="preserve"> Nting </w:t>
      </w:r>
    </w:p>
    <w:p w14:paraId="797E3826" w14:textId="77777777" w:rsidR="00FD5F68" w:rsidRDefault="00FD5F68" w:rsidP="00246848">
      <w:pPr>
        <w:spacing w:line="360" w:lineRule="auto"/>
        <w:jc w:val="center"/>
        <w:rPr>
          <w:sz w:val="24"/>
          <w:szCs w:val="24"/>
        </w:rPr>
      </w:pPr>
    </w:p>
    <w:p w14:paraId="7A3CF134" w14:textId="77777777" w:rsidR="00FD5F68" w:rsidRDefault="00FD5F68" w:rsidP="00246848">
      <w:pPr>
        <w:spacing w:line="360" w:lineRule="auto"/>
        <w:jc w:val="center"/>
        <w:rPr>
          <w:sz w:val="24"/>
          <w:szCs w:val="24"/>
        </w:rPr>
      </w:pPr>
    </w:p>
    <w:p w14:paraId="0EFE4B35" w14:textId="77777777" w:rsidR="00FD5F68" w:rsidRDefault="00FD5F68" w:rsidP="00246848">
      <w:pPr>
        <w:spacing w:line="360" w:lineRule="auto"/>
        <w:jc w:val="center"/>
        <w:rPr>
          <w:sz w:val="24"/>
          <w:szCs w:val="24"/>
        </w:rPr>
      </w:pPr>
    </w:p>
    <w:p w14:paraId="4C97F8B6" w14:textId="77777777" w:rsidR="00FD5F68" w:rsidRDefault="00FD5F68" w:rsidP="00246848">
      <w:pPr>
        <w:spacing w:line="360" w:lineRule="auto"/>
        <w:jc w:val="center"/>
        <w:rPr>
          <w:sz w:val="24"/>
          <w:szCs w:val="24"/>
        </w:rPr>
      </w:pPr>
    </w:p>
    <w:p w14:paraId="5DD3D083" w14:textId="77777777" w:rsidR="00FD5F68" w:rsidRDefault="00FD5F68" w:rsidP="00FF730F">
      <w:pPr>
        <w:spacing w:line="360" w:lineRule="auto"/>
        <w:rPr>
          <w:sz w:val="24"/>
          <w:szCs w:val="24"/>
        </w:rPr>
      </w:pPr>
    </w:p>
    <w:p w14:paraId="6E9849FC" w14:textId="77777777" w:rsidR="008252A7" w:rsidRPr="00257D15" w:rsidRDefault="00000000" w:rsidP="004E50D4">
      <w:pPr>
        <w:spacing w:line="360" w:lineRule="auto"/>
        <w:rPr>
          <w:sz w:val="24"/>
          <w:szCs w:val="24"/>
        </w:rPr>
      </w:pPr>
      <w:r w:rsidRPr="00257D15">
        <w:rPr>
          <w:sz w:val="24"/>
          <w:szCs w:val="24"/>
        </w:rPr>
        <w:br w:type="page"/>
      </w:r>
    </w:p>
    <w:sdt>
      <w:sdtPr>
        <w:rPr>
          <w:rFonts w:ascii="Times New Roman" w:eastAsia="Times New Roman" w:hAnsi="Times New Roman" w:cs="Times New Roman"/>
          <w:b w:val="0"/>
          <w:bCs w:val="0"/>
          <w:color w:val="auto"/>
          <w:sz w:val="20"/>
          <w:szCs w:val="20"/>
          <w:lang w:val="en-GB" w:eastAsia="en-GB"/>
        </w:rPr>
        <w:id w:val="-1134559763"/>
        <w:docPartObj>
          <w:docPartGallery w:val="Table of Contents"/>
          <w:docPartUnique/>
        </w:docPartObj>
      </w:sdtPr>
      <w:sdtEndPr>
        <w:rPr>
          <w:noProof/>
        </w:rPr>
      </w:sdtEndPr>
      <w:sdtContent>
        <w:p w14:paraId="635B2A40" w14:textId="77777777" w:rsidR="00A72774" w:rsidRPr="004E50D4" w:rsidRDefault="00A72774" w:rsidP="00FD5F68">
          <w:pPr>
            <w:pStyle w:val="TOCHeading"/>
            <w:spacing w:line="360" w:lineRule="auto"/>
            <w:jc w:val="center"/>
            <w:rPr>
              <w:color w:val="000000" w:themeColor="text1"/>
              <w:sz w:val="24"/>
              <w:szCs w:val="24"/>
            </w:rPr>
          </w:pPr>
          <w:r w:rsidRPr="004E50D4">
            <w:rPr>
              <w:color w:val="000000" w:themeColor="text1"/>
              <w:sz w:val="24"/>
              <w:szCs w:val="24"/>
            </w:rPr>
            <w:t>Table of Contents</w:t>
          </w:r>
        </w:p>
        <w:p w14:paraId="3B70D40F" w14:textId="77777777" w:rsidR="00A72774" w:rsidRPr="00FD5F68" w:rsidRDefault="00A72774" w:rsidP="00FD5F68">
          <w:pPr>
            <w:pStyle w:val="TOC1"/>
            <w:tabs>
              <w:tab w:val="right" w:leader="dot" w:pos="9016"/>
            </w:tabs>
            <w:spacing w:line="360" w:lineRule="auto"/>
            <w:rPr>
              <w:noProof/>
            </w:rPr>
          </w:pPr>
          <w:r w:rsidRPr="00FD5F68">
            <w:rPr>
              <w:b w:val="0"/>
              <w:bCs w:val="0"/>
            </w:rPr>
            <w:fldChar w:fldCharType="begin"/>
          </w:r>
          <w:r w:rsidRPr="00FD5F68">
            <w:instrText xml:space="preserve"> TOC \o "1-3" \h \z \u </w:instrText>
          </w:r>
          <w:r w:rsidRPr="00FD5F68">
            <w:rPr>
              <w:b w:val="0"/>
              <w:bCs w:val="0"/>
            </w:rPr>
            <w:fldChar w:fldCharType="separate"/>
          </w:r>
          <w:hyperlink w:anchor="_Toc237291871" w:history="1">
            <w:r w:rsidRPr="00FD5F68">
              <w:rPr>
                <w:rStyle w:val="Hyperlink"/>
                <w:rFonts w:eastAsia="Arial"/>
                <w:noProof/>
              </w:rPr>
              <w:t>Task 1: Identifying and Justifying Innovation Opportunities in the UK Market</w:t>
            </w:r>
            <w:r w:rsidRPr="00FD5F68">
              <w:rPr>
                <w:noProof/>
                <w:webHidden/>
              </w:rPr>
              <w:tab/>
            </w:r>
            <w:r w:rsidRPr="00FD5F68">
              <w:rPr>
                <w:noProof/>
                <w:webHidden/>
              </w:rPr>
              <w:fldChar w:fldCharType="begin"/>
            </w:r>
            <w:r w:rsidRPr="00FD5F68">
              <w:rPr>
                <w:noProof/>
                <w:webHidden/>
              </w:rPr>
              <w:instrText xml:space="preserve"> PAGEREF _Toc237291871 \h </w:instrText>
            </w:r>
            <w:r w:rsidRPr="00FD5F68">
              <w:rPr>
                <w:noProof/>
                <w:webHidden/>
              </w:rPr>
            </w:r>
            <w:r w:rsidRPr="00FD5F68">
              <w:rPr>
                <w:noProof/>
                <w:webHidden/>
              </w:rPr>
              <w:fldChar w:fldCharType="separate"/>
            </w:r>
            <w:r w:rsidRPr="00FD5F68">
              <w:rPr>
                <w:noProof/>
                <w:webHidden/>
              </w:rPr>
              <w:t>2</w:t>
            </w:r>
            <w:r w:rsidRPr="00FD5F68">
              <w:rPr>
                <w:noProof/>
                <w:webHidden/>
              </w:rPr>
              <w:fldChar w:fldCharType="end"/>
            </w:r>
          </w:hyperlink>
        </w:p>
        <w:p w14:paraId="7284121F" w14:textId="77777777" w:rsidR="00A72774" w:rsidRPr="00F70ED4" w:rsidRDefault="00A72774" w:rsidP="00F70ED4">
          <w:pPr>
            <w:pStyle w:val="TOC2"/>
          </w:pPr>
          <w:hyperlink w:anchor="_Toc237291872" w:history="1">
            <w:r w:rsidRPr="00F70ED4">
              <w:rPr>
                <w:rStyle w:val="Hyperlink"/>
              </w:rPr>
              <w:t>1.1 Introduction</w:t>
            </w:r>
            <w:r w:rsidRPr="00F70ED4">
              <w:rPr>
                <w:webHidden/>
              </w:rPr>
              <w:tab/>
            </w:r>
            <w:r w:rsidRPr="00F70ED4">
              <w:rPr>
                <w:webHidden/>
              </w:rPr>
              <w:fldChar w:fldCharType="begin"/>
            </w:r>
            <w:r w:rsidRPr="00F70ED4">
              <w:rPr>
                <w:webHidden/>
              </w:rPr>
              <w:instrText xml:space="preserve"> PAGEREF _Toc237291872 \h </w:instrText>
            </w:r>
            <w:r w:rsidRPr="00F70ED4">
              <w:rPr>
                <w:webHidden/>
              </w:rPr>
            </w:r>
            <w:r w:rsidRPr="00F70ED4">
              <w:rPr>
                <w:webHidden/>
              </w:rPr>
              <w:fldChar w:fldCharType="separate"/>
            </w:r>
            <w:r w:rsidRPr="00F70ED4">
              <w:rPr>
                <w:webHidden/>
              </w:rPr>
              <w:t>2</w:t>
            </w:r>
            <w:r w:rsidRPr="00F70ED4">
              <w:rPr>
                <w:webHidden/>
              </w:rPr>
              <w:fldChar w:fldCharType="end"/>
            </w:r>
          </w:hyperlink>
        </w:p>
        <w:p w14:paraId="4FB824D3" w14:textId="77777777" w:rsidR="00A72774" w:rsidRPr="00F70ED4" w:rsidRDefault="00A72774" w:rsidP="00F70ED4">
          <w:pPr>
            <w:pStyle w:val="TOC2"/>
          </w:pPr>
          <w:hyperlink w:anchor="_Toc237291873" w:history="1">
            <w:r w:rsidRPr="00F70ED4">
              <w:rPr>
                <w:rStyle w:val="Hyperlink"/>
              </w:rPr>
              <w:t>1.2 User Pain Points</w:t>
            </w:r>
            <w:r w:rsidRPr="00F70ED4">
              <w:rPr>
                <w:webHidden/>
              </w:rPr>
              <w:tab/>
            </w:r>
            <w:r w:rsidRPr="00F70ED4">
              <w:rPr>
                <w:webHidden/>
              </w:rPr>
              <w:fldChar w:fldCharType="begin"/>
            </w:r>
            <w:r w:rsidRPr="00F70ED4">
              <w:rPr>
                <w:webHidden/>
              </w:rPr>
              <w:instrText xml:space="preserve"> PAGEREF _Toc237291873 \h </w:instrText>
            </w:r>
            <w:r w:rsidRPr="00F70ED4">
              <w:rPr>
                <w:webHidden/>
              </w:rPr>
            </w:r>
            <w:r w:rsidRPr="00F70ED4">
              <w:rPr>
                <w:webHidden/>
              </w:rPr>
              <w:fldChar w:fldCharType="separate"/>
            </w:r>
            <w:r w:rsidRPr="00F70ED4">
              <w:rPr>
                <w:webHidden/>
              </w:rPr>
              <w:t>3</w:t>
            </w:r>
            <w:r w:rsidRPr="00F70ED4">
              <w:rPr>
                <w:webHidden/>
              </w:rPr>
              <w:fldChar w:fldCharType="end"/>
            </w:r>
          </w:hyperlink>
        </w:p>
        <w:p w14:paraId="66698C57" w14:textId="77777777" w:rsidR="00A72774" w:rsidRPr="00F70ED4" w:rsidRDefault="00A72774" w:rsidP="00F70ED4">
          <w:pPr>
            <w:pStyle w:val="TOC2"/>
          </w:pPr>
          <w:hyperlink w:anchor="_Toc237291878" w:history="1">
            <w:r w:rsidRPr="00F70ED4">
              <w:rPr>
                <w:rStyle w:val="Hyperlink"/>
              </w:rPr>
              <w:t>1.5 Scalability and Sustainability</w:t>
            </w:r>
            <w:r w:rsidRPr="00F70ED4">
              <w:rPr>
                <w:webHidden/>
              </w:rPr>
              <w:tab/>
            </w:r>
            <w:r w:rsidRPr="00F70ED4">
              <w:rPr>
                <w:webHidden/>
              </w:rPr>
              <w:fldChar w:fldCharType="begin"/>
            </w:r>
            <w:r w:rsidRPr="00F70ED4">
              <w:rPr>
                <w:webHidden/>
              </w:rPr>
              <w:instrText xml:space="preserve"> PAGEREF _Toc237291878 \h </w:instrText>
            </w:r>
            <w:r w:rsidRPr="00F70ED4">
              <w:rPr>
                <w:webHidden/>
              </w:rPr>
            </w:r>
            <w:r w:rsidRPr="00F70ED4">
              <w:rPr>
                <w:webHidden/>
              </w:rPr>
              <w:fldChar w:fldCharType="separate"/>
            </w:r>
            <w:r w:rsidRPr="00F70ED4">
              <w:rPr>
                <w:webHidden/>
              </w:rPr>
              <w:t>6</w:t>
            </w:r>
            <w:r w:rsidRPr="00F70ED4">
              <w:rPr>
                <w:webHidden/>
              </w:rPr>
              <w:fldChar w:fldCharType="end"/>
            </w:r>
          </w:hyperlink>
        </w:p>
        <w:p w14:paraId="7A39CFB3" w14:textId="77777777" w:rsidR="00A72774" w:rsidRPr="00F70ED4" w:rsidRDefault="00A72774" w:rsidP="00F70ED4">
          <w:pPr>
            <w:pStyle w:val="TOC2"/>
          </w:pPr>
          <w:hyperlink w:anchor="_Toc237291879" w:history="1">
            <w:r w:rsidRPr="00F70ED4">
              <w:rPr>
                <w:rStyle w:val="Hyperlink"/>
              </w:rPr>
              <w:t>1.6 Causal Mapping and Brainstorming Evidence</w:t>
            </w:r>
            <w:r w:rsidRPr="00F70ED4">
              <w:rPr>
                <w:webHidden/>
              </w:rPr>
              <w:tab/>
            </w:r>
            <w:r w:rsidRPr="00F70ED4">
              <w:rPr>
                <w:webHidden/>
              </w:rPr>
              <w:fldChar w:fldCharType="begin"/>
            </w:r>
            <w:r w:rsidRPr="00F70ED4">
              <w:rPr>
                <w:webHidden/>
              </w:rPr>
              <w:instrText xml:space="preserve"> PAGEREF _Toc237291879 \h </w:instrText>
            </w:r>
            <w:r w:rsidRPr="00F70ED4">
              <w:rPr>
                <w:webHidden/>
              </w:rPr>
            </w:r>
            <w:r w:rsidRPr="00F70ED4">
              <w:rPr>
                <w:webHidden/>
              </w:rPr>
              <w:fldChar w:fldCharType="separate"/>
            </w:r>
            <w:r w:rsidRPr="00F70ED4">
              <w:rPr>
                <w:webHidden/>
              </w:rPr>
              <w:t>7</w:t>
            </w:r>
            <w:r w:rsidRPr="00F70ED4">
              <w:rPr>
                <w:webHidden/>
              </w:rPr>
              <w:fldChar w:fldCharType="end"/>
            </w:r>
          </w:hyperlink>
        </w:p>
        <w:p w14:paraId="16E20E06" w14:textId="77777777" w:rsidR="00A72774" w:rsidRPr="00F70ED4" w:rsidRDefault="00A72774" w:rsidP="00F70ED4">
          <w:pPr>
            <w:pStyle w:val="TOC2"/>
          </w:pPr>
          <w:hyperlink w:anchor="_Toc237291881" w:history="1">
            <w:r w:rsidRPr="00F70ED4">
              <w:rPr>
                <w:rStyle w:val="Hyperlink"/>
              </w:rPr>
              <w:t>1.7 Conclusion: Justified Opportunity</w:t>
            </w:r>
            <w:r w:rsidRPr="00F70ED4">
              <w:rPr>
                <w:webHidden/>
              </w:rPr>
              <w:tab/>
            </w:r>
            <w:r w:rsidRPr="00F70ED4">
              <w:rPr>
                <w:webHidden/>
              </w:rPr>
              <w:fldChar w:fldCharType="begin"/>
            </w:r>
            <w:r w:rsidRPr="00F70ED4">
              <w:rPr>
                <w:webHidden/>
              </w:rPr>
              <w:instrText xml:space="preserve"> PAGEREF _Toc237291881 \h </w:instrText>
            </w:r>
            <w:r w:rsidRPr="00F70ED4">
              <w:rPr>
                <w:webHidden/>
              </w:rPr>
            </w:r>
            <w:r w:rsidRPr="00F70ED4">
              <w:rPr>
                <w:webHidden/>
              </w:rPr>
              <w:fldChar w:fldCharType="separate"/>
            </w:r>
            <w:r w:rsidRPr="00F70ED4">
              <w:rPr>
                <w:webHidden/>
              </w:rPr>
              <w:t>8</w:t>
            </w:r>
            <w:r w:rsidRPr="00F70ED4">
              <w:rPr>
                <w:webHidden/>
              </w:rPr>
              <w:fldChar w:fldCharType="end"/>
            </w:r>
          </w:hyperlink>
        </w:p>
        <w:p w14:paraId="7940C9BA" w14:textId="77777777" w:rsidR="00A72774" w:rsidRPr="00FD5F68" w:rsidRDefault="00A72774" w:rsidP="00FD5F68">
          <w:pPr>
            <w:pStyle w:val="TOC1"/>
            <w:tabs>
              <w:tab w:val="right" w:leader="dot" w:pos="9016"/>
            </w:tabs>
            <w:spacing w:line="360" w:lineRule="auto"/>
            <w:rPr>
              <w:noProof/>
            </w:rPr>
          </w:pPr>
          <w:hyperlink w:anchor="_Toc237291882" w:history="1">
            <w:r w:rsidRPr="00FD5F68">
              <w:rPr>
                <w:rStyle w:val="Hyperlink"/>
                <w:rFonts w:eastAsia="Arial"/>
                <w:noProof/>
              </w:rPr>
              <w:t>Task 2: Developing a New Venture Concept Using the Five Stages of Design Thinking</w:t>
            </w:r>
            <w:r w:rsidRPr="00FD5F68">
              <w:rPr>
                <w:noProof/>
                <w:webHidden/>
              </w:rPr>
              <w:tab/>
            </w:r>
            <w:r w:rsidRPr="00FD5F68">
              <w:rPr>
                <w:noProof/>
                <w:webHidden/>
              </w:rPr>
              <w:fldChar w:fldCharType="begin"/>
            </w:r>
            <w:r w:rsidRPr="00FD5F68">
              <w:rPr>
                <w:noProof/>
                <w:webHidden/>
              </w:rPr>
              <w:instrText xml:space="preserve"> PAGEREF _Toc237291882 \h </w:instrText>
            </w:r>
            <w:r w:rsidRPr="00FD5F68">
              <w:rPr>
                <w:noProof/>
                <w:webHidden/>
              </w:rPr>
            </w:r>
            <w:r w:rsidRPr="00FD5F68">
              <w:rPr>
                <w:noProof/>
                <w:webHidden/>
              </w:rPr>
              <w:fldChar w:fldCharType="separate"/>
            </w:r>
            <w:r w:rsidRPr="00FD5F68">
              <w:rPr>
                <w:noProof/>
                <w:webHidden/>
              </w:rPr>
              <w:t>10</w:t>
            </w:r>
            <w:r w:rsidRPr="00FD5F68">
              <w:rPr>
                <w:noProof/>
                <w:webHidden/>
              </w:rPr>
              <w:fldChar w:fldCharType="end"/>
            </w:r>
          </w:hyperlink>
        </w:p>
        <w:p w14:paraId="4587E4B3" w14:textId="77777777" w:rsidR="00A72774" w:rsidRPr="00F70ED4" w:rsidRDefault="00A72774" w:rsidP="00F70ED4">
          <w:pPr>
            <w:pStyle w:val="TOC2"/>
          </w:pPr>
          <w:hyperlink w:anchor="_Toc237291883" w:history="1">
            <w:r w:rsidRPr="00F70ED4">
              <w:rPr>
                <w:rStyle w:val="Hyperlink"/>
              </w:rPr>
              <w:t>2.1 Introduction to the Venture Concept</w:t>
            </w:r>
            <w:r w:rsidRPr="00F70ED4">
              <w:rPr>
                <w:webHidden/>
              </w:rPr>
              <w:tab/>
            </w:r>
            <w:r w:rsidRPr="00F70ED4">
              <w:rPr>
                <w:webHidden/>
              </w:rPr>
              <w:fldChar w:fldCharType="begin"/>
            </w:r>
            <w:r w:rsidRPr="00F70ED4">
              <w:rPr>
                <w:webHidden/>
              </w:rPr>
              <w:instrText xml:space="preserve"> PAGEREF _Toc237291883 \h </w:instrText>
            </w:r>
            <w:r w:rsidRPr="00F70ED4">
              <w:rPr>
                <w:webHidden/>
              </w:rPr>
            </w:r>
            <w:r w:rsidRPr="00F70ED4">
              <w:rPr>
                <w:webHidden/>
              </w:rPr>
              <w:fldChar w:fldCharType="separate"/>
            </w:r>
            <w:r w:rsidRPr="00F70ED4">
              <w:rPr>
                <w:webHidden/>
              </w:rPr>
              <w:t>10</w:t>
            </w:r>
            <w:r w:rsidRPr="00F70ED4">
              <w:rPr>
                <w:webHidden/>
              </w:rPr>
              <w:fldChar w:fldCharType="end"/>
            </w:r>
          </w:hyperlink>
        </w:p>
        <w:p w14:paraId="095D71E2" w14:textId="77777777" w:rsidR="00A72774" w:rsidRPr="00F70ED4" w:rsidRDefault="00A72774" w:rsidP="00F70ED4">
          <w:pPr>
            <w:pStyle w:val="TOC2"/>
          </w:pPr>
          <w:hyperlink w:anchor="_Toc237291884" w:history="1">
            <w:r w:rsidRPr="00F70ED4">
              <w:rPr>
                <w:rStyle w:val="Hyperlink"/>
              </w:rPr>
              <w:t>2.2 Empathise</w:t>
            </w:r>
            <w:r w:rsidRPr="00F70ED4">
              <w:rPr>
                <w:webHidden/>
              </w:rPr>
              <w:tab/>
            </w:r>
            <w:r w:rsidRPr="00F70ED4">
              <w:rPr>
                <w:webHidden/>
              </w:rPr>
              <w:fldChar w:fldCharType="begin"/>
            </w:r>
            <w:r w:rsidRPr="00F70ED4">
              <w:rPr>
                <w:webHidden/>
              </w:rPr>
              <w:instrText xml:space="preserve"> PAGEREF _Toc237291884 \h </w:instrText>
            </w:r>
            <w:r w:rsidRPr="00F70ED4">
              <w:rPr>
                <w:webHidden/>
              </w:rPr>
            </w:r>
            <w:r w:rsidRPr="00F70ED4">
              <w:rPr>
                <w:webHidden/>
              </w:rPr>
              <w:fldChar w:fldCharType="separate"/>
            </w:r>
            <w:r w:rsidRPr="00F70ED4">
              <w:rPr>
                <w:webHidden/>
              </w:rPr>
              <w:t>10</w:t>
            </w:r>
            <w:r w:rsidRPr="00F70ED4">
              <w:rPr>
                <w:webHidden/>
              </w:rPr>
              <w:fldChar w:fldCharType="end"/>
            </w:r>
          </w:hyperlink>
        </w:p>
        <w:p w14:paraId="60E6B02F" w14:textId="77777777" w:rsidR="00A72774" w:rsidRPr="00F70ED4" w:rsidRDefault="00A72774" w:rsidP="00F70ED4">
          <w:pPr>
            <w:pStyle w:val="TOC2"/>
          </w:pPr>
          <w:hyperlink w:anchor="_Toc237291888" w:history="1">
            <w:r w:rsidRPr="00F70ED4">
              <w:rPr>
                <w:rStyle w:val="Hyperlink"/>
              </w:rPr>
              <w:t>2.3 Define</w:t>
            </w:r>
            <w:r w:rsidRPr="00F70ED4">
              <w:rPr>
                <w:webHidden/>
              </w:rPr>
              <w:tab/>
            </w:r>
            <w:r w:rsidRPr="00F70ED4">
              <w:rPr>
                <w:webHidden/>
              </w:rPr>
              <w:fldChar w:fldCharType="begin"/>
            </w:r>
            <w:r w:rsidRPr="00F70ED4">
              <w:rPr>
                <w:webHidden/>
              </w:rPr>
              <w:instrText xml:space="preserve"> PAGEREF _Toc237291888 \h </w:instrText>
            </w:r>
            <w:r w:rsidRPr="00F70ED4">
              <w:rPr>
                <w:webHidden/>
              </w:rPr>
            </w:r>
            <w:r w:rsidRPr="00F70ED4">
              <w:rPr>
                <w:webHidden/>
              </w:rPr>
              <w:fldChar w:fldCharType="separate"/>
            </w:r>
            <w:r w:rsidRPr="00F70ED4">
              <w:rPr>
                <w:webHidden/>
              </w:rPr>
              <w:t>11</w:t>
            </w:r>
            <w:r w:rsidRPr="00F70ED4">
              <w:rPr>
                <w:webHidden/>
              </w:rPr>
              <w:fldChar w:fldCharType="end"/>
            </w:r>
          </w:hyperlink>
        </w:p>
        <w:p w14:paraId="0D01E70D" w14:textId="77777777" w:rsidR="00A72774" w:rsidRPr="00F70ED4" w:rsidRDefault="00A72774" w:rsidP="00F70ED4">
          <w:pPr>
            <w:pStyle w:val="TOC2"/>
          </w:pPr>
          <w:hyperlink w:anchor="_Toc237291891" w:history="1">
            <w:r w:rsidRPr="00F70ED4">
              <w:rPr>
                <w:rStyle w:val="Hyperlink"/>
              </w:rPr>
              <w:t>2.4 Ideate</w:t>
            </w:r>
            <w:r w:rsidRPr="00F70ED4">
              <w:rPr>
                <w:webHidden/>
              </w:rPr>
              <w:tab/>
            </w:r>
            <w:r w:rsidRPr="00F70ED4">
              <w:rPr>
                <w:webHidden/>
              </w:rPr>
              <w:fldChar w:fldCharType="begin"/>
            </w:r>
            <w:r w:rsidRPr="00F70ED4">
              <w:rPr>
                <w:webHidden/>
              </w:rPr>
              <w:instrText xml:space="preserve"> PAGEREF _Toc237291891 \h </w:instrText>
            </w:r>
            <w:r w:rsidRPr="00F70ED4">
              <w:rPr>
                <w:webHidden/>
              </w:rPr>
            </w:r>
            <w:r w:rsidRPr="00F70ED4">
              <w:rPr>
                <w:webHidden/>
              </w:rPr>
              <w:fldChar w:fldCharType="separate"/>
            </w:r>
            <w:r w:rsidRPr="00F70ED4">
              <w:rPr>
                <w:webHidden/>
              </w:rPr>
              <w:t>11</w:t>
            </w:r>
            <w:r w:rsidRPr="00F70ED4">
              <w:rPr>
                <w:webHidden/>
              </w:rPr>
              <w:fldChar w:fldCharType="end"/>
            </w:r>
          </w:hyperlink>
        </w:p>
        <w:p w14:paraId="1D098763" w14:textId="77777777" w:rsidR="00A72774" w:rsidRPr="00F70ED4" w:rsidRDefault="00A72774" w:rsidP="00F70ED4">
          <w:pPr>
            <w:pStyle w:val="TOC2"/>
          </w:pPr>
          <w:hyperlink w:anchor="_Toc237291895" w:history="1">
            <w:r w:rsidRPr="00F70ED4">
              <w:rPr>
                <w:rStyle w:val="Hyperlink"/>
              </w:rPr>
              <w:t>2.5 Prototype</w:t>
            </w:r>
            <w:r w:rsidRPr="00F70ED4">
              <w:rPr>
                <w:webHidden/>
              </w:rPr>
              <w:tab/>
            </w:r>
            <w:r w:rsidRPr="00F70ED4">
              <w:rPr>
                <w:webHidden/>
              </w:rPr>
              <w:fldChar w:fldCharType="begin"/>
            </w:r>
            <w:r w:rsidRPr="00F70ED4">
              <w:rPr>
                <w:webHidden/>
              </w:rPr>
              <w:instrText xml:space="preserve"> PAGEREF _Toc237291895 \h </w:instrText>
            </w:r>
            <w:r w:rsidRPr="00F70ED4">
              <w:rPr>
                <w:webHidden/>
              </w:rPr>
            </w:r>
            <w:r w:rsidRPr="00F70ED4">
              <w:rPr>
                <w:webHidden/>
              </w:rPr>
              <w:fldChar w:fldCharType="separate"/>
            </w:r>
            <w:r w:rsidRPr="00F70ED4">
              <w:rPr>
                <w:webHidden/>
              </w:rPr>
              <w:t>12</w:t>
            </w:r>
            <w:r w:rsidRPr="00F70ED4">
              <w:rPr>
                <w:webHidden/>
              </w:rPr>
              <w:fldChar w:fldCharType="end"/>
            </w:r>
          </w:hyperlink>
        </w:p>
        <w:p w14:paraId="119B9425" w14:textId="77777777" w:rsidR="00A72774" w:rsidRPr="00F70ED4" w:rsidRDefault="00A72774" w:rsidP="00F70ED4">
          <w:pPr>
            <w:pStyle w:val="TOC2"/>
          </w:pPr>
          <w:hyperlink w:anchor="_Toc237291899" w:history="1">
            <w:r w:rsidRPr="00F70ED4">
              <w:rPr>
                <w:rStyle w:val="Hyperlink"/>
              </w:rPr>
              <w:t>2.6 Test</w:t>
            </w:r>
            <w:r w:rsidRPr="00F70ED4">
              <w:rPr>
                <w:webHidden/>
              </w:rPr>
              <w:tab/>
            </w:r>
            <w:r w:rsidRPr="00F70ED4">
              <w:rPr>
                <w:webHidden/>
              </w:rPr>
              <w:fldChar w:fldCharType="begin"/>
            </w:r>
            <w:r w:rsidRPr="00F70ED4">
              <w:rPr>
                <w:webHidden/>
              </w:rPr>
              <w:instrText xml:space="preserve"> PAGEREF _Toc237291899 \h </w:instrText>
            </w:r>
            <w:r w:rsidRPr="00F70ED4">
              <w:rPr>
                <w:webHidden/>
              </w:rPr>
            </w:r>
            <w:r w:rsidRPr="00F70ED4">
              <w:rPr>
                <w:webHidden/>
              </w:rPr>
              <w:fldChar w:fldCharType="separate"/>
            </w:r>
            <w:r w:rsidRPr="00F70ED4">
              <w:rPr>
                <w:webHidden/>
              </w:rPr>
              <w:t>13</w:t>
            </w:r>
            <w:r w:rsidRPr="00F70ED4">
              <w:rPr>
                <w:webHidden/>
              </w:rPr>
              <w:fldChar w:fldCharType="end"/>
            </w:r>
          </w:hyperlink>
          <w:hyperlink w:anchor="_Toc237291903" w:history="1"/>
        </w:p>
        <w:p w14:paraId="188F053E" w14:textId="77777777" w:rsidR="00A72774" w:rsidRPr="00F70ED4" w:rsidRDefault="00A72774" w:rsidP="00F70ED4">
          <w:pPr>
            <w:pStyle w:val="TOC2"/>
          </w:pPr>
          <w:hyperlink w:anchor="_Toc237291904" w:history="1">
            <w:r w:rsidRPr="00F70ED4">
              <w:rPr>
                <w:rStyle w:val="Hyperlink"/>
              </w:rPr>
              <w:t>2.7 Conclusion</w:t>
            </w:r>
            <w:r w:rsidRPr="00F70ED4">
              <w:rPr>
                <w:webHidden/>
              </w:rPr>
              <w:tab/>
            </w:r>
            <w:r w:rsidRPr="00F70ED4">
              <w:rPr>
                <w:webHidden/>
              </w:rPr>
              <w:fldChar w:fldCharType="begin"/>
            </w:r>
            <w:r w:rsidRPr="00F70ED4">
              <w:rPr>
                <w:webHidden/>
              </w:rPr>
              <w:instrText xml:space="preserve"> PAGEREF _Toc237291904 \h </w:instrText>
            </w:r>
            <w:r w:rsidRPr="00F70ED4">
              <w:rPr>
                <w:webHidden/>
              </w:rPr>
            </w:r>
            <w:r w:rsidRPr="00F70ED4">
              <w:rPr>
                <w:webHidden/>
              </w:rPr>
              <w:fldChar w:fldCharType="separate"/>
            </w:r>
            <w:r w:rsidRPr="00F70ED4">
              <w:rPr>
                <w:webHidden/>
              </w:rPr>
              <w:t>14</w:t>
            </w:r>
            <w:r w:rsidRPr="00F70ED4">
              <w:rPr>
                <w:webHidden/>
              </w:rPr>
              <w:fldChar w:fldCharType="end"/>
            </w:r>
          </w:hyperlink>
        </w:p>
        <w:p w14:paraId="41C8DF09" w14:textId="77777777" w:rsidR="00A72774" w:rsidRPr="00F70ED4" w:rsidRDefault="00A72774" w:rsidP="00FD5F68">
          <w:pPr>
            <w:pStyle w:val="TOC1"/>
            <w:tabs>
              <w:tab w:val="right" w:leader="dot" w:pos="9016"/>
            </w:tabs>
            <w:spacing w:line="360" w:lineRule="auto"/>
            <w:rPr>
              <w:b w:val="0"/>
              <w:bCs w:val="0"/>
              <w:noProof/>
            </w:rPr>
          </w:pPr>
          <w:hyperlink w:anchor="_Toc237291905" w:history="1">
            <w:r w:rsidRPr="00F70ED4">
              <w:rPr>
                <w:rStyle w:val="Hyperlink"/>
                <w:rFonts w:eastAsia="Arial"/>
                <w:b w:val="0"/>
                <w:bCs w:val="0"/>
                <w:noProof/>
              </w:rPr>
              <w:t>Reference List</w:t>
            </w:r>
            <w:r w:rsidRPr="00F70ED4">
              <w:rPr>
                <w:b w:val="0"/>
                <w:bCs w:val="0"/>
                <w:noProof/>
                <w:webHidden/>
              </w:rPr>
              <w:tab/>
            </w:r>
            <w:r w:rsidRPr="00F70ED4">
              <w:rPr>
                <w:b w:val="0"/>
                <w:bCs w:val="0"/>
                <w:noProof/>
                <w:webHidden/>
              </w:rPr>
              <w:fldChar w:fldCharType="begin"/>
            </w:r>
            <w:r w:rsidRPr="00F70ED4">
              <w:rPr>
                <w:b w:val="0"/>
                <w:bCs w:val="0"/>
                <w:noProof/>
                <w:webHidden/>
              </w:rPr>
              <w:instrText xml:space="preserve"> PAGEREF _Toc237291905 \h </w:instrText>
            </w:r>
            <w:r w:rsidRPr="00F70ED4">
              <w:rPr>
                <w:b w:val="0"/>
                <w:bCs w:val="0"/>
                <w:noProof/>
                <w:webHidden/>
              </w:rPr>
            </w:r>
            <w:r w:rsidRPr="00F70ED4">
              <w:rPr>
                <w:b w:val="0"/>
                <w:bCs w:val="0"/>
                <w:noProof/>
                <w:webHidden/>
              </w:rPr>
              <w:fldChar w:fldCharType="separate"/>
            </w:r>
            <w:r w:rsidRPr="00F70ED4">
              <w:rPr>
                <w:b w:val="0"/>
                <w:bCs w:val="0"/>
                <w:noProof/>
                <w:webHidden/>
              </w:rPr>
              <w:t>16</w:t>
            </w:r>
            <w:r w:rsidRPr="00F70ED4">
              <w:rPr>
                <w:b w:val="0"/>
                <w:bCs w:val="0"/>
                <w:noProof/>
                <w:webHidden/>
              </w:rPr>
              <w:fldChar w:fldCharType="end"/>
            </w:r>
          </w:hyperlink>
        </w:p>
        <w:p w14:paraId="522128FF" w14:textId="77777777" w:rsidR="00A72774" w:rsidRDefault="00A72774" w:rsidP="00FD5F68">
          <w:pPr>
            <w:spacing w:line="360" w:lineRule="auto"/>
          </w:pPr>
          <w:r w:rsidRPr="00FD5F68">
            <w:rPr>
              <w:b/>
              <w:bCs/>
              <w:noProof/>
              <w:sz w:val="24"/>
              <w:szCs w:val="24"/>
            </w:rPr>
            <w:fldChar w:fldCharType="end"/>
          </w:r>
        </w:p>
      </w:sdtContent>
    </w:sdt>
    <w:p w14:paraId="5D2E9879" w14:textId="77777777" w:rsidR="00A72774" w:rsidRDefault="00A72774" w:rsidP="00257D15">
      <w:pPr>
        <w:pStyle w:val="Heading1"/>
        <w:spacing w:before="300" w:after="200" w:line="360" w:lineRule="auto"/>
        <w:jc w:val="both"/>
        <w:rPr>
          <w:rFonts w:eastAsia="Arial"/>
          <w:b/>
          <w:bCs/>
          <w:color w:val="000000"/>
          <w:sz w:val="24"/>
          <w:szCs w:val="24"/>
        </w:rPr>
      </w:pPr>
    </w:p>
    <w:p w14:paraId="5F9C51FE" w14:textId="77777777" w:rsidR="00A72774" w:rsidRDefault="00A72774" w:rsidP="00257D15">
      <w:pPr>
        <w:pStyle w:val="Heading1"/>
        <w:spacing w:before="300" w:after="200" w:line="360" w:lineRule="auto"/>
        <w:jc w:val="both"/>
        <w:rPr>
          <w:rFonts w:eastAsia="Arial"/>
          <w:b/>
          <w:bCs/>
          <w:color w:val="000000"/>
          <w:sz w:val="24"/>
          <w:szCs w:val="24"/>
        </w:rPr>
      </w:pPr>
    </w:p>
    <w:p w14:paraId="0B0256AB" w14:textId="77777777" w:rsidR="00A72774" w:rsidRDefault="00A72774" w:rsidP="00257D15">
      <w:pPr>
        <w:pStyle w:val="Heading1"/>
        <w:spacing w:before="300" w:after="200" w:line="360" w:lineRule="auto"/>
        <w:jc w:val="both"/>
        <w:rPr>
          <w:rFonts w:eastAsia="Arial"/>
          <w:b/>
          <w:bCs/>
          <w:color w:val="000000"/>
          <w:sz w:val="24"/>
          <w:szCs w:val="24"/>
        </w:rPr>
      </w:pPr>
    </w:p>
    <w:p w14:paraId="73C385FB" w14:textId="77777777" w:rsidR="00A72774" w:rsidRDefault="00A72774" w:rsidP="00257D15">
      <w:pPr>
        <w:pStyle w:val="Heading1"/>
        <w:spacing w:before="300" w:after="200" w:line="360" w:lineRule="auto"/>
        <w:jc w:val="both"/>
        <w:rPr>
          <w:rFonts w:eastAsia="Arial"/>
          <w:b/>
          <w:bCs/>
          <w:color w:val="000000"/>
          <w:sz w:val="24"/>
          <w:szCs w:val="24"/>
        </w:rPr>
      </w:pPr>
    </w:p>
    <w:p w14:paraId="2EF7E04D" w14:textId="77777777" w:rsidR="00A72774" w:rsidRDefault="00A72774" w:rsidP="00257D15">
      <w:pPr>
        <w:pStyle w:val="Heading1"/>
        <w:spacing w:before="300" w:after="200" w:line="360" w:lineRule="auto"/>
        <w:jc w:val="both"/>
        <w:rPr>
          <w:rFonts w:eastAsia="Arial"/>
          <w:b/>
          <w:bCs/>
          <w:color w:val="000000"/>
          <w:sz w:val="24"/>
          <w:szCs w:val="24"/>
        </w:rPr>
      </w:pPr>
    </w:p>
    <w:p w14:paraId="7664B606" w14:textId="77777777" w:rsidR="00A72774" w:rsidRDefault="00A72774" w:rsidP="00257D15">
      <w:pPr>
        <w:pStyle w:val="Heading1"/>
        <w:spacing w:before="300" w:after="200" w:line="360" w:lineRule="auto"/>
        <w:jc w:val="both"/>
        <w:rPr>
          <w:rFonts w:eastAsia="Arial"/>
          <w:b/>
          <w:bCs/>
          <w:color w:val="000000"/>
          <w:sz w:val="24"/>
          <w:szCs w:val="24"/>
        </w:rPr>
      </w:pPr>
    </w:p>
    <w:p w14:paraId="10A7EC09" w14:textId="77777777" w:rsidR="008252A7" w:rsidRPr="00257D15" w:rsidRDefault="00000000" w:rsidP="00257D15">
      <w:pPr>
        <w:pStyle w:val="Heading1"/>
        <w:spacing w:before="300" w:after="200" w:line="360" w:lineRule="auto"/>
        <w:jc w:val="both"/>
        <w:rPr>
          <w:sz w:val="24"/>
          <w:szCs w:val="24"/>
        </w:rPr>
      </w:pPr>
      <w:bookmarkStart w:id="0" w:name="_Toc237291871"/>
      <w:r w:rsidRPr="00257D15">
        <w:rPr>
          <w:rFonts w:eastAsia="Arial"/>
          <w:b/>
          <w:bCs/>
          <w:color w:val="000000"/>
          <w:sz w:val="24"/>
          <w:szCs w:val="24"/>
        </w:rPr>
        <w:lastRenderedPageBreak/>
        <w:t>Task 1: Identifying and Justifying Innovation Opportunities in the UK Market</w:t>
      </w:r>
      <w:bookmarkEnd w:id="0"/>
    </w:p>
    <w:p w14:paraId="1516BF75" w14:textId="77777777" w:rsidR="008252A7" w:rsidRPr="00257D15" w:rsidRDefault="00000000" w:rsidP="00257D15">
      <w:pPr>
        <w:pStyle w:val="Heading2"/>
        <w:spacing w:before="240" w:after="160" w:line="360" w:lineRule="auto"/>
        <w:jc w:val="both"/>
        <w:rPr>
          <w:sz w:val="24"/>
          <w:szCs w:val="24"/>
        </w:rPr>
      </w:pPr>
      <w:bookmarkStart w:id="1" w:name="_Toc237291872"/>
      <w:r w:rsidRPr="00257D15">
        <w:rPr>
          <w:rFonts w:eastAsia="Arial"/>
          <w:b/>
          <w:bCs/>
          <w:color w:val="000000"/>
          <w:sz w:val="24"/>
          <w:szCs w:val="24"/>
        </w:rPr>
        <w:t>1.1 Introduction</w:t>
      </w:r>
      <w:bookmarkEnd w:id="1"/>
    </w:p>
    <w:p w14:paraId="24BBA919" w14:textId="77777777" w:rsidR="008252A7" w:rsidRPr="00257D15" w:rsidRDefault="00000000" w:rsidP="00257D15">
      <w:pPr>
        <w:spacing w:after="200" w:line="360" w:lineRule="auto"/>
        <w:jc w:val="both"/>
        <w:rPr>
          <w:sz w:val="24"/>
          <w:szCs w:val="24"/>
        </w:rPr>
      </w:pPr>
      <w:r w:rsidRPr="00257D15">
        <w:rPr>
          <w:rFonts w:eastAsia="Arial"/>
          <w:sz w:val="24"/>
          <w:szCs w:val="24"/>
        </w:rPr>
        <w:t xml:space="preserve">The United Kingdom's retail and service economy has undergone a structural shift toward digital channels over the past decade. Online spending accounted for approximately 28.3% of total retail sales in Great Britain by December 2025, having risen sharply from a pre-pandemic baseline of around 20% (Office for National Statistics, 2026a; 2026b). This transformation, however, has not been experienced evenly. </w:t>
      </w:r>
      <w:r w:rsidR="00D36986" w:rsidRPr="00257D15">
        <w:rPr>
          <w:rFonts w:eastAsia="Arial"/>
          <w:sz w:val="24"/>
          <w:szCs w:val="24"/>
        </w:rPr>
        <w:t>Other groups, such as small and medium-size enterprises (SMEs) that are less digitally capable, independent retailers, rural consumers, and the delivery services that cater to them, have largely missed out on the gains of digital marketing and delivery app usage and development—nor have they been able to close the capability and infrastructure gap that has opened up (Department for Business and Trade, 2025). In this section, using design thinking as an analytical lens, the innovation opportunity seen as the most compelling for a new UK venture is identified and justified. The discussion is broken down into the four criteria listed in the brief: user pain points, market gaps, technological enablers and scalability and sustainability, and ends with evidence of causal mapping and brainstorming to test and justify the conclusion. Instead of e-commerce platforms, digital marketing, retail</w:t>
      </w:r>
      <w:r w:rsidR="00C07606">
        <w:rPr>
          <w:rFonts w:eastAsia="Arial"/>
          <w:sz w:val="24"/>
          <w:szCs w:val="24"/>
        </w:rPr>
        <w:t xml:space="preserve"> </w:t>
      </w:r>
      <w:r w:rsidR="00D36986" w:rsidRPr="00257D15">
        <w:rPr>
          <w:rFonts w:eastAsia="Arial"/>
          <w:sz w:val="24"/>
          <w:szCs w:val="24"/>
        </w:rPr>
        <w:t>management software, digital payments</w:t>
      </w:r>
      <w:r w:rsidR="00C07606">
        <w:rPr>
          <w:rFonts w:eastAsia="Arial"/>
          <w:sz w:val="24"/>
          <w:szCs w:val="24"/>
        </w:rPr>
        <w:t>,</w:t>
      </w:r>
      <w:r w:rsidR="00D36986" w:rsidRPr="00257D15">
        <w:rPr>
          <w:rFonts w:eastAsia="Arial"/>
          <w:sz w:val="24"/>
          <w:szCs w:val="24"/>
        </w:rPr>
        <w:t xml:space="preserve"> and last-mile delivery being checked off the list, the areas are contrasted and assessed against each other, and the best one is argued for and against with evidence.</w:t>
      </w:r>
    </w:p>
    <w:p w14:paraId="4E52E365" w14:textId="77777777" w:rsidR="008252A7" w:rsidRPr="00257D15" w:rsidRDefault="00000000" w:rsidP="00257D15">
      <w:pPr>
        <w:pStyle w:val="Heading2"/>
        <w:spacing w:before="240" w:after="160" w:line="360" w:lineRule="auto"/>
        <w:jc w:val="both"/>
        <w:rPr>
          <w:sz w:val="24"/>
          <w:szCs w:val="24"/>
        </w:rPr>
      </w:pPr>
      <w:bookmarkStart w:id="2" w:name="_Toc237291873"/>
      <w:r w:rsidRPr="00257D15">
        <w:rPr>
          <w:rFonts w:eastAsia="Arial"/>
          <w:b/>
          <w:bCs/>
          <w:color w:val="000000"/>
          <w:sz w:val="24"/>
          <w:szCs w:val="24"/>
        </w:rPr>
        <w:t>1.2 User Pain Points</w:t>
      </w:r>
      <w:bookmarkEnd w:id="2"/>
    </w:p>
    <w:p w14:paraId="5CEA8630" w14:textId="77777777" w:rsidR="00D36986" w:rsidRPr="00257D15" w:rsidRDefault="00000000" w:rsidP="00257D15">
      <w:pPr>
        <w:spacing w:after="200" w:line="360" w:lineRule="auto"/>
        <w:jc w:val="both"/>
        <w:rPr>
          <w:rFonts w:eastAsia="Arial"/>
          <w:sz w:val="24"/>
          <w:szCs w:val="24"/>
        </w:rPr>
      </w:pPr>
      <w:r w:rsidRPr="00257D15">
        <w:rPr>
          <w:rFonts w:eastAsia="Arial"/>
          <w:sz w:val="24"/>
          <w:szCs w:val="24"/>
        </w:rPr>
        <w:t xml:space="preserve">Design thinking begins with empathy for the people experiencing a problem, reframing analysis around lived user experience rather than abstract market categories (Brown, 2008; Dam and Siang, 2020). </w:t>
      </w:r>
      <w:r w:rsidR="00D36986" w:rsidRPr="00257D15">
        <w:rPr>
          <w:rFonts w:eastAsia="Arial"/>
          <w:sz w:val="24"/>
          <w:szCs w:val="24"/>
        </w:rPr>
        <w:t>The short considers the following different, but connected user groups: SMEs, retailers, rural consumers, delivery services and other service businesses; and each has a different dimension of the same problem.</w:t>
      </w:r>
    </w:p>
    <w:p w14:paraId="2C2AB9E1" w14:textId="77777777" w:rsidR="00D36986" w:rsidRPr="00257D15" w:rsidRDefault="00D36986" w:rsidP="00257D15">
      <w:pPr>
        <w:spacing w:after="200" w:line="360" w:lineRule="auto"/>
        <w:jc w:val="both"/>
        <w:rPr>
          <w:rFonts w:eastAsia="Arial"/>
          <w:sz w:val="24"/>
          <w:szCs w:val="24"/>
        </w:rPr>
      </w:pPr>
      <w:r w:rsidRPr="00257D15">
        <w:rPr>
          <w:rFonts w:eastAsia="Arial"/>
          <w:sz w:val="24"/>
          <w:szCs w:val="24"/>
        </w:rPr>
        <w:t xml:space="preserve">Capability is the key concern for the SME owner, not awareness. In fact, the UK Government's own SME Digital Adoption Taskforce reported that while the majority of the UK's 5.5 million SMEs understand the importance of digital tools, adoption is “patchy”, often due to software being “too complex or built for larger enterprises” and owners not having enough time, confidence or skills to use it correctly (Department for Business and Trade, 2025). Similar evidence exists in Europe: </w:t>
      </w:r>
      <w:proofErr w:type="spellStart"/>
      <w:r w:rsidRPr="00257D15">
        <w:rPr>
          <w:rFonts w:eastAsia="Arial"/>
          <w:sz w:val="24"/>
          <w:szCs w:val="24"/>
        </w:rPr>
        <w:t>Eurofound</w:t>
      </w:r>
      <w:proofErr w:type="spellEnd"/>
      <w:r w:rsidRPr="00257D15">
        <w:rPr>
          <w:rFonts w:eastAsia="Arial"/>
          <w:sz w:val="24"/>
          <w:szCs w:val="24"/>
        </w:rPr>
        <w:t xml:space="preserve"> (2025) identified that there are also some persistent gaps </w:t>
      </w:r>
      <w:r w:rsidRPr="00257D15">
        <w:rPr>
          <w:rFonts w:eastAsia="Arial"/>
          <w:sz w:val="24"/>
          <w:szCs w:val="24"/>
        </w:rPr>
        <w:lastRenderedPageBreak/>
        <w:t>around adoption of e</w:t>
      </w:r>
      <w:r w:rsidR="00C7286D">
        <w:rPr>
          <w:rFonts w:eastAsia="Arial"/>
          <w:sz w:val="24"/>
          <w:szCs w:val="24"/>
        </w:rPr>
        <w:t>-</w:t>
      </w:r>
      <w:r w:rsidRPr="00257D15">
        <w:rPr>
          <w:rFonts w:eastAsia="Arial"/>
          <w:sz w:val="24"/>
          <w:szCs w:val="24"/>
        </w:rPr>
        <w:t>commerce and artificial intelligence among SMEs, mostly due to lack of infrastructure, financing and digital skills, not so much due to lack of need or demand for digital tools. It's a big difference when it comes to entrepreneurial opportunity identification</w:t>
      </w:r>
      <w:r w:rsidR="00C07606">
        <w:rPr>
          <w:rFonts w:eastAsia="Arial"/>
          <w:sz w:val="24"/>
          <w:szCs w:val="24"/>
        </w:rPr>
        <w:t>,</w:t>
      </w:r>
      <w:r w:rsidRPr="00257D15">
        <w:rPr>
          <w:rFonts w:eastAsia="Arial"/>
          <w:sz w:val="24"/>
          <w:szCs w:val="24"/>
        </w:rPr>
        <w:t xml:space="preserve"> as it changes the problem from "which platform to build" to "who will configure, maintain and be trusted to support it" - and moves the opportunity space from software products towards enabling services.</w:t>
      </w:r>
    </w:p>
    <w:p w14:paraId="7E29A96D" w14:textId="77777777" w:rsidR="00D36986" w:rsidRPr="00257D15" w:rsidRDefault="00D36986" w:rsidP="00257D15">
      <w:pPr>
        <w:spacing w:after="200" w:line="360" w:lineRule="auto"/>
        <w:jc w:val="both"/>
        <w:rPr>
          <w:rFonts w:eastAsia="Arial"/>
          <w:sz w:val="24"/>
          <w:szCs w:val="24"/>
        </w:rPr>
      </w:pPr>
      <w:r w:rsidRPr="00257D15">
        <w:rPr>
          <w:rFonts w:eastAsia="Arial"/>
          <w:sz w:val="24"/>
          <w:szCs w:val="24"/>
        </w:rPr>
        <w:t>The pain point is more fundamental for rural consumers and rural-based small businesses—it's an infrastructural, geographic issue. Although there has been significant government investment, with more than £1.3 billion pledged for the Project Gigabit rural rollout by 2024, the rural rollout is significantly behind urban areas</w:t>
      </w:r>
      <w:r w:rsidR="00FB654D">
        <w:rPr>
          <w:rFonts w:eastAsia="Arial"/>
          <w:sz w:val="24"/>
          <w:szCs w:val="24"/>
        </w:rPr>
        <w:t>,</w:t>
      </w:r>
      <w:r w:rsidRPr="00257D15">
        <w:rPr>
          <w:rFonts w:eastAsia="Arial"/>
          <w:sz w:val="24"/>
          <w:szCs w:val="24"/>
        </w:rPr>
        <w:t xml:space="preserve"> and 47% of rural businesses say connectivity restrictions are holding them back from using e-commerce (The Interface, 2025; Interaction Service Providers Association, 2024). A Parliamentary Communications and Digital Committee inquiry also found that ongoing digital exclusion is a threat to the government's aspirations of growth, with some households cutting back on or even discontinuing broadband and mobile data usage as a result of rising costs of living (PDMS, 2024). Outside dense urban catchments, the cost of delivering parcels to rural consumers is disproportionately high and unreliable due to low parcel density over long</w:t>
      </w:r>
      <w:r w:rsidR="00FB654D">
        <w:rPr>
          <w:rFonts w:eastAsia="Arial"/>
          <w:sz w:val="24"/>
          <w:szCs w:val="24"/>
        </w:rPr>
        <w:t>-</w:t>
      </w:r>
      <w:r w:rsidRPr="00257D15">
        <w:rPr>
          <w:rFonts w:eastAsia="Arial"/>
          <w:sz w:val="24"/>
          <w:szCs w:val="24"/>
        </w:rPr>
        <w:t>distance delivery routes, which reduces courier margins and is a disincentive to investing in rural delivery infrastructure (</w:t>
      </w:r>
      <w:proofErr w:type="spellStart"/>
      <w:r w:rsidRPr="00257D15">
        <w:rPr>
          <w:rFonts w:eastAsia="Arial"/>
          <w:sz w:val="24"/>
          <w:szCs w:val="24"/>
        </w:rPr>
        <w:t>AntsRoute</w:t>
      </w:r>
      <w:proofErr w:type="spellEnd"/>
      <w:r w:rsidRPr="00257D15">
        <w:rPr>
          <w:rFonts w:eastAsia="Arial"/>
          <w:sz w:val="24"/>
          <w:szCs w:val="24"/>
        </w:rPr>
        <w:t>, 2025).</w:t>
      </w:r>
    </w:p>
    <w:p w14:paraId="1F55BFBF" w14:textId="77777777" w:rsidR="00D36986" w:rsidRPr="00257D15" w:rsidRDefault="00D36986" w:rsidP="00257D15">
      <w:pPr>
        <w:spacing w:after="200" w:line="360" w:lineRule="auto"/>
        <w:jc w:val="both"/>
        <w:rPr>
          <w:rFonts w:eastAsia="Arial"/>
          <w:sz w:val="24"/>
          <w:szCs w:val="24"/>
        </w:rPr>
      </w:pPr>
      <w:r w:rsidRPr="00257D15">
        <w:rPr>
          <w:rFonts w:eastAsia="Arial"/>
          <w:sz w:val="24"/>
          <w:szCs w:val="24"/>
        </w:rPr>
        <w:t xml:space="preserve">Cost inflation for delivery and logistics operators, and as a consequence, for the retailers who rely on them, is the pain point. According to a 2025 European survey by DS Smith, 84% of all ecommerce businesses saw their last mile delivery costs increase in 2024, and nearly 40% of those businesses reported increases of more than 10% (Parcel and Postal Technology International, 2025), and a study cited by </w:t>
      </w:r>
      <w:proofErr w:type="spellStart"/>
      <w:r w:rsidRPr="00257D15">
        <w:rPr>
          <w:rFonts w:eastAsia="Arial"/>
          <w:sz w:val="24"/>
          <w:szCs w:val="24"/>
        </w:rPr>
        <w:t>AntsRoute</w:t>
      </w:r>
      <w:proofErr w:type="spellEnd"/>
      <w:r w:rsidRPr="00257D15">
        <w:rPr>
          <w:rFonts w:eastAsia="Arial"/>
          <w:sz w:val="24"/>
          <w:szCs w:val="24"/>
        </w:rPr>
        <w:t xml:space="preserve"> (2025) found that the last mile cost more than half of the total delivery cost for nearly 60% of ecommerce businesses. This is exacerbated by structural pressures like the expansion of Clean Air Zones, congestion charging and the continuing lack of drivers (</w:t>
      </w:r>
      <w:proofErr w:type="spellStart"/>
      <w:r w:rsidRPr="00257D15">
        <w:rPr>
          <w:rFonts w:eastAsia="Arial"/>
          <w:sz w:val="24"/>
          <w:szCs w:val="24"/>
        </w:rPr>
        <w:t>Markwide</w:t>
      </w:r>
      <w:proofErr w:type="spellEnd"/>
      <w:r w:rsidRPr="00257D15">
        <w:rPr>
          <w:rFonts w:eastAsia="Arial"/>
          <w:sz w:val="24"/>
          <w:szCs w:val="24"/>
        </w:rPr>
        <w:t xml:space="preserve"> Research, 2026).</w:t>
      </w:r>
    </w:p>
    <w:p w14:paraId="37A9D3AF" w14:textId="77777777" w:rsidR="00D36986" w:rsidRPr="00257D15" w:rsidRDefault="00D36986" w:rsidP="00257D15">
      <w:pPr>
        <w:spacing w:after="200" w:line="360" w:lineRule="auto"/>
        <w:jc w:val="both"/>
        <w:rPr>
          <w:rFonts w:eastAsia="Arial"/>
          <w:sz w:val="24"/>
          <w:szCs w:val="24"/>
        </w:rPr>
      </w:pPr>
      <w:r w:rsidRPr="00257D15">
        <w:rPr>
          <w:rFonts w:eastAsia="Arial"/>
          <w:sz w:val="24"/>
          <w:szCs w:val="24"/>
        </w:rPr>
        <w:t xml:space="preserve">For other services (such as hotels, personal services and independent retail shops), the frustration is likely to be fragmented and comparatively expensive digital payment systems. While the UK's Open Banking framework is developing rapidly – with over 15 million active users by mid-2025, and payment-initiation application programming interface (API) calls up 53% year-on-year (Open Banking Limited, 2026a; 2026b) – many smaller merchants are reliant </w:t>
      </w:r>
      <w:r w:rsidRPr="00257D15">
        <w:rPr>
          <w:rFonts w:eastAsia="Arial"/>
          <w:sz w:val="24"/>
          <w:szCs w:val="24"/>
        </w:rPr>
        <w:lastRenderedPageBreak/>
        <w:t>on relatively high-cost card-acquiring arrangements and manual reconciliation processes, as the tools that would enable them to access lower cost account-to-account payment rails are geared toward larger enterprises (Straits Research, 2026).</w:t>
      </w:r>
    </w:p>
    <w:p w14:paraId="092ABD7D" w14:textId="77777777" w:rsidR="00D36986" w:rsidRDefault="00D36986" w:rsidP="00257D15">
      <w:pPr>
        <w:spacing w:after="200" w:line="360" w:lineRule="auto"/>
        <w:jc w:val="both"/>
        <w:rPr>
          <w:rFonts w:eastAsia="Arial"/>
          <w:sz w:val="24"/>
          <w:szCs w:val="24"/>
        </w:rPr>
      </w:pPr>
      <w:r w:rsidRPr="00257D15">
        <w:rPr>
          <w:rFonts w:eastAsia="Arial"/>
          <w:sz w:val="24"/>
          <w:szCs w:val="24"/>
        </w:rPr>
        <w:t>Together</w:t>
      </w:r>
      <w:r w:rsidR="00FB654D">
        <w:rPr>
          <w:rFonts w:eastAsia="Arial"/>
          <w:sz w:val="24"/>
          <w:szCs w:val="24"/>
        </w:rPr>
        <w:t>,</w:t>
      </w:r>
      <w:r w:rsidRPr="00257D15">
        <w:rPr>
          <w:rFonts w:eastAsia="Arial"/>
          <w:sz w:val="24"/>
          <w:szCs w:val="24"/>
        </w:rPr>
        <w:t xml:space="preserve"> these pain points coalesce around a single recurring problem: the "capability and cost" constraint, not the awareness or willingness to participate in digital across SMEs, rural consumers</w:t>
      </w:r>
      <w:r w:rsidR="00C07606">
        <w:rPr>
          <w:rFonts w:eastAsia="Arial"/>
          <w:sz w:val="24"/>
          <w:szCs w:val="24"/>
        </w:rPr>
        <w:t>,</w:t>
      </w:r>
      <w:r w:rsidRPr="00257D15">
        <w:rPr>
          <w:rFonts w:eastAsia="Arial"/>
          <w:sz w:val="24"/>
          <w:szCs w:val="24"/>
        </w:rPr>
        <w:t xml:space="preserve"> and logistics and payments systems.</w:t>
      </w:r>
    </w:p>
    <w:p w14:paraId="47B420E1" w14:textId="77777777" w:rsidR="00C07606" w:rsidRPr="00257D15" w:rsidRDefault="00C07606" w:rsidP="00257D15">
      <w:pPr>
        <w:spacing w:after="200" w:line="360" w:lineRule="auto"/>
        <w:jc w:val="both"/>
        <w:rPr>
          <w:rFonts w:eastAsia="Arial"/>
          <w:sz w:val="24"/>
          <w:szCs w:val="24"/>
        </w:rPr>
      </w:pPr>
    </w:p>
    <w:p w14:paraId="645E219E" w14:textId="77777777" w:rsidR="008252A7" w:rsidRPr="00257D15" w:rsidRDefault="00000000" w:rsidP="00257D15">
      <w:pPr>
        <w:spacing w:after="200" w:line="360" w:lineRule="auto"/>
        <w:jc w:val="both"/>
        <w:rPr>
          <w:sz w:val="24"/>
          <w:szCs w:val="24"/>
        </w:rPr>
      </w:pPr>
      <w:r w:rsidRPr="00257D15">
        <w:rPr>
          <w:rFonts w:eastAsia="Arial"/>
          <w:b/>
          <w:bCs/>
          <w:color w:val="000000"/>
          <w:sz w:val="24"/>
          <w:szCs w:val="24"/>
        </w:rPr>
        <w:t>1.3 Market Gaps</w:t>
      </w:r>
    </w:p>
    <w:p w14:paraId="0A3C87FD" w14:textId="77777777" w:rsidR="00D36986" w:rsidRPr="00257D15" w:rsidRDefault="00000000" w:rsidP="00257D15">
      <w:pPr>
        <w:spacing w:after="200" w:line="360" w:lineRule="auto"/>
        <w:jc w:val="both"/>
        <w:rPr>
          <w:rFonts w:eastAsia="Arial"/>
          <w:sz w:val="24"/>
          <w:szCs w:val="24"/>
        </w:rPr>
      </w:pPr>
      <w:r w:rsidRPr="00257D15">
        <w:rPr>
          <w:rFonts w:eastAsia="Arial"/>
          <w:sz w:val="24"/>
          <w:szCs w:val="24"/>
        </w:rPr>
        <w:t xml:space="preserve">Existing solutions have not closed these gaps for several structural reasons, and identifying why is essential to a critical rather than descriptive analysis. </w:t>
      </w:r>
      <w:r w:rsidR="00D36986" w:rsidRPr="00257D15">
        <w:rPr>
          <w:rFonts w:eastAsia="Arial"/>
          <w:sz w:val="24"/>
          <w:szCs w:val="24"/>
        </w:rPr>
        <w:t xml:space="preserve">First, e-commerce storefront platforms are generic and </w:t>
      </w:r>
      <w:r w:rsidR="00C07606">
        <w:rPr>
          <w:rFonts w:eastAsia="Arial"/>
          <w:sz w:val="24"/>
          <w:szCs w:val="24"/>
        </w:rPr>
        <w:t>merely</w:t>
      </w:r>
      <w:r w:rsidR="00D36986" w:rsidRPr="00257D15">
        <w:rPr>
          <w:rFonts w:eastAsia="Arial"/>
          <w:sz w:val="24"/>
          <w:szCs w:val="24"/>
        </w:rPr>
        <w:t xml:space="preserve"> an online sales layer without the associated operational capability – SMEs don't have that. The Taskforce's conclusion that tools are “too complex” or “built for larger enterprises” (Department for Business and Trade, 2025) suggests that at least some of the products are not designed for what is actually happening in the small-business environment.</w:t>
      </w:r>
    </w:p>
    <w:p w14:paraId="4F39A35D" w14:textId="77777777" w:rsidR="00D36986" w:rsidRPr="00257D15" w:rsidRDefault="00D36986" w:rsidP="00257D15">
      <w:pPr>
        <w:spacing w:after="200" w:line="360" w:lineRule="auto"/>
        <w:jc w:val="both"/>
        <w:rPr>
          <w:rFonts w:eastAsia="Arial"/>
          <w:sz w:val="24"/>
          <w:szCs w:val="24"/>
        </w:rPr>
      </w:pPr>
      <w:r w:rsidRPr="00257D15">
        <w:rPr>
          <w:rFonts w:eastAsia="Arial"/>
          <w:sz w:val="24"/>
          <w:szCs w:val="24"/>
        </w:rPr>
        <w:t xml:space="preserve">Second, within logistics, the market has primarily reacted to the increased cost of last-mile delivery by taking a more enterprise-level approach via a range of route-optimisation software ranging from dynamic routing platforms to AI-driven fleet management solutions (Capstone Logistics, 2025) that are largely beyond the reach of an individual rural SME and even a village retailer. What is lacking is a layer of aggregation that combines the demand of multiple small, geographically close businesses, so that a greater density of couriers translates to </w:t>
      </w:r>
      <w:r w:rsidR="007E069F">
        <w:rPr>
          <w:rFonts w:eastAsia="Arial"/>
          <w:sz w:val="24"/>
          <w:szCs w:val="24"/>
        </w:rPr>
        <w:t>fe</w:t>
      </w:r>
      <w:r w:rsidRPr="00257D15">
        <w:rPr>
          <w:rFonts w:eastAsia="Arial"/>
          <w:sz w:val="24"/>
          <w:szCs w:val="24"/>
        </w:rPr>
        <w:t>wer parcels per courier. The current regional/Community delivery pilots are not delivered as a scalable and replicable service (Logistics UK, 2024).</w:t>
      </w:r>
    </w:p>
    <w:p w14:paraId="713D184D" w14:textId="77777777" w:rsidR="00D36986" w:rsidRPr="00257D15" w:rsidRDefault="00D36986" w:rsidP="00257D15">
      <w:pPr>
        <w:spacing w:after="200" w:line="360" w:lineRule="auto"/>
        <w:jc w:val="both"/>
        <w:rPr>
          <w:rFonts w:eastAsia="Arial"/>
          <w:sz w:val="24"/>
          <w:szCs w:val="24"/>
        </w:rPr>
      </w:pPr>
      <w:r w:rsidRPr="00257D15">
        <w:rPr>
          <w:rFonts w:eastAsia="Arial"/>
          <w:sz w:val="24"/>
          <w:szCs w:val="24"/>
        </w:rPr>
        <w:t>Third, within digital payments, ‘pay-by-bank' options enabled by Open Banking are gaining traction quickly from major platforms like Amazon and eBay (Open Banking Limited, 2026a), whereas the smaller payment merchants market segment, which is likely to benefit the most from reduced fees, is progressing more slowly, with integration tools for SMEs still in their infancy (365 Finance UK, 2026).</w:t>
      </w:r>
    </w:p>
    <w:p w14:paraId="4FDA22EE" w14:textId="77777777" w:rsidR="00D36986" w:rsidRPr="00257D15" w:rsidRDefault="00D36986" w:rsidP="00257D15">
      <w:pPr>
        <w:spacing w:after="200" w:line="360" w:lineRule="auto"/>
        <w:jc w:val="both"/>
        <w:rPr>
          <w:rFonts w:eastAsia="Arial"/>
          <w:sz w:val="24"/>
          <w:szCs w:val="24"/>
        </w:rPr>
      </w:pPr>
      <w:r w:rsidRPr="00257D15">
        <w:rPr>
          <w:rFonts w:eastAsia="Arial"/>
          <w:sz w:val="24"/>
          <w:szCs w:val="24"/>
        </w:rPr>
        <w:t xml:space="preserve">Finally, regarding rural connectivity, the government is beginning to tackle the physical layer of the network with Project Gigabit and the Rural Gigabit Connectivity programme, but the </w:t>
      </w:r>
      <w:r w:rsidRPr="00257D15">
        <w:rPr>
          <w:rFonts w:eastAsia="Arial"/>
          <w:sz w:val="24"/>
          <w:szCs w:val="24"/>
        </w:rPr>
        <w:lastRenderedPageBreak/>
        <w:t>government-sponsored “last mile of confidence” – where digital skills, access to devices and trusted support within the local community makes a difference to whether infrastructure translates into actual e-commerce participation – is a persistent gap that infrastructure alone cannot fix, as research carried out, cited by the Interaction Service Providers Association (2024), revealed that four out of ten households in the UK with children do not meet the minimum digital living standard.</w:t>
      </w:r>
    </w:p>
    <w:p w14:paraId="7E7AE018" w14:textId="77777777" w:rsidR="008252A7" w:rsidRPr="00257D15" w:rsidRDefault="00000000" w:rsidP="00257D15">
      <w:pPr>
        <w:spacing w:after="200" w:line="360" w:lineRule="auto"/>
        <w:jc w:val="both"/>
        <w:rPr>
          <w:sz w:val="24"/>
          <w:szCs w:val="24"/>
        </w:rPr>
      </w:pPr>
      <w:r w:rsidRPr="00257D15">
        <w:rPr>
          <w:rFonts w:eastAsia="Arial"/>
          <w:b/>
          <w:bCs/>
          <w:color w:val="000000"/>
          <w:sz w:val="24"/>
          <w:szCs w:val="24"/>
        </w:rPr>
        <w:t>1.4 Technological Enablers</w:t>
      </w:r>
    </w:p>
    <w:p w14:paraId="4AF3FE8A" w14:textId="77777777" w:rsidR="002E5EA6" w:rsidRPr="00257D15" w:rsidRDefault="002E5EA6" w:rsidP="00257D15">
      <w:pPr>
        <w:pStyle w:val="Heading2"/>
        <w:spacing w:before="240" w:after="160" w:line="360" w:lineRule="auto"/>
        <w:jc w:val="both"/>
        <w:rPr>
          <w:rFonts w:eastAsia="Arial"/>
          <w:color w:val="auto"/>
          <w:sz w:val="24"/>
          <w:szCs w:val="24"/>
        </w:rPr>
      </w:pPr>
      <w:bookmarkStart w:id="3" w:name="_Toc237291874"/>
      <w:r w:rsidRPr="00257D15">
        <w:rPr>
          <w:rFonts w:eastAsia="Arial"/>
          <w:color w:val="auto"/>
          <w:sz w:val="24"/>
          <w:szCs w:val="24"/>
        </w:rPr>
        <w:t xml:space="preserve">Today, that integration layer is now commercially viable with several technologies converging onto it that were not feasible even 5 years ago. Cloud-based logistics and route-optimisation software has grown to be such a mature product that national carriers are no longer the only ones with the ability to do dynamic, real-time route planning; a smaller aggregator can now compete on delivery efficiency without owning a large fleet of vehicles (Capstone Logistics, 2025; </w:t>
      </w:r>
      <w:proofErr w:type="spellStart"/>
      <w:r w:rsidRPr="00257D15">
        <w:rPr>
          <w:rFonts w:eastAsia="Arial"/>
          <w:color w:val="auto"/>
          <w:sz w:val="24"/>
          <w:szCs w:val="24"/>
        </w:rPr>
        <w:t>AntsRoute</w:t>
      </w:r>
      <w:proofErr w:type="spellEnd"/>
      <w:r w:rsidRPr="00257D15">
        <w:rPr>
          <w:rFonts w:eastAsia="Arial"/>
          <w:color w:val="auto"/>
          <w:sz w:val="24"/>
          <w:szCs w:val="24"/>
        </w:rPr>
        <w:t>, 2025).</w:t>
      </w:r>
      <w:bookmarkEnd w:id="3"/>
    </w:p>
    <w:p w14:paraId="0D78DDDC" w14:textId="77777777" w:rsidR="002E5EA6" w:rsidRPr="00257D15" w:rsidRDefault="002E5EA6" w:rsidP="00257D15">
      <w:pPr>
        <w:pStyle w:val="Heading2"/>
        <w:spacing w:before="240" w:after="160" w:line="360" w:lineRule="auto"/>
        <w:jc w:val="both"/>
        <w:rPr>
          <w:rFonts w:eastAsia="Arial"/>
          <w:color w:val="auto"/>
          <w:sz w:val="24"/>
          <w:szCs w:val="24"/>
        </w:rPr>
      </w:pPr>
      <w:bookmarkStart w:id="4" w:name="_Toc237291875"/>
      <w:r w:rsidRPr="00257D15">
        <w:rPr>
          <w:rFonts w:eastAsia="Arial"/>
          <w:color w:val="auto"/>
          <w:sz w:val="24"/>
          <w:szCs w:val="24"/>
        </w:rPr>
        <w:t>The rail is clearly a lower</w:t>
      </w:r>
      <w:r w:rsidR="007E069F">
        <w:rPr>
          <w:rFonts w:eastAsia="Arial"/>
          <w:color w:val="auto"/>
          <w:sz w:val="24"/>
          <w:szCs w:val="24"/>
        </w:rPr>
        <w:t>-</w:t>
      </w:r>
      <w:r w:rsidRPr="00257D15">
        <w:rPr>
          <w:rFonts w:eastAsia="Arial"/>
          <w:color w:val="auto"/>
          <w:sz w:val="24"/>
          <w:szCs w:val="24"/>
        </w:rPr>
        <w:t>cost, API-based alternative to card processing that is a better fit for SME margins, and SME lending and other finance services are now benefiting from the wave of “smart data” regulatory reform in the UK, with the Data (Use and Access) Act 2025 coming into effect this year (The Payments Association, 2026).</w:t>
      </w:r>
      <w:bookmarkEnd w:id="4"/>
    </w:p>
    <w:p w14:paraId="70E3FFB6" w14:textId="77777777" w:rsidR="002E5EA6" w:rsidRPr="00257D15" w:rsidRDefault="002E5EA6" w:rsidP="00257D15">
      <w:pPr>
        <w:pStyle w:val="Heading2"/>
        <w:spacing w:before="240" w:after="160" w:line="360" w:lineRule="auto"/>
        <w:jc w:val="both"/>
        <w:rPr>
          <w:rFonts w:eastAsia="Arial"/>
          <w:color w:val="auto"/>
          <w:sz w:val="24"/>
          <w:szCs w:val="24"/>
        </w:rPr>
      </w:pPr>
      <w:bookmarkStart w:id="5" w:name="_Toc237291876"/>
      <w:r w:rsidRPr="00257D15">
        <w:rPr>
          <w:rFonts w:eastAsia="Arial"/>
          <w:color w:val="auto"/>
          <w:sz w:val="24"/>
          <w:szCs w:val="24"/>
        </w:rPr>
        <w:t>Reduces the skills level needed for small retailers to manage stock and tailor marketing messages, directly answering the “too complex” concern raised by the SME Digital Adoption Taskforce (2025) if this is packaged simply (as opposed to being sold as an enterprise system).</w:t>
      </w:r>
      <w:bookmarkEnd w:id="5"/>
    </w:p>
    <w:p w14:paraId="75D5CB32" w14:textId="77777777" w:rsidR="002E5EA6" w:rsidRPr="00257D15" w:rsidRDefault="002E5EA6" w:rsidP="00257D15">
      <w:pPr>
        <w:pStyle w:val="Heading2"/>
        <w:spacing w:before="240" w:after="160" w:line="360" w:lineRule="auto"/>
        <w:jc w:val="both"/>
        <w:rPr>
          <w:rFonts w:eastAsia="Arial"/>
          <w:color w:val="auto"/>
          <w:sz w:val="24"/>
          <w:szCs w:val="24"/>
        </w:rPr>
      </w:pPr>
      <w:bookmarkStart w:id="6" w:name="_Toc237291877"/>
      <w:r w:rsidRPr="00257D15">
        <w:rPr>
          <w:rFonts w:eastAsia="Arial"/>
          <w:color w:val="auto"/>
          <w:sz w:val="24"/>
          <w:szCs w:val="24"/>
        </w:rPr>
        <w:t xml:space="preserve">However, while this is still some years in the future in the UK, the physical constraint that has historically hindered the commercial viability of digital services in rural areas is becoming less of an issue with ongoing investment in rural broadband, such as Project Gigabit and Rural Gigabit Connectivity (OECD, 2025; </w:t>
      </w:r>
      <w:proofErr w:type="spellStart"/>
      <w:r w:rsidRPr="00257D15">
        <w:rPr>
          <w:rFonts w:eastAsia="Arial"/>
          <w:color w:val="auto"/>
          <w:sz w:val="24"/>
          <w:szCs w:val="24"/>
        </w:rPr>
        <w:t>RuralFinds</w:t>
      </w:r>
      <w:proofErr w:type="spellEnd"/>
      <w:r w:rsidRPr="00257D15">
        <w:rPr>
          <w:rFonts w:eastAsia="Arial"/>
          <w:color w:val="auto"/>
          <w:sz w:val="24"/>
          <w:szCs w:val="24"/>
        </w:rPr>
        <w:t>, 2025).</w:t>
      </w:r>
      <w:bookmarkEnd w:id="6"/>
    </w:p>
    <w:p w14:paraId="25E13487" w14:textId="77777777" w:rsidR="002E5EA6" w:rsidRPr="00257D15" w:rsidRDefault="002E5EA6" w:rsidP="00257D15">
      <w:pPr>
        <w:pStyle w:val="Heading2"/>
        <w:spacing w:before="240" w:after="160" w:line="360" w:lineRule="auto"/>
        <w:jc w:val="both"/>
        <w:rPr>
          <w:rFonts w:eastAsia="Arial"/>
          <w:color w:val="auto"/>
          <w:sz w:val="24"/>
          <w:szCs w:val="24"/>
        </w:rPr>
      </w:pPr>
    </w:p>
    <w:p w14:paraId="4BA8E028" w14:textId="77777777" w:rsidR="008252A7" w:rsidRPr="00257D15" w:rsidRDefault="00000000" w:rsidP="00257D15">
      <w:pPr>
        <w:pStyle w:val="Heading2"/>
        <w:spacing w:before="240" w:after="160" w:line="360" w:lineRule="auto"/>
        <w:jc w:val="both"/>
        <w:rPr>
          <w:sz w:val="24"/>
          <w:szCs w:val="24"/>
        </w:rPr>
      </w:pPr>
      <w:bookmarkStart w:id="7" w:name="_Toc237291878"/>
      <w:r w:rsidRPr="00257D15">
        <w:rPr>
          <w:rFonts w:eastAsia="Arial"/>
          <w:b/>
          <w:bCs/>
          <w:color w:val="000000"/>
          <w:sz w:val="24"/>
          <w:szCs w:val="24"/>
        </w:rPr>
        <w:t>1.5 Scalability and Sustainability</w:t>
      </w:r>
      <w:bookmarkEnd w:id="7"/>
    </w:p>
    <w:p w14:paraId="28AC3274" w14:textId="77777777" w:rsidR="002E5EA6" w:rsidRPr="00257D15" w:rsidRDefault="00000000" w:rsidP="00257D15">
      <w:pPr>
        <w:spacing w:after="200" w:line="360" w:lineRule="auto"/>
        <w:jc w:val="both"/>
        <w:rPr>
          <w:rFonts w:eastAsia="Arial"/>
          <w:sz w:val="24"/>
          <w:szCs w:val="24"/>
        </w:rPr>
      </w:pPr>
      <w:r w:rsidRPr="00257D15">
        <w:rPr>
          <w:rFonts w:eastAsia="Arial"/>
          <w:sz w:val="24"/>
          <w:szCs w:val="24"/>
        </w:rPr>
        <w:t xml:space="preserve">A credible opportunity must be evaluated critically against realistic alternatives on scalability and sustainability, rather than simply asserted as viable. </w:t>
      </w:r>
      <w:r w:rsidR="002E5EA6" w:rsidRPr="00257D15">
        <w:rPr>
          <w:rFonts w:eastAsia="Arial"/>
          <w:sz w:val="24"/>
          <w:szCs w:val="24"/>
        </w:rPr>
        <w:t xml:space="preserve">The advantage of a demand-aggregation and fulfilment service for SME clusters over building another vertical e-commerce </w:t>
      </w:r>
      <w:r w:rsidR="002E5EA6" w:rsidRPr="00257D15">
        <w:rPr>
          <w:rFonts w:eastAsia="Arial"/>
          <w:sz w:val="24"/>
          <w:szCs w:val="24"/>
        </w:rPr>
        <w:lastRenderedPageBreak/>
        <w:t>platform is greater, as the market is crowded and low-differentiation, making it hard for a new player to compete with incumbents like Shopify &amp; Square. Switching costs and network effects, through which the larger the number of merchants on a local network, the more economical the routing on that network for all, further cement retention. This is similar to Christensen's description of new market disruption, which is characteri</w:t>
      </w:r>
      <w:r w:rsidR="00AF596E" w:rsidRPr="00257D15">
        <w:rPr>
          <w:rFonts w:eastAsia="Arial"/>
          <w:sz w:val="24"/>
          <w:szCs w:val="24"/>
        </w:rPr>
        <w:t>s</w:t>
      </w:r>
      <w:r w:rsidR="002E5EA6" w:rsidRPr="00257D15">
        <w:rPr>
          <w:rFonts w:eastAsia="Arial"/>
          <w:sz w:val="24"/>
          <w:szCs w:val="24"/>
        </w:rPr>
        <w:t>ed by new competitors providing products for customers who are not consuming them or are not currently served by the incumbent, but for whom the incumbent has traditionally offered a product or service that has failed to satisfy their needs (Christensen, 1997; Christensen, Raynor and McDonald, 2015).</w:t>
      </w:r>
    </w:p>
    <w:p w14:paraId="71185066" w14:textId="77777777" w:rsidR="002E5EA6" w:rsidRPr="00257D15" w:rsidRDefault="002E5EA6" w:rsidP="00257D15">
      <w:pPr>
        <w:spacing w:after="200" w:line="360" w:lineRule="auto"/>
        <w:jc w:val="both"/>
        <w:rPr>
          <w:rFonts w:eastAsia="Arial"/>
          <w:sz w:val="24"/>
          <w:szCs w:val="24"/>
        </w:rPr>
      </w:pPr>
      <w:r w:rsidRPr="00257D15">
        <w:rPr>
          <w:rFonts w:eastAsia="Arial"/>
          <w:sz w:val="24"/>
          <w:szCs w:val="24"/>
        </w:rPr>
        <w:t>An integrated logistics-plus-payments offer, certainly, is a more sustainable proposition compared to a pure fintech or payments proposition, because logistics cost is the pain point that is felt the most and most often by the small merchant compared to payment-switched over rail, which is a more beneficial, but lower priority and lower frequency decision.</w:t>
      </w:r>
    </w:p>
    <w:p w14:paraId="4CD1451A" w14:textId="77777777" w:rsidR="002E5EA6" w:rsidRPr="00257D15" w:rsidRDefault="002E5EA6" w:rsidP="00257D15">
      <w:pPr>
        <w:spacing w:after="200" w:line="360" w:lineRule="auto"/>
        <w:jc w:val="both"/>
        <w:rPr>
          <w:rFonts w:eastAsia="Arial"/>
          <w:sz w:val="24"/>
          <w:szCs w:val="24"/>
        </w:rPr>
      </w:pPr>
      <w:r w:rsidRPr="00257D15">
        <w:rPr>
          <w:rFonts w:eastAsia="Arial"/>
          <w:sz w:val="24"/>
          <w:szCs w:val="24"/>
        </w:rPr>
        <w:t>From an environmental perspective, connecting deliveries to several small merchants in rural areas also decreases the number of part-loaded vehicle trips per household, in line with the trend towards electrification and consolidation in last-mile deliveries that is already taking place in the broader logistics sector (</w:t>
      </w:r>
      <w:proofErr w:type="spellStart"/>
      <w:r w:rsidRPr="00257D15">
        <w:rPr>
          <w:rFonts w:eastAsia="Arial"/>
          <w:sz w:val="24"/>
          <w:szCs w:val="24"/>
        </w:rPr>
        <w:t>Markwide</w:t>
      </w:r>
      <w:proofErr w:type="spellEnd"/>
      <w:r w:rsidRPr="00257D15">
        <w:rPr>
          <w:rFonts w:eastAsia="Arial"/>
          <w:sz w:val="24"/>
          <w:szCs w:val="24"/>
        </w:rPr>
        <w:t xml:space="preserve"> Research, 2026), making the long term sustainability benefits that aggregating deliveries offers to investors and local authorities enforcing Clean Air Zones more compelling.</w:t>
      </w:r>
    </w:p>
    <w:p w14:paraId="1354CD97" w14:textId="77777777" w:rsidR="008252A7" w:rsidRPr="00257D15" w:rsidRDefault="00000000" w:rsidP="00257D15">
      <w:pPr>
        <w:pStyle w:val="Heading2"/>
        <w:spacing w:before="240" w:after="160" w:line="360" w:lineRule="auto"/>
        <w:jc w:val="both"/>
        <w:rPr>
          <w:sz w:val="24"/>
          <w:szCs w:val="24"/>
        </w:rPr>
      </w:pPr>
      <w:bookmarkStart w:id="8" w:name="_Toc237291879"/>
      <w:r w:rsidRPr="00257D15">
        <w:rPr>
          <w:rFonts w:eastAsia="Arial"/>
          <w:b/>
          <w:bCs/>
          <w:color w:val="000000"/>
          <w:sz w:val="24"/>
          <w:szCs w:val="24"/>
        </w:rPr>
        <w:t>1.6 Causal Mapping and Brainstorming Evidence</w:t>
      </w:r>
      <w:bookmarkEnd w:id="8"/>
    </w:p>
    <w:p w14:paraId="375FD6D9" w14:textId="77777777" w:rsidR="00B62077" w:rsidRPr="00257D15" w:rsidRDefault="00B62077" w:rsidP="00257D15">
      <w:pPr>
        <w:spacing w:before="100" w:after="100" w:line="360" w:lineRule="auto"/>
        <w:jc w:val="both"/>
        <w:rPr>
          <w:rFonts w:eastAsia="Arial"/>
          <w:sz w:val="24"/>
          <w:szCs w:val="24"/>
        </w:rPr>
      </w:pPr>
      <w:r w:rsidRPr="00257D15">
        <w:rPr>
          <w:rFonts w:eastAsia="Arial"/>
          <w:sz w:val="24"/>
          <w:szCs w:val="24"/>
        </w:rPr>
        <w:t>A causal map was created to connect root causes identified in the above section with their downstream effects (Table 1), then a structured brainstorming session was conducted to score the five resulting ideas using the three lenses design thinking uses to gauge the desirability, feasibility and viability of an idea for further development: is it desirable, is it feasible, and is it viable (Brown, 2009) (Table 2).</w:t>
      </w:r>
    </w:p>
    <w:p w14:paraId="72C21720" w14:textId="77777777" w:rsidR="008252A7" w:rsidRPr="00257D15" w:rsidRDefault="00000000" w:rsidP="00257D15">
      <w:pPr>
        <w:spacing w:before="100" w:after="100" w:line="360" w:lineRule="auto"/>
        <w:jc w:val="both"/>
        <w:rPr>
          <w:sz w:val="24"/>
          <w:szCs w:val="24"/>
        </w:rPr>
      </w:pPr>
      <w:r w:rsidRPr="00257D15">
        <w:rPr>
          <w:rFonts w:eastAsia="Arial"/>
          <w:i/>
          <w:iCs/>
          <w:sz w:val="24"/>
          <w:szCs w:val="24"/>
        </w:rPr>
        <w:t>Table 1: Causal map linking root causes of digital exclusion to downstream market consequences</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0"/>
        <w:gridCol w:w="3200"/>
        <w:gridCol w:w="3350"/>
      </w:tblGrid>
      <w:tr w:rsidR="008252A7" w:rsidRPr="00257D15" w14:paraId="0B58A9D1" w14:textId="77777777">
        <w:trPr>
          <w:tblHeader/>
        </w:trPr>
        <w:tc>
          <w:tcPr>
            <w:tcW w:w="2800" w:type="dxa"/>
            <w:shd w:val="clear" w:color="auto" w:fill="D9D9D9"/>
            <w:tcMar>
              <w:top w:w="80" w:type="dxa"/>
              <w:left w:w="100" w:type="dxa"/>
              <w:bottom w:w="80" w:type="dxa"/>
              <w:right w:w="100" w:type="dxa"/>
            </w:tcMar>
          </w:tcPr>
          <w:p w14:paraId="1AFE0DBB" w14:textId="77777777" w:rsidR="008252A7" w:rsidRPr="00257D15" w:rsidRDefault="00000000" w:rsidP="00257D15">
            <w:pPr>
              <w:spacing w:line="360" w:lineRule="auto"/>
              <w:jc w:val="both"/>
              <w:rPr>
                <w:sz w:val="24"/>
                <w:szCs w:val="24"/>
              </w:rPr>
            </w:pPr>
            <w:r w:rsidRPr="00257D15">
              <w:rPr>
                <w:rFonts w:eastAsia="Arial"/>
                <w:b/>
                <w:bCs/>
                <w:sz w:val="24"/>
                <w:szCs w:val="24"/>
              </w:rPr>
              <w:t>Root cause</w:t>
            </w:r>
          </w:p>
        </w:tc>
        <w:tc>
          <w:tcPr>
            <w:tcW w:w="3200" w:type="dxa"/>
            <w:shd w:val="clear" w:color="auto" w:fill="D9D9D9"/>
            <w:tcMar>
              <w:top w:w="80" w:type="dxa"/>
              <w:left w:w="100" w:type="dxa"/>
              <w:bottom w:w="80" w:type="dxa"/>
              <w:right w:w="100" w:type="dxa"/>
            </w:tcMar>
          </w:tcPr>
          <w:p w14:paraId="1F617004" w14:textId="77777777" w:rsidR="008252A7" w:rsidRPr="00257D15" w:rsidRDefault="00000000" w:rsidP="00257D15">
            <w:pPr>
              <w:spacing w:line="360" w:lineRule="auto"/>
              <w:jc w:val="both"/>
              <w:rPr>
                <w:sz w:val="24"/>
                <w:szCs w:val="24"/>
              </w:rPr>
            </w:pPr>
            <w:r w:rsidRPr="00257D15">
              <w:rPr>
                <w:rFonts w:eastAsia="Arial"/>
                <w:b/>
                <w:bCs/>
                <w:sz w:val="24"/>
                <w:szCs w:val="24"/>
              </w:rPr>
              <w:t>Immediate effect</w:t>
            </w:r>
          </w:p>
        </w:tc>
        <w:tc>
          <w:tcPr>
            <w:tcW w:w="3350" w:type="dxa"/>
            <w:shd w:val="clear" w:color="auto" w:fill="D9D9D9"/>
            <w:tcMar>
              <w:top w:w="80" w:type="dxa"/>
              <w:left w:w="100" w:type="dxa"/>
              <w:bottom w:w="80" w:type="dxa"/>
              <w:right w:w="100" w:type="dxa"/>
            </w:tcMar>
          </w:tcPr>
          <w:p w14:paraId="7812FBF4" w14:textId="77777777" w:rsidR="008252A7" w:rsidRPr="00257D15" w:rsidRDefault="00000000" w:rsidP="00257D15">
            <w:pPr>
              <w:spacing w:line="360" w:lineRule="auto"/>
              <w:jc w:val="both"/>
              <w:rPr>
                <w:sz w:val="24"/>
                <w:szCs w:val="24"/>
              </w:rPr>
            </w:pPr>
            <w:r w:rsidRPr="00257D15">
              <w:rPr>
                <w:rFonts w:eastAsia="Arial"/>
                <w:b/>
                <w:bCs/>
                <w:sz w:val="24"/>
                <w:szCs w:val="24"/>
              </w:rPr>
              <w:t>Downstream consequence</w:t>
            </w:r>
          </w:p>
        </w:tc>
      </w:tr>
      <w:tr w:rsidR="008252A7" w:rsidRPr="00257D15" w14:paraId="268DCFD6" w14:textId="77777777">
        <w:tc>
          <w:tcPr>
            <w:tcW w:w="2800" w:type="dxa"/>
            <w:tcMar>
              <w:top w:w="80" w:type="dxa"/>
              <w:left w:w="100" w:type="dxa"/>
              <w:bottom w:w="80" w:type="dxa"/>
              <w:right w:w="100" w:type="dxa"/>
            </w:tcMar>
          </w:tcPr>
          <w:p w14:paraId="6377793C" w14:textId="77777777" w:rsidR="008252A7" w:rsidRPr="00257D15" w:rsidRDefault="00000000" w:rsidP="00257D15">
            <w:pPr>
              <w:spacing w:line="360" w:lineRule="auto"/>
              <w:jc w:val="both"/>
              <w:rPr>
                <w:sz w:val="24"/>
                <w:szCs w:val="24"/>
              </w:rPr>
            </w:pPr>
            <w:r w:rsidRPr="00257D15">
              <w:rPr>
                <w:rFonts w:eastAsia="Arial"/>
                <w:sz w:val="24"/>
                <w:szCs w:val="24"/>
              </w:rPr>
              <w:t>Limited digital skills and capacity in SMEs</w:t>
            </w:r>
          </w:p>
        </w:tc>
        <w:tc>
          <w:tcPr>
            <w:tcW w:w="3200" w:type="dxa"/>
            <w:tcMar>
              <w:top w:w="80" w:type="dxa"/>
              <w:left w:w="100" w:type="dxa"/>
              <w:bottom w:w="80" w:type="dxa"/>
              <w:right w:w="100" w:type="dxa"/>
            </w:tcMar>
          </w:tcPr>
          <w:p w14:paraId="7972E97B" w14:textId="77777777" w:rsidR="008252A7" w:rsidRPr="00257D15" w:rsidRDefault="00000000" w:rsidP="00257D15">
            <w:pPr>
              <w:spacing w:line="360" w:lineRule="auto"/>
              <w:jc w:val="both"/>
              <w:rPr>
                <w:sz w:val="24"/>
                <w:szCs w:val="24"/>
              </w:rPr>
            </w:pPr>
            <w:r w:rsidRPr="00257D15">
              <w:rPr>
                <w:rFonts w:eastAsia="Arial"/>
                <w:sz w:val="24"/>
                <w:szCs w:val="24"/>
              </w:rPr>
              <w:t>Low adoption of e-commerce and management tools despite awareness of benefits</w:t>
            </w:r>
          </w:p>
        </w:tc>
        <w:tc>
          <w:tcPr>
            <w:tcW w:w="3350" w:type="dxa"/>
            <w:tcMar>
              <w:top w:w="80" w:type="dxa"/>
              <w:left w:w="100" w:type="dxa"/>
              <w:bottom w:w="80" w:type="dxa"/>
              <w:right w:w="100" w:type="dxa"/>
            </w:tcMar>
          </w:tcPr>
          <w:p w14:paraId="48740919" w14:textId="77777777" w:rsidR="008252A7" w:rsidRPr="00257D15" w:rsidRDefault="00000000" w:rsidP="00257D15">
            <w:pPr>
              <w:spacing w:line="360" w:lineRule="auto"/>
              <w:jc w:val="both"/>
              <w:rPr>
                <w:sz w:val="24"/>
                <w:szCs w:val="24"/>
              </w:rPr>
            </w:pPr>
            <w:r w:rsidRPr="00257D15">
              <w:rPr>
                <w:rFonts w:eastAsia="Arial"/>
                <w:sz w:val="24"/>
                <w:szCs w:val="24"/>
              </w:rPr>
              <w:t>Missed online revenue growth relative to digitally mature competitors</w:t>
            </w:r>
          </w:p>
        </w:tc>
      </w:tr>
      <w:tr w:rsidR="008252A7" w:rsidRPr="00257D15" w14:paraId="23D24700" w14:textId="77777777">
        <w:tc>
          <w:tcPr>
            <w:tcW w:w="2800" w:type="dxa"/>
            <w:tcMar>
              <w:top w:w="80" w:type="dxa"/>
              <w:left w:w="100" w:type="dxa"/>
              <w:bottom w:w="80" w:type="dxa"/>
              <w:right w:w="100" w:type="dxa"/>
            </w:tcMar>
          </w:tcPr>
          <w:p w14:paraId="296B10B9" w14:textId="77777777" w:rsidR="008252A7" w:rsidRPr="00257D15" w:rsidRDefault="00000000" w:rsidP="00257D15">
            <w:pPr>
              <w:spacing w:line="360" w:lineRule="auto"/>
              <w:jc w:val="both"/>
              <w:rPr>
                <w:sz w:val="24"/>
                <w:szCs w:val="24"/>
              </w:rPr>
            </w:pPr>
            <w:r w:rsidRPr="00257D15">
              <w:rPr>
                <w:rFonts w:eastAsia="Arial"/>
                <w:sz w:val="24"/>
                <w:szCs w:val="24"/>
              </w:rPr>
              <w:lastRenderedPageBreak/>
              <w:t>Rural broadband and mobile infrastructure gaps</w:t>
            </w:r>
          </w:p>
        </w:tc>
        <w:tc>
          <w:tcPr>
            <w:tcW w:w="3200" w:type="dxa"/>
            <w:tcMar>
              <w:top w:w="80" w:type="dxa"/>
              <w:left w:w="100" w:type="dxa"/>
              <w:bottom w:w="80" w:type="dxa"/>
              <w:right w:w="100" w:type="dxa"/>
            </w:tcMar>
          </w:tcPr>
          <w:p w14:paraId="0B6D43BB" w14:textId="77777777" w:rsidR="008252A7" w:rsidRPr="00257D15" w:rsidRDefault="00000000" w:rsidP="00257D15">
            <w:pPr>
              <w:spacing w:line="360" w:lineRule="auto"/>
              <w:jc w:val="both"/>
              <w:rPr>
                <w:sz w:val="24"/>
                <w:szCs w:val="24"/>
              </w:rPr>
            </w:pPr>
            <w:r w:rsidRPr="00257D15">
              <w:rPr>
                <w:rFonts w:eastAsia="Arial"/>
                <w:sz w:val="24"/>
                <w:szCs w:val="24"/>
              </w:rPr>
              <w:t>Slower, interrupted, or unaffordable connectivity for households and micro-businesses</w:t>
            </w:r>
          </w:p>
        </w:tc>
        <w:tc>
          <w:tcPr>
            <w:tcW w:w="3350" w:type="dxa"/>
            <w:tcMar>
              <w:top w:w="80" w:type="dxa"/>
              <w:left w:w="100" w:type="dxa"/>
              <w:bottom w:w="80" w:type="dxa"/>
              <w:right w:w="100" w:type="dxa"/>
            </w:tcMar>
          </w:tcPr>
          <w:p w14:paraId="79CC0B16" w14:textId="77777777" w:rsidR="008252A7" w:rsidRPr="00257D15" w:rsidRDefault="00000000" w:rsidP="00257D15">
            <w:pPr>
              <w:spacing w:line="360" w:lineRule="auto"/>
              <w:jc w:val="both"/>
              <w:rPr>
                <w:sz w:val="24"/>
                <w:szCs w:val="24"/>
              </w:rPr>
            </w:pPr>
            <w:r w:rsidRPr="00257D15">
              <w:rPr>
                <w:rFonts w:eastAsia="Arial"/>
                <w:sz w:val="24"/>
                <w:szCs w:val="24"/>
              </w:rPr>
              <w:t>Reduced rural consumer participation in online retail and digital services</w:t>
            </w:r>
          </w:p>
        </w:tc>
      </w:tr>
      <w:tr w:rsidR="008252A7" w:rsidRPr="00257D15" w14:paraId="3AA2040F" w14:textId="77777777">
        <w:tc>
          <w:tcPr>
            <w:tcW w:w="2800" w:type="dxa"/>
            <w:tcMar>
              <w:top w:w="80" w:type="dxa"/>
              <w:left w:w="100" w:type="dxa"/>
              <w:bottom w:w="80" w:type="dxa"/>
              <w:right w:w="100" w:type="dxa"/>
            </w:tcMar>
          </w:tcPr>
          <w:p w14:paraId="54FA9627" w14:textId="77777777" w:rsidR="008252A7" w:rsidRPr="00257D15" w:rsidRDefault="00000000" w:rsidP="00257D15">
            <w:pPr>
              <w:spacing w:line="360" w:lineRule="auto"/>
              <w:jc w:val="both"/>
              <w:rPr>
                <w:sz w:val="24"/>
                <w:szCs w:val="24"/>
              </w:rPr>
            </w:pPr>
            <w:r w:rsidRPr="00257D15">
              <w:rPr>
                <w:rFonts w:eastAsia="Arial"/>
                <w:sz w:val="24"/>
                <w:szCs w:val="24"/>
              </w:rPr>
              <w:t>Low parcel density across dispersed rural markets</w:t>
            </w:r>
          </w:p>
        </w:tc>
        <w:tc>
          <w:tcPr>
            <w:tcW w:w="3200" w:type="dxa"/>
            <w:tcMar>
              <w:top w:w="80" w:type="dxa"/>
              <w:left w:w="100" w:type="dxa"/>
              <w:bottom w:w="80" w:type="dxa"/>
              <w:right w:w="100" w:type="dxa"/>
            </w:tcMar>
          </w:tcPr>
          <w:p w14:paraId="2C5F3720" w14:textId="77777777" w:rsidR="008252A7" w:rsidRPr="00257D15" w:rsidRDefault="00000000" w:rsidP="00257D15">
            <w:pPr>
              <w:spacing w:line="360" w:lineRule="auto"/>
              <w:jc w:val="both"/>
              <w:rPr>
                <w:sz w:val="24"/>
                <w:szCs w:val="24"/>
              </w:rPr>
            </w:pPr>
            <w:r w:rsidRPr="00257D15">
              <w:rPr>
                <w:rFonts w:eastAsia="Arial"/>
                <w:sz w:val="24"/>
                <w:szCs w:val="24"/>
              </w:rPr>
              <w:t>Higher delivery cost per parcel for couriers serving rural postcodes</w:t>
            </w:r>
          </w:p>
        </w:tc>
        <w:tc>
          <w:tcPr>
            <w:tcW w:w="3350" w:type="dxa"/>
            <w:tcMar>
              <w:top w:w="80" w:type="dxa"/>
              <w:left w:w="100" w:type="dxa"/>
              <w:bottom w:w="80" w:type="dxa"/>
              <w:right w:w="100" w:type="dxa"/>
            </w:tcMar>
          </w:tcPr>
          <w:p w14:paraId="5BD2A21C" w14:textId="77777777" w:rsidR="008252A7" w:rsidRPr="00257D15" w:rsidRDefault="00000000" w:rsidP="00257D15">
            <w:pPr>
              <w:spacing w:line="360" w:lineRule="auto"/>
              <w:jc w:val="both"/>
              <w:rPr>
                <w:sz w:val="24"/>
                <w:szCs w:val="24"/>
              </w:rPr>
            </w:pPr>
            <w:r w:rsidRPr="00257D15">
              <w:rPr>
                <w:rFonts w:eastAsia="Arial"/>
                <w:sz w:val="24"/>
                <w:szCs w:val="24"/>
              </w:rPr>
              <w:t>Retailers absorb margin loss or pass surcharges to rural consumers</w:t>
            </w:r>
          </w:p>
        </w:tc>
      </w:tr>
      <w:tr w:rsidR="008252A7" w:rsidRPr="00257D15" w14:paraId="0DE366DC" w14:textId="77777777">
        <w:tc>
          <w:tcPr>
            <w:tcW w:w="2800" w:type="dxa"/>
            <w:tcMar>
              <w:top w:w="80" w:type="dxa"/>
              <w:left w:w="100" w:type="dxa"/>
              <w:bottom w:w="80" w:type="dxa"/>
              <w:right w:w="100" w:type="dxa"/>
            </w:tcMar>
          </w:tcPr>
          <w:p w14:paraId="74827EE6" w14:textId="77777777" w:rsidR="008252A7" w:rsidRPr="00257D15" w:rsidRDefault="00000000" w:rsidP="00257D15">
            <w:pPr>
              <w:spacing w:line="360" w:lineRule="auto"/>
              <w:jc w:val="both"/>
              <w:rPr>
                <w:sz w:val="24"/>
                <w:szCs w:val="24"/>
              </w:rPr>
            </w:pPr>
            <w:r w:rsidRPr="00257D15">
              <w:rPr>
                <w:rFonts w:eastAsia="Arial"/>
                <w:sz w:val="24"/>
                <w:szCs w:val="24"/>
              </w:rPr>
              <w:t>Card-centric, enterprise-oriented payment infrastructure</w:t>
            </w:r>
          </w:p>
        </w:tc>
        <w:tc>
          <w:tcPr>
            <w:tcW w:w="3200" w:type="dxa"/>
            <w:tcMar>
              <w:top w:w="80" w:type="dxa"/>
              <w:left w:w="100" w:type="dxa"/>
              <w:bottom w:w="80" w:type="dxa"/>
              <w:right w:w="100" w:type="dxa"/>
            </w:tcMar>
          </w:tcPr>
          <w:p w14:paraId="4D4B3A62" w14:textId="77777777" w:rsidR="008252A7" w:rsidRPr="00257D15" w:rsidRDefault="00000000" w:rsidP="00257D15">
            <w:pPr>
              <w:spacing w:line="360" w:lineRule="auto"/>
              <w:jc w:val="both"/>
              <w:rPr>
                <w:sz w:val="24"/>
                <w:szCs w:val="24"/>
              </w:rPr>
            </w:pPr>
            <w:r w:rsidRPr="00257D15">
              <w:rPr>
                <w:rFonts w:eastAsia="Arial"/>
                <w:sz w:val="24"/>
                <w:szCs w:val="24"/>
              </w:rPr>
              <w:t>Higher relative transaction fees and integration barriers for small merchants</w:t>
            </w:r>
          </w:p>
        </w:tc>
        <w:tc>
          <w:tcPr>
            <w:tcW w:w="3350" w:type="dxa"/>
            <w:tcMar>
              <w:top w:w="80" w:type="dxa"/>
              <w:left w:w="100" w:type="dxa"/>
              <w:bottom w:w="80" w:type="dxa"/>
              <w:right w:w="100" w:type="dxa"/>
            </w:tcMar>
          </w:tcPr>
          <w:p w14:paraId="5A0BB31E" w14:textId="77777777" w:rsidR="008252A7" w:rsidRPr="00257D15" w:rsidRDefault="00000000" w:rsidP="00257D15">
            <w:pPr>
              <w:spacing w:line="360" w:lineRule="auto"/>
              <w:jc w:val="both"/>
              <w:rPr>
                <w:sz w:val="24"/>
                <w:szCs w:val="24"/>
              </w:rPr>
            </w:pPr>
            <w:r w:rsidRPr="00257D15">
              <w:rPr>
                <w:rFonts w:eastAsia="Arial"/>
                <w:sz w:val="24"/>
                <w:szCs w:val="24"/>
              </w:rPr>
              <w:t>Slower SME adoption of lower-cost Open Banking payment rails</w:t>
            </w:r>
          </w:p>
        </w:tc>
      </w:tr>
      <w:tr w:rsidR="008252A7" w:rsidRPr="00257D15" w14:paraId="764A6F0D" w14:textId="77777777">
        <w:tc>
          <w:tcPr>
            <w:tcW w:w="2800" w:type="dxa"/>
            <w:tcMar>
              <w:top w:w="80" w:type="dxa"/>
              <w:left w:w="100" w:type="dxa"/>
              <w:bottom w:w="80" w:type="dxa"/>
              <w:right w:w="100" w:type="dxa"/>
            </w:tcMar>
          </w:tcPr>
          <w:p w14:paraId="67EDBB0B" w14:textId="77777777" w:rsidR="008252A7" w:rsidRPr="00257D15" w:rsidRDefault="00000000" w:rsidP="00257D15">
            <w:pPr>
              <w:spacing w:line="360" w:lineRule="auto"/>
              <w:jc w:val="both"/>
              <w:rPr>
                <w:sz w:val="24"/>
                <w:szCs w:val="24"/>
              </w:rPr>
            </w:pPr>
            <w:r w:rsidRPr="00257D15">
              <w:rPr>
                <w:rFonts w:eastAsia="Arial"/>
                <w:b/>
                <w:bCs/>
                <w:sz w:val="24"/>
                <w:szCs w:val="24"/>
              </w:rPr>
              <w:t>Combined effect of the above</w:t>
            </w:r>
          </w:p>
        </w:tc>
        <w:tc>
          <w:tcPr>
            <w:tcW w:w="3200" w:type="dxa"/>
            <w:tcMar>
              <w:top w:w="80" w:type="dxa"/>
              <w:left w:w="100" w:type="dxa"/>
              <w:bottom w:w="80" w:type="dxa"/>
              <w:right w:w="100" w:type="dxa"/>
            </w:tcMar>
          </w:tcPr>
          <w:p w14:paraId="262D8CE2" w14:textId="77777777" w:rsidR="008252A7" w:rsidRPr="00257D15" w:rsidRDefault="00000000" w:rsidP="00257D15">
            <w:pPr>
              <w:spacing w:line="360" w:lineRule="auto"/>
              <w:jc w:val="both"/>
              <w:rPr>
                <w:sz w:val="24"/>
                <w:szCs w:val="24"/>
              </w:rPr>
            </w:pPr>
            <w:r w:rsidRPr="00257D15">
              <w:rPr>
                <w:rFonts w:eastAsia="Arial"/>
                <w:b/>
                <w:bCs/>
                <w:sz w:val="24"/>
                <w:szCs w:val="24"/>
              </w:rPr>
              <w:t>Rural and small-firm actors under-participate in the digital economy relative to urban and larger competitors</w:t>
            </w:r>
          </w:p>
        </w:tc>
        <w:tc>
          <w:tcPr>
            <w:tcW w:w="3350" w:type="dxa"/>
            <w:tcMar>
              <w:top w:w="80" w:type="dxa"/>
              <w:left w:w="100" w:type="dxa"/>
              <w:bottom w:w="80" w:type="dxa"/>
              <w:right w:w="100" w:type="dxa"/>
            </w:tcMar>
          </w:tcPr>
          <w:p w14:paraId="3C82858E" w14:textId="77777777" w:rsidR="008252A7" w:rsidRPr="00257D15" w:rsidRDefault="00000000" w:rsidP="00257D15">
            <w:pPr>
              <w:spacing w:line="360" w:lineRule="auto"/>
              <w:jc w:val="both"/>
              <w:rPr>
                <w:sz w:val="24"/>
                <w:szCs w:val="24"/>
              </w:rPr>
            </w:pPr>
            <w:r w:rsidRPr="00257D15">
              <w:rPr>
                <w:rFonts w:eastAsia="Arial"/>
                <w:b/>
                <w:bCs/>
                <w:sz w:val="24"/>
                <w:szCs w:val="24"/>
              </w:rPr>
              <w:t>Widening regional and firm-size inequality in the distribution of digital transformation benefits</w:t>
            </w:r>
          </w:p>
        </w:tc>
      </w:tr>
    </w:tbl>
    <w:p w14:paraId="20933717" w14:textId="77777777" w:rsidR="008252A7" w:rsidRPr="00257D15" w:rsidRDefault="00000000" w:rsidP="00257D15">
      <w:pPr>
        <w:spacing w:before="300" w:after="100" w:line="360" w:lineRule="auto"/>
        <w:jc w:val="both"/>
        <w:rPr>
          <w:sz w:val="24"/>
          <w:szCs w:val="24"/>
        </w:rPr>
      </w:pPr>
      <w:r w:rsidRPr="00257D15">
        <w:rPr>
          <w:rFonts w:eastAsia="Arial"/>
          <w:i/>
          <w:iCs/>
          <w:sz w:val="24"/>
          <w:szCs w:val="24"/>
        </w:rPr>
        <w:t>Table 2: Brainstormed venture options scored against desirability, feasibility and viability</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900"/>
        <w:gridCol w:w="1600"/>
        <w:gridCol w:w="1600"/>
        <w:gridCol w:w="1600"/>
        <w:gridCol w:w="1650"/>
      </w:tblGrid>
      <w:tr w:rsidR="008252A7" w:rsidRPr="00257D15" w14:paraId="498010B7" w14:textId="77777777">
        <w:trPr>
          <w:tblHeader/>
        </w:trPr>
        <w:tc>
          <w:tcPr>
            <w:tcW w:w="2900" w:type="dxa"/>
            <w:shd w:val="clear" w:color="auto" w:fill="D9D9D9"/>
            <w:tcMar>
              <w:top w:w="80" w:type="dxa"/>
              <w:left w:w="100" w:type="dxa"/>
              <w:bottom w:w="80" w:type="dxa"/>
              <w:right w:w="100" w:type="dxa"/>
            </w:tcMar>
          </w:tcPr>
          <w:p w14:paraId="4AB54073" w14:textId="77777777" w:rsidR="008252A7" w:rsidRPr="00257D15" w:rsidRDefault="00000000" w:rsidP="00257D15">
            <w:pPr>
              <w:spacing w:line="360" w:lineRule="auto"/>
              <w:jc w:val="both"/>
              <w:rPr>
                <w:sz w:val="24"/>
                <w:szCs w:val="24"/>
              </w:rPr>
            </w:pPr>
            <w:r w:rsidRPr="00257D15">
              <w:rPr>
                <w:rFonts w:eastAsia="Arial"/>
                <w:b/>
                <w:bCs/>
                <w:sz w:val="24"/>
                <w:szCs w:val="24"/>
              </w:rPr>
              <w:t>Brainstormed option</w:t>
            </w:r>
          </w:p>
        </w:tc>
        <w:tc>
          <w:tcPr>
            <w:tcW w:w="1600" w:type="dxa"/>
            <w:shd w:val="clear" w:color="auto" w:fill="D9D9D9"/>
            <w:tcMar>
              <w:top w:w="80" w:type="dxa"/>
              <w:left w:w="100" w:type="dxa"/>
              <w:bottom w:w="80" w:type="dxa"/>
              <w:right w:w="100" w:type="dxa"/>
            </w:tcMar>
          </w:tcPr>
          <w:p w14:paraId="2676667A" w14:textId="77777777" w:rsidR="008252A7" w:rsidRPr="00257D15" w:rsidRDefault="00000000" w:rsidP="00257D15">
            <w:pPr>
              <w:spacing w:line="360" w:lineRule="auto"/>
              <w:jc w:val="both"/>
              <w:rPr>
                <w:sz w:val="24"/>
                <w:szCs w:val="24"/>
              </w:rPr>
            </w:pPr>
            <w:r w:rsidRPr="00257D15">
              <w:rPr>
                <w:rFonts w:eastAsia="Arial"/>
                <w:b/>
                <w:bCs/>
                <w:sz w:val="24"/>
                <w:szCs w:val="24"/>
              </w:rPr>
              <w:t>Desirability (1-5)</w:t>
            </w:r>
          </w:p>
        </w:tc>
        <w:tc>
          <w:tcPr>
            <w:tcW w:w="1600" w:type="dxa"/>
            <w:shd w:val="clear" w:color="auto" w:fill="D9D9D9"/>
            <w:tcMar>
              <w:top w:w="80" w:type="dxa"/>
              <w:left w:w="100" w:type="dxa"/>
              <w:bottom w:w="80" w:type="dxa"/>
              <w:right w:w="100" w:type="dxa"/>
            </w:tcMar>
          </w:tcPr>
          <w:p w14:paraId="274622F9" w14:textId="77777777" w:rsidR="008252A7" w:rsidRPr="00257D15" w:rsidRDefault="00000000" w:rsidP="00257D15">
            <w:pPr>
              <w:spacing w:line="360" w:lineRule="auto"/>
              <w:jc w:val="both"/>
              <w:rPr>
                <w:sz w:val="24"/>
                <w:szCs w:val="24"/>
              </w:rPr>
            </w:pPr>
            <w:r w:rsidRPr="00257D15">
              <w:rPr>
                <w:rFonts w:eastAsia="Arial"/>
                <w:b/>
                <w:bCs/>
                <w:sz w:val="24"/>
                <w:szCs w:val="24"/>
              </w:rPr>
              <w:t>Feasibility (1-5)</w:t>
            </w:r>
          </w:p>
        </w:tc>
        <w:tc>
          <w:tcPr>
            <w:tcW w:w="1600" w:type="dxa"/>
            <w:shd w:val="clear" w:color="auto" w:fill="D9D9D9"/>
            <w:tcMar>
              <w:top w:w="80" w:type="dxa"/>
              <w:left w:w="100" w:type="dxa"/>
              <w:bottom w:w="80" w:type="dxa"/>
              <w:right w:w="100" w:type="dxa"/>
            </w:tcMar>
          </w:tcPr>
          <w:p w14:paraId="48B87D54" w14:textId="77777777" w:rsidR="008252A7" w:rsidRPr="00257D15" w:rsidRDefault="00000000" w:rsidP="00257D15">
            <w:pPr>
              <w:spacing w:line="360" w:lineRule="auto"/>
              <w:jc w:val="both"/>
              <w:rPr>
                <w:sz w:val="24"/>
                <w:szCs w:val="24"/>
              </w:rPr>
            </w:pPr>
            <w:r w:rsidRPr="00257D15">
              <w:rPr>
                <w:rFonts w:eastAsia="Arial"/>
                <w:b/>
                <w:bCs/>
                <w:sz w:val="24"/>
                <w:szCs w:val="24"/>
              </w:rPr>
              <w:t>Viability (1-5)</w:t>
            </w:r>
          </w:p>
        </w:tc>
        <w:tc>
          <w:tcPr>
            <w:tcW w:w="1650" w:type="dxa"/>
            <w:shd w:val="clear" w:color="auto" w:fill="D9D9D9"/>
            <w:tcMar>
              <w:top w:w="80" w:type="dxa"/>
              <w:left w:w="100" w:type="dxa"/>
              <w:bottom w:w="80" w:type="dxa"/>
              <w:right w:w="100" w:type="dxa"/>
            </w:tcMar>
          </w:tcPr>
          <w:p w14:paraId="68ACD54E" w14:textId="77777777" w:rsidR="008252A7" w:rsidRPr="00257D15" w:rsidRDefault="00000000" w:rsidP="00257D15">
            <w:pPr>
              <w:spacing w:line="360" w:lineRule="auto"/>
              <w:jc w:val="both"/>
              <w:rPr>
                <w:sz w:val="24"/>
                <w:szCs w:val="24"/>
              </w:rPr>
            </w:pPr>
            <w:r w:rsidRPr="00257D15">
              <w:rPr>
                <w:rFonts w:eastAsia="Arial"/>
                <w:b/>
                <w:bCs/>
                <w:sz w:val="24"/>
                <w:szCs w:val="24"/>
              </w:rPr>
              <w:t>Total</w:t>
            </w:r>
          </w:p>
        </w:tc>
      </w:tr>
      <w:tr w:rsidR="008252A7" w:rsidRPr="00257D15" w14:paraId="32629D06" w14:textId="77777777">
        <w:tc>
          <w:tcPr>
            <w:tcW w:w="2900" w:type="dxa"/>
            <w:tcMar>
              <w:top w:w="80" w:type="dxa"/>
              <w:left w:w="100" w:type="dxa"/>
              <w:bottom w:w="80" w:type="dxa"/>
              <w:right w:w="100" w:type="dxa"/>
            </w:tcMar>
          </w:tcPr>
          <w:p w14:paraId="510E0E3A" w14:textId="77777777" w:rsidR="008252A7" w:rsidRPr="00257D15" w:rsidRDefault="00000000" w:rsidP="00257D15">
            <w:pPr>
              <w:spacing w:line="360" w:lineRule="auto"/>
              <w:jc w:val="both"/>
              <w:rPr>
                <w:sz w:val="24"/>
                <w:szCs w:val="24"/>
              </w:rPr>
            </w:pPr>
            <w:r w:rsidRPr="00257D15">
              <w:rPr>
                <w:rFonts w:eastAsia="Arial"/>
                <w:sz w:val="24"/>
                <w:szCs w:val="24"/>
              </w:rPr>
              <w:t>Generic e-commerce storefront platform for SMEs</w:t>
            </w:r>
          </w:p>
        </w:tc>
        <w:tc>
          <w:tcPr>
            <w:tcW w:w="1600" w:type="dxa"/>
            <w:tcMar>
              <w:top w:w="80" w:type="dxa"/>
              <w:left w:w="100" w:type="dxa"/>
              <w:bottom w:w="80" w:type="dxa"/>
              <w:right w:w="100" w:type="dxa"/>
            </w:tcMar>
          </w:tcPr>
          <w:p w14:paraId="2344A76E" w14:textId="77777777" w:rsidR="008252A7" w:rsidRPr="00257D15" w:rsidRDefault="00000000" w:rsidP="00257D15">
            <w:pPr>
              <w:spacing w:line="360" w:lineRule="auto"/>
              <w:jc w:val="both"/>
              <w:rPr>
                <w:sz w:val="24"/>
                <w:szCs w:val="24"/>
              </w:rPr>
            </w:pPr>
            <w:r w:rsidRPr="00257D15">
              <w:rPr>
                <w:rFonts w:eastAsia="Arial"/>
                <w:sz w:val="24"/>
                <w:szCs w:val="24"/>
              </w:rPr>
              <w:t>3</w:t>
            </w:r>
          </w:p>
        </w:tc>
        <w:tc>
          <w:tcPr>
            <w:tcW w:w="1600" w:type="dxa"/>
            <w:tcMar>
              <w:top w:w="80" w:type="dxa"/>
              <w:left w:w="100" w:type="dxa"/>
              <w:bottom w:w="80" w:type="dxa"/>
              <w:right w:w="100" w:type="dxa"/>
            </w:tcMar>
          </w:tcPr>
          <w:p w14:paraId="1BD7F111" w14:textId="77777777" w:rsidR="008252A7" w:rsidRPr="00257D15" w:rsidRDefault="00000000" w:rsidP="00257D15">
            <w:pPr>
              <w:spacing w:line="360" w:lineRule="auto"/>
              <w:jc w:val="both"/>
              <w:rPr>
                <w:sz w:val="24"/>
                <w:szCs w:val="24"/>
              </w:rPr>
            </w:pPr>
            <w:r w:rsidRPr="00257D15">
              <w:rPr>
                <w:rFonts w:eastAsia="Arial"/>
                <w:sz w:val="24"/>
                <w:szCs w:val="24"/>
              </w:rPr>
              <w:t>3</w:t>
            </w:r>
          </w:p>
        </w:tc>
        <w:tc>
          <w:tcPr>
            <w:tcW w:w="1600" w:type="dxa"/>
            <w:tcMar>
              <w:top w:w="80" w:type="dxa"/>
              <w:left w:w="100" w:type="dxa"/>
              <w:bottom w:w="80" w:type="dxa"/>
              <w:right w:w="100" w:type="dxa"/>
            </w:tcMar>
          </w:tcPr>
          <w:p w14:paraId="4647E54E" w14:textId="77777777" w:rsidR="008252A7" w:rsidRPr="00257D15" w:rsidRDefault="00000000" w:rsidP="00257D15">
            <w:pPr>
              <w:spacing w:line="360" w:lineRule="auto"/>
              <w:jc w:val="both"/>
              <w:rPr>
                <w:sz w:val="24"/>
                <w:szCs w:val="24"/>
              </w:rPr>
            </w:pPr>
            <w:r w:rsidRPr="00257D15">
              <w:rPr>
                <w:rFonts w:eastAsia="Arial"/>
                <w:sz w:val="24"/>
                <w:szCs w:val="24"/>
              </w:rPr>
              <w:t>2</w:t>
            </w:r>
          </w:p>
        </w:tc>
        <w:tc>
          <w:tcPr>
            <w:tcW w:w="1650" w:type="dxa"/>
            <w:tcMar>
              <w:top w:w="80" w:type="dxa"/>
              <w:left w:w="100" w:type="dxa"/>
              <w:bottom w:w="80" w:type="dxa"/>
              <w:right w:w="100" w:type="dxa"/>
            </w:tcMar>
          </w:tcPr>
          <w:p w14:paraId="4F34A9CA" w14:textId="77777777" w:rsidR="008252A7" w:rsidRPr="00257D15" w:rsidRDefault="00000000" w:rsidP="00257D15">
            <w:pPr>
              <w:spacing w:line="360" w:lineRule="auto"/>
              <w:jc w:val="both"/>
              <w:rPr>
                <w:sz w:val="24"/>
                <w:szCs w:val="24"/>
              </w:rPr>
            </w:pPr>
            <w:r w:rsidRPr="00257D15">
              <w:rPr>
                <w:rFonts w:eastAsia="Arial"/>
                <w:sz w:val="24"/>
                <w:szCs w:val="24"/>
              </w:rPr>
              <w:t>8</w:t>
            </w:r>
          </w:p>
        </w:tc>
      </w:tr>
      <w:tr w:rsidR="008252A7" w:rsidRPr="00257D15" w14:paraId="52981EFA" w14:textId="77777777">
        <w:tc>
          <w:tcPr>
            <w:tcW w:w="2900" w:type="dxa"/>
            <w:tcMar>
              <w:top w:w="80" w:type="dxa"/>
              <w:left w:w="100" w:type="dxa"/>
              <w:bottom w:w="80" w:type="dxa"/>
              <w:right w:w="100" w:type="dxa"/>
            </w:tcMar>
          </w:tcPr>
          <w:p w14:paraId="0C2EC593" w14:textId="77777777" w:rsidR="008252A7" w:rsidRPr="00257D15" w:rsidRDefault="00000000" w:rsidP="00257D15">
            <w:pPr>
              <w:spacing w:line="360" w:lineRule="auto"/>
              <w:jc w:val="both"/>
              <w:rPr>
                <w:sz w:val="24"/>
                <w:szCs w:val="24"/>
              </w:rPr>
            </w:pPr>
            <w:r w:rsidRPr="00257D15">
              <w:rPr>
                <w:rFonts w:eastAsia="Arial"/>
                <w:sz w:val="24"/>
                <w:szCs w:val="24"/>
              </w:rPr>
              <w:t>Standalone SME retail-management software</w:t>
            </w:r>
          </w:p>
        </w:tc>
        <w:tc>
          <w:tcPr>
            <w:tcW w:w="1600" w:type="dxa"/>
            <w:tcMar>
              <w:top w:w="80" w:type="dxa"/>
              <w:left w:w="100" w:type="dxa"/>
              <w:bottom w:w="80" w:type="dxa"/>
              <w:right w:w="100" w:type="dxa"/>
            </w:tcMar>
          </w:tcPr>
          <w:p w14:paraId="795E5C6F" w14:textId="77777777" w:rsidR="008252A7" w:rsidRPr="00257D15" w:rsidRDefault="00000000" w:rsidP="00257D15">
            <w:pPr>
              <w:spacing w:line="360" w:lineRule="auto"/>
              <w:jc w:val="both"/>
              <w:rPr>
                <w:sz w:val="24"/>
                <w:szCs w:val="24"/>
              </w:rPr>
            </w:pPr>
            <w:r w:rsidRPr="00257D15">
              <w:rPr>
                <w:rFonts w:eastAsia="Arial"/>
                <w:sz w:val="24"/>
                <w:szCs w:val="24"/>
              </w:rPr>
              <w:t>3</w:t>
            </w:r>
          </w:p>
        </w:tc>
        <w:tc>
          <w:tcPr>
            <w:tcW w:w="1600" w:type="dxa"/>
            <w:tcMar>
              <w:top w:w="80" w:type="dxa"/>
              <w:left w:w="100" w:type="dxa"/>
              <w:bottom w:w="80" w:type="dxa"/>
              <w:right w:w="100" w:type="dxa"/>
            </w:tcMar>
          </w:tcPr>
          <w:p w14:paraId="340D0BD5" w14:textId="77777777" w:rsidR="008252A7" w:rsidRPr="00257D15" w:rsidRDefault="00000000" w:rsidP="00257D15">
            <w:pPr>
              <w:spacing w:line="360" w:lineRule="auto"/>
              <w:jc w:val="both"/>
              <w:rPr>
                <w:sz w:val="24"/>
                <w:szCs w:val="24"/>
              </w:rPr>
            </w:pPr>
            <w:r w:rsidRPr="00257D15">
              <w:rPr>
                <w:rFonts w:eastAsia="Arial"/>
                <w:sz w:val="24"/>
                <w:szCs w:val="24"/>
              </w:rPr>
              <w:t>4</w:t>
            </w:r>
          </w:p>
        </w:tc>
        <w:tc>
          <w:tcPr>
            <w:tcW w:w="1600" w:type="dxa"/>
            <w:tcMar>
              <w:top w:w="80" w:type="dxa"/>
              <w:left w:w="100" w:type="dxa"/>
              <w:bottom w:w="80" w:type="dxa"/>
              <w:right w:w="100" w:type="dxa"/>
            </w:tcMar>
          </w:tcPr>
          <w:p w14:paraId="738BA771" w14:textId="77777777" w:rsidR="008252A7" w:rsidRPr="00257D15" w:rsidRDefault="00000000" w:rsidP="00257D15">
            <w:pPr>
              <w:spacing w:line="360" w:lineRule="auto"/>
              <w:jc w:val="both"/>
              <w:rPr>
                <w:sz w:val="24"/>
                <w:szCs w:val="24"/>
              </w:rPr>
            </w:pPr>
            <w:r w:rsidRPr="00257D15">
              <w:rPr>
                <w:rFonts w:eastAsia="Arial"/>
                <w:sz w:val="24"/>
                <w:szCs w:val="24"/>
              </w:rPr>
              <w:t>2</w:t>
            </w:r>
          </w:p>
        </w:tc>
        <w:tc>
          <w:tcPr>
            <w:tcW w:w="1650" w:type="dxa"/>
            <w:tcMar>
              <w:top w:w="80" w:type="dxa"/>
              <w:left w:w="100" w:type="dxa"/>
              <w:bottom w:w="80" w:type="dxa"/>
              <w:right w:w="100" w:type="dxa"/>
            </w:tcMar>
          </w:tcPr>
          <w:p w14:paraId="4FA39BAD" w14:textId="77777777" w:rsidR="008252A7" w:rsidRPr="00257D15" w:rsidRDefault="00000000" w:rsidP="00257D15">
            <w:pPr>
              <w:spacing w:line="360" w:lineRule="auto"/>
              <w:jc w:val="both"/>
              <w:rPr>
                <w:sz w:val="24"/>
                <w:szCs w:val="24"/>
              </w:rPr>
            </w:pPr>
            <w:r w:rsidRPr="00257D15">
              <w:rPr>
                <w:rFonts w:eastAsia="Arial"/>
                <w:sz w:val="24"/>
                <w:szCs w:val="24"/>
              </w:rPr>
              <w:t>9</w:t>
            </w:r>
          </w:p>
        </w:tc>
      </w:tr>
      <w:tr w:rsidR="008252A7" w:rsidRPr="00257D15" w14:paraId="70CC1975" w14:textId="77777777">
        <w:tc>
          <w:tcPr>
            <w:tcW w:w="2900" w:type="dxa"/>
            <w:tcMar>
              <w:top w:w="80" w:type="dxa"/>
              <w:left w:w="100" w:type="dxa"/>
              <w:bottom w:w="80" w:type="dxa"/>
              <w:right w:w="100" w:type="dxa"/>
            </w:tcMar>
          </w:tcPr>
          <w:p w14:paraId="30E94293" w14:textId="77777777" w:rsidR="008252A7" w:rsidRPr="00257D15" w:rsidRDefault="00000000" w:rsidP="00257D15">
            <w:pPr>
              <w:spacing w:line="360" w:lineRule="auto"/>
              <w:jc w:val="both"/>
              <w:rPr>
                <w:sz w:val="24"/>
                <w:szCs w:val="24"/>
              </w:rPr>
            </w:pPr>
            <w:r w:rsidRPr="00257D15">
              <w:rPr>
                <w:rFonts w:eastAsia="Arial"/>
                <w:b/>
                <w:bCs/>
                <w:sz w:val="24"/>
                <w:szCs w:val="24"/>
              </w:rPr>
              <w:t>Delivery-pooling / fulfilment-as-a-service for rural SME clusters</w:t>
            </w:r>
          </w:p>
        </w:tc>
        <w:tc>
          <w:tcPr>
            <w:tcW w:w="1600" w:type="dxa"/>
            <w:tcMar>
              <w:top w:w="80" w:type="dxa"/>
              <w:left w:w="100" w:type="dxa"/>
              <w:bottom w:w="80" w:type="dxa"/>
              <w:right w:w="100" w:type="dxa"/>
            </w:tcMar>
          </w:tcPr>
          <w:p w14:paraId="7FABCE80" w14:textId="77777777" w:rsidR="008252A7" w:rsidRPr="00257D15" w:rsidRDefault="00000000" w:rsidP="00257D15">
            <w:pPr>
              <w:spacing w:line="360" w:lineRule="auto"/>
              <w:jc w:val="both"/>
              <w:rPr>
                <w:sz w:val="24"/>
                <w:szCs w:val="24"/>
              </w:rPr>
            </w:pPr>
            <w:r w:rsidRPr="00257D15">
              <w:rPr>
                <w:rFonts w:eastAsia="Arial"/>
                <w:b/>
                <w:bCs/>
                <w:sz w:val="24"/>
                <w:szCs w:val="24"/>
              </w:rPr>
              <w:t>5</w:t>
            </w:r>
          </w:p>
        </w:tc>
        <w:tc>
          <w:tcPr>
            <w:tcW w:w="1600" w:type="dxa"/>
            <w:tcMar>
              <w:top w:w="80" w:type="dxa"/>
              <w:left w:w="100" w:type="dxa"/>
              <w:bottom w:w="80" w:type="dxa"/>
              <w:right w:w="100" w:type="dxa"/>
            </w:tcMar>
          </w:tcPr>
          <w:p w14:paraId="7D1E012D" w14:textId="77777777" w:rsidR="008252A7" w:rsidRPr="00257D15" w:rsidRDefault="00000000" w:rsidP="00257D15">
            <w:pPr>
              <w:spacing w:line="360" w:lineRule="auto"/>
              <w:jc w:val="both"/>
              <w:rPr>
                <w:sz w:val="24"/>
                <w:szCs w:val="24"/>
              </w:rPr>
            </w:pPr>
            <w:r w:rsidRPr="00257D15">
              <w:rPr>
                <w:rFonts w:eastAsia="Arial"/>
                <w:b/>
                <w:bCs/>
                <w:sz w:val="24"/>
                <w:szCs w:val="24"/>
              </w:rPr>
              <w:t>4</w:t>
            </w:r>
          </w:p>
        </w:tc>
        <w:tc>
          <w:tcPr>
            <w:tcW w:w="1600" w:type="dxa"/>
            <w:tcMar>
              <w:top w:w="80" w:type="dxa"/>
              <w:left w:w="100" w:type="dxa"/>
              <w:bottom w:w="80" w:type="dxa"/>
              <w:right w:w="100" w:type="dxa"/>
            </w:tcMar>
          </w:tcPr>
          <w:p w14:paraId="03202525" w14:textId="77777777" w:rsidR="008252A7" w:rsidRPr="00257D15" w:rsidRDefault="00000000" w:rsidP="00257D15">
            <w:pPr>
              <w:spacing w:line="360" w:lineRule="auto"/>
              <w:jc w:val="both"/>
              <w:rPr>
                <w:sz w:val="24"/>
                <w:szCs w:val="24"/>
              </w:rPr>
            </w:pPr>
            <w:r w:rsidRPr="00257D15">
              <w:rPr>
                <w:rFonts w:eastAsia="Arial"/>
                <w:b/>
                <w:bCs/>
                <w:sz w:val="24"/>
                <w:szCs w:val="24"/>
              </w:rPr>
              <w:t>4</w:t>
            </w:r>
          </w:p>
        </w:tc>
        <w:tc>
          <w:tcPr>
            <w:tcW w:w="1650" w:type="dxa"/>
            <w:tcMar>
              <w:top w:w="80" w:type="dxa"/>
              <w:left w:w="100" w:type="dxa"/>
              <w:bottom w:w="80" w:type="dxa"/>
              <w:right w:w="100" w:type="dxa"/>
            </w:tcMar>
          </w:tcPr>
          <w:p w14:paraId="033DB16B" w14:textId="77777777" w:rsidR="008252A7" w:rsidRPr="00257D15" w:rsidRDefault="00000000" w:rsidP="00257D15">
            <w:pPr>
              <w:spacing w:line="360" w:lineRule="auto"/>
              <w:jc w:val="both"/>
              <w:rPr>
                <w:sz w:val="24"/>
                <w:szCs w:val="24"/>
              </w:rPr>
            </w:pPr>
            <w:r w:rsidRPr="00257D15">
              <w:rPr>
                <w:rFonts w:eastAsia="Arial"/>
                <w:b/>
                <w:bCs/>
                <w:sz w:val="24"/>
                <w:szCs w:val="24"/>
              </w:rPr>
              <w:t>13</w:t>
            </w:r>
          </w:p>
        </w:tc>
      </w:tr>
      <w:tr w:rsidR="008252A7" w:rsidRPr="00257D15" w14:paraId="1722019A" w14:textId="77777777">
        <w:tc>
          <w:tcPr>
            <w:tcW w:w="2900" w:type="dxa"/>
            <w:tcMar>
              <w:top w:w="80" w:type="dxa"/>
              <w:left w:w="100" w:type="dxa"/>
              <w:bottom w:w="80" w:type="dxa"/>
              <w:right w:w="100" w:type="dxa"/>
            </w:tcMar>
          </w:tcPr>
          <w:p w14:paraId="60F98832" w14:textId="77777777" w:rsidR="008252A7" w:rsidRPr="00257D15" w:rsidRDefault="00000000" w:rsidP="00257D15">
            <w:pPr>
              <w:spacing w:line="360" w:lineRule="auto"/>
              <w:jc w:val="both"/>
              <w:rPr>
                <w:sz w:val="24"/>
                <w:szCs w:val="24"/>
              </w:rPr>
            </w:pPr>
            <w:r w:rsidRPr="00257D15">
              <w:rPr>
                <w:rFonts w:eastAsia="Arial"/>
                <w:sz w:val="24"/>
                <w:szCs w:val="24"/>
              </w:rPr>
              <w:t>Rural digital-payments onboarding service</w:t>
            </w:r>
          </w:p>
        </w:tc>
        <w:tc>
          <w:tcPr>
            <w:tcW w:w="1600" w:type="dxa"/>
            <w:tcMar>
              <w:top w:w="80" w:type="dxa"/>
              <w:left w:w="100" w:type="dxa"/>
              <w:bottom w:w="80" w:type="dxa"/>
              <w:right w:w="100" w:type="dxa"/>
            </w:tcMar>
          </w:tcPr>
          <w:p w14:paraId="5FEAD1AF" w14:textId="77777777" w:rsidR="008252A7" w:rsidRPr="00257D15" w:rsidRDefault="00000000" w:rsidP="00257D15">
            <w:pPr>
              <w:spacing w:line="360" w:lineRule="auto"/>
              <w:jc w:val="both"/>
              <w:rPr>
                <w:sz w:val="24"/>
                <w:szCs w:val="24"/>
              </w:rPr>
            </w:pPr>
            <w:r w:rsidRPr="00257D15">
              <w:rPr>
                <w:rFonts w:eastAsia="Arial"/>
                <w:sz w:val="24"/>
                <w:szCs w:val="24"/>
              </w:rPr>
              <w:t>3</w:t>
            </w:r>
          </w:p>
        </w:tc>
        <w:tc>
          <w:tcPr>
            <w:tcW w:w="1600" w:type="dxa"/>
            <w:tcMar>
              <w:top w:w="80" w:type="dxa"/>
              <w:left w:w="100" w:type="dxa"/>
              <w:bottom w:w="80" w:type="dxa"/>
              <w:right w:w="100" w:type="dxa"/>
            </w:tcMar>
          </w:tcPr>
          <w:p w14:paraId="4E7B1983" w14:textId="77777777" w:rsidR="008252A7" w:rsidRPr="00257D15" w:rsidRDefault="00000000" w:rsidP="00257D15">
            <w:pPr>
              <w:spacing w:line="360" w:lineRule="auto"/>
              <w:jc w:val="both"/>
              <w:rPr>
                <w:sz w:val="24"/>
                <w:szCs w:val="24"/>
              </w:rPr>
            </w:pPr>
            <w:r w:rsidRPr="00257D15">
              <w:rPr>
                <w:rFonts w:eastAsia="Arial"/>
                <w:sz w:val="24"/>
                <w:szCs w:val="24"/>
              </w:rPr>
              <w:t>3</w:t>
            </w:r>
          </w:p>
        </w:tc>
        <w:tc>
          <w:tcPr>
            <w:tcW w:w="1600" w:type="dxa"/>
            <w:tcMar>
              <w:top w:w="80" w:type="dxa"/>
              <w:left w:w="100" w:type="dxa"/>
              <w:bottom w:w="80" w:type="dxa"/>
              <w:right w:w="100" w:type="dxa"/>
            </w:tcMar>
          </w:tcPr>
          <w:p w14:paraId="638EA8DB" w14:textId="77777777" w:rsidR="008252A7" w:rsidRPr="00257D15" w:rsidRDefault="00000000" w:rsidP="00257D15">
            <w:pPr>
              <w:spacing w:line="360" w:lineRule="auto"/>
              <w:jc w:val="both"/>
              <w:rPr>
                <w:sz w:val="24"/>
                <w:szCs w:val="24"/>
              </w:rPr>
            </w:pPr>
            <w:r w:rsidRPr="00257D15">
              <w:rPr>
                <w:rFonts w:eastAsia="Arial"/>
                <w:sz w:val="24"/>
                <w:szCs w:val="24"/>
              </w:rPr>
              <w:t>3</w:t>
            </w:r>
          </w:p>
        </w:tc>
        <w:tc>
          <w:tcPr>
            <w:tcW w:w="1650" w:type="dxa"/>
            <w:tcMar>
              <w:top w:w="80" w:type="dxa"/>
              <w:left w:w="100" w:type="dxa"/>
              <w:bottom w:w="80" w:type="dxa"/>
              <w:right w:w="100" w:type="dxa"/>
            </w:tcMar>
          </w:tcPr>
          <w:p w14:paraId="72F0B378" w14:textId="77777777" w:rsidR="008252A7" w:rsidRPr="00257D15" w:rsidRDefault="00000000" w:rsidP="00257D15">
            <w:pPr>
              <w:spacing w:line="360" w:lineRule="auto"/>
              <w:jc w:val="both"/>
              <w:rPr>
                <w:sz w:val="24"/>
                <w:szCs w:val="24"/>
              </w:rPr>
            </w:pPr>
            <w:r w:rsidRPr="00257D15">
              <w:rPr>
                <w:rFonts w:eastAsia="Arial"/>
                <w:sz w:val="24"/>
                <w:szCs w:val="24"/>
              </w:rPr>
              <w:t>9</w:t>
            </w:r>
          </w:p>
        </w:tc>
      </w:tr>
      <w:tr w:rsidR="008252A7" w:rsidRPr="00257D15" w14:paraId="2B814E9B" w14:textId="77777777">
        <w:tc>
          <w:tcPr>
            <w:tcW w:w="2900" w:type="dxa"/>
            <w:tcMar>
              <w:top w:w="80" w:type="dxa"/>
              <w:left w:w="100" w:type="dxa"/>
              <w:bottom w:w="80" w:type="dxa"/>
              <w:right w:w="100" w:type="dxa"/>
            </w:tcMar>
          </w:tcPr>
          <w:p w14:paraId="0EA41FEE" w14:textId="77777777" w:rsidR="008252A7" w:rsidRPr="00257D15" w:rsidRDefault="00000000" w:rsidP="00257D15">
            <w:pPr>
              <w:spacing w:line="360" w:lineRule="auto"/>
              <w:jc w:val="both"/>
              <w:rPr>
                <w:sz w:val="24"/>
                <w:szCs w:val="24"/>
              </w:rPr>
            </w:pPr>
            <w:r w:rsidRPr="00257D15">
              <w:rPr>
                <w:rFonts w:eastAsia="Arial"/>
                <w:sz w:val="24"/>
                <w:szCs w:val="24"/>
              </w:rPr>
              <w:lastRenderedPageBreak/>
              <w:t>Digital marketing agency for SMEs</w:t>
            </w:r>
          </w:p>
        </w:tc>
        <w:tc>
          <w:tcPr>
            <w:tcW w:w="1600" w:type="dxa"/>
            <w:tcMar>
              <w:top w:w="80" w:type="dxa"/>
              <w:left w:w="100" w:type="dxa"/>
              <w:bottom w:w="80" w:type="dxa"/>
              <w:right w:w="100" w:type="dxa"/>
            </w:tcMar>
          </w:tcPr>
          <w:p w14:paraId="49699CAA" w14:textId="77777777" w:rsidR="008252A7" w:rsidRPr="00257D15" w:rsidRDefault="00000000" w:rsidP="00257D15">
            <w:pPr>
              <w:spacing w:line="360" w:lineRule="auto"/>
              <w:jc w:val="both"/>
              <w:rPr>
                <w:sz w:val="24"/>
                <w:szCs w:val="24"/>
              </w:rPr>
            </w:pPr>
            <w:r w:rsidRPr="00257D15">
              <w:rPr>
                <w:rFonts w:eastAsia="Arial"/>
                <w:sz w:val="24"/>
                <w:szCs w:val="24"/>
              </w:rPr>
              <w:t>2</w:t>
            </w:r>
          </w:p>
        </w:tc>
        <w:tc>
          <w:tcPr>
            <w:tcW w:w="1600" w:type="dxa"/>
            <w:tcMar>
              <w:top w:w="80" w:type="dxa"/>
              <w:left w:w="100" w:type="dxa"/>
              <w:bottom w:w="80" w:type="dxa"/>
              <w:right w:w="100" w:type="dxa"/>
            </w:tcMar>
          </w:tcPr>
          <w:p w14:paraId="73AC103A" w14:textId="77777777" w:rsidR="008252A7" w:rsidRPr="00257D15" w:rsidRDefault="00000000" w:rsidP="00257D15">
            <w:pPr>
              <w:spacing w:line="360" w:lineRule="auto"/>
              <w:jc w:val="both"/>
              <w:rPr>
                <w:sz w:val="24"/>
                <w:szCs w:val="24"/>
              </w:rPr>
            </w:pPr>
            <w:r w:rsidRPr="00257D15">
              <w:rPr>
                <w:rFonts w:eastAsia="Arial"/>
                <w:sz w:val="24"/>
                <w:szCs w:val="24"/>
              </w:rPr>
              <w:t>4</w:t>
            </w:r>
          </w:p>
        </w:tc>
        <w:tc>
          <w:tcPr>
            <w:tcW w:w="1600" w:type="dxa"/>
            <w:tcMar>
              <w:top w:w="80" w:type="dxa"/>
              <w:left w:w="100" w:type="dxa"/>
              <w:bottom w:w="80" w:type="dxa"/>
              <w:right w:w="100" w:type="dxa"/>
            </w:tcMar>
          </w:tcPr>
          <w:p w14:paraId="2AF7858C" w14:textId="77777777" w:rsidR="008252A7" w:rsidRPr="00257D15" w:rsidRDefault="00000000" w:rsidP="00257D15">
            <w:pPr>
              <w:spacing w:line="360" w:lineRule="auto"/>
              <w:jc w:val="both"/>
              <w:rPr>
                <w:sz w:val="24"/>
                <w:szCs w:val="24"/>
              </w:rPr>
            </w:pPr>
            <w:r w:rsidRPr="00257D15">
              <w:rPr>
                <w:rFonts w:eastAsia="Arial"/>
                <w:sz w:val="24"/>
                <w:szCs w:val="24"/>
              </w:rPr>
              <w:t>3</w:t>
            </w:r>
          </w:p>
        </w:tc>
        <w:tc>
          <w:tcPr>
            <w:tcW w:w="1650" w:type="dxa"/>
            <w:tcMar>
              <w:top w:w="80" w:type="dxa"/>
              <w:left w:w="100" w:type="dxa"/>
              <w:bottom w:w="80" w:type="dxa"/>
              <w:right w:w="100" w:type="dxa"/>
            </w:tcMar>
          </w:tcPr>
          <w:p w14:paraId="74CB04BA" w14:textId="77777777" w:rsidR="008252A7" w:rsidRPr="00257D15" w:rsidRDefault="00000000" w:rsidP="00257D15">
            <w:pPr>
              <w:spacing w:line="360" w:lineRule="auto"/>
              <w:jc w:val="both"/>
              <w:rPr>
                <w:sz w:val="24"/>
                <w:szCs w:val="24"/>
              </w:rPr>
            </w:pPr>
            <w:r w:rsidRPr="00257D15">
              <w:rPr>
                <w:rFonts w:eastAsia="Arial"/>
                <w:sz w:val="24"/>
                <w:szCs w:val="24"/>
              </w:rPr>
              <w:t>9</w:t>
            </w:r>
          </w:p>
        </w:tc>
      </w:tr>
    </w:tbl>
    <w:p w14:paraId="1AB14DAD" w14:textId="77777777" w:rsidR="007D753F" w:rsidRPr="00257D15" w:rsidRDefault="007D753F" w:rsidP="00257D15">
      <w:pPr>
        <w:spacing w:after="260" w:line="360" w:lineRule="auto"/>
        <w:jc w:val="both"/>
        <w:rPr>
          <w:rFonts w:eastAsia="Arial"/>
          <w:sz w:val="24"/>
          <w:szCs w:val="24"/>
        </w:rPr>
      </w:pPr>
    </w:p>
    <w:p w14:paraId="1EFDB69F" w14:textId="77777777" w:rsidR="007D753F" w:rsidRPr="00257D15" w:rsidRDefault="007D753F" w:rsidP="00257D15">
      <w:pPr>
        <w:pStyle w:val="Heading2"/>
        <w:spacing w:before="240" w:after="160" w:line="360" w:lineRule="auto"/>
        <w:jc w:val="both"/>
        <w:rPr>
          <w:rFonts w:eastAsia="Arial"/>
          <w:color w:val="auto"/>
          <w:sz w:val="24"/>
          <w:szCs w:val="24"/>
        </w:rPr>
      </w:pPr>
      <w:bookmarkStart w:id="9" w:name="_Toc237291880"/>
      <w:r w:rsidRPr="00257D15">
        <w:rPr>
          <w:rFonts w:eastAsia="Arial"/>
          <w:color w:val="auto"/>
          <w:sz w:val="24"/>
          <w:szCs w:val="24"/>
        </w:rPr>
        <w:t>The four root causes identified in sections 1.2 and 1.3 all combine to lead to one “combined effect” – the under-participation of rural and small-firm actors in the digital economy relative to their urban and larger counterparts, which drives up inequality in the distribution of the benefits from digital transformation. The brainstorming matrix then puts five candidate responses to this combined effect to the test against each other and not against themselves. Finally, the delivery-pooling and fulfilment-as-a-service concept best addresses the most prominent and recurring pain point (increase in the last-mile cost for both enterprises and structurally underrepresented groups, who tend to be local) and best fills a gap between enterprise logistics software and informally organised delivery-pooling groups in the local delivery area; and, most importantly, is supported by technology that is mature enough for immediate adoption, not further development.</w:t>
      </w:r>
      <w:bookmarkEnd w:id="9"/>
    </w:p>
    <w:p w14:paraId="0653C443" w14:textId="77777777" w:rsidR="008252A7" w:rsidRPr="00257D15" w:rsidRDefault="00000000" w:rsidP="00257D15">
      <w:pPr>
        <w:pStyle w:val="Heading2"/>
        <w:spacing w:before="240" w:after="160" w:line="360" w:lineRule="auto"/>
        <w:jc w:val="both"/>
        <w:rPr>
          <w:sz w:val="24"/>
          <w:szCs w:val="24"/>
        </w:rPr>
      </w:pPr>
      <w:bookmarkStart w:id="10" w:name="_Toc237291881"/>
      <w:r w:rsidRPr="00257D15">
        <w:rPr>
          <w:rFonts w:eastAsia="Arial"/>
          <w:b/>
          <w:bCs/>
          <w:color w:val="000000"/>
          <w:sz w:val="24"/>
          <w:szCs w:val="24"/>
        </w:rPr>
        <w:t>1.7 Conclusion: Justified Opportunity</w:t>
      </w:r>
      <w:bookmarkEnd w:id="10"/>
    </w:p>
    <w:p w14:paraId="569CF14A" w14:textId="77777777" w:rsidR="008252A7" w:rsidRPr="00257D15" w:rsidRDefault="007D753F" w:rsidP="00257D15">
      <w:pPr>
        <w:spacing w:line="360" w:lineRule="auto"/>
        <w:jc w:val="both"/>
        <w:rPr>
          <w:sz w:val="24"/>
          <w:szCs w:val="24"/>
        </w:rPr>
      </w:pPr>
      <w:r w:rsidRPr="00257D15">
        <w:rPr>
          <w:rFonts w:eastAsia="Arial"/>
          <w:sz w:val="24"/>
          <w:szCs w:val="24"/>
        </w:rPr>
        <w:t>This comparative and evidence-based analysis has led to identifying the best innovation opportunity as a fulfilment and delivery aggregation service for clusters of rural and small-town SME retailers, which could be combined in the future with payment onboarding for Open Banking. It is a better opportunity than relying on a generic ecommerce platform, standalone retail-management software, rural payments-only proposition or a digital marketing firm because it is an intervention that directly addresses the pain point for these user groups that is experienced most acutely and most frequently, a market that has not been effectively served at scale by enterprise logistics or the more informally organised community delivery systems and is enabled by commercially-mature cloud logistics software and Open Banking infrastructure and provides a more defensible long term scalability path through network effects as an intervention. The opportunity is developed in the five stages of design thinking while utili</w:t>
      </w:r>
      <w:r w:rsidR="004066CF">
        <w:rPr>
          <w:rFonts w:eastAsia="Arial"/>
          <w:sz w:val="24"/>
          <w:szCs w:val="24"/>
        </w:rPr>
        <w:t>s</w:t>
      </w:r>
      <w:r w:rsidRPr="00257D15">
        <w:rPr>
          <w:rFonts w:eastAsia="Arial"/>
          <w:sz w:val="24"/>
          <w:szCs w:val="24"/>
        </w:rPr>
        <w:t>ing Task 2.</w:t>
      </w:r>
      <w:r w:rsidRPr="00257D15">
        <w:rPr>
          <w:sz w:val="24"/>
          <w:szCs w:val="24"/>
        </w:rPr>
        <w:br w:type="page"/>
      </w:r>
    </w:p>
    <w:p w14:paraId="5DE19180" w14:textId="77777777" w:rsidR="008252A7" w:rsidRPr="00257D15" w:rsidRDefault="00000000" w:rsidP="00257D15">
      <w:pPr>
        <w:pStyle w:val="Heading1"/>
        <w:spacing w:before="300" w:after="200" w:line="360" w:lineRule="auto"/>
        <w:jc w:val="both"/>
        <w:rPr>
          <w:sz w:val="24"/>
          <w:szCs w:val="24"/>
        </w:rPr>
      </w:pPr>
      <w:bookmarkStart w:id="11" w:name="_Toc237291882"/>
      <w:r w:rsidRPr="00257D15">
        <w:rPr>
          <w:rFonts w:eastAsia="Arial"/>
          <w:b/>
          <w:bCs/>
          <w:color w:val="000000"/>
          <w:sz w:val="24"/>
          <w:szCs w:val="24"/>
        </w:rPr>
        <w:lastRenderedPageBreak/>
        <w:t>Task 2: Developing a New Venture Concept Using the Five Stages of Design Thinking</w:t>
      </w:r>
      <w:bookmarkEnd w:id="11"/>
    </w:p>
    <w:p w14:paraId="3197D1BD" w14:textId="77777777" w:rsidR="008252A7" w:rsidRPr="00257D15" w:rsidRDefault="00000000" w:rsidP="00257D15">
      <w:pPr>
        <w:pStyle w:val="Heading2"/>
        <w:spacing w:before="240" w:after="160" w:line="360" w:lineRule="auto"/>
        <w:jc w:val="both"/>
        <w:rPr>
          <w:sz w:val="24"/>
          <w:szCs w:val="24"/>
        </w:rPr>
      </w:pPr>
      <w:bookmarkStart w:id="12" w:name="_Toc237291883"/>
      <w:r w:rsidRPr="00257D15">
        <w:rPr>
          <w:rFonts w:eastAsia="Arial"/>
          <w:b/>
          <w:bCs/>
          <w:color w:val="000000"/>
          <w:sz w:val="24"/>
          <w:szCs w:val="24"/>
        </w:rPr>
        <w:t>2.1 Introduction to the Venture Concept</w:t>
      </w:r>
      <w:bookmarkEnd w:id="12"/>
    </w:p>
    <w:p w14:paraId="28560B44" w14:textId="77777777" w:rsidR="008252A7" w:rsidRPr="00257D15" w:rsidRDefault="00000000" w:rsidP="00257D15">
      <w:pPr>
        <w:spacing w:after="200" w:line="360" w:lineRule="auto"/>
        <w:jc w:val="both"/>
        <w:rPr>
          <w:sz w:val="24"/>
          <w:szCs w:val="24"/>
        </w:rPr>
      </w:pPr>
      <w:r w:rsidRPr="00257D15">
        <w:rPr>
          <w:rFonts w:eastAsia="Arial"/>
          <w:sz w:val="24"/>
          <w:szCs w:val="24"/>
        </w:rPr>
        <w:t xml:space="preserve">Building directly on the opportunity justified in Task 1, this section develops a venture concept referred to as </w:t>
      </w:r>
      <w:proofErr w:type="spellStart"/>
      <w:r w:rsidRPr="00257D15">
        <w:rPr>
          <w:rFonts w:eastAsia="Arial"/>
          <w:sz w:val="24"/>
          <w:szCs w:val="24"/>
        </w:rPr>
        <w:t>ParcelPool</w:t>
      </w:r>
      <w:proofErr w:type="spellEnd"/>
      <w:r w:rsidRPr="00257D15">
        <w:rPr>
          <w:rFonts w:eastAsia="Arial"/>
          <w:sz w:val="24"/>
          <w:szCs w:val="24"/>
        </w:rPr>
        <w:t xml:space="preserve">: a shared fulfilment and delivery network for rural and small-town UK retailers. </w:t>
      </w:r>
      <w:proofErr w:type="spellStart"/>
      <w:r w:rsidRPr="00257D15">
        <w:rPr>
          <w:rFonts w:eastAsia="Arial"/>
          <w:sz w:val="24"/>
          <w:szCs w:val="24"/>
        </w:rPr>
        <w:t>ParcelPool</w:t>
      </w:r>
      <w:proofErr w:type="spellEnd"/>
      <w:r w:rsidRPr="00257D15">
        <w:rPr>
          <w:rFonts w:eastAsia="Arial"/>
          <w:sz w:val="24"/>
          <w:szCs w:val="24"/>
        </w:rPr>
        <w:t xml:space="preserve"> would pool parcel volumes across a cluster of independent SME retailers within a defined rural or small-town catchment, negotiate consolidated courier rates on their behalf, and manage day-to-day routing and collection through a simplified digital dashboard, addressing the capability gap identified in section 1.2 rather than assuming retailers already possess logistics expertise. </w:t>
      </w:r>
      <w:r w:rsidR="007D753F" w:rsidRPr="00257D15">
        <w:rPr>
          <w:rFonts w:eastAsia="Arial"/>
          <w:sz w:val="24"/>
          <w:szCs w:val="24"/>
        </w:rPr>
        <w:t xml:space="preserve">The concept is elaborated on in the five stages of design thinking that were developed by the Stanford </w:t>
      </w:r>
      <w:proofErr w:type="spellStart"/>
      <w:proofErr w:type="gramStart"/>
      <w:r w:rsidR="007D753F" w:rsidRPr="00257D15">
        <w:rPr>
          <w:rFonts w:eastAsia="Arial"/>
          <w:sz w:val="24"/>
          <w:szCs w:val="24"/>
        </w:rPr>
        <w:t>d.school</w:t>
      </w:r>
      <w:proofErr w:type="spellEnd"/>
      <w:proofErr w:type="gramEnd"/>
      <w:r w:rsidR="007D753F" w:rsidRPr="00257D15">
        <w:rPr>
          <w:rFonts w:eastAsia="Arial"/>
          <w:sz w:val="24"/>
          <w:szCs w:val="24"/>
        </w:rPr>
        <w:t xml:space="preserve"> and popularised by IDEO, namely: Empathise, Define, Ideate, Prototype and Test (Brown, 2008; Dam and Siang, 2020). The sequence is shown here for ease of reading</w:t>
      </w:r>
      <w:r w:rsidR="00257D15">
        <w:rPr>
          <w:rFonts w:eastAsia="Arial"/>
          <w:sz w:val="24"/>
          <w:szCs w:val="24"/>
        </w:rPr>
        <w:t>,</w:t>
      </w:r>
      <w:r w:rsidR="007D753F" w:rsidRPr="00257D15">
        <w:rPr>
          <w:rFonts w:eastAsia="Arial"/>
          <w:sz w:val="24"/>
          <w:szCs w:val="24"/>
        </w:rPr>
        <w:t xml:space="preserve"> but in </w:t>
      </w:r>
      <w:r w:rsidR="00780D68" w:rsidRPr="00257D15">
        <w:rPr>
          <w:rFonts w:eastAsia="Arial"/>
          <w:sz w:val="24"/>
          <w:szCs w:val="24"/>
        </w:rPr>
        <w:t>reality,</w:t>
      </w:r>
      <w:r w:rsidR="007D753F" w:rsidRPr="00257D15">
        <w:rPr>
          <w:rFonts w:eastAsia="Arial"/>
          <w:sz w:val="24"/>
          <w:szCs w:val="24"/>
        </w:rPr>
        <w:t xml:space="preserve"> the process is iterative, nonlinear, and feedback </w:t>
      </w:r>
      <w:r w:rsidR="00257D15">
        <w:rPr>
          <w:rFonts w:eastAsia="Arial"/>
          <w:sz w:val="24"/>
          <w:szCs w:val="24"/>
        </w:rPr>
        <w:t>is</w:t>
      </w:r>
      <w:r w:rsidR="007D753F" w:rsidRPr="00257D15">
        <w:rPr>
          <w:rFonts w:eastAsia="Arial"/>
          <w:sz w:val="24"/>
          <w:szCs w:val="24"/>
        </w:rPr>
        <w:t xml:space="preserve"> common between the various stages (Dam and Siang, 2020).</w:t>
      </w:r>
    </w:p>
    <w:p w14:paraId="07FAEDBF" w14:textId="77777777" w:rsidR="008252A7" w:rsidRPr="00257D15" w:rsidRDefault="00000000" w:rsidP="00257D15">
      <w:pPr>
        <w:pStyle w:val="Heading2"/>
        <w:spacing w:before="240" w:after="160" w:line="360" w:lineRule="auto"/>
        <w:jc w:val="both"/>
        <w:rPr>
          <w:sz w:val="24"/>
          <w:szCs w:val="24"/>
        </w:rPr>
      </w:pPr>
      <w:bookmarkStart w:id="13" w:name="_Toc237291884"/>
      <w:r w:rsidRPr="00257D15">
        <w:rPr>
          <w:rFonts w:eastAsia="Arial"/>
          <w:b/>
          <w:bCs/>
          <w:color w:val="000000"/>
          <w:sz w:val="24"/>
          <w:szCs w:val="24"/>
        </w:rPr>
        <w:t>2.2 Empathise</w:t>
      </w:r>
      <w:bookmarkEnd w:id="13"/>
    </w:p>
    <w:p w14:paraId="407F7B26" w14:textId="77777777" w:rsidR="00844E71" w:rsidRPr="00257D15" w:rsidRDefault="00844E71" w:rsidP="00257D15">
      <w:pPr>
        <w:pStyle w:val="Heading2"/>
        <w:spacing w:before="240" w:after="160" w:line="360" w:lineRule="auto"/>
        <w:jc w:val="both"/>
        <w:rPr>
          <w:rFonts w:eastAsia="Arial"/>
          <w:color w:val="000000" w:themeColor="text1"/>
          <w:sz w:val="24"/>
          <w:szCs w:val="24"/>
        </w:rPr>
      </w:pPr>
      <w:bookmarkStart w:id="14" w:name="_Toc237291885"/>
      <w:r w:rsidRPr="00257D15">
        <w:rPr>
          <w:rFonts w:eastAsia="Arial"/>
          <w:color w:val="000000" w:themeColor="text1"/>
          <w:sz w:val="24"/>
          <w:szCs w:val="24"/>
        </w:rPr>
        <w:t xml:space="preserve">In the Empathise stage, not only is there a direct interaction with the people who are suffering </w:t>
      </w:r>
      <w:r w:rsidR="0064427B">
        <w:rPr>
          <w:rFonts w:eastAsia="Arial"/>
          <w:color w:val="000000" w:themeColor="text1"/>
          <w:sz w:val="24"/>
          <w:szCs w:val="24"/>
        </w:rPr>
        <w:t>from</w:t>
      </w:r>
      <w:r w:rsidRPr="00257D15">
        <w:rPr>
          <w:rFonts w:eastAsia="Arial"/>
          <w:color w:val="000000" w:themeColor="text1"/>
          <w:sz w:val="24"/>
          <w:szCs w:val="24"/>
        </w:rPr>
        <w:t xml:space="preserve"> the problem, but there is also a direct interaction with the people who are experiencing the problem</w:t>
      </w:r>
      <w:r w:rsidR="0064427B">
        <w:rPr>
          <w:rFonts w:eastAsia="Arial"/>
          <w:color w:val="000000" w:themeColor="text1"/>
          <w:sz w:val="24"/>
          <w:szCs w:val="24"/>
        </w:rPr>
        <w:t>;</w:t>
      </w:r>
      <w:r w:rsidRPr="00257D15">
        <w:rPr>
          <w:rFonts w:eastAsia="Arial"/>
          <w:color w:val="000000" w:themeColor="text1"/>
          <w:sz w:val="24"/>
          <w:szCs w:val="24"/>
        </w:rPr>
        <w:t xml:space="preserve"> in this case</w:t>
      </w:r>
      <w:r w:rsidR="0064427B">
        <w:rPr>
          <w:rFonts w:eastAsia="Arial"/>
          <w:color w:val="000000" w:themeColor="text1"/>
          <w:sz w:val="24"/>
          <w:szCs w:val="24"/>
        </w:rPr>
        <w:t>,</w:t>
      </w:r>
      <w:r w:rsidRPr="00257D15">
        <w:rPr>
          <w:rFonts w:eastAsia="Arial"/>
          <w:color w:val="000000" w:themeColor="text1"/>
          <w:sz w:val="24"/>
          <w:szCs w:val="24"/>
        </w:rPr>
        <w:t xml:space="preserve"> it is rural SME retailers and rural consumers, with no reliance on what is thought to be needed (Brown, 2008). In this stage, two illustrative personas were created to ground this stage, as well as the type of primary research methods that would be used by a real venture before investing resources: Semi-structured interviews of rural SME owners, informal ride-</w:t>
      </w:r>
      <w:r w:rsidR="00AF4B52" w:rsidRPr="00257D15">
        <w:rPr>
          <w:rFonts w:eastAsia="Arial"/>
          <w:color w:val="000000" w:themeColor="text1"/>
          <w:sz w:val="24"/>
          <w:szCs w:val="24"/>
        </w:rPr>
        <w:t>along</w:t>
      </w:r>
      <w:r w:rsidRPr="00257D15">
        <w:rPr>
          <w:rFonts w:eastAsia="Arial"/>
          <w:color w:val="000000" w:themeColor="text1"/>
          <w:sz w:val="24"/>
          <w:szCs w:val="24"/>
        </w:rPr>
        <w:t xml:space="preserve"> with independent delivery drivers to observe rural drop patterns, existing secondary information on rural delivery costs and digital exclusion (Department for Business and Trade, 2025; PDMS, 2024), and review of community and forum discussions online about rural consumers' shipping complaints.</w:t>
      </w:r>
      <w:bookmarkEnd w:id="14"/>
    </w:p>
    <w:p w14:paraId="75A43492" w14:textId="77777777" w:rsidR="00844E71" w:rsidRPr="00257D15" w:rsidRDefault="00844E71" w:rsidP="00257D15">
      <w:pPr>
        <w:pStyle w:val="Heading2"/>
        <w:spacing w:before="240" w:after="160" w:line="360" w:lineRule="auto"/>
        <w:jc w:val="both"/>
        <w:rPr>
          <w:rFonts w:eastAsia="Arial"/>
          <w:color w:val="000000" w:themeColor="text1"/>
          <w:sz w:val="24"/>
          <w:szCs w:val="24"/>
        </w:rPr>
      </w:pPr>
      <w:bookmarkStart w:id="15" w:name="_Toc237291886"/>
      <w:r w:rsidRPr="00257D15">
        <w:rPr>
          <w:rFonts w:eastAsia="Arial"/>
          <w:color w:val="000000" w:themeColor="text1"/>
          <w:sz w:val="24"/>
          <w:szCs w:val="24"/>
        </w:rPr>
        <w:t>The first persona is a retailer at a farm shop in rural South West who has a website and social media presence, but is facing a low profit margin resulting from high and volatile courier fees for rural postcodes, and who also doesn't have enough time or in-house expertise to negotiate with multiple couriers or to program enterprise logistics software designed for much larger businesses, as described in section 1.2 (Department for Business and Trade, 2025).</w:t>
      </w:r>
      <w:bookmarkEnd w:id="15"/>
    </w:p>
    <w:p w14:paraId="3781C817" w14:textId="77777777" w:rsidR="00844E71" w:rsidRPr="00257D15" w:rsidRDefault="00844E71" w:rsidP="00257D15">
      <w:pPr>
        <w:pStyle w:val="Heading2"/>
        <w:spacing w:before="240" w:after="160" w:line="360" w:lineRule="auto"/>
        <w:jc w:val="both"/>
        <w:rPr>
          <w:rFonts w:eastAsia="Arial"/>
          <w:color w:val="000000" w:themeColor="text1"/>
          <w:sz w:val="24"/>
          <w:szCs w:val="24"/>
        </w:rPr>
      </w:pPr>
      <w:bookmarkStart w:id="16" w:name="_Toc237291887"/>
      <w:r w:rsidRPr="00257D15">
        <w:rPr>
          <w:rFonts w:eastAsia="Arial"/>
          <w:color w:val="000000" w:themeColor="text1"/>
          <w:sz w:val="24"/>
          <w:szCs w:val="24"/>
        </w:rPr>
        <w:lastRenderedPageBreak/>
        <w:t xml:space="preserve">A second persona, a consumer in a relatively isolated rural area, is interested in purchasing online from small local and regional retail businesses, but is often put off by delivery fees, delivery times that are too long or unpredictable and the occasional missed deliveries, consistent with the last mile and infrastructural pain points identified by </w:t>
      </w:r>
      <w:proofErr w:type="spellStart"/>
      <w:r w:rsidRPr="00257D15">
        <w:rPr>
          <w:rFonts w:eastAsia="Arial"/>
          <w:color w:val="000000" w:themeColor="text1"/>
          <w:sz w:val="24"/>
          <w:szCs w:val="24"/>
        </w:rPr>
        <w:t>AntsRoute</w:t>
      </w:r>
      <w:proofErr w:type="spellEnd"/>
      <w:r w:rsidRPr="00257D15">
        <w:rPr>
          <w:rFonts w:eastAsia="Arial"/>
          <w:color w:val="000000" w:themeColor="text1"/>
          <w:sz w:val="24"/>
          <w:szCs w:val="24"/>
        </w:rPr>
        <w:t xml:space="preserve"> (2025) and the Interaction Service Providers Association (2024). Titled ‘Empathy work with both personas', it reveals a common source of frustration: digital commerce is not a contradiction for either party, but is structurally penalised by low parcel density and tools that were not created with their scale or context in mind.</w:t>
      </w:r>
      <w:bookmarkEnd w:id="16"/>
    </w:p>
    <w:p w14:paraId="08E5E85C" w14:textId="77777777" w:rsidR="008252A7" w:rsidRPr="00257D15" w:rsidRDefault="00000000" w:rsidP="00257D15">
      <w:pPr>
        <w:pStyle w:val="Heading2"/>
        <w:spacing w:before="240" w:after="160" w:line="360" w:lineRule="auto"/>
        <w:jc w:val="both"/>
        <w:rPr>
          <w:sz w:val="24"/>
          <w:szCs w:val="24"/>
        </w:rPr>
      </w:pPr>
      <w:bookmarkStart w:id="17" w:name="_Toc237291888"/>
      <w:r w:rsidRPr="00257D15">
        <w:rPr>
          <w:rFonts w:eastAsia="Arial"/>
          <w:b/>
          <w:bCs/>
          <w:color w:val="000000"/>
          <w:sz w:val="24"/>
          <w:szCs w:val="24"/>
        </w:rPr>
        <w:t>2.3 Define</w:t>
      </w:r>
      <w:bookmarkEnd w:id="17"/>
    </w:p>
    <w:p w14:paraId="770FC844" w14:textId="77777777" w:rsidR="00844E71" w:rsidRPr="00257D15" w:rsidRDefault="00844E71" w:rsidP="00257D15">
      <w:pPr>
        <w:pStyle w:val="Heading2"/>
        <w:spacing w:before="240" w:after="160" w:line="360" w:lineRule="auto"/>
        <w:jc w:val="both"/>
        <w:rPr>
          <w:rFonts w:eastAsia="Arial"/>
          <w:color w:val="auto"/>
          <w:sz w:val="24"/>
          <w:szCs w:val="24"/>
        </w:rPr>
      </w:pPr>
      <w:bookmarkStart w:id="18" w:name="_Toc237291889"/>
      <w:r w:rsidRPr="00257D15">
        <w:rPr>
          <w:rFonts w:eastAsia="Arial"/>
          <w:color w:val="auto"/>
          <w:sz w:val="24"/>
          <w:szCs w:val="24"/>
        </w:rPr>
        <w:t>The Define stage is the phase in which empathy research will be merged into a problem statement that is clear and human-centred without prematurely going into the solutions phase (Dam and Siang, 2020). The problem statement is: Rural and small-town SME retailers require an affordable, reliable and low configuration option way to deliver their products to their customers, as the current parcel delivery costs, unpredictability and configuration burden is h</w:t>
      </w:r>
      <w:r w:rsidR="00257D15">
        <w:rPr>
          <w:rFonts w:eastAsia="Arial"/>
          <w:color w:val="auto"/>
          <w:sz w:val="24"/>
          <w:szCs w:val="24"/>
        </w:rPr>
        <w:t>urting</w:t>
      </w:r>
      <w:r w:rsidRPr="00257D15">
        <w:rPr>
          <w:rFonts w:eastAsia="Arial"/>
          <w:color w:val="auto"/>
          <w:sz w:val="24"/>
          <w:szCs w:val="24"/>
        </w:rPr>
        <w:t xml:space="preserve"> their margins, prevent them from competing with urban or national retailers and genuine demand exists from consumers in rural areas.</w:t>
      </w:r>
      <w:bookmarkEnd w:id="18"/>
    </w:p>
    <w:p w14:paraId="3382D768" w14:textId="77777777" w:rsidR="00844E71" w:rsidRPr="00257D15" w:rsidRDefault="00844E71" w:rsidP="00257D15">
      <w:pPr>
        <w:pStyle w:val="Heading2"/>
        <w:spacing w:before="240" w:after="160" w:line="360" w:lineRule="auto"/>
        <w:jc w:val="both"/>
        <w:rPr>
          <w:rFonts w:eastAsia="Arial"/>
          <w:color w:val="auto"/>
          <w:sz w:val="24"/>
          <w:szCs w:val="24"/>
        </w:rPr>
      </w:pPr>
      <w:bookmarkStart w:id="19" w:name="_Toc237291890"/>
      <w:r w:rsidRPr="00257D15">
        <w:rPr>
          <w:rFonts w:eastAsia="Arial"/>
          <w:color w:val="auto"/>
          <w:sz w:val="24"/>
          <w:szCs w:val="24"/>
        </w:rPr>
        <w:t>From this statement</w:t>
      </w:r>
      <w:r w:rsidR="00FE0A2B">
        <w:rPr>
          <w:rFonts w:eastAsia="Arial"/>
          <w:color w:val="auto"/>
          <w:sz w:val="24"/>
          <w:szCs w:val="24"/>
        </w:rPr>
        <w:t>,</w:t>
      </w:r>
      <w:r w:rsidRPr="00257D15">
        <w:rPr>
          <w:rFonts w:eastAsia="Arial"/>
          <w:color w:val="auto"/>
          <w:sz w:val="24"/>
          <w:szCs w:val="24"/>
        </w:rPr>
        <w:t xml:space="preserve"> three ‘How Might We' (HMW) questions were developed to move into the ideation phase: How might we combine the volumes of several rural retailers and leverage the courier discounts this would bring? What can we do to make the last mile logistics management easier for owners without a logistics or IT representative? What could we do to improve delivery failures and delays in low-density rural areas without just one retailer changing the individual relationship with couriers?</w:t>
      </w:r>
      <w:bookmarkEnd w:id="19"/>
    </w:p>
    <w:p w14:paraId="3D8E909D" w14:textId="77777777" w:rsidR="008252A7" w:rsidRPr="00257D15" w:rsidRDefault="00000000" w:rsidP="00257D15">
      <w:pPr>
        <w:pStyle w:val="Heading2"/>
        <w:spacing w:before="240" w:after="160" w:line="360" w:lineRule="auto"/>
        <w:jc w:val="both"/>
        <w:rPr>
          <w:sz w:val="24"/>
          <w:szCs w:val="24"/>
        </w:rPr>
      </w:pPr>
      <w:bookmarkStart w:id="20" w:name="_Toc237291891"/>
      <w:r w:rsidRPr="00257D15">
        <w:rPr>
          <w:rFonts w:eastAsia="Arial"/>
          <w:b/>
          <w:bCs/>
          <w:color w:val="000000"/>
          <w:sz w:val="24"/>
          <w:szCs w:val="24"/>
        </w:rPr>
        <w:t>2.4 Ideate</w:t>
      </w:r>
      <w:bookmarkEnd w:id="20"/>
    </w:p>
    <w:p w14:paraId="214EBD17" w14:textId="77777777" w:rsidR="00CB2365" w:rsidRPr="00257D15" w:rsidRDefault="00CB2365" w:rsidP="00257D15">
      <w:pPr>
        <w:pStyle w:val="Heading2"/>
        <w:spacing w:before="240" w:after="160" w:line="360" w:lineRule="auto"/>
        <w:jc w:val="both"/>
        <w:rPr>
          <w:rFonts w:eastAsia="Arial"/>
          <w:color w:val="auto"/>
          <w:sz w:val="24"/>
          <w:szCs w:val="24"/>
        </w:rPr>
      </w:pPr>
      <w:bookmarkStart w:id="21" w:name="_Toc237291892"/>
      <w:r w:rsidRPr="00257D15">
        <w:rPr>
          <w:rFonts w:eastAsia="Arial"/>
          <w:color w:val="auto"/>
          <w:sz w:val="24"/>
          <w:szCs w:val="24"/>
        </w:rPr>
        <w:t>The Ideate stage involved divergent brainstorming against the three HMW questions, SCAMPER prompts (substitute, combine, adapt, modify, put to other use, eliminate, reverse) used on existing logistics models, and a deliberate “worst possible idea” exercise, which was used to identify hidden constraints and assumptions before moving toward a preferred direction (Ideation approach from Interaction Design Foundation, as cited in Dam and Siang, 2020).</w:t>
      </w:r>
      <w:bookmarkEnd w:id="21"/>
    </w:p>
    <w:p w14:paraId="64B8DDF7" w14:textId="77777777" w:rsidR="00CB2365" w:rsidRPr="00257D15" w:rsidRDefault="00CB2365" w:rsidP="00257D15">
      <w:pPr>
        <w:pStyle w:val="Heading2"/>
        <w:spacing w:before="240" w:after="160" w:line="360" w:lineRule="auto"/>
        <w:jc w:val="both"/>
        <w:rPr>
          <w:rFonts w:eastAsia="Arial"/>
          <w:color w:val="auto"/>
          <w:sz w:val="24"/>
          <w:szCs w:val="24"/>
        </w:rPr>
      </w:pPr>
      <w:bookmarkStart w:id="22" w:name="_Toc237291893"/>
      <w:r w:rsidRPr="00257D15">
        <w:rPr>
          <w:rFonts w:eastAsia="Arial"/>
          <w:color w:val="auto"/>
          <w:sz w:val="24"/>
          <w:szCs w:val="24"/>
        </w:rPr>
        <w:t xml:space="preserve">Four general alternatives were identified. The first was a retailer-owned cooperative delivery van and route, where the retailers who participate in the operation of the van and route purchase </w:t>
      </w:r>
      <w:r w:rsidRPr="00257D15">
        <w:rPr>
          <w:rFonts w:eastAsia="Arial"/>
          <w:color w:val="auto"/>
          <w:sz w:val="24"/>
          <w:szCs w:val="24"/>
        </w:rPr>
        <w:lastRenderedPageBreak/>
        <w:t>and operate it together. The latter was a type of software-only solution where the retailers would be linked to the existing courier operations without any responsibility for routing operations. The third model was a micro-fulfilment hub model based on the collection points or parcel lockers in villages. The fourth, which ultimately was integrated into the chosen idea, was a “subscription” based “delivery co-op”, where a thin software layer would be used in conjunction with a local courier network that would be professionally contracted.</w:t>
      </w:r>
      <w:bookmarkEnd w:id="22"/>
    </w:p>
    <w:p w14:paraId="232838EE" w14:textId="77777777" w:rsidR="00CB2365" w:rsidRPr="00257D15" w:rsidRDefault="00CB2365" w:rsidP="00257D15">
      <w:pPr>
        <w:pStyle w:val="Heading2"/>
        <w:spacing w:before="240" w:after="160" w:line="360" w:lineRule="auto"/>
        <w:jc w:val="both"/>
        <w:rPr>
          <w:rFonts w:eastAsia="Arial"/>
          <w:color w:val="auto"/>
          <w:sz w:val="24"/>
          <w:szCs w:val="24"/>
        </w:rPr>
      </w:pPr>
      <w:bookmarkStart w:id="23" w:name="_Toc237291894"/>
      <w:r w:rsidRPr="00257D15">
        <w:rPr>
          <w:rFonts w:eastAsia="Arial"/>
          <w:color w:val="auto"/>
          <w:sz w:val="24"/>
          <w:szCs w:val="24"/>
        </w:rPr>
        <w:t>These were explored in a critical manner, not just listed. The cooperative van-ownership model was discredited as a starting point as it requires a large capital expenditure and risk for an early-stage business that does not fit the "Lean, Start, and Learn" philosophy of new venture creation (Ries, 2011) in which the key assumptions are tested cheaply before putting capital into the business. A software-only marketplace with no volume pooling or route management was deemed to be not enough</w:t>
      </w:r>
      <w:r w:rsidR="00257D15">
        <w:rPr>
          <w:rFonts w:eastAsia="Arial"/>
          <w:color w:val="auto"/>
          <w:sz w:val="24"/>
          <w:szCs w:val="24"/>
        </w:rPr>
        <w:t>,</w:t>
      </w:r>
      <w:r w:rsidRPr="00257D15">
        <w:rPr>
          <w:rFonts w:eastAsia="Arial"/>
          <w:color w:val="auto"/>
          <w:sz w:val="24"/>
          <w:szCs w:val="24"/>
        </w:rPr>
        <w:t xml:space="preserve"> as it will not directly solve the density economics problem that was identified in the causal map from Task 1; it is not enough to connect retailers to couriers, per se, to reduce cost per parcel. </w:t>
      </w:r>
      <w:r w:rsidR="002A6529" w:rsidRPr="00257D15">
        <w:rPr>
          <w:rFonts w:eastAsia="Arial"/>
          <w:color w:val="auto"/>
          <w:sz w:val="24"/>
          <w:szCs w:val="24"/>
        </w:rPr>
        <w:t>Thus,</w:t>
      </w:r>
      <w:r w:rsidRPr="00257D15">
        <w:rPr>
          <w:rFonts w:eastAsia="Arial"/>
          <w:color w:val="auto"/>
          <w:sz w:val="24"/>
          <w:szCs w:val="24"/>
        </w:rPr>
        <w:t xml:space="preserve"> the selected idea is a blend of the software marketplace and delivery co-op – a platform that aggregates order and volume data from a cluster of local SME retailers, who are within a rural catchment, and then negotiates a combined courier collection rate on their behalf, while managing the routing centrally, with village collection-point partnerships being a complementary second phase, following initial volume but not a Phase 1 dependency.</w:t>
      </w:r>
      <w:bookmarkEnd w:id="23"/>
    </w:p>
    <w:p w14:paraId="591CC106" w14:textId="77777777" w:rsidR="008252A7" w:rsidRPr="00257D15" w:rsidRDefault="00000000" w:rsidP="00257D15">
      <w:pPr>
        <w:pStyle w:val="Heading2"/>
        <w:spacing w:before="240" w:after="160" w:line="360" w:lineRule="auto"/>
        <w:jc w:val="both"/>
        <w:rPr>
          <w:sz w:val="24"/>
          <w:szCs w:val="24"/>
        </w:rPr>
      </w:pPr>
      <w:bookmarkStart w:id="24" w:name="_Toc237291895"/>
      <w:r w:rsidRPr="00257D15">
        <w:rPr>
          <w:rFonts w:eastAsia="Arial"/>
          <w:b/>
          <w:bCs/>
          <w:color w:val="000000"/>
          <w:sz w:val="24"/>
          <w:szCs w:val="24"/>
        </w:rPr>
        <w:t>2.5 Prototype</w:t>
      </w:r>
      <w:bookmarkEnd w:id="24"/>
    </w:p>
    <w:p w14:paraId="3F25F6B8" w14:textId="77777777" w:rsidR="00CB2365" w:rsidRPr="00257D15" w:rsidRDefault="00CB2365" w:rsidP="00257D15">
      <w:pPr>
        <w:pStyle w:val="Heading2"/>
        <w:spacing w:before="240" w:after="160" w:line="360" w:lineRule="auto"/>
        <w:jc w:val="both"/>
        <w:rPr>
          <w:rFonts w:eastAsia="Arial"/>
          <w:color w:val="auto"/>
          <w:sz w:val="24"/>
          <w:szCs w:val="24"/>
        </w:rPr>
      </w:pPr>
      <w:bookmarkStart w:id="25" w:name="_Toc237291896"/>
      <w:r w:rsidRPr="00257D15">
        <w:rPr>
          <w:rFonts w:eastAsia="Arial"/>
          <w:color w:val="auto"/>
          <w:sz w:val="24"/>
          <w:szCs w:val="24"/>
        </w:rPr>
        <w:t xml:space="preserve">The Prototype stage is the stage where the selected concept is scaled down to a ‘testable, minimum viable product' – in line with the ‘quick, cheap and disposable' rule of the early prototype principle (Brown, 2009; Ries, 2011). The central element of the </w:t>
      </w:r>
      <w:proofErr w:type="spellStart"/>
      <w:r w:rsidRPr="00257D15">
        <w:rPr>
          <w:rFonts w:eastAsia="Arial"/>
          <w:color w:val="auto"/>
          <w:sz w:val="24"/>
          <w:szCs w:val="24"/>
        </w:rPr>
        <w:t>ParcelPool</w:t>
      </w:r>
      <w:proofErr w:type="spellEnd"/>
      <w:r w:rsidRPr="00257D15">
        <w:rPr>
          <w:rFonts w:eastAsia="Arial"/>
          <w:color w:val="auto"/>
          <w:sz w:val="24"/>
          <w:szCs w:val="24"/>
        </w:rPr>
        <w:t xml:space="preserve"> minimum viable product (MVP) is a web-based dashboard where the participating retailers upload or automatically sync daily order and parcel data in real-time from their current ecommerce platform using a lightweight API integration. The back end </w:t>
      </w:r>
      <w:r w:rsidR="00BC4EDD">
        <w:rPr>
          <w:rFonts w:eastAsia="Arial"/>
          <w:color w:val="auto"/>
          <w:sz w:val="24"/>
          <w:szCs w:val="24"/>
        </w:rPr>
        <w:t>can</w:t>
      </w:r>
      <w:r w:rsidRPr="00257D15">
        <w:rPr>
          <w:rFonts w:eastAsia="Arial"/>
          <w:color w:val="auto"/>
          <w:sz w:val="24"/>
          <w:szCs w:val="24"/>
        </w:rPr>
        <w:t xml:space="preserve"> group this volume by postcode cluster and book consolidated courier collection, while retailers receive a streamlined interface with their live, blended shipping cost, without the need for negotiation or configuration on their end, addressing the “too complex” barrier highlighted by the SME Digital Adoption Taskforce (2025).</w:t>
      </w:r>
      <w:bookmarkEnd w:id="25"/>
    </w:p>
    <w:p w14:paraId="2E76CE22" w14:textId="77777777" w:rsidR="00CB2365" w:rsidRPr="00257D15" w:rsidRDefault="00CB2365" w:rsidP="00257D15">
      <w:pPr>
        <w:pStyle w:val="Heading2"/>
        <w:spacing w:before="240" w:after="160" w:line="360" w:lineRule="auto"/>
        <w:jc w:val="both"/>
        <w:rPr>
          <w:rFonts w:eastAsia="Arial"/>
          <w:color w:val="auto"/>
          <w:sz w:val="24"/>
          <w:szCs w:val="24"/>
        </w:rPr>
      </w:pPr>
      <w:bookmarkStart w:id="26" w:name="_Toc237291897"/>
      <w:r w:rsidRPr="00257D15">
        <w:rPr>
          <w:rFonts w:eastAsia="Arial"/>
          <w:color w:val="auto"/>
          <w:sz w:val="24"/>
          <w:szCs w:val="24"/>
        </w:rPr>
        <w:lastRenderedPageBreak/>
        <w:t>Osterwalder and Pigneur's (2010) Business Model Canvas may be a helpful way to summarise the value proposition, partner structure and revenue model. Key partners would comprise one or more regional independent carriers (to minimise dependency risk) plus village shops and community venues as informal collection points in Phase 2. Revenue streams could include a small monthly software subscription fee and a small per-parcel fee for the service in order to incentivi</w:t>
      </w:r>
      <w:r w:rsidR="009628A8">
        <w:rPr>
          <w:rFonts w:eastAsia="Arial"/>
          <w:color w:val="auto"/>
          <w:sz w:val="24"/>
          <w:szCs w:val="24"/>
        </w:rPr>
        <w:t>s</w:t>
      </w:r>
      <w:r w:rsidRPr="00257D15">
        <w:rPr>
          <w:rFonts w:eastAsia="Arial"/>
          <w:color w:val="auto"/>
          <w:sz w:val="24"/>
          <w:szCs w:val="24"/>
        </w:rPr>
        <w:t>e the behavio</w:t>
      </w:r>
      <w:r w:rsidR="00E90F2F">
        <w:rPr>
          <w:rFonts w:eastAsia="Arial"/>
          <w:color w:val="auto"/>
          <w:sz w:val="24"/>
          <w:szCs w:val="24"/>
        </w:rPr>
        <w:t>u</w:t>
      </w:r>
      <w:r w:rsidRPr="00257D15">
        <w:rPr>
          <w:rFonts w:eastAsia="Arial"/>
          <w:color w:val="auto"/>
          <w:sz w:val="24"/>
          <w:szCs w:val="24"/>
        </w:rPr>
        <w:t>r of the retailers to optimi</w:t>
      </w:r>
      <w:r w:rsidR="009628A8">
        <w:rPr>
          <w:rFonts w:eastAsia="Arial"/>
          <w:color w:val="auto"/>
          <w:sz w:val="24"/>
          <w:szCs w:val="24"/>
        </w:rPr>
        <w:t>s</w:t>
      </w:r>
      <w:r w:rsidRPr="00257D15">
        <w:rPr>
          <w:rFonts w:eastAsia="Arial"/>
          <w:color w:val="auto"/>
          <w:sz w:val="24"/>
          <w:szCs w:val="24"/>
        </w:rPr>
        <w:t>e their own cost structure as opposed to ponying up the same fee for each of their parcels sold regardless of the volume of the service. Key resources include the collated demand information and the relationships with the couriers themselves</w:t>
      </w:r>
      <w:r w:rsidR="009628A8">
        <w:rPr>
          <w:rFonts w:eastAsia="Arial"/>
          <w:color w:val="auto"/>
          <w:sz w:val="24"/>
          <w:szCs w:val="24"/>
        </w:rPr>
        <w:t>,</w:t>
      </w:r>
      <w:r w:rsidRPr="00257D15">
        <w:rPr>
          <w:rFonts w:eastAsia="Arial"/>
          <w:color w:val="auto"/>
          <w:sz w:val="24"/>
          <w:szCs w:val="24"/>
        </w:rPr>
        <w:t xml:space="preserve"> which further develop as the retailer network expands, further reinforcing the network-effect argument outlined in section 1.5.</w:t>
      </w:r>
      <w:bookmarkEnd w:id="26"/>
    </w:p>
    <w:p w14:paraId="1ECEA74D" w14:textId="77777777" w:rsidR="00CB2365" w:rsidRPr="00257D15" w:rsidRDefault="00CB2365" w:rsidP="00257D15">
      <w:pPr>
        <w:pStyle w:val="Heading2"/>
        <w:spacing w:before="240" w:after="160" w:line="360" w:lineRule="auto"/>
        <w:jc w:val="both"/>
        <w:rPr>
          <w:rFonts w:eastAsia="Arial"/>
          <w:color w:val="auto"/>
          <w:sz w:val="24"/>
          <w:szCs w:val="24"/>
        </w:rPr>
      </w:pPr>
      <w:bookmarkStart w:id="27" w:name="_Toc237291898"/>
      <w:r w:rsidRPr="00257D15">
        <w:rPr>
          <w:rFonts w:eastAsia="Arial"/>
          <w:color w:val="auto"/>
          <w:sz w:val="24"/>
          <w:szCs w:val="24"/>
        </w:rPr>
        <w:t xml:space="preserve">A low fidelity prototyping process was conducted: paper wireframes and a simple clickable mock-up of the retailer dashboard were informally tested with 5-6 prospective retailer owners before any software build to ensure that the interface was genuinely reducing the perceived complexity, as recommended by the </w:t>
      </w:r>
      <w:proofErr w:type="spellStart"/>
      <w:r w:rsidRPr="00257D15">
        <w:rPr>
          <w:rFonts w:eastAsia="Arial"/>
          <w:color w:val="auto"/>
          <w:sz w:val="24"/>
          <w:szCs w:val="24"/>
        </w:rPr>
        <w:t>d.school's</w:t>
      </w:r>
      <w:proofErr w:type="spellEnd"/>
      <w:r w:rsidRPr="00257D15">
        <w:rPr>
          <w:rFonts w:eastAsia="Arial"/>
          <w:color w:val="auto"/>
          <w:sz w:val="24"/>
          <w:szCs w:val="24"/>
        </w:rPr>
        <w:t xml:space="preserve"> prototyping steps to consider (Empathize IT, 2024), which are to keep prototypes cheap and fast in the early stages and not to be perfected. This was also done to directly test the desirability with the users before entering into the build commitment, following the logic of the lean </w:t>
      </w:r>
      <w:r w:rsidR="00E90F2F" w:rsidRPr="00257D15">
        <w:rPr>
          <w:rFonts w:eastAsia="Arial"/>
          <w:color w:val="auto"/>
          <w:sz w:val="24"/>
          <w:szCs w:val="24"/>
        </w:rPr>
        <w:t>start-up</w:t>
      </w:r>
      <w:r w:rsidRPr="00257D15">
        <w:rPr>
          <w:rFonts w:eastAsia="Arial"/>
          <w:color w:val="auto"/>
          <w:sz w:val="24"/>
          <w:szCs w:val="24"/>
        </w:rPr>
        <w:t xml:space="preserve"> principle: Build-Mini-Max; Learn (Ries, 2011).</w:t>
      </w:r>
      <w:bookmarkEnd w:id="27"/>
    </w:p>
    <w:p w14:paraId="78F4EA3E" w14:textId="77777777" w:rsidR="008252A7" w:rsidRPr="00257D15" w:rsidRDefault="00000000" w:rsidP="00257D15">
      <w:pPr>
        <w:pStyle w:val="Heading2"/>
        <w:spacing w:before="240" w:after="160" w:line="360" w:lineRule="auto"/>
        <w:jc w:val="both"/>
        <w:rPr>
          <w:sz w:val="24"/>
          <w:szCs w:val="24"/>
        </w:rPr>
      </w:pPr>
      <w:bookmarkStart w:id="28" w:name="_Toc237291899"/>
      <w:r w:rsidRPr="00257D15">
        <w:rPr>
          <w:rFonts w:eastAsia="Arial"/>
          <w:b/>
          <w:bCs/>
          <w:color w:val="000000"/>
          <w:sz w:val="24"/>
          <w:szCs w:val="24"/>
        </w:rPr>
        <w:t>2.6 Test</w:t>
      </w:r>
      <w:bookmarkEnd w:id="28"/>
    </w:p>
    <w:p w14:paraId="66CB5258" w14:textId="77777777" w:rsidR="00CB2365" w:rsidRPr="00257D15" w:rsidRDefault="00CB2365" w:rsidP="00257D15">
      <w:pPr>
        <w:pStyle w:val="Heading2"/>
        <w:spacing w:before="240" w:after="160" w:line="360" w:lineRule="auto"/>
        <w:jc w:val="both"/>
        <w:rPr>
          <w:rFonts w:eastAsia="Arial"/>
          <w:color w:val="auto"/>
          <w:sz w:val="24"/>
          <w:szCs w:val="24"/>
        </w:rPr>
      </w:pPr>
      <w:bookmarkStart w:id="29" w:name="_Toc237291900"/>
      <w:r w:rsidRPr="00257D15">
        <w:rPr>
          <w:rFonts w:eastAsia="Arial"/>
          <w:color w:val="auto"/>
          <w:sz w:val="24"/>
          <w:szCs w:val="24"/>
        </w:rPr>
        <w:t>Since design thinking is not strictly linear but iterative, the Test phase is intended to produce real usage evidence, which is fed back to the previous phases, and to establish clear criteria for scaling up, adapting or discarding the concept (Dam and Siang, 2020). A controlled 8</w:t>
      </w:r>
      <w:r w:rsidR="00E90F2F">
        <w:rPr>
          <w:rFonts w:eastAsia="Arial"/>
          <w:color w:val="auto"/>
          <w:sz w:val="24"/>
          <w:szCs w:val="24"/>
        </w:rPr>
        <w:t>-</w:t>
      </w:r>
      <w:r w:rsidRPr="00257D15">
        <w:rPr>
          <w:rFonts w:eastAsia="Arial"/>
          <w:color w:val="auto"/>
          <w:sz w:val="24"/>
          <w:szCs w:val="24"/>
        </w:rPr>
        <w:t xml:space="preserve">week pilot is recommended where a group of 8-12 rural SME retailers, within a clearly defined catchment, </w:t>
      </w:r>
      <w:r w:rsidR="0000574D">
        <w:rPr>
          <w:rFonts w:eastAsia="Arial"/>
          <w:color w:val="auto"/>
          <w:sz w:val="24"/>
          <w:szCs w:val="24"/>
        </w:rPr>
        <w:t>is</w:t>
      </w:r>
      <w:r w:rsidRPr="00257D15">
        <w:rPr>
          <w:rFonts w:eastAsia="Arial"/>
          <w:color w:val="auto"/>
          <w:sz w:val="24"/>
          <w:szCs w:val="24"/>
        </w:rPr>
        <w:t xml:space="preserve"> large enough to test the use of aggregation economics but small enough to be directly managed.</w:t>
      </w:r>
      <w:bookmarkEnd w:id="29"/>
    </w:p>
    <w:p w14:paraId="2122E3B2" w14:textId="77777777" w:rsidR="00CB2365" w:rsidRPr="00257D15" w:rsidRDefault="00CB2365" w:rsidP="00257D15">
      <w:pPr>
        <w:pStyle w:val="Heading2"/>
        <w:spacing w:before="240" w:after="160" w:line="360" w:lineRule="auto"/>
        <w:jc w:val="both"/>
        <w:rPr>
          <w:rFonts w:eastAsia="Arial"/>
          <w:color w:val="auto"/>
          <w:sz w:val="24"/>
          <w:szCs w:val="24"/>
        </w:rPr>
      </w:pPr>
      <w:bookmarkStart w:id="30" w:name="_Toc237291901"/>
      <w:r w:rsidRPr="00257D15">
        <w:rPr>
          <w:rFonts w:eastAsia="Arial"/>
          <w:color w:val="auto"/>
          <w:sz w:val="24"/>
          <w:szCs w:val="24"/>
        </w:rPr>
        <w:t xml:space="preserve">The pilot uses both quantitative and qualitative approaches. Quantitative key performance indicators </w:t>
      </w:r>
      <w:r w:rsidR="00E90F2F">
        <w:rPr>
          <w:rFonts w:eastAsia="Arial"/>
          <w:color w:val="auto"/>
          <w:sz w:val="24"/>
          <w:szCs w:val="24"/>
        </w:rPr>
        <w:t>include</w:t>
      </w:r>
      <w:r w:rsidRPr="00257D15">
        <w:rPr>
          <w:rFonts w:eastAsia="Arial"/>
          <w:color w:val="auto"/>
          <w:sz w:val="24"/>
          <w:szCs w:val="24"/>
        </w:rPr>
        <w:t xml:space="preserve"> the average cost per parcel before vs after pooling, on-time delivery rate, time retailers spend managing delivery per week, and a Net Promoter Score among rural end consumers receiving pooled deliveries. Short structured interviews with the retailers who participate and a sample of consumers after the pilot period, and observation of the usability of the dashboard itself would be considered qualitative methods. If possible</w:t>
      </w:r>
      <w:r w:rsidR="009628A8">
        <w:rPr>
          <w:rFonts w:eastAsia="Arial"/>
          <w:color w:val="auto"/>
          <w:sz w:val="24"/>
          <w:szCs w:val="24"/>
        </w:rPr>
        <w:t>,</w:t>
      </w:r>
      <w:r w:rsidRPr="00257D15">
        <w:rPr>
          <w:rFonts w:eastAsia="Arial"/>
          <w:color w:val="auto"/>
          <w:sz w:val="24"/>
          <w:szCs w:val="24"/>
        </w:rPr>
        <w:t xml:space="preserve"> it would be useful to </w:t>
      </w:r>
      <w:r w:rsidRPr="00257D15">
        <w:rPr>
          <w:rFonts w:eastAsia="Arial"/>
          <w:color w:val="auto"/>
          <w:sz w:val="24"/>
          <w:szCs w:val="24"/>
        </w:rPr>
        <w:lastRenderedPageBreak/>
        <w:t>compare blended pooled rates with the previous individual courier rate from each retailer so that the impact of pooling would be isolated specifically, rather than being confused with any general improvement in service for the retailer.</w:t>
      </w:r>
      <w:bookmarkEnd w:id="30"/>
    </w:p>
    <w:p w14:paraId="5285E274" w14:textId="77777777" w:rsidR="00CB2365" w:rsidRPr="00257D15" w:rsidRDefault="00CB2365" w:rsidP="00257D15">
      <w:pPr>
        <w:pStyle w:val="Heading2"/>
        <w:spacing w:before="240" w:after="160" w:line="360" w:lineRule="auto"/>
        <w:jc w:val="both"/>
        <w:rPr>
          <w:rFonts w:eastAsia="Arial"/>
          <w:color w:val="auto"/>
          <w:sz w:val="24"/>
          <w:szCs w:val="24"/>
        </w:rPr>
      </w:pPr>
      <w:bookmarkStart w:id="31" w:name="_Toc237291902"/>
      <w:r w:rsidRPr="00257D15">
        <w:rPr>
          <w:rFonts w:eastAsia="Arial"/>
          <w:color w:val="auto"/>
          <w:sz w:val="24"/>
          <w:szCs w:val="24"/>
        </w:rPr>
        <w:t xml:space="preserve">Expected learning has been taken as critical rather than assumed </w:t>
      </w:r>
      <w:r w:rsidR="00620E27">
        <w:rPr>
          <w:rFonts w:eastAsia="Arial"/>
          <w:color w:val="auto"/>
          <w:sz w:val="24"/>
          <w:szCs w:val="24"/>
        </w:rPr>
        <w:t>to be</w:t>
      </w:r>
      <w:r w:rsidRPr="00257D15">
        <w:rPr>
          <w:rFonts w:eastAsia="Arial"/>
          <w:color w:val="auto"/>
          <w:sz w:val="24"/>
          <w:szCs w:val="24"/>
        </w:rPr>
        <w:t xml:space="preserve"> positive. If it is not the technical limitations of the platform, but rather the lack of trust and familiarity with the platform, more relationship-based marketing and onboarding support would need to be provided </w:t>
      </w:r>
      <w:r w:rsidR="009628A8">
        <w:rPr>
          <w:rFonts w:eastAsia="Arial"/>
          <w:color w:val="auto"/>
          <w:sz w:val="24"/>
          <w:szCs w:val="24"/>
        </w:rPr>
        <w:t>before</w:t>
      </w:r>
      <w:r w:rsidRPr="00257D15">
        <w:rPr>
          <w:rFonts w:eastAsia="Arial"/>
          <w:color w:val="auto"/>
          <w:sz w:val="24"/>
          <w:szCs w:val="24"/>
        </w:rPr>
        <w:t xml:space="preserve"> a broader roll-out. If the relatively modest volume of a single pilot catchment is proving too large to negotiate a consolidated block rate with, an alternative partnership structure (for example, to try and negotiate with a single regional independent carrier instead of attempting to negotiate with national carriers) would next be tried. This build-measure-learn approach is also similar to the lean </w:t>
      </w:r>
      <w:r w:rsidR="004A6524" w:rsidRPr="00257D15">
        <w:rPr>
          <w:rFonts w:eastAsia="Arial"/>
          <w:color w:val="auto"/>
          <w:sz w:val="24"/>
          <w:szCs w:val="24"/>
        </w:rPr>
        <w:t>start-up</w:t>
      </w:r>
      <w:r w:rsidRPr="00257D15">
        <w:rPr>
          <w:rFonts w:eastAsia="Arial"/>
          <w:color w:val="auto"/>
          <w:sz w:val="24"/>
          <w:szCs w:val="24"/>
        </w:rPr>
        <w:t xml:space="preserve"> cycle first proposed by Eric Ries (2011) and explicitly iterative “test and learn” as recommended by the SME Digital Adoption Taskforce (2025), a reflection of the underlying logic being appropriate for this problem at both business and policy level.</w:t>
      </w:r>
      <w:bookmarkEnd w:id="31"/>
    </w:p>
    <w:p w14:paraId="754D5E38" w14:textId="77777777" w:rsidR="00CB2365" w:rsidRPr="00257D15" w:rsidRDefault="00CB2365" w:rsidP="00257D15">
      <w:pPr>
        <w:pStyle w:val="Heading2"/>
        <w:spacing w:before="240" w:after="160" w:line="360" w:lineRule="auto"/>
        <w:jc w:val="both"/>
        <w:rPr>
          <w:rFonts w:eastAsia="Arial"/>
          <w:color w:val="auto"/>
          <w:sz w:val="24"/>
          <w:szCs w:val="24"/>
        </w:rPr>
      </w:pPr>
      <w:bookmarkStart w:id="32" w:name="_Toc237291903"/>
      <w:r w:rsidRPr="00257D15">
        <w:rPr>
          <w:rFonts w:eastAsia="Arial"/>
          <w:color w:val="auto"/>
          <w:sz w:val="24"/>
          <w:szCs w:val="24"/>
        </w:rPr>
        <w:t>The scale-up success criteria are narrow and evidence-based: a statistically significant decrease in the average cost per parcel, based on market evidence of the increase in last-mile costs for nearly 40% of similar businesses in 2024 (Parcel and Postal Technology International, 2025), and a retailer retention rate above a defined threshold at the end of the pilot period. The most well-known risks are clearly stated: continued dependence on the cooperation of courier partners; the necessity to reach a critical mass of retailers before density economics can truly benefit; as noted in section 1.5, and the fact that some of the retailers identified as such that they may be limited in their ability to leverage even a simplified digital dashboard due to rural connectivity gaps identified in section 1.2, which would require some form of low-bandwidth design decision and, if needed, offline data entry fall-back option.</w:t>
      </w:r>
      <w:bookmarkEnd w:id="32"/>
    </w:p>
    <w:p w14:paraId="342481A1" w14:textId="77777777" w:rsidR="008252A7" w:rsidRPr="00257D15" w:rsidRDefault="00000000" w:rsidP="00257D15">
      <w:pPr>
        <w:pStyle w:val="Heading2"/>
        <w:spacing w:before="240" w:after="160" w:line="360" w:lineRule="auto"/>
        <w:jc w:val="both"/>
        <w:rPr>
          <w:sz w:val="24"/>
          <w:szCs w:val="24"/>
        </w:rPr>
      </w:pPr>
      <w:bookmarkStart w:id="33" w:name="_Toc237291904"/>
      <w:r w:rsidRPr="00257D15">
        <w:rPr>
          <w:rFonts w:eastAsia="Arial"/>
          <w:b/>
          <w:bCs/>
          <w:color w:val="000000"/>
          <w:sz w:val="24"/>
          <w:szCs w:val="24"/>
        </w:rPr>
        <w:t>2.7 Conclusion</w:t>
      </w:r>
      <w:bookmarkEnd w:id="33"/>
    </w:p>
    <w:p w14:paraId="778DDDEB" w14:textId="77777777" w:rsidR="008252A7" w:rsidRPr="00257D15" w:rsidRDefault="00CB2365" w:rsidP="00257D15">
      <w:pPr>
        <w:spacing w:line="360" w:lineRule="auto"/>
        <w:jc w:val="both"/>
        <w:rPr>
          <w:sz w:val="24"/>
          <w:szCs w:val="24"/>
        </w:rPr>
      </w:pPr>
      <w:r w:rsidRPr="00257D15">
        <w:rPr>
          <w:rFonts w:eastAsia="Arial"/>
          <w:sz w:val="24"/>
          <w:szCs w:val="24"/>
        </w:rPr>
        <w:t xml:space="preserve">The five stages of design thinking are used to show how the broad market opportunity of digital exclusion among rural and small-town SME retailers can be narrowed down to a specific, testable venture concept. The Empathise and Define stages were not based on assumption, but on two representative user groups that lived the problem; the Ideate stage both produced and critically compared several different candidate answers before narrowing down to a hybrid delivery-pooling model; the Prototype stage created a tangible, minimum viable product that </w:t>
      </w:r>
      <w:r w:rsidRPr="00257D15">
        <w:rPr>
          <w:rFonts w:eastAsia="Arial"/>
          <w:sz w:val="24"/>
          <w:szCs w:val="24"/>
        </w:rPr>
        <w:lastRenderedPageBreak/>
        <w:t>was suitable for the lean, evidence-led process of venture creation; and the Test stage focused on establishing crisp, falsifiable criteria for success and an upfront perspective on the risks of scaling beyond a single pilot catchment. The totality of tasks 1 and 2 suggests that the strongest growth opportunity for the UK in this scenario is not in creating a new consumer-facing digital product, but in the less overt integration and aggregation infrastructure which would enable the existing demand of rural and small firms to be enabled to compete on more equal terms in the digital economy.</w:t>
      </w:r>
      <w:r w:rsidRPr="00257D15">
        <w:rPr>
          <w:sz w:val="24"/>
          <w:szCs w:val="24"/>
        </w:rPr>
        <w:br w:type="page"/>
      </w:r>
    </w:p>
    <w:p w14:paraId="188777CF" w14:textId="77777777" w:rsidR="008252A7" w:rsidRPr="00257D15" w:rsidRDefault="00000000" w:rsidP="00257D15">
      <w:pPr>
        <w:pStyle w:val="Heading1"/>
        <w:spacing w:before="300" w:after="200" w:line="360" w:lineRule="auto"/>
        <w:jc w:val="both"/>
        <w:rPr>
          <w:sz w:val="24"/>
          <w:szCs w:val="24"/>
        </w:rPr>
      </w:pPr>
      <w:bookmarkStart w:id="34" w:name="_Toc237291905"/>
      <w:r w:rsidRPr="00257D15">
        <w:rPr>
          <w:rFonts w:eastAsia="Arial"/>
          <w:b/>
          <w:bCs/>
          <w:color w:val="000000"/>
          <w:sz w:val="24"/>
          <w:szCs w:val="24"/>
        </w:rPr>
        <w:lastRenderedPageBreak/>
        <w:t>Reference List</w:t>
      </w:r>
      <w:bookmarkEnd w:id="34"/>
    </w:p>
    <w:p w14:paraId="200C085C" w14:textId="77777777" w:rsidR="008252A7" w:rsidRPr="00257D15" w:rsidRDefault="00000000" w:rsidP="00257D15">
      <w:pPr>
        <w:spacing w:after="160" w:line="360" w:lineRule="auto"/>
        <w:ind w:left="720" w:hanging="720"/>
        <w:jc w:val="both"/>
        <w:rPr>
          <w:sz w:val="24"/>
          <w:szCs w:val="24"/>
        </w:rPr>
      </w:pPr>
      <w:proofErr w:type="spellStart"/>
      <w:r w:rsidRPr="00257D15">
        <w:rPr>
          <w:rFonts w:eastAsia="Arial"/>
          <w:sz w:val="24"/>
          <w:szCs w:val="24"/>
        </w:rPr>
        <w:t>AntsRoute</w:t>
      </w:r>
      <w:proofErr w:type="spellEnd"/>
      <w:r w:rsidRPr="00257D15">
        <w:rPr>
          <w:rFonts w:eastAsia="Arial"/>
          <w:sz w:val="24"/>
          <w:szCs w:val="24"/>
        </w:rPr>
        <w:t xml:space="preserve"> (2025) Top 7 Last-Mile Delivery Challenges (+ Solutions in 2025). Available at: https://antsroute.com/en/solutions/top-7-last-mile-delivery-challenges/ (Accessed: 10 August 2026).</w:t>
      </w:r>
    </w:p>
    <w:p w14:paraId="08A961D4" w14:textId="77777777" w:rsidR="008252A7" w:rsidRPr="00257D15" w:rsidRDefault="00000000" w:rsidP="00257D15">
      <w:pPr>
        <w:spacing w:after="160" w:line="360" w:lineRule="auto"/>
        <w:ind w:left="720" w:hanging="720"/>
        <w:jc w:val="both"/>
        <w:rPr>
          <w:sz w:val="24"/>
          <w:szCs w:val="24"/>
        </w:rPr>
      </w:pPr>
      <w:r w:rsidRPr="00257D15">
        <w:rPr>
          <w:rFonts w:eastAsia="Arial"/>
          <w:sz w:val="24"/>
          <w:szCs w:val="24"/>
        </w:rPr>
        <w:t xml:space="preserve">Brown, T. (2008) 'Design thinking', </w:t>
      </w:r>
      <w:r w:rsidRPr="00FF730F">
        <w:rPr>
          <w:rFonts w:eastAsia="Arial"/>
          <w:i/>
          <w:iCs/>
          <w:sz w:val="24"/>
          <w:szCs w:val="24"/>
        </w:rPr>
        <w:t>Harvard Business Review</w:t>
      </w:r>
      <w:r w:rsidRPr="00257D15">
        <w:rPr>
          <w:rFonts w:eastAsia="Arial"/>
          <w:sz w:val="24"/>
          <w:szCs w:val="24"/>
        </w:rPr>
        <w:t>, 86(6), pp. 84–92.</w:t>
      </w:r>
    </w:p>
    <w:p w14:paraId="651AC287" w14:textId="77777777" w:rsidR="008252A7" w:rsidRPr="00257D15" w:rsidRDefault="00000000" w:rsidP="00257D15">
      <w:pPr>
        <w:spacing w:after="160" w:line="360" w:lineRule="auto"/>
        <w:ind w:left="720" w:hanging="720"/>
        <w:jc w:val="both"/>
        <w:rPr>
          <w:sz w:val="24"/>
          <w:szCs w:val="24"/>
        </w:rPr>
      </w:pPr>
      <w:r w:rsidRPr="00257D15">
        <w:rPr>
          <w:rFonts w:eastAsia="Arial"/>
          <w:sz w:val="24"/>
          <w:szCs w:val="24"/>
        </w:rPr>
        <w:t>Brown, T. (2009) Change by Design: How Design Thinking Transforms Organizations and Inspires Innovation. New York: Harper Business.</w:t>
      </w:r>
    </w:p>
    <w:p w14:paraId="4EA59DF1" w14:textId="77777777" w:rsidR="008252A7" w:rsidRPr="00257D15" w:rsidRDefault="00000000" w:rsidP="00257D15">
      <w:pPr>
        <w:spacing w:after="160" w:line="360" w:lineRule="auto"/>
        <w:ind w:left="720" w:hanging="720"/>
        <w:jc w:val="both"/>
        <w:rPr>
          <w:sz w:val="24"/>
          <w:szCs w:val="24"/>
        </w:rPr>
      </w:pPr>
      <w:r w:rsidRPr="00257D15">
        <w:rPr>
          <w:rFonts w:eastAsia="Arial"/>
          <w:sz w:val="24"/>
          <w:szCs w:val="24"/>
        </w:rPr>
        <w:t>Capstone Logistics (2025) Last Mile Delivery in 2025: Trends &amp; Challenges. Available at: https://www.capstonelogistics.com/blog/last-mile-delivery-in-2025-trends-challenges-solutions/ (Accessed: 10 August 2026).</w:t>
      </w:r>
    </w:p>
    <w:p w14:paraId="42A90BC7" w14:textId="77777777" w:rsidR="008252A7" w:rsidRPr="00257D15" w:rsidRDefault="00000000" w:rsidP="00257D15">
      <w:pPr>
        <w:spacing w:after="160" w:line="360" w:lineRule="auto"/>
        <w:ind w:left="720" w:hanging="720"/>
        <w:jc w:val="both"/>
        <w:rPr>
          <w:sz w:val="24"/>
          <w:szCs w:val="24"/>
        </w:rPr>
      </w:pPr>
      <w:r w:rsidRPr="00257D15">
        <w:rPr>
          <w:rFonts w:eastAsia="Arial"/>
          <w:sz w:val="24"/>
          <w:szCs w:val="24"/>
        </w:rPr>
        <w:t>Christensen, C.M. (1997) The Innovator's Dilemma: When New Technologies Cause Great Firms to Fail. Boston, MA: Harvard Business School Press.</w:t>
      </w:r>
    </w:p>
    <w:p w14:paraId="6A35BA57" w14:textId="77777777" w:rsidR="008252A7" w:rsidRPr="00257D15" w:rsidRDefault="00000000" w:rsidP="00257D15">
      <w:pPr>
        <w:spacing w:after="160" w:line="360" w:lineRule="auto"/>
        <w:ind w:left="720" w:hanging="720"/>
        <w:jc w:val="both"/>
        <w:rPr>
          <w:sz w:val="24"/>
          <w:szCs w:val="24"/>
        </w:rPr>
      </w:pPr>
      <w:r w:rsidRPr="00257D15">
        <w:rPr>
          <w:rFonts w:eastAsia="Arial"/>
          <w:sz w:val="24"/>
          <w:szCs w:val="24"/>
        </w:rPr>
        <w:t xml:space="preserve">Christensen, C.M., Raynor, M.E. and McDonald, R. (2015) 'What is disruptive innovation?', </w:t>
      </w:r>
      <w:r w:rsidRPr="00FF730F">
        <w:rPr>
          <w:rFonts w:eastAsia="Arial"/>
          <w:i/>
          <w:iCs/>
          <w:sz w:val="24"/>
          <w:szCs w:val="24"/>
        </w:rPr>
        <w:t>Harvard Business Review</w:t>
      </w:r>
      <w:r w:rsidRPr="00257D15">
        <w:rPr>
          <w:rFonts w:eastAsia="Arial"/>
          <w:sz w:val="24"/>
          <w:szCs w:val="24"/>
        </w:rPr>
        <w:t>, 93(12), pp. 44–53.</w:t>
      </w:r>
    </w:p>
    <w:p w14:paraId="2A3A8EC6" w14:textId="77777777" w:rsidR="008252A7" w:rsidRPr="00257D15" w:rsidRDefault="00000000" w:rsidP="00257D15">
      <w:pPr>
        <w:spacing w:after="160" w:line="360" w:lineRule="auto"/>
        <w:ind w:left="720" w:hanging="720"/>
        <w:jc w:val="both"/>
        <w:rPr>
          <w:sz w:val="24"/>
          <w:szCs w:val="24"/>
        </w:rPr>
      </w:pPr>
      <w:r w:rsidRPr="00257D15">
        <w:rPr>
          <w:rFonts w:eastAsia="Arial"/>
          <w:sz w:val="24"/>
          <w:szCs w:val="24"/>
        </w:rPr>
        <w:t xml:space="preserve">Dam, R. and Siang, T. (2020) '5 Stages in the Design Thinking Process', </w:t>
      </w:r>
      <w:r w:rsidRPr="00FF730F">
        <w:rPr>
          <w:rFonts w:eastAsia="Arial"/>
          <w:i/>
          <w:iCs/>
          <w:sz w:val="24"/>
          <w:szCs w:val="24"/>
        </w:rPr>
        <w:t>Interaction Design Foundation.</w:t>
      </w:r>
      <w:r w:rsidRPr="00257D15">
        <w:rPr>
          <w:rFonts w:eastAsia="Arial"/>
          <w:sz w:val="24"/>
          <w:szCs w:val="24"/>
        </w:rPr>
        <w:t xml:space="preserve"> Available at: https://ixdf.org/literature/article/5-stages-in-the-design-thinking-process (Accessed: 10 August 2026).</w:t>
      </w:r>
    </w:p>
    <w:p w14:paraId="2383FC60" w14:textId="77777777" w:rsidR="008252A7" w:rsidRPr="00257D15" w:rsidRDefault="00000000" w:rsidP="00257D15">
      <w:pPr>
        <w:spacing w:after="160" w:line="360" w:lineRule="auto"/>
        <w:ind w:left="720" w:hanging="720"/>
        <w:jc w:val="both"/>
        <w:rPr>
          <w:sz w:val="24"/>
          <w:szCs w:val="24"/>
        </w:rPr>
      </w:pPr>
      <w:r w:rsidRPr="00257D15">
        <w:rPr>
          <w:rFonts w:eastAsia="Arial"/>
          <w:sz w:val="24"/>
          <w:szCs w:val="24"/>
        </w:rPr>
        <w:t>Department for Business and Trade (2025) SME Digital Adoption Taskforce: Interim Report. London: UK Government. Available at: https://www.gov.uk/government/publications/sme-digital-adoption-taskforce-interim-report (Accessed: 10 August 2026).</w:t>
      </w:r>
    </w:p>
    <w:p w14:paraId="1975BC6E" w14:textId="77777777" w:rsidR="008252A7" w:rsidRPr="00257D15" w:rsidRDefault="00000000" w:rsidP="00257D15">
      <w:pPr>
        <w:spacing w:after="160" w:line="360" w:lineRule="auto"/>
        <w:ind w:left="720" w:hanging="720"/>
        <w:jc w:val="both"/>
        <w:rPr>
          <w:sz w:val="24"/>
          <w:szCs w:val="24"/>
        </w:rPr>
      </w:pPr>
      <w:r w:rsidRPr="00257D15">
        <w:rPr>
          <w:rFonts w:eastAsia="Arial"/>
          <w:sz w:val="24"/>
          <w:szCs w:val="24"/>
        </w:rPr>
        <w:t>DS Smith, cited in Parcel and Postal Technology International (2025) 'Last-mile delivery costs rise for 84% of businesses in UK and Europe, DS Smith reports', 17 March. Available at: https://www.parcelandpostaltechnologyinternational.com/news/last-mile/last-mile-delivery-costs-rise-for-84-of-businesses-in-uk-and-europe-ds-smith-reports.html (Accessed: 10 August 2026).</w:t>
      </w:r>
    </w:p>
    <w:p w14:paraId="54CA7B5C" w14:textId="77777777" w:rsidR="008252A7" w:rsidRPr="00257D15" w:rsidRDefault="00000000" w:rsidP="00257D15">
      <w:pPr>
        <w:spacing w:after="160" w:line="360" w:lineRule="auto"/>
        <w:ind w:left="720" w:hanging="720"/>
        <w:jc w:val="both"/>
        <w:rPr>
          <w:sz w:val="24"/>
          <w:szCs w:val="24"/>
        </w:rPr>
      </w:pPr>
      <w:r w:rsidRPr="00257D15">
        <w:rPr>
          <w:rFonts w:eastAsia="Arial"/>
          <w:sz w:val="24"/>
          <w:szCs w:val="24"/>
        </w:rPr>
        <w:t xml:space="preserve">Empathize IT (2024) Design Thinking Models: Stanford </w:t>
      </w:r>
      <w:proofErr w:type="spellStart"/>
      <w:proofErr w:type="gramStart"/>
      <w:r w:rsidRPr="00257D15">
        <w:rPr>
          <w:rFonts w:eastAsia="Arial"/>
          <w:sz w:val="24"/>
          <w:szCs w:val="24"/>
        </w:rPr>
        <w:t>d.school</w:t>
      </w:r>
      <w:proofErr w:type="spellEnd"/>
      <w:proofErr w:type="gramEnd"/>
      <w:r w:rsidRPr="00257D15">
        <w:rPr>
          <w:rFonts w:eastAsia="Arial"/>
          <w:sz w:val="24"/>
          <w:szCs w:val="24"/>
        </w:rPr>
        <w:t>. Available at: https://empathizeit.com/design-thinking-models-stanford-d-school/ (Accessed: 10 August 2026).</w:t>
      </w:r>
    </w:p>
    <w:p w14:paraId="76EB697C" w14:textId="77777777" w:rsidR="008252A7" w:rsidRPr="00257D15" w:rsidRDefault="00000000" w:rsidP="00257D15">
      <w:pPr>
        <w:spacing w:after="160" w:line="360" w:lineRule="auto"/>
        <w:ind w:left="720" w:hanging="720"/>
        <w:jc w:val="both"/>
        <w:rPr>
          <w:sz w:val="24"/>
          <w:szCs w:val="24"/>
        </w:rPr>
      </w:pPr>
      <w:proofErr w:type="spellStart"/>
      <w:r w:rsidRPr="00257D15">
        <w:rPr>
          <w:rFonts w:eastAsia="Arial"/>
          <w:sz w:val="24"/>
          <w:szCs w:val="24"/>
        </w:rPr>
        <w:lastRenderedPageBreak/>
        <w:t>Eurofound</w:t>
      </w:r>
      <w:proofErr w:type="spellEnd"/>
      <w:r w:rsidRPr="00257D15">
        <w:rPr>
          <w:rFonts w:eastAsia="Arial"/>
          <w:sz w:val="24"/>
          <w:szCs w:val="24"/>
        </w:rPr>
        <w:t xml:space="preserve"> (2025) SME Digitalisation in the EU: Trends, Policies and Impacts. Dublin: </w:t>
      </w:r>
      <w:proofErr w:type="spellStart"/>
      <w:r w:rsidRPr="00257D15">
        <w:rPr>
          <w:rFonts w:eastAsia="Arial"/>
          <w:sz w:val="24"/>
          <w:szCs w:val="24"/>
        </w:rPr>
        <w:t>Eurofound</w:t>
      </w:r>
      <w:proofErr w:type="spellEnd"/>
      <w:r w:rsidRPr="00257D15">
        <w:rPr>
          <w:rFonts w:eastAsia="Arial"/>
          <w:sz w:val="24"/>
          <w:szCs w:val="24"/>
        </w:rPr>
        <w:t>.</w:t>
      </w:r>
    </w:p>
    <w:p w14:paraId="403ABDEC" w14:textId="77777777" w:rsidR="008252A7" w:rsidRPr="00257D15" w:rsidRDefault="00000000" w:rsidP="00257D15">
      <w:pPr>
        <w:spacing w:after="160" w:line="360" w:lineRule="auto"/>
        <w:ind w:left="720" w:hanging="720"/>
        <w:jc w:val="both"/>
        <w:rPr>
          <w:sz w:val="24"/>
          <w:szCs w:val="24"/>
        </w:rPr>
      </w:pPr>
      <w:r w:rsidRPr="00257D15">
        <w:rPr>
          <w:rFonts w:eastAsia="Arial"/>
          <w:sz w:val="24"/>
          <w:szCs w:val="24"/>
        </w:rPr>
        <w:t>Interaction Service Providers Association (2024) How Internet Service Providers Are Solving the UK's Digital Divide. Available at: https://www.ispa.org.uk/how-internet-service-providers-are-solving-the-uks-digital-divide/ (Accessed: 10 August 2026).</w:t>
      </w:r>
    </w:p>
    <w:p w14:paraId="2894D496" w14:textId="77777777" w:rsidR="008252A7" w:rsidRPr="00257D15" w:rsidRDefault="00000000" w:rsidP="00257D15">
      <w:pPr>
        <w:spacing w:after="160" w:line="360" w:lineRule="auto"/>
        <w:ind w:left="720" w:hanging="720"/>
        <w:jc w:val="both"/>
        <w:rPr>
          <w:sz w:val="24"/>
          <w:szCs w:val="24"/>
        </w:rPr>
      </w:pPr>
      <w:proofErr w:type="spellStart"/>
      <w:r w:rsidRPr="00257D15">
        <w:rPr>
          <w:rFonts w:eastAsia="Arial"/>
          <w:sz w:val="24"/>
          <w:szCs w:val="24"/>
        </w:rPr>
        <w:t>Markwide</w:t>
      </w:r>
      <w:proofErr w:type="spellEnd"/>
      <w:r w:rsidRPr="00257D15">
        <w:rPr>
          <w:rFonts w:eastAsia="Arial"/>
          <w:sz w:val="24"/>
          <w:szCs w:val="24"/>
        </w:rPr>
        <w:t xml:space="preserve"> Research (2026) UK Logistics Market 2025–2034. Available at: https://markwideresearch.com/uk-logistics-market (Accessed: 10 August 2026).</w:t>
      </w:r>
    </w:p>
    <w:p w14:paraId="70AC4DC4" w14:textId="77777777" w:rsidR="008252A7" w:rsidRPr="00257D15" w:rsidRDefault="00000000" w:rsidP="00257D15">
      <w:pPr>
        <w:spacing w:after="160" w:line="360" w:lineRule="auto"/>
        <w:ind w:left="720" w:hanging="720"/>
        <w:jc w:val="both"/>
        <w:rPr>
          <w:sz w:val="24"/>
          <w:szCs w:val="24"/>
        </w:rPr>
      </w:pPr>
      <w:r w:rsidRPr="00257D15">
        <w:rPr>
          <w:rFonts w:eastAsia="Arial"/>
          <w:sz w:val="24"/>
          <w:szCs w:val="24"/>
        </w:rPr>
        <w:t>Office for National Statistics (2026a) Retail Sales, Great Britain: December 2025. Available at: https://www.ons.gov.uk/businessindustryandtrade/retailindustry/bulletins/retailsales/december2025 (Accessed: 10 August 2026).</w:t>
      </w:r>
    </w:p>
    <w:p w14:paraId="1D3038CA" w14:textId="77777777" w:rsidR="008252A7" w:rsidRPr="00257D15" w:rsidRDefault="00000000" w:rsidP="00257D15">
      <w:pPr>
        <w:spacing w:after="160" w:line="360" w:lineRule="auto"/>
        <w:ind w:left="720" w:hanging="720"/>
        <w:jc w:val="both"/>
        <w:rPr>
          <w:sz w:val="24"/>
          <w:szCs w:val="24"/>
        </w:rPr>
      </w:pPr>
      <w:r w:rsidRPr="00257D15">
        <w:rPr>
          <w:rFonts w:eastAsia="Arial"/>
          <w:sz w:val="24"/>
          <w:szCs w:val="24"/>
        </w:rPr>
        <w:t>Office for National Statistics (2026b) Internet Retail Sales by Sector, Great Britain, up to December 2025. Available at: https://www.ons.gov.uk/businessindustryandtrade/retailindustry/adhocs/3254internetretailsalesbysectorgreatbritainuptodecember2025 (Accessed: 10 August 2026).</w:t>
      </w:r>
    </w:p>
    <w:p w14:paraId="5DFF561A" w14:textId="77777777" w:rsidR="008252A7" w:rsidRPr="00257D15" w:rsidRDefault="00000000" w:rsidP="00257D15">
      <w:pPr>
        <w:spacing w:after="160" w:line="360" w:lineRule="auto"/>
        <w:ind w:left="720" w:hanging="720"/>
        <w:jc w:val="both"/>
        <w:rPr>
          <w:sz w:val="24"/>
          <w:szCs w:val="24"/>
        </w:rPr>
      </w:pPr>
      <w:r w:rsidRPr="00257D15">
        <w:rPr>
          <w:rFonts w:eastAsia="Arial"/>
          <w:sz w:val="24"/>
          <w:szCs w:val="24"/>
        </w:rPr>
        <w:t>Open Banking Limited (2026a) Open Banking Payments: A Big Step Forward for Everyday Payments. Available at: https://www.openbanking.org.uk/insights/pay-by-bank-a-big-step-forward-for-everyday-payment/ (Accessed: 10 August 2026).</w:t>
      </w:r>
    </w:p>
    <w:p w14:paraId="2797108B" w14:textId="77777777" w:rsidR="008252A7" w:rsidRPr="00257D15" w:rsidRDefault="00000000" w:rsidP="00257D15">
      <w:pPr>
        <w:spacing w:after="160" w:line="360" w:lineRule="auto"/>
        <w:ind w:left="720" w:hanging="720"/>
        <w:jc w:val="both"/>
        <w:rPr>
          <w:sz w:val="24"/>
          <w:szCs w:val="24"/>
        </w:rPr>
      </w:pPr>
      <w:r w:rsidRPr="00257D15">
        <w:rPr>
          <w:rFonts w:eastAsia="Arial"/>
          <w:sz w:val="24"/>
          <w:szCs w:val="24"/>
        </w:rPr>
        <w:t>Open Banking Limited (2026b) Open Banking in 2025: Now Part of the UK's Everyday Financial Life. Available at: https://www.openbanking.org.uk/insights/open-banking-in-2025-now-part-of-the-uks-everyday-financial-life/ (Accessed: 10 August 2026).</w:t>
      </w:r>
    </w:p>
    <w:p w14:paraId="696269F4" w14:textId="77777777" w:rsidR="008252A7" w:rsidRPr="00257D15" w:rsidRDefault="00000000" w:rsidP="00257D15">
      <w:pPr>
        <w:spacing w:after="160" w:line="360" w:lineRule="auto"/>
        <w:ind w:left="720" w:hanging="720"/>
        <w:jc w:val="both"/>
        <w:rPr>
          <w:sz w:val="24"/>
          <w:szCs w:val="24"/>
        </w:rPr>
      </w:pPr>
      <w:r w:rsidRPr="00257D15">
        <w:rPr>
          <w:rFonts w:eastAsia="Arial"/>
          <w:sz w:val="24"/>
          <w:szCs w:val="24"/>
        </w:rPr>
        <w:t>Osterwalder, A. and Pigneur, Y. (2010) Business Model Generation: A Handbook for Visionaries, Game Changers, and Challengers. Hoboken, NJ: Wiley.</w:t>
      </w:r>
    </w:p>
    <w:p w14:paraId="7F879E16" w14:textId="77777777" w:rsidR="008252A7" w:rsidRPr="00257D15" w:rsidRDefault="00000000" w:rsidP="00257D15">
      <w:pPr>
        <w:spacing w:after="160" w:line="360" w:lineRule="auto"/>
        <w:ind w:left="720" w:hanging="720"/>
        <w:jc w:val="both"/>
        <w:rPr>
          <w:sz w:val="24"/>
          <w:szCs w:val="24"/>
        </w:rPr>
      </w:pPr>
      <w:r w:rsidRPr="00257D15">
        <w:rPr>
          <w:rFonts w:eastAsia="Arial"/>
          <w:sz w:val="24"/>
          <w:szCs w:val="24"/>
        </w:rPr>
        <w:t>PDMS (2024) Addressing Digital Inclusion in the UK. Available at: https://www.pdms.com/latest/addressing-digital-inclusion-in-the-uk/ (Accessed: 10 August 2026).</w:t>
      </w:r>
    </w:p>
    <w:p w14:paraId="10C8BA24" w14:textId="77777777" w:rsidR="008252A7" w:rsidRPr="00257D15" w:rsidRDefault="00000000" w:rsidP="00257D15">
      <w:pPr>
        <w:spacing w:after="160" w:line="360" w:lineRule="auto"/>
        <w:ind w:left="720" w:hanging="720"/>
        <w:jc w:val="both"/>
        <w:rPr>
          <w:sz w:val="24"/>
          <w:szCs w:val="24"/>
        </w:rPr>
      </w:pPr>
      <w:r w:rsidRPr="00257D15">
        <w:rPr>
          <w:rFonts w:eastAsia="Arial"/>
          <w:sz w:val="24"/>
          <w:szCs w:val="24"/>
        </w:rPr>
        <w:t>Ries, E. (2011) The Lean Startup: How Today's Entrepreneurs Use Continuous Innovation to Create Radically Successful Businesses. New York: Crown Business.</w:t>
      </w:r>
    </w:p>
    <w:p w14:paraId="7F99AC33" w14:textId="77777777" w:rsidR="008252A7" w:rsidRPr="00257D15" w:rsidRDefault="00000000" w:rsidP="00257D15">
      <w:pPr>
        <w:spacing w:after="160" w:line="360" w:lineRule="auto"/>
        <w:ind w:left="720" w:hanging="720"/>
        <w:jc w:val="both"/>
        <w:rPr>
          <w:sz w:val="24"/>
          <w:szCs w:val="24"/>
        </w:rPr>
      </w:pPr>
      <w:r w:rsidRPr="00257D15">
        <w:rPr>
          <w:rFonts w:eastAsia="Arial"/>
          <w:sz w:val="24"/>
          <w:szCs w:val="24"/>
        </w:rPr>
        <w:lastRenderedPageBreak/>
        <w:t>Straits Research (2026) United Kingdom Digital Payments Market Size, Top Share, Demand and Report by 2034. Available at: https://straitsresearch.com/report/digital-payments-market/united-kingdom (Accessed: 10 August 2026).</w:t>
      </w:r>
    </w:p>
    <w:p w14:paraId="4570186A" w14:textId="77777777" w:rsidR="008252A7" w:rsidRPr="00257D15" w:rsidRDefault="00000000" w:rsidP="00257D15">
      <w:pPr>
        <w:spacing w:after="160" w:line="360" w:lineRule="auto"/>
        <w:ind w:left="720" w:hanging="720"/>
        <w:jc w:val="both"/>
        <w:rPr>
          <w:sz w:val="24"/>
          <w:szCs w:val="24"/>
        </w:rPr>
      </w:pPr>
      <w:r w:rsidRPr="00257D15">
        <w:rPr>
          <w:rFonts w:eastAsia="Arial"/>
          <w:sz w:val="24"/>
          <w:szCs w:val="24"/>
        </w:rPr>
        <w:t>The Interface (2025) UK Broadband Investment for 380,000 Rural Premises Hits £1.3 Billion. Available at: https://theinterface.uk/blog-posts/uk-broadband-investment-for-380000-rural-premises-hits-1-3-billion-9e6c9 (Accessed: 10 August 2026).</w:t>
      </w:r>
    </w:p>
    <w:p w14:paraId="786565F5" w14:textId="77777777" w:rsidR="008252A7" w:rsidRPr="00257D15" w:rsidRDefault="00000000" w:rsidP="00257D15">
      <w:pPr>
        <w:spacing w:after="160" w:line="360" w:lineRule="auto"/>
        <w:ind w:left="720" w:hanging="720"/>
        <w:jc w:val="both"/>
        <w:rPr>
          <w:sz w:val="24"/>
          <w:szCs w:val="24"/>
        </w:rPr>
      </w:pPr>
      <w:r w:rsidRPr="00257D15">
        <w:rPr>
          <w:rFonts w:eastAsia="Arial"/>
          <w:sz w:val="24"/>
          <w:szCs w:val="24"/>
        </w:rPr>
        <w:t>The Payments Association (2026) The State of Open Banking Payments in the UK in 2026. Available at: https://thepaymentsassociation.org/article/the-state-of-open-banking-payments-in-the-uk-in-2026/ (Accessed: 10 August 2026).</w:t>
      </w:r>
    </w:p>
    <w:p w14:paraId="650564D5" w14:textId="77777777" w:rsidR="008252A7" w:rsidRPr="00257D15" w:rsidRDefault="00000000" w:rsidP="00257D15">
      <w:pPr>
        <w:spacing w:after="160" w:line="360" w:lineRule="auto"/>
        <w:ind w:left="720" w:hanging="720"/>
        <w:jc w:val="both"/>
        <w:rPr>
          <w:sz w:val="24"/>
          <w:szCs w:val="24"/>
        </w:rPr>
      </w:pPr>
      <w:r w:rsidRPr="00257D15">
        <w:rPr>
          <w:rFonts w:eastAsia="Arial"/>
          <w:sz w:val="24"/>
          <w:szCs w:val="24"/>
        </w:rPr>
        <w:t>365 Finance UK (2026) Is the UK Falling Behind When It Comes to Digital Payments? Available at: https://www.365finance.co.uk/insights/is-the-uk-falling-behind-when-it-comes-to-digital-payments/ (Accessed: 10 August 2026).</w:t>
      </w:r>
    </w:p>
    <w:sectPr w:rsidR="008252A7" w:rsidRPr="00257D15">
      <w:footerReference w:type="even" r:id="rId8"/>
      <w:footerReference w:type="default" r:id="rId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C8FFCA" w14:textId="77777777" w:rsidR="004331B4" w:rsidRDefault="004331B4" w:rsidP="00FF730F">
      <w:r>
        <w:separator/>
      </w:r>
    </w:p>
  </w:endnote>
  <w:endnote w:type="continuationSeparator" w:id="0">
    <w:p w14:paraId="0A53FC9B" w14:textId="77777777" w:rsidR="004331B4" w:rsidRDefault="004331B4" w:rsidP="00FF73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61162"/>
      <w:docPartObj>
        <w:docPartGallery w:val="Page Numbers (Bottom of Page)"/>
        <w:docPartUnique/>
      </w:docPartObj>
    </w:sdtPr>
    <w:sdtContent>
      <w:p w14:paraId="1A549844" w14:textId="60F9C138" w:rsidR="00FF730F" w:rsidRDefault="00FF730F" w:rsidP="00EA2F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4D8783" w14:textId="77777777" w:rsidR="00FF730F" w:rsidRDefault="00FF730F" w:rsidP="00FF730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30811324"/>
      <w:docPartObj>
        <w:docPartGallery w:val="Page Numbers (Bottom of Page)"/>
        <w:docPartUnique/>
      </w:docPartObj>
    </w:sdtPr>
    <w:sdtContent>
      <w:p w14:paraId="08B9257E" w14:textId="064A18A6" w:rsidR="00FF730F" w:rsidRDefault="00FF730F" w:rsidP="00EA2F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102EFE0" w14:textId="77777777" w:rsidR="00FF730F" w:rsidRDefault="00FF730F" w:rsidP="00FF730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99F8C3" w14:textId="77777777" w:rsidR="004331B4" w:rsidRDefault="004331B4" w:rsidP="00FF730F">
      <w:r>
        <w:separator/>
      </w:r>
    </w:p>
  </w:footnote>
  <w:footnote w:type="continuationSeparator" w:id="0">
    <w:p w14:paraId="1F5BA167" w14:textId="77777777" w:rsidR="004331B4" w:rsidRDefault="004331B4" w:rsidP="00FF73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C44924"/>
    <w:multiLevelType w:val="hybridMultilevel"/>
    <w:tmpl w:val="3A32E53E"/>
    <w:lvl w:ilvl="0" w:tplc="2B1E9202">
      <w:start w:val="1"/>
      <w:numFmt w:val="bullet"/>
      <w:lvlText w:val="●"/>
      <w:lvlJc w:val="left"/>
      <w:pPr>
        <w:ind w:left="720" w:hanging="360"/>
      </w:pPr>
    </w:lvl>
    <w:lvl w:ilvl="1" w:tplc="F77018E6">
      <w:start w:val="1"/>
      <w:numFmt w:val="bullet"/>
      <w:lvlText w:val="○"/>
      <w:lvlJc w:val="left"/>
      <w:pPr>
        <w:ind w:left="1440" w:hanging="360"/>
      </w:pPr>
    </w:lvl>
    <w:lvl w:ilvl="2" w:tplc="859631C2">
      <w:start w:val="1"/>
      <w:numFmt w:val="bullet"/>
      <w:lvlText w:val="■"/>
      <w:lvlJc w:val="left"/>
      <w:pPr>
        <w:ind w:left="2160" w:hanging="360"/>
      </w:pPr>
    </w:lvl>
    <w:lvl w:ilvl="3" w:tplc="599627E0">
      <w:start w:val="1"/>
      <w:numFmt w:val="bullet"/>
      <w:lvlText w:val="●"/>
      <w:lvlJc w:val="left"/>
      <w:pPr>
        <w:ind w:left="2880" w:hanging="360"/>
      </w:pPr>
    </w:lvl>
    <w:lvl w:ilvl="4" w:tplc="09AEA534">
      <w:start w:val="1"/>
      <w:numFmt w:val="bullet"/>
      <w:lvlText w:val="○"/>
      <w:lvlJc w:val="left"/>
      <w:pPr>
        <w:ind w:left="3600" w:hanging="360"/>
      </w:pPr>
    </w:lvl>
    <w:lvl w:ilvl="5" w:tplc="366892BC">
      <w:start w:val="1"/>
      <w:numFmt w:val="bullet"/>
      <w:lvlText w:val="■"/>
      <w:lvlJc w:val="left"/>
      <w:pPr>
        <w:ind w:left="4320" w:hanging="360"/>
      </w:pPr>
    </w:lvl>
    <w:lvl w:ilvl="6" w:tplc="B1A80C38">
      <w:start w:val="1"/>
      <w:numFmt w:val="bullet"/>
      <w:lvlText w:val="●"/>
      <w:lvlJc w:val="left"/>
      <w:pPr>
        <w:ind w:left="5040" w:hanging="360"/>
      </w:pPr>
    </w:lvl>
    <w:lvl w:ilvl="7" w:tplc="FD9014EA">
      <w:start w:val="1"/>
      <w:numFmt w:val="bullet"/>
      <w:lvlText w:val="●"/>
      <w:lvlJc w:val="left"/>
      <w:pPr>
        <w:ind w:left="5760" w:hanging="360"/>
      </w:pPr>
    </w:lvl>
    <w:lvl w:ilvl="8" w:tplc="A12E103C">
      <w:start w:val="1"/>
      <w:numFmt w:val="bullet"/>
      <w:lvlText w:val="●"/>
      <w:lvlJc w:val="left"/>
      <w:pPr>
        <w:ind w:left="6480" w:hanging="360"/>
      </w:pPr>
    </w:lvl>
  </w:abstractNum>
  <w:num w:numId="1" w16cid:durableId="102656651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52A7"/>
    <w:rsid w:val="0000574D"/>
    <w:rsid w:val="00227248"/>
    <w:rsid w:val="00246848"/>
    <w:rsid w:val="00257D15"/>
    <w:rsid w:val="002A6529"/>
    <w:rsid w:val="002E3640"/>
    <w:rsid w:val="002E5EA6"/>
    <w:rsid w:val="003B6385"/>
    <w:rsid w:val="004066CF"/>
    <w:rsid w:val="004331B4"/>
    <w:rsid w:val="004A6524"/>
    <w:rsid w:val="004E50D4"/>
    <w:rsid w:val="005C02AF"/>
    <w:rsid w:val="00620E27"/>
    <w:rsid w:val="0064427B"/>
    <w:rsid w:val="00780D68"/>
    <w:rsid w:val="007D753F"/>
    <w:rsid w:val="007E069F"/>
    <w:rsid w:val="008252A7"/>
    <w:rsid w:val="00844E71"/>
    <w:rsid w:val="009628A8"/>
    <w:rsid w:val="009E232E"/>
    <w:rsid w:val="00A72774"/>
    <w:rsid w:val="00AF4B52"/>
    <w:rsid w:val="00AF596E"/>
    <w:rsid w:val="00B62077"/>
    <w:rsid w:val="00BC4EDD"/>
    <w:rsid w:val="00C07606"/>
    <w:rsid w:val="00C7286D"/>
    <w:rsid w:val="00C82C4E"/>
    <w:rsid w:val="00CB2365"/>
    <w:rsid w:val="00CE02D1"/>
    <w:rsid w:val="00D36986"/>
    <w:rsid w:val="00E90F2F"/>
    <w:rsid w:val="00F70ED4"/>
    <w:rsid w:val="00FB654D"/>
    <w:rsid w:val="00FD5F68"/>
    <w:rsid w:val="00FE0A2B"/>
    <w:rsid w:val="00FF1755"/>
    <w:rsid w:val="00FF73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1E79C5"/>
  <w15:docId w15:val="{B36B1256-5236-6C42-BC73-7700F6A97E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A72774"/>
    <w:pPr>
      <w:keepNext/>
      <w:keepLines/>
      <w:spacing w:before="480" w:line="276" w:lineRule="auto"/>
      <w:outlineLvl w:val="9"/>
    </w:pPr>
    <w:rPr>
      <w:rFonts w:asciiTheme="majorHAnsi" w:eastAsiaTheme="majorEastAsia" w:hAnsiTheme="majorHAnsi" w:cstheme="majorBidi"/>
      <w:b/>
      <w:bCs/>
      <w:color w:val="2F5496" w:themeColor="accent1" w:themeShade="BF"/>
      <w:sz w:val="28"/>
      <w:szCs w:val="28"/>
      <w:lang w:val="en-US" w:eastAsia="en-US"/>
    </w:rPr>
  </w:style>
  <w:style w:type="paragraph" w:styleId="TOC1">
    <w:name w:val="toc 1"/>
    <w:basedOn w:val="Normal"/>
    <w:next w:val="Normal"/>
    <w:autoRedefine/>
    <w:uiPriority w:val="39"/>
    <w:unhideWhenUsed/>
    <w:rsid w:val="00A72774"/>
    <w:pPr>
      <w:spacing w:before="120"/>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F70ED4"/>
    <w:pPr>
      <w:tabs>
        <w:tab w:val="right" w:leader="dot" w:pos="9016"/>
      </w:tabs>
      <w:spacing w:before="120" w:line="360" w:lineRule="auto"/>
      <w:ind w:left="200"/>
    </w:pPr>
    <w:rPr>
      <w:rFonts w:asciiTheme="minorHAnsi" w:eastAsia="Arial" w:hAnsiTheme="minorHAnsi" w:cstheme="minorHAnsi"/>
      <w:noProof/>
      <w:sz w:val="24"/>
      <w:szCs w:val="24"/>
    </w:rPr>
  </w:style>
  <w:style w:type="paragraph" w:styleId="TOC3">
    <w:name w:val="toc 3"/>
    <w:basedOn w:val="Normal"/>
    <w:next w:val="Normal"/>
    <w:autoRedefine/>
    <w:uiPriority w:val="39"/>
    <w:semiHidden/>
    <w:unhideWhenUsed/>
    <w:rsid w:val="00A72774"/>
    <w:pPr>
      <w:ind w:left="400"/>
    </w:pPr>
    <w:rPr>
      <w:rFonts w:asciiTheme="minorHAnsi" w:hAnsiTheme="minorHAnsi" w:cstheme="minorHAnsi"/>
    </w:rPr>
  </w:style>
  <w:style w:type="paragraph" w:styleId="TOC4">
    <w:name w:val="toc 4"/>
    <w:basedOn w:val="Normal"/>
    <w:next w:val="Normal"/>
    <w:autoRedefine/>
    <w:uiPriority w:val="39"/>
    <w:semiHidden/>
    <w:unhideWhenUsed/>
    <w:rsid w:val="00A72774"/>
    <w:pPr>
      <w:ind w:left="600"/>
    </w:pPr>
    <w:rPr>
      <w:rFonts w:asciiTheme="minorHAnsi" w:hAnsiTheme="minorHAnsi" w:cstheme="minorHAnsi"/>
    </w:rPr>
  </w:style>
  <w:style w:type="paragraph" w:styleId="TOC5">
    <w:name w:val="toc 5"/>
    <w:basedOn w:val="Normal"/>
    <w:next w:val="Normal"/>
    <w:autoRedefine/>
    <w:uiPriority w:val="39"/>
    <w:semiHidden/>
    <w:unhideWhenUsed/>
    <w:rsid w:val="00A72774"/>
    <w:pPr>
      <w:ind w:left="800"/>
    </w:pPr>
    <w:rPr>
      <w:rFonts w:asciiTheme="minorHAnsi" w:hAnsiTheme="minorHAnsi" w:cstheme="minorHAnsi"/>
    </w:rPr>
  </w:style>
  <w:style w:type="paragraph" w:styleId="TOC6">
    <w:name w:val="toc 6"/>
    <w:basedOn w:val="Normal"/>
    <w:next w:val="Normal"/>
    <w:autoRedefine/>
    <w:uiPriority w:val="39"/>
    <w:semiHidden/>
    <w:unhideWhenUsed/>
    <w:rsid w:val="00A72774"/>
    <w:pPr>
      <w:ind w:left="1000"/>
    </w:pPr>
    <w:rPr>
      <w:rFonts w:asciiTheme="minorHAnsi" w:hAnsiTheme="minorHAnsi" w:cstheme="minorHAnsi"/>
    </w:rPr>
  </w:style>
  <w:style w:type="paragraph" w:styleId="TOC7">
    <w:name w:val="toc 7"/>
    <w:basedOn w:val="Normal"/>
    <w:next w:val="Normal"/>
    <w:autoRedefine/>
    <w:uiPriority w:val="39"/>
    <w:semiHidden/>
    <w:unhideWhenUsed/>
    <w:rsid w:val="00A72774"/>
    <w:pPr>
      <w:ind w:left="1200"/>
    </w:pPr>
    <w:rPr>
      <w:rFonts w:asciiTheme="minorHAnsi" w:hAnsiTheme="minorHAnsi" w:cstheme="minorHAnsi"/>
    </w:rPr>
  </w:style>
  <w:style w:type="paragraph" w:styleId="TOC8">
    <w:name w:val="toc 8"/>
    <w:basedOn w:val="Normal"/>
    <w:next w:val="Normal"/>
    <w:autoRedefine/>
    <w:uiPriority w:val="39"/>
    <w:semiHidden/>
    <w:unhideWhenUsed/>
    <w:rsid w:val="00A72774"/>
    <w:pPr>
      <w:ind w:left="1400"/>
    </w:pPr>
    <w:rPr>
      <w:rFonts w:asciiTheme="minorHAnsi" w:hAnsiTheme="minorHAnsi" w:cstheme="minorHAnsi"/>
    </w:rPr>
  </w:style>
  <w:style w:type="paragraph" w:styleId="TOC9">
    <w:name w:val="toc 9"/>
    <w:basedOn w:val="Normal"/>
    <w:next w:val="Normal"/>
    <w:autoRedefine/>
    <w:uiPriority w:val="39"/>
    <w:semiHidden/>
    <w:unhideWhenUsed/>
    <w:rsid w:val="00A72774"/>
    <w:pPr>
      <w:ind w:left="1600"/>
    </w:pPr>
    <w:rPr>
      <w:rFonts w:asciiTheme="minorHAnsi" w:hAnsiTheme="minorHAnsi" w:cstheme="minorHAnsi"/>
    </w:rPr>
  </w:style>
  <w:style w:type="paragraph" w:styleId="Footer">
    <w:name w:val="footer"/>
    <w:basedOn w:val="Normal"/>
    <w:link w:val="FooterChar"/>
    <w:uiPriority w:val="99"/>
    <w:unhideWhenUsed/>
    <w:rsid w:val="00FF730F"/>
    <w:pPr>
      <w:tabs>
        <w:tab w:val="center" w:pos="4680"/>
        <w:tab w:val="right" w:pos="9360"/>
      </w:tabs>
    </w:pPr>
  </w:style>
  <w:style w:type="character" w:customStyle="1" w:styleId="FooterChar">
    <w:name w:val="Footer Char"/>
    <w:basedOn w:val="DefaultParagraphFont"/>
    <w:link w:val="Footer"/>
    <w:uiPriority w:val="99"/>
    <w:rsid w:val="00FF730F"/>
  </w:style>
  <w:style w:type="character" w:styleId="PageNumber">
    <w:name w:val="page number"/>
    <w:basedOn w:val="DefaultParagraphFont"/>
    <w:uiPriority w:val="99"/>
    <w:semiHidden/>
    <w:unhideWhenUsed/>
    <w:rsid w:val="00FF73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8A825B-F96D-9948-9B00-B3250FA7AA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18</Pages>
  <Words>5308</Words>
  <Characters>30262</Characters>
  <Application>Microsoft Office Word</Application>
  <DocSecurity>0</DocSecurity>
  <Lines>252</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Anita Nan</cp:lastModifiedBy>
  <cp:revision>33</cp:revision>
  <dcterms:created xsi:type="dcterms:W3CDTF">2026-08-10T09:50:00Z</dcterms:created>
  <dcterms:modified xsi:type="dcterms:W3CDTF">2026-08-16T19:18:00Z</dcterms:modified>
</cp:coreProperties>
</file>