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76DB" w:rsidRDefault="00F176DB" w:rsidP="00F176DB">
      <w:pPr>
        <w:jc w:val="center"/>
        <w:rPr>
          <w:rFonts w:ascii="Times New Roman" w:hAnsi="Times New Roman" w:cs="Times New Roman"/>
          <w:b/>
          <w:sz w:val="32"/>
          <w:szCs w:val="24"/>
        </w:rPr>
      </w:pPr>
    </w:p>
    <w:p w:rsidR="00F176DB" w:rsidRDefault="00F176DB" w:rsidP="00F176DB">
      <w:pPr>
        <w:jc w:val="center"/>
        <w:rPr>
          <w:rFonts w:ascii="Times New Roman" w:hAnsi="Times New Roman" w:cs="Times New Roman"/>
          <w:b/>
          <w:sz w:val="32"/>
          <w:szCs w:val="24"/>
        </w:rPr>
      </w:pPr>
    </w:p>
    <w:p w:rsidR="00F176DB" w:rsidRDefault="00F176DB" w:rsidP="00F176DB">
      <w:pPr>
        <w:jc w:val="center"/>
        <w:rPr>
          <w:rFonts w:ascii="Times New Roman" w:hAnsi="Times New Roman" w:cs="Times New Roman"/>
          <w:b/>
          <w:sz w:val="32"/>
          <w:szCs w:val="24"/>
        </w:rPr>
      </w:pPr>
    </w:p>
    <w:p w:rsidR="00F176DB" w:rsidRDefault="00F176DB" w:rsidP="00F176DB">
      <w:pPr>
        <w:jc w:val="center"/>
        <w:rPr>
          <w:rFonts w:ascii="Times New Roman" w:hAnsi="Times New Roman" w:cs="Times New Roman"/>
          <w:b/>
          <w:sz w:val="32"/>
          <w:szCs w:val="24"/>
        </w:rPr>
      </w:pPr>
    </w:p>
    <w:p w:rsidR="00F176DB" w:rsidRDefault="00F176DB" w:rsidP="00F176DB">
      <w:pPr>
        <w:jc w:val="center"/>
        <w:rPr>
          <w:rFonts w:ascii="Times New Roman" w:hAnsi="Times New Roman" w:cs="Times New Roman"/>
          <w:b/>
          <w:sz w:val="32"/>
          <w:szCs w:val="24"/>
        </w:rPr>
      </w:pPr>
    </w:p>
    <w:p w:rsidR="001F121B" w:rsidRDefault="00F176DB" w:rsidP="00F176DB">
      <w:pPr>
        <w:jc w:val="center"/>
        <w:rPr>
          <w:rFonts w:ascii="Times New Roman" w:hAnsi="Times New Roman" w:cs="Times New Roman"/>
          <w:b/>
          <w:sz w:val="32"/>
          <w:szCs w:val="24"/>
        </w:rPr>
      </w:pPr>
      <w:r w:rsidRPr="00F176DB">
        <w:rPr>
          <w:rFonts w:ascii="Times New Roman" w:hAnsi="Times New Roman" w:cs="Times New Roman"/>
          <w:b/>
          <w:sz w:val="32"/>
          <w:szCs w:val="24"/>
        </w:rPr>
        <w:t>HUMAN RESOURCE MANAGEMENT</w:t>
      </w:r>
    </w:p>
    <w:p w:rsidR="00AF562B" w:rsidRPr="00F176DB" w:rsidRDefault="00F176DB" w:rsidP="00F176DB">
      <w:pPr>
        <w:jc w:val="center"/>
        <w:rPr>
          <w:rFonts w:ascii="Times New Roman" w:hAnsi="Times New Roman" w:cs="Times New Roman"/>
          <w:b/>
          <w:sz w:val="32"/>
          <w:szCs w:val="24"/>
        </w:rPr>
      </w:pPr>
      <w:r w:rsidRPr="00F176DB">
        <w:rPr>
          <w:rFonts w:ascii="Times New Roman" w:hAnsi="Times New Roman" w:cs="Times New Roman"/>
          <w:b/>
          <w:sz w:val="32"/>
          <w:szCs w:val="24"/>
        </w:rPr>
        <w:br w:type="page"/>
      </w:r>
    </w:p>
    <w:p w:rsidR="00AF562B" w:rsidRPr="00AF562B" w:rsidRDefault="00AF562B" w:rsidP="00AF562B">
      <w:pPr>
        <w:pStyle w:val="NormalWeb"/>
        <w:spacing w:before="0" w:beforeAutospacing="0" w:after="0" w:afterAutospacing="0" w:line="360" w:lineRule="auto"/>
        <w:jc w:val="center"/>
        <w:rPr>
          <w:sz w:val="28"/>
        </w:rPr>
      </w:pPr>
      <w:r w:rsidRPr="00AF562B">
        <w:rPr>
          <w:b/>
          <w:bCs/>
          <w:color w:val="0E101A"/>
          <w:sz w:val="28"/>
        </w:rPr>
        <w:lastRenderedPageBreak/>
        <w:t>Executive summary</w:t>
      </w:r>
    </w:p>
    <w:p w:rsidR="00AF562B" w:rsidRDefault="00AF562B" w:rsidP="00AF562B">
      <w:pPr>
        <w:pStyle w:val="NormalWeb"/>
        <w:spacing w:before="0" w:beforeAutospacing="0" w:after="0" w:afterAutospacing="0" w:line="360" w:lineRule="auto"/>
        <w:jc w:val="both"/>
      </w:pPr>
      <w:r>
        <w:rPr>
          <w:color w:val="0E101A"/>
        </w:rPr>
        <w:t>This report shed light on the current status of the UK labour market. In this reaction, the current employment rate, status of unemployment, economically active and inactivity rate of population in the UK have been determined</w:t>
      </w:r>
      <w:r w:rsidR="00A85630">
        <w:rPr>
          <w:color w:val="0E101A"/>
        </w:rPr>
        <w:t> by</w:t>
      </w:r>
      <w:r>
        <w:rPr>
          <w:color w:val="0E101A"/>
        </w:rPr>
        <w:t xml:space="preserve"> using relevant sources. Furthermore, this study highlights emerging HRM strategies post Brexit period as the UK has faced severe impact during Brexit. On the other hand different HRM practices post-covid </w:t>
      </w:r>
      <w:r w:rsidR="00B757E3">
        <w:rPr>
          <w:color w:val="0E101A"/>
        </w:rPr>
        <w:t>has</w:t>
      </w:r>
      <w:r>
        <w:rPr>
          <w:color w:val="0E101A"/>
        </w:rPr>
        <w:t xml:space="preserve"> been also evaluated in this study. In this context, different HRM models are used for supporting the relevance of current HRM practices in this country. </w:t>
      </w:r>
    </w:p>
    <w:p w:rsidR="000F15F8" w:rsidRPr="00E672A1" w:rsidRDefault="000F15F8" w:rsidP="00E672A1">
      <w:pPr>
        <w:spacing w:line="360" w:lineRule="auto"/>
        <w:jc w:val="both"/>
        <w:rPr>
          <w:rFonts w:ascii="Times New Roman" w:hAnsi="Times New Roman" w:cs="Times New Roman"/>
          <w:b/>
          <w:sz w:val="24"/>
          <w:szCs w:val="24"/>
        </w:rPr>
      </w:pPr>
      <w:r w:rsidRPr="00E672A1">
        <w:rPr>
          <w:rFonts w:ascii="Times New Roman" w:hAnsi="Times New Roman" w:cs="Times New Roman"/>
          <w:b/>
          <w:sz w:val="24"/>
          <w:szCs w:val="24"/>
        </w:rPr>
        <w:br w:type="page"/>
      </w:r>
    </w:p>
    <w:sdt>
      <w:sdtPr>
        <w:rPr>
          <w:rFonts w:asciiTheme="minorHAnsi" w:eastAsiaTheme="minorHAnsi" w:hAnsiTheme="minorHAnsi" w:cstheme="minorBidi"/>
          <w:b w:val="0"/>
          <w:bCs w:val="0"/>
          <w:color w:val="000000" w:themeColor="text1"/>
          <w:sz w:val="32"/>
          <w:szCs w:val="22"/>
          <w:lang w:val="en-GB"/>
        </w:rPr>
        <w:id w:val="906804735"/>
        <w:docPartObj>
          <w:docPartGallery w:val="Table of Contents"/>
          <w:docPartUnique/>
        </w:docPartObj>
      </w:sdtPr>
      <w:sdtEndPr>
        <w:rPr>
          <w:color w:val="auto"/>
          <w:sz w:val="22"/>
        </w:rPr>
      </w:sdtEndPr>
      <w:sdtContent>
        <w:p w:rsidR="00AF562B" w:rsidRPr="00AF562B" w:rsidRDefault="00AF562B" w:rsidP="00AF562B">
          <w:pPr>
            <w:pStyle w:val="TOCHeading"/>
            <w:spacing w:line="360" w:lineRule="auto"/>
            <w:jc w:val="center"/>
            <w:rPr>
              <w:rFonts w:ascii="Times New Roman" w:hAnsi="Times New Roman" w:cs="Times New Roman"/>
              <w:color w:val="000000" w:themeColor="text1"/>
              <w:szCs w:val="24"/>
            </w:rPr>
          </w:pPr>
          <w:r w:rsidRPr="00AF562B">
            <w:rPr>
              <w:rFonts w:ascii="Times New Roman" w:hAnsi="Times New Roman" w:cs="Times New Roman"/>
              <w:color w:val="000000" w:themeColor="text1"/>
              <w:szCs w:val="24"/>
            </w:rPr>
            <w:t>Table of Contents</w:t>
          </w:r>
        </w:p>
        <w:p w:rsidR="00AF562B" w:rsidRPr="00AF562B" w:rsidRDefault="007D6487" w:rsidP="00AF562B">
          <w:pPr>
            <w:pStyle w:val="TOC1"/>
            <w:tabs>
              <w:tab w:val="right" w:leader="dot" w:pos="9016"/>
            </w:tabs>
            <w:spacing w:line="360" w:lineRule="auto"/>
            <w:jc w:val="both"/>
            <w:rPr>
              <w:rFonts w:ascii="Times New Roman" w:hAnsi="Times New Roman" w:cs="Times New Roman"/>
              <w:noProof/>
              <w:sz w:val="24"/>
              <w:szCs w:val="24"/>
            </w:rPr>
          </w:pPr>
          <w:r w:rsidRPr="00AF562B">
            <w:rPr>
              <w:rFonts w:ascii="Times New Roman" w:hAnsi="Times New Roman" w:cs="Times New Roman"/>
              <w:sz w:val="24"/>
              <w:szCs w:val="24"/>
            </w:rPr>
            <w:fldChar w:fldCharType="begin"/>
          </w:r>
          <w:r w:rsidR="00AF562B" w:rsidRPr="00AF562B">
            <w:rPr>
              <w:rFonts w:ascii="Times New Roman" w:hAnsi="Times New Roman" w:cs="Times New Roman"/>
              <w:sz w:val="24"/>
              <w:szCs w:val="24"/>
            </w:rPr>
            <w:instrText xml:space="preserve"> TOC \o "1-3" \h \z \u </w:instrText>
          </w:r>
          <w:r w:rsidRPr="00AF562B">
            <w:rPr>
              <w:rFonts w:ascii="Times New Roman" w:hAnsi="Times New Roman" w:cs="Times New Roman"/>
              <w:sz w:val="24"/>
              <w:szCs w:val="24"/>
            </w:rPr>
            <w:fldChar w:fldCharType="separate"/>
          </w:r>
          <w:hyperlink w:anchor="_Toc123581559" w:history="1">
            <w:r w:rsidR="00AF562B" w:rsidRPr="00AF562B">
              <w:rPr>
                <w:rStyle w:val="Hyperlink"/>
                <w:rFonts w:ascii="Times New Roman" w:hAnsi="Times New Roman" w:cs="Times New Roman"/>
                <w:noProof/>
                <w:sz w:val="24"/>
                <w:szCs w:val="24"/>
              </w:rPr>
              <w:t>Introduction</w:t>
            </w:r>
            <w:r w:rsidR="00AF562B" w:rsidRPr="00AF562B">
              <w:rPr>
                <w:rFonts w:ascii="Times New Roman" w:hAnsi="Times New Roman" w:cs="Times New Roman"/>
                <w:noProof/>
                <w:webHidden/>
                <w:sz w:val="24"/>
                <w:szCs w:val="24"/>
              </w:rPr>
              <w:tab/>
            </w:r>
            <w:r w:rsidRPr="00AF562B">
              <w:rPr>
                <w:rFonts w:ascii="Times New Roman" w:hAnsi="Times New Roman" w:cs="Times New Roman"/>
                <w:noProof/>
                <w:webHidden/>
                <w:sz w:val="24"/>
                <w:szCs w:val="24"/>
              </w:rPr>
              <w:fldChar w:fldCharType="begin"/>
            </w:r>
            <w:r w:rsidR="00AF562B" w:rsidRPr="00AF562B">
              <w:rPr>
                <w:rFonts w:ascii="Times New Roman" w:hAnsi="Times New Roman" w:cs="Times New Roman"/>
                <w:noProof/>
                <w:webHidden/>
                <w:sz w:val="24"/>
                <w:szCs w:val="24"/>
              </w:rPr>
              <w:instrText xml:space="preserve"> PAGEREF _Toc123581559 \h </w:instrText>
            </w:r>
            <w:r w:rsidRPr="00AF562B">
              <w:rPr>
                <w:rFonts w:ascii="Times New Roman" w:hAnsi="Times New Roman" w:cs="Times New Roman"/>
                <w:noProof/>
                <w:webHidden/>
                <w:sz w:val="24"/>
                <w:szCs w:val="24"/>
              </w:rPr>
            </w:r>
            <w:r w:rsidRPr="00AF562B">
              <w:rPr>
                <w:rFonts w:ascii="Times New Roman" w:hAnsi="Times New Roman" w:cs="Times New Roman"/>
                <w:noProof/>
                <w:webHidden/>
                <w:sz w:val="24"/>
                <w:szCs w:val="24"/>
              </w:rPr>
              <w:fldChar w:fldCharType="separate"/>
            </w:r>
            <w:r w:rsidR="00AF562B" w:rsidRPr="00AF562B">
              <w:rPr>
                <w:rFonts w:ascii="Times New Roman" w:hAnsi="Times New Roman" w:cs="Times New Roman"/>
                <w:noProof/>
                <w:webHidden/>
                <w:sz w:val="24"/>
                <w:szCs w:val="24"/>
              </w:rPr>
              <w:t>3</w:t>
            </w:r>
            <w:r w:rsidRPr="00AF562B">
              <w:rPr>
                <w:rFonts w:ascii="Times New Roman" w:hAnsi="Times New Roman" w:cs="Times New Roman"/>
                <w:noProof/>
                <w:webHidden/>
                <w:sz w:val="24"/>
                <w:szCs w:val="24"/>
              </w:rPr>
              <w:fldChar w:fldCharType="end"/>
            </w:r>
          </w:hyperlink>
        </w:p>
        <w:p w:rsidR="00AF562B" w:rsidRPr="00AF562B" w:rsidRDefault="007D6487" w:rsidP="00AF562B">
          <w:pPr>
            <w:pStyle w:val="TOC1"/>
            <w:tabs>
              <w:tab w:val="right" w:leader="dot" w:pos="9016"/>
            </w:tabs>
            <w:spacing w:line="360" w:lineRule="auto"/>
            <w:jc w:val="both"/>
            <w:rPr>
              <w:rFonts w:ascii="Times New Roman" w:hAnsi="Times New Roman" w:cs="Times New Roman"/>
              <w:noProof/>
              <w:sz w:val="24"/>
              <w:szCs w:val="24"/>
            </w:rPr>
          </w:pPr>
          <w:hyperlink w:anchor="_Toc123581560" w:history="1">
            <w:r w:rsidR="00AF562B" w:rsidRPr="00AF562B">
              <w:rPr>
                <w:rStyle w:val="Hyperlink"/>
                <w:rFonts w:ascii="Times New Roman" w:hAnsi="Times New Roman" w:cs="Times New Roman"/>
                <w:noProof/>
                <w:sz w:val="24"/>
                <w:szCs w:val="24"/>
              </w:rPr>
              <w:t>Overview of current labour market status in the UK</w:t>
            </w:r>
            <w:r w:rsidR="00AF562B" w:rsidRPr="00AF562B">
              <w:rPr>
                <w:rFonts w:ascii="Times New Roman" w:hAnsi="Times New Roman" w:cs="Times New Roman"/>
                <w:noProof/>
                <w:webHidden/>
                <w:sz w:val="24"/>
                <w:szCs w:val="24"/>
              </w:rPr>
              <w:tab/>
            </w:r>
            <w:r w:rsidRPr="00AF562B">
              <w:rPr>
                <w:rFonts w:ascii="Times New Roman" w:hAnsi="Times New Roman" w:cs="Times New Roman"/>
                <w:noProof/>
                <w:webHidden/>
                <w:sz w:val="24"/>
                <w:szCs w:val="24"/>
              </w:rPr>
              <w:fldChar w:fldCharType="begin"/>
            </w:r>
            <w:r w:rsidR="00AF562B" w:rsidRPr="00AF562B">
              <w:rPr>
                <w:rFonts w:ascii="Times New Roman" w:hAnsi="Times New Roman" w:cs="Times New Roman"/>
                <w:noProof/>
                <w:webHidden/>
                <w:sz w:val="24"/>
                <w:szCs w:val="24"/>
              </w:rPr>
              <w:instrText xml:space="preserve"> PAGEREF _Toc123581560 \h </w:instrText>
            </w:r>
            <w:r w:rsidRPr="00AF562B">
              <w:rPr>
                <w:rFonts w:ascii="Times New Roman" w:hAnsi="Times New Roman" w:cs="Times New Roman"/>
                <w:noProof/>
                <w:webHidden/>
                <w:sz w:val="24"/>
                <w:szCs w:val="24"/>
              </w:rPr>
            </w:r>
            <w:r w:rsidRPr="00AF562B">
              <w:rPr>
                <w:rFonts w:ascii="Times New Roman" w:hAnsi="Times New Roman" w:cs="Times New Roman"/>
                <w:noProof/>
                <w:webHidden/>
                <w:sz w:val="24"/>
                <w:szCs w:val="24"/>
              </w:rPr>
              <w:fldChar w:fldCharType="separate"/>
            </w:r>
            <w:r w:rsidR="00AF562B" w:rsidRPr="00AF562B">
              <w:rPr>
                <w:rFonts w:ascii="Times New Roman" w:hAnsi="Times New Roman" w:cs="Times New Roman"/>
                <w:noProof/>
                <w:webHidden/>
                <w:sz w:val="24"/>
                <w:szCs w:val="24"/>
              </w:rPr>
              <w:t>3</w:t>
            </w:r>
            <w:r w:rsidRPr="00AF562B">
              <w:rPr>
                <w:rFonts w:ascii="Times New Roman" w:hAnsi="Times New Roman" w:cs="Times New Roman"/>
                <w:noProof/>
                <w:webHidden/>
                <w:sz w:val="24"/>
                <w:szCs w:val="24"/>
              </w:rPr>
              <w:fldChar w:fldCharType="end"/>
            </w:r>
          </w:hyperlink>
        </w:p>
        <w:p w:rsidR="00AF562B" w:rsidRPr="00AF562B" w:rsidRDefault="007D6487" w:rsidP="00AF562B">
          <w:pPr>
            <w:pStyle w:val="TOC1"/>
            <w:tabs>
              <w:tab w:val="right" w:leader="dot" w:pos="9016"/>
            </w:tabs>
            <w:spacing w:line="360" w:lineRule="auto"/>
            <w:jc w:val="both"/>
            <w:rPr>
              <w:rFonts w:ascii="Times New Roman" w:hAnsi="Times New Roman" w:cs="Times New Roman"/>
              <w:noProof/>
              <w:sz w:val="24"/>
              <w:szCs w:val="24"/>
            </w:rPr>
          </w:pPr>
          <w:hyperlink w:anchor="_Toc123581561" w:history="1">
            <w:r w:rsidR="00AF562B" w:rsidRPr="00AF562B">
              <w:rPr>
                <w:rStyle w:val="Hyperlink"/>
                <w:rFonts w:ascii="Times New Roman" w:hAnsi="Times New Roman" w:cs="Times New Roman"/>
                <w:noProof/>
                <w:sz w:val="24"/>
                <w:szCs w:val="24"/>
              </w:rPr>
              <w:t>Emerging changes in Human Resourcing Strategies in the post-Covid, post-Brexit external environment</w:t>
            </w:r>
            <w:r w:rsidR="00AF562B" w:rsidRPr="00AF562B">
              <w:rPr>
                <w:rFonts w:ascii="Times New Roman" w:hAnsi="Times New Roman" w:cs="Times New Roman"/>
                <w:noProof/>
                <w:webHidden/>
                <w:sz w:val="24"/>
                <w:szCs w:val="24"/>
              </w:rPr>
              <w:tab/>
            </w:r>
            <w:r w:rsidRPr="00AF562B">
              <w:rPr>
                <w:rFonts w:ascii="Times New Roman" w:hAnsi="Times New Roman" w:cs="Times New Roman"/>
                <w:noProof/>
                <w:webHidden/>
                <w:sz w:val="24"/>
                <w:szCs w:val="24"/>
              </w:rPr>
              <w:fldChar w:fldCharType="begin"/>
            </w:r>
            <w:r w:rsidR="00AF562B" w:rsidRPr="00AF562B">
              <w:rPr>
                <w:rFonts w:ascii="Times New Roman" w:hAnsi="Times New Roman" w:cs="Times New Roman"/>
                <w:noProof/>
                <w:webHidden/>
                <w:sz w:val="24"/>
                <w:szCs w:val="24"/>
              </w:rPr>
              <w:instrText xml:space="preserve"> PAGEREF _Toc123581561 \h </w:instrText>
            </w:r>
            <w:r w:rsidRPr="00AF562B">
              <w:rPr>
                <w:rFonts w:ascii="Times New Roman" w:hAnsi="Times New Roman" w:cs="Times New Roman"/>
                <w:noProof/>
                <w:webHidden/>
                <w:sz w:val="24"/>
                <w:szCs w:val="24"/>
              </w:rPr>
            </w:r>
            <w:r w:rsidRPr="00AF562B">
              <w:rPr>
                <w:rFonts w:ascii="Times New Roman" w:hAnsi="Times New Roman" w:cs="Times New Roman"/>
                <w:noProof/>
                <w:webHidden/>
                <w:sz w:val="24"/>
                <w:szCs w:val="24"/>
              </w:rPr>
              <w:fldChar w:fldCharType="separate"/>
            </w:r>
            <w:r w:rsidR="00AF562B" w:rsidRPr="00AF562B">
              <w:rPr>
                <w:rFonts w:ascii="Times New Roman" w:hAnsi="Times New Roman" w:cs="Times New Roman"/>
                <w:noProof/>
                <w:webHidden/>
                <w:sz w:val="24"/>
                <w:szCs w:val="24"/>
              </w:rPr>
              <w:t>7</w:t>
            </w:r>
            <w:r w:rsidRPr="00AF562B">
              <w:rPr>
                <w:rFonts w:ascii="Times New Roman" w:hAnsi="Times New Roman" w:cs="Times New Roman"/>
                <w:noProof/>
                <w:webHidden/>
                <w:sz w:val="24"/>
                <w:szCs w:val="24"/>
              </w:rPr>
              <w:fldChar w:fldCharType="end"/>
            </w:r>
          </w:hyperlink>
        </w:p>
        <w:p w:rsidR="00AF562B" w:rsidRPr="00AF562B" w:rsidRDefault="007D6487" w:rsidP="00AF562B">
          <w:pPr>
            <w:pStyle w:val="TOC1"/>
            <w:tabs>
              <w:tab w:val="right" w:leader="dot" w:pos="9016"/>
            </w:tabs>
            <w:spacing w:line="360" w:lineRule="auto"/>
            <w:jc w:val="both"/>
            <w:rPr>
              <w:rFonts w:ascii="Times New Roman" w:hAnsi="Times New Roman" w:cs="Times New Roman"/>
              <w:noProof/>
              <w:sz w:val="24"/>
              <w:szCs w:val="24"/>
            </w:rPr>
          </w:pPr>
          <w:hyperlink w:anchor="_Toc123581562" w:history="1">
            <w:r w:rsidR="00AF562B" w:rsidRPr="00AF562B">
              <w:rPr>
                <w:rStyle w:val="Hyperlink"/>
                <w:rFonts w:ascii="Times New Roman" w:hAnsi="Times New Roman" w:cs="Times New Roman"/>
                <w:noProof/>
                <w:sz w:val="24"/>
                <w:szCs w:val="24"/>
              </w:rPr>
              <w:t>Conclusion</w:t>
            </w:r>
            <w:r w:rsidR="00AF562B" w:rsidRPr="00AF562B">
              <w:rPr>
                <w:rFonts w:ascii="Times New Roman" w:hAnsi="Times New Roman" w:cs="Times New Roman"/>
                <w:noProof/>
                <w:webHidden/>
                <w:sz w:val="24"/>
                <w:szCs w:val="24"/>
              </w:rPr>
              <w:tab/>
            </w:r>
            <w:r w:rsidRPr="00AF562B">
              <w:rPr>
                <w:rFonts w:ascii="Times New Roman" w:hAnsi="Times New Roman" w:cs="Times New Roman"/>
                <w:noProof/>
                <w:webHidden/>
                <w:sz w:val="24"/>
                <w:szCs w:val="24"/>
              </w:rPr>
              <w:fldChar w:fldCharType="begin"/>
            </w:r>
            <w:r w:rsidR="00AF562B" w:rsidRPr="00AF562B">
              <w:rPr>
                <w:rFonts w:ascii="Times New Roman" w:hAnsi="Times New Roman" w:cs="Times New Roman"/>
                <w:noProof/>
                <w:webHidden/>
                <w:sz w:val="24"/>
                <w:szCs w:val="24"/>
              </w:rPr>
              <w:instrText xml:space="preserve"> PAGEREF _Toc123581562 \h </w:instrText>
            </w:r>
            <w:r w:rsidRPr="00AF562B">
              <w:rPr>
                <w:rFonts w:ascii="Times New Roman" w:hAnsi="Times New Roman" w:cs="Times New Roman"/>
                <w:noProof/>
                <w:webHidden/>
                <w:sz w:val="24"/>
                <w:szCs w:val="24"/>
              </w:rPr>
            </w:r>
            <w:r w:rsidRPr="00AF562B">
              <w:rPr>
                <w:rFonts w:ascii="Times New Roman" w:hAnsi="Times New Roman" w:cs="Times New Roman"/>
                <w:noProof/>
                <w:webHidden/>
                <w:sz w:val="24"/>
                <w:szCs w:val="24"/>
              </w:rPr>
              <w:fldChar w:fldCharType="separate"/>
            </w:r>
            <w:r w:rsidR="00AF562B" w:rsidRPr="00AF562B">
              <w:rPr>
                <w:rFonts w:ascii="Times New Roman" w:hAnsi="Times New Roman" w:cs="Times New Roman"/>
                <w:noProof/>
                <w:webHidden/>
                <w:sz w:val="24"/>
                <w:szCs w:val="24"/>
              </w:rPr>
              <w:t>11</w:t>
            </w:r>
            <w:r w:rsidRPr="00AF562B">
              <w:rPr>
                <w:rFonts w:ascii="Times New Roman" w:hAnsi="Times New Roman" w:cs="Times New Roman"/>
                <w:noProof/>
                <w:webHidden/>
                <w:sz w:val="24"/>
                <w:szCs w:val="24"/>
              </w:rPr>
              <w:fldChar w:fldCharType="end"/>
            </w:r>
          </w:hyperlink>
        </w:p>
        <w:p w:rsidR="00AF562B" w:rsidRPr="00AF562B" w:rsidRDefault="007D6487" w:rsidP="00AF562B">
          <w:pPr>
            <w:pStyle w:val="TOC1"/>
            <w:tabs>
              <w:tab w:val="right" w:leader="dot" w:pos="9016"/>
            </w:tabs>
            <w:spacing w:line="360" w:lineRule="auto"/>
            <w:jc w:val="both"/>
            <w:rPr>
              <w:rFonts w:ascii="Times New Roman" w:hAnsi="Times New Roman" w:cs="Times New Roman"/>
              <w:noProof/>
              <w:sz w:val="24"/>
              <w:szCs w:val="24"/>
            </w:rPr>
          </w:pPr>
          <w:hyperlink w:anchor="_Toc123581563" w:history="1">
            <w:r w:rsidR="00AF562B" w:rsidRPr="00AF562B">
              <w:rPr>
                <w:rStyle w:val="Hyperlink"/>
                <w:rFonts w:ascii="Times New Roman" w:hAnsi="Times New Roman" w:cs="Times New Roman"/>
                <w:noProof/>
                <w:sz w:val="24"/>
                <w:szCs w:val="24"/>
              </w:rPr>
              <w:t>Reference list</w:t>
            </w:r>
            <w:r w:rsidR="00AF562B" w:rsidRPr="00AF562B">
              <w:rPr>
                <w:rFonts w:ascii="Times New Roman" w:hAnsi="Times New Roman" w:cs="Times New Roman"/>
                <w:noProof/>
                <w:webHidden/>
                <w:sz w:val="24"/>
                <w:szCs w:val="24"/>
              </w:rPr>
              <w:tab/>
            </w:r>
            <w:r w:rsidRPr="00AF562B">
              <w:rPr>
                <w:rFonts w:ascii="Times New Roman" w:hAnsi="Times New Roman" w:cs="Times New Roman"/>
                <w:noProof/>
                <w:webHidden/>
                <w:sz w:val="24"/>
                <w:szCs w:val="24"/>
              </w:rPr>
              <w:fldChar w:fldCharType="begin"/>
            </w:r>
            <w:r w:rsidR="00AF562B" w:rsidRPr="00AF562B">
              <w:rPr>
                <w:rFonts w:ascii="Times New Roman" w:hAnsi="Times New Roman" w:cs="Times New Roman"/>
                <w:noProof/>
                <w:webHidden/>
                <w:sz w:val="24"/>
                <w:szCs w:val="24"/>
              </w:rPr>
              <w:instrText xml:space="preserve"> PAGEREF _Toc123581563 \h </w:instrText>
            </w:r>
            <w:r w:rsidRPr="00AF562B">
              <w:rPr>
                <w:rFonts w:ascii="Times New Roman" w:hAnsi="Times New Roman" w:cs="Times New Roman"/>
                <w:noProof/>
                <w:webHidden/>
                <w:sz w:val="24"/>
                <w:szCs w:val="24"/>
              </w:rPr>
            </w:r>
            <w:r w:rsidRPr="00AF562B">
              <w:rPr>
                <w:rFonts w:ascii="Times New Roman" w:hAnsi="Times New Roman" w:cs="Times New Roman"/>
                <w:noProof/>
                <w:webHidden/>
                <w:sz w:val="24"/>
                <w:szCs w:val="24"/>
              </w:rPr>
              <w:fldChar w:fldCharType="separate"/>
            </w:r>
            <w:r w:rsidR="00AF562B" w:rsidRPr="00AF562B">
              <w:rPr>
                <w:rFonts w:ascii="Times New Roman" w:hAnsi="Times New Roman" w:cs="Times New Roman"/>
                <w:noProof/>
                <w:webHidden/>
                <w:sz w:val="24"/>
                <w:szCs w:val="24"/>
              </w:rPr>
              <w:t>13</w:t>
            </w:r>
            <w:r w:rsidRPr="00AF562B">
              <w:rPr>
                <w:rFonts w:ascii="Times New Roman" w:hAnsi="Times New Roman" w:cs="Times New Roman"/>
                <w:noProof/>
                <w:webHidden/>
                <w:sz w:val="24"/>
                <w:szCs w:val="24"/>
              </w:rPr>
              <w:fldChar w:fldCharType="end"/>
            </w:r>
          </w:hyperlink>
        </w:p>
        <w:p w:rsidR="00AF562B" w:rsidRPr="00AF562B" w:rsidRDefault="007D6487" w:rsidP="00AF562B">
          <w:pPr>
            <w:pStyle w:val="TOC1"/>
            <w:tabs>
              <w:tab w:val="right" w:leader="dot" w:pos="9016"/>
            </w:tabs>
            <w:spacing w:line="360" w:lineRule="auto"/>
            <w:jc w:val="both"/>
            <w:rPr>
              <w:rFonts w:ascii="Times New Roman" w:hAnsi="Times New Roman" w:cs="Times New Roman"/>
              <w:noProof/>
              <w:sz w:val="24"/>
              <w:szCs w:val="24"/>
            </w:rPr>
          </w:pPr>
          <w:hyperlink w:anchor="_Toc123581564" w:history="1">
            <w:r w:rsidR="00AF562B" w:rsidRPr="00AF562B">
              <w:rPr>
                <w:rStyle w:val="Hyperlink"/>
                <w:rFonts w:ascii="Times New Roman" w:hAnsi="Times New Roman" w:cs="Times New Roman"/>
                <w:noProof/>
                <w:sz w:val="24"/>
                <w:szCs w:val="24"/>
              </w:rPr>
              <w:t>Appendix</w:t>
            </w:r>
            <w:r w:rsidR="00AF562B" w:rsidRPr="00AF562B">
              <w:rPr>
                <w:rFonts w:ascii="Times New Roman" w:hAnsi="Times New Roman" w:cs="Times New Roman"/>
                <w:noProof/>
                <w:webHidden/>
                <w:sz w:val="24"/>
                <w:szCs w:val="24"/>
              </w:rPr>
              <w:tab/>
            </w:r>
            <w:r w:rsidRPr="00AF562B">
              <w:rPr>
                <w:rFonts w:ascii="Times New Roman" w:hAnsi="Times New Roman" w:cs="Times New Roman"/>
                <w:noProof/>
                <w:webHidden/>
                <w:sz w:val="24"/>
                <w:szCs w:val="24"/>
              </w:rPr>
              <w:fldChar w:fldCharType="begin"/>
            </w:r>
            <w:r w:rsidR="00AF562B" w:rsidRPr="00AF562B">
              <w:rPr>
                <w:rFonts w:ascii="Times New Roman" w:hAnsi="Times New Roman" w:cs="Times New Roman"/>
                <w:noProof/>
                <w:webHidden/>
                <w:sz w:val="24"/>
                <w:szCs w:val="24"/>
              </w:rPr>
              <w:instrText xml:space="preserve"> PAGEREF _Toc123581564 \h </w:instrText>
            </w:r>
            <w:r w:rsidRPr="00AF562B">
              <w:rPr>
                <w:rFonts w:ascii="Times New Roman" w:hAnsi="Times New Roman" w:cs="Times New Roman"/>
                <w:noProof/>
                <w:webHidden/>
                <w:sz w:val="24"/>
                <w:szCs w:val="24"/>
              </w:rPr>
            </w:r>
            <w:r w:rsidRPr="00AF562B">
              <w:rPr>
                <w:rFonts w:ascii="Times New Roman" w:hAnsi="Times New Roman" w:cs="Times New Roman"/>
                <w:noProof/>
                <w:webHidden/>
                <w:sz w:val="24"/>
                <w:szCs w:val="24"/>
              </w:rPr>
              <w:fldChar w:fldCharType="separate"/>
            </w:r>
            <w:r w:rsidR="00AF562B" w:rsidRPr="00AF562B">
              <w:rPr>
                <w:rFonts w:ascii="Times New Roman" w:hAnsi="Times New Roman" w:cs="Times New Roman"/>
                <w:noProof/>
                <w:webHidden/>
                <w:sz w:val="24"/>
                <w:szCs w:val="24"/>
              </w:rPr>
              <w:t>16</w:t>
            </w:r>
            <w:r w:rsidRPr="00AF562B">
              <w:rPr>
                <w:rFonts w:ascii="Times New Roman" w:hAnsi="Times New Roman" w:cs="Times New Roman"/>
                <w:noProof/>
                <w:webHidden/>
                <w:sz w:val="24"/>
                <w:szCs w:val="24"/>
              </w:rPr>
              <w:fldChar w:fldCharType="end"/>
            </w:r>
          </w:hyperlink>
        </w:p>
        <w:p w:rsidR="00AF562B" w:rsidRDefault="007D6487" w:rsidP="00AF562B">
          <w:pPr>
            <w:spacing w:line="360" w:lineRule="auto"/>
            <w:jc w:val="both"/>
          </w:pPr>
          <w:r w:rsidRPr="00AF562B">
            <w:rPr>
              <w:rFonts w:ascii="Times New Roman" w:hAnsi="Times New Roman" w:cs="Times New Roman"/>
              <w:sz w:val="24"/>
              <w:szCs w:val="24"/>
            </w:rPr>
            <w:fldChar w:fldCharType="end"/>
          </w:r>
        </w:p>
      </w:sdtContent>
    </w:sdt>
    <w:p w:rsidR="000F15F8" w:rsidRPr="00E672A1" w:rsidRDefault="000F15F8" w:rsidP="00E672A1">
      <w:pPr>
        <w:spacing w:line="360" w:lineRule="auto"/>
        <w:jc w:val="both"/>
        <w:rPr>
          <w:rFonts w:ascii="Times New Roman" w:hAnsi="Times New Roman" w:cs="Times New Roman"/>
          <w:b/>
          <w:sz w:val="24"/>
          <w:szCs w:val="24"/>
        </w:rPr>
      </w:pPr>
      <w:r w:rsidRPr="00E672A1">
        <w:rPr>
          <w:rFonts w:ascii="Times New Roman" w:hAnsi="Times New Roman" w:cs="Times New Roman"/>
          <w:b/>
          <w:sz w:val="24"/>
          <w:szCs w:val="24"/>
        </w:rPr>
        <w:br w:type="page"/>
      </w:r>
    </w:p>
    <w:p w:rsidR="000F15F8" w:rsidRPr="004A724C" w:rsidRDefault="000F15F8" w:rsidP="008D5402">
      <w:pPr>
        <w:pStyle w:val="Heading1"/>
      </w:pPr>
      <w:bookmarkStart w:id="0" w:name="_Toc123581559"/>
      <w:r w:rsidRPr="004A724C">
        <w:lastRenderedPageBreak/>
        <w:t>Introduction</w:t>
      </w:r>
      <w:bookmarkEnd w:id="0"/>
    </w:p>
    <w:p w:rsidR="000F15F8" w:rsidRPr="004A724C" w:rsidRDefault="003403AF" w:rsidP="00E672A1">
      <w:pPr>
        <w:pStyle w:val="NormalWeb"/>
        <w:spacing w:before="0" w:beforeAutospacing="0" w:after="0" w:afterAutospacing="0" w:line="360" w:lineRule="auto"/>
        <w:jc w:val="both"/>
      </w:pPr>
      <w:r w:rsidRPr="004A724C">
        <w:rPr>
          <w:color w:val="0E101A"/>
        </w:rPr>
        <w:t xml:space="preserve">Human resourcing is important for developing a good corporate culture and innovation in the world (Leonida </w:t>
      </w:r>
      <w:r w:rsidRPr="004A724C">
        <w:rPr>
          <w:i/>
          <w:iCs/>
          <w:color w:val="0E101A"/>
        </w:rPr>
        <w:t>et al.</w:t>
      </w:r>
      <w:r w:rsidRPr="004A724C">
        <w:rPr>
          <w:color w:val="0E101A"/>
        </w:rPr>
        <w:t xml:space="preserve">, 2022). </w:t>
      </w:r>
      <w:r w:rsidR="000F15F8" w:rsidRPr="004A724C">
        <w:rPr>
          <w:color w:val="0E101A"/>
        </w:rPr>
        <w:t>In this context, the global labour market reflects the core human resources that are important for organisation development and innovation. Based on this perception, this study highlights the current labour market status of the UK. Furthermore, emerging HRM approaches after Brexit and post covid conditions have been also evaluated in this study. </w:t>
      </w:r>
    </w:p>
    <w:p w:rsidR="000F15F8" w:rsidRPr="004A724C" w:rsidRDefault="000F15F8" w:rsidP="008D5402">
      <w:pPr>
        <w:pStyle w:val="Heading1"/>
      </w:pPr>
      <w:bookmarkStart w:id="1" w:name="_Toc123581560"/>
      <w:r w:rsidRPr="004A724C">
        <w:t>Overview of current labour market status in the UK</w:t>
      </w:r>
      <w:bookmarkEnd w:id="1"/>
    </w:p>
    <w:p w:rsidR="000F15F8" w:rsidRPr="004A724C" w:rsidRDefault="000F15F8" w:rsidP="00E672A1">
      <w:pPr>
        <w:pStyle w:val="NormalWeb"/>
        <w:spacing w:before="0" w:beforeAutospacing="0" w:after="0" w:afterAutospacing="0" w:line="360" w:lineRule="auto"/>
        <w:jc w:val="both"/>
      </w:pPr>
      <w:r w:rsidRPr="004A724C">
        <w:rPr>
          <w:b/>
          <w:bCs/>
          <w:i/>
          <w:iCs/>
          <w:color w:val="0E101A"/>
        </w:rPr>
        <w:t>Labour market of the world </w:t>
      </w:r>
    </w:p>
    <w:p w:rsidR="000F15F8" w:rsidRPr="004A724C" w:rsidRDefault="000F15F8" w:rsidP="00E672A1">
      <w:pPr>
        <w:pStyle w:val="NormalWeb"/>
        <w:spacing w:before="0" w:beforeAutospacing="0" w:after="0" w:afterAutospacing="0" w:line="360" w:lineRule="auto"/>
        <w:jc w:val="both"/>
      </w:pPr>
      <w:r w:rsidRPr="004A724C">
        <w:rPr>
          <w:color w:val="0E101A"/>
        </w:rPr>
        <w:t>The overall economy of the world depends on the employment status of people as their productivity helps the country to access a good GDP. As per the analysis of ILO (2022), it is identified that labour market growth has fluctuated after the covid outbreak. Some countries have faced major labour shortages due to a lack of mobility during this period. In turn, there is a choice to increase up to 400 million job opportunities in the global labour market. However, ILO has also reported that conflicts between Ukraine and Russia can be the cause of 4.8 million job losses around the world (ILO, 2022). </w:t>
      </w:r>
    </w:p>
    <w:p w:rsidR="000F15F8" w:rsidRPr="004A724C" w:rsidRDefault="000F15F8" w:rsidP="00E672A1">
      <w:pPr>
        <w:pStyle w:val="NormalWeb"/>
        <w:spacing w:before="0" w:beforeAutospacing="0" w:after="0" w:afterAutospacing="0" w:line="360" w:lineRule="auto"/>
        <w:jc w:val="both"/>
      </w:pPr>
      <w:r w:rsidRPr="004A724C">
        <w:rPr>
          <w:color w:val="0E101A"/>
        </w:rPr>
        <w:t>In this context, it is evaluated that the current employment status of the world is 61%, which can vary between developed and developing countries (ILO, 2022). For evidence, the Netherlands, Ireland and Japan have 80.1%, 79.6% and 77.75% of employment respectively [Refer to appendix]. The main reason for the increasing employment rate in developed countries is higher career opportunities, a good wage system and high living standards, which works as a push factor for global employees to work in developed countries. For the same reason, developing countries have faced major labour shortages in their production and manufacturing units. </w:t>
      </w:r>
    </w:p>
    <w:p w:rsidR="000F15F8" w:rsidRPr="004A724C" w:rsidRDefault="000F15F8" w:rsidP="00E672A1">
      <w:pPr>
        <w:pStyle w:val="NormalWeb"/>
        <w:spacing w:before="0" w:beforeAutospacing="0" w:after="0" w:afterAutospacing="0" w:line="360" w:lineRule="auto"/>
        <w:jc w:val="both"/>
      </w:pPr>
      <w:r w:rsidRPr="004A724C">
        <w:rPr>
          <w:color w:val="0E101A"/>
        </w:rPr>
        <w:t>On the other hand, developing countries such as India and Bangladesh have a 5.98% and 5.31% unemployment rate compared to developed countries (ILO, 2022). Based on this perception, it can be said that the reason behind the higher unemployment rate in developing countries is the lack of job opportunities, the slow growth of the industrial revolution and the lack of technical knowledge. </w:t>
      </w:r>
    </w:p>
    <w:p w:rsidR="000F15F8" w:rsidRPr="004A724C" w:rsidRDefault="000F15F8" w:rsidP="00E672A1">
      <w:pPr>
        <w:pStyle w:val="NormalWeb"/>
        <w:spacing w:before="0" w:beforeAutospacing="0" w:after="0" w:afterAutospacing="0" w:line="360" w:lineRule="auto"/>
        <w:jc w:val="both"/>
      </w:pPr>
      <w:r w:rsidRPr="004A724C">
        <w:rPr>
          <w:b/>
          <w:bCs/>
          <w:i/>
          <w:iCs/>
          <w:color w:val="0E101A"/>
        </w:rPr>
        <w:t>Current labour market of the UK </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The UK is one of the most developed countries in the world, which has focused on the strategic management of HRM approaches so that good industrial growth can be evaluated. In such a condition, it is seen that there are different industries and job opportunities for people, </w:t>
      </w:r>
      <w:r w:rsidRPr="004A724C">
        <w:rPr>
          <w:color w:val="0E101A"/>
        </w:rPr>
        <w:lastRenderedPageBreak/>
        <w:t xml:space="preserve">which varies the employment rate in this country. In 2022, the total number of employees in this country was 32.77 million (House of Commons Library, 2022). </w:t>
      </w:r>
      <w:r w:rsidR="002179E8" w:rsidRPr="004A724C">
        <w:rPr>
          <w:color w:val="0E101A"/>
        </w:rPr>
        <w:t xml:space="preserve">Considering the </w:t>
      </w:r>
      <w:r w:rsidRPr="004A724C">
        <w:rPr>
          <w:color w:val="0E101A"/>
        </w:rPr>
        <w:t>age groups from 16 years to 65 years, the employment rate was 75.6%. Because of the covid pandemic, the employment rate has increased. However, 211000 people are still unemployed from the covid condition. In such a condition, it can be said that covid condition creates major changes in the employment scenario and labour market of this country. </w:t>
      </w:r>
    </w:p>
    <w:p w:rsidR="000F15F8" w:rsidRPr="004A724C" w:rsidRDefault="000F15F8" w:rsidP="008D5402">
      <w:pPr>
        <w:pStyle w:val="NormalWeb"/>
        <w:spacing w:before="0" w:beforeAutospacing="0" w:after="0" w:afterAutospacing="0" w:line="360" w:lineRule="auto"/>
        <w:jc w:val="center"/>
      </w:pPr>
      <w:r w:rsidRPr="004A724C">
        <w:rPr>
          <w:noProof/>
          <w:color w:val="0E101A"/>
          <w:bdr w:val="none" w:sz="0" w:space="0" w:color="auto" w:frame="1"/>
        </w:rPr>
        <w:drawing>
          <wp:inline distT="0" distB="0" distL="0" distR="0">
            <wp:extent cx="3924300" cy="2591044"/>
            <wp:effectExtent l="19050" t="0" r="0" b="0"/>
            <wp:docPr id="19" name="Picture 19" descr="https://lh5.googleusercontent.com/tl6u3XrPs5gplztISmk1y0rfrIuofwVQWcPY86Ymqz-oUtqL0EK73EZsUNrwJ_1YGyfFkQ2oblPLOaCRCFhUN_cATXAmDWM3icrIWKeQPBRERijf2Cnry1bD5gBCsvj3JnwgfIwXQzHBcHx8iEPLr8aQDTFriYE6HwoTbgNN1Y2SHGiS0JlBUe-eCEuKN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tl6u3XrPs5gplztISmk1y0rfrIuofwVQWcPY86Ymqz-oUtqL0EK73EZsUNrwJ_1YGyfFkQ2oblPLOaCRCFhUN_cATXAmDWM3icrIWKeQPBRERijf2Cnry1bD5gBCsvj3JnwgfIwXQzHBcHx8iEPLr8aQDTFriYE6HwoTbgNN1Y2SHGiS0JlBUe-eCEuKNw"/>
                    <pic:cNvPicPr>
                      <a:picLocks noChangeAspect="1" noChangeArrowheads="1"/>
                    </pic:cNvPicPr>
                  </pic:nvPicPr>
                  <pic:blipFill>
                    <a:blip r:embed="rId7"/>
                    <a:srcRect/>
                    <a:stretch>
                      <a:fillRect/>
                    </a:stretch>
                  </pic:blipFill>
                  <pic:spPr bwMode="auto">
                    <a:xfrm>
                      <a:off x="0" y="0"/>
                      <a:ext cx="3924300" cy="2591044"/>
                    </a:xfrm>
                    <a:prstGeom prst="rect">
                      <a:avLst/>
                    </a:prstGeom>
                    <a:noFill/>
                    <a:ln w="9525">
                      <a:noFill/>
                      <a:miter lim="800000"/>
                      <a:headEnd/>
                      <a:tailEnd/>
                    </a:ln>
                  </pic:spPr>
                </pic:pic>
              </a:graphicData>
            </a:graphic>
          </wp:inline>
        </w:drawing>
      </w:r>
    </w:p>
    <w:p w:rsidR="000F15F8" w:rsidRPr="004A724C" w:rsidRDefault="000F15F8" w:rsidP="008D5402">
      <w:pPr>
        <w:pStyle w:val="NormalWeb"/>
        <w:spacing w:before="0" w:beforeAutospacing="0" w:after="0" w:afterAutospacing="0" w:line="360" w:lineRule="auto"/>
        <w:jc w:val="center"/>
      </w:pPr>
      <w:r w:rsidRPr="004A724C">
        <w:rPr>
          <w:b/>
          <w:bCs/>
          <w:color w:val="0E101A"/>
        </w:rPr>
        <w:t>Figure 1: Outlook for the UK labour market</w:t>
      </w:r>
    </w:p>
    <w:p w:rsidR="000F15F8" w:rsidRPr="004A724C" w:rsidRDefault="000F15F8" w:rsidP="008D5402">
      <w:pPr>
        <w:pStyle w:val="NormalWeb"/>
        <w:spacing w:before="0" w:beforeAutospacing="0" w:after="0" w:afterAutospacing="0" w:line="360" w:lineRule="auto"/>
        <w:jc w:val="center"/>
      </w:pPr>
      <w:r w:rsidRPr="004A724C">
        <w:rPr>
          <w:color w:val="0E101A"/>
        </w:rPr>
        <w:t>(Source: House of Commons Library, 2022)</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From the above figure, it is estimated that the unemployment rate has decreased over the years due to the higher number of job opportunities in this country. In the words of Martinescu </w:t>
      </w:r>
      <w:r w:rsidRPr="004A724C">
        <w:rPr>
          <w:i/>
          <w:iCs/>
          <w:color w:val="0E101A"/>
        </w:rPr>
        <w:t xml:space="preserve">et al. </w:t>
      </w:r>
      <w:r w:rsidRPr="004A724C">
        <w:rPr>
          <w:color w:val="0E101A"/>
        </w:rPr>
        <w:t>(2022), good job opportunities and strategic HRM policies help to manage the unemployment rate. Based on this perception, it is seen that only 1.25 million people in this country are unemployed for the age group of 16 years to 64 years. In such conditions, this figure highlights that the current unemployment rate of the UK is 3.7%, which is quite before pre-pandemic conditions (House of Commons Library, 2022).</w:t>
      </w:r>
    </w:p>
    <w:p w:rsidR="000F15F8" w:rsidRPr="004A724C" w:rsidRDefault="000F15F8" w:rsidP="008D5402">
      <w:pPr>
        <w:pStyle w:val="NormalWeb"/>
        <w:spacing w:before="0" w:beforeAutospacing="0" w:after="0" w:afterAutospacing="0" w:line="360" w:lineRule="auto"/>
        <w:jc w:val="center"/>
      </w:pPr>
      <w:r w:rsidRPr="004A724C">
        <w:rPr>
          <w:noProof/>
          <w:color w:val="0E101A"/>
          <w:bdr w:val="none" w:sz="0" w:space="0" w:color="auto" w:frame="1"/>
        </w:rPr>
        <w:lastRenderedPageBreak/>
        <w:drawing>
          <wp:inline distT="0" distB="0" distL="0" distR="0">
            <wp:extent cx="3505200" cy="2308713"/>
            <wp:effectExtent l="19050" t="0" r="0" b="0"/>
            <wp:docPr id="20" name="Picture 20" descr="https://lh5.googleusercontent.com/QSafvknEKEgUcTHtXf1QV_0mg4X_tUUmDDgnW5xEj2tWz8eePWNUUWr6Qvc_kuejXLmp57Otfm4oZnj5X4LlIcBBEFoVJLGrLrU9TmNV7_mmolqvImGo0_q3GmPLEY2MJkAb4py3jQOHkqyoQvmWs-UbsWTSnyJ52VPHsI3H7ZR6T23hvEgtiibWbBzs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5.googleusercontent.com/QSafvknEKEgUcTHtXf1QV_0mg4X_tUUmDDgnW5xEj2tWz8eePWNUUWr6Qvc_kuejXLmp57Otfm4oZnj5X4LlIcBBEFoVJLGrLrU9TmNV7_mmolqvImGo0_q3GmPLEY2MJkAb4py3jQOHkqyoQvmWs-UbsWTSnyJ52VPHsI3H7ZR6T23hvEgtiibWbBzsqQ"/>
                    <pic:cNvPicPr>
                      <a:picLocks noChangeAspect="1" noChangeArrowheads="1"/>
                    </pic:cNvPicPr>
                  </pic:nvPicPr>
                  <pic:blipFill>
                    <a:blip r:embed="rId8" cstate="print"/>
                    <a:srcRect/>
                    <a:stretch>
                      <a:fillRect/>
                    </a:stretch>
                  </pic:blipFill>
                  <pic:spPr bwMode="auto">
                    <a:xfrm>
                      <a:off x="0" y="0"/>
                      <a:ext cx="3505200" cy="2308713"/>
                    </a:xfrm>
                    <a:prstGeom prst="rect">
                      <a:avLst/>
                    </a:prstGeom>
                    <a:noFill/>
                    <a:ln w="9525">
                      <a:noFill/>
                      <a:miter lim="800000"/>
                      <a:headEnd/>
                      <a:tailEnd/>
                    </a:ln>
                  </pic:spPr>
                </pic:pic>
              </a:graphicData>
            </a:graphic>
          </wp:inline>
        </w:drawing>
      </w:r>
    </w:p>
    <w:p w:rsidR="000F15F8" w:rsidRPr="004A724C" w:rsidRDefault="00732C07" w:rsidP="008D5402">
      <w:pPr>
        <w:pStyle w:val="NormalWeb"/>
        <w:spacing w:before="0" w:beforeAutospacing="0" w:after="0" w:afterAutospacing="0" w:line="360" w:lineRule="auto"/>
        <w:jc w:val="center"/>
      </w:pPr>
      <w:r>
        <w:rPr>
          <w:b/>
          <w:bCs/>
          <w:color w:val="0E101A"/>
        </w:rPr>
        <w:t>Figure 2</w:t>
      </w:r>
      <w:r w:rsidR="000F15F8" w:rsidRPr="004A724C">
        <w:rPr>
          <w:b/>
          <w:bCs/>
          <w:color w:val="0E101A"/>
        </w:rPr>
        <w:t>: Labour force participation rate</w:t>
      </w:r>
    </w:p>
    <w:p w:rsidR="000F15F8" w:rsidRPr="004A724C" w:rsidRDefault="000F15F8" w:rsidP="008D5402">
      <w:pPr>
        <w:pStyle w:val="NormalWeb"/>
        <w:spacing w:before="0" w:beforeAutospacing="0" w:after="0" w:afterAutospacing="0" w:line="360" w:lineRule="auto"/>
        <w:jc w:val="center"/>
      </w:pPr>
      <w:r w:rsidRPr="004A724C">
        <w:rPr>
          <w:color w:val="0E101A"/>
        </w:rPr>
        <w:t>(Source: Trading Economics, 2022)</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Based on the above figure, it is seen that the labour force rate of the UK was 78.5% in 2022. As argued by Azizi </w:t>
      </w:r>
      <w:r w:rsidRPr="004A724C">
        <w:rPr>
          <w:i/>
          <w:iCs/>
          <w:color w:val="0E101A"/>
        </w:rPr>
        <w:t>et al.</w:t>
      </w:r>
      <w:r w:rsidRPr="004A724C">
        <w:rPr>
          <w:color w:val="0E101A"/>
        </w:rPr>
        <w:t xml:space="preserve"> (2021), the labour force participation rate is highly economically active people in a particular segment, which are the core measure for the economic growth of a country. In the case of the UK, it is evaluated that there are a higher number of economically active people, which reflects its growing economic condition in the current competitive world. Based on the current labour participation rate, it can be said that the working-age population is quite high in the UK, which helps this country to maintain its strategic industrial and economic growth in the world (Trading Economics, 2022). </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According to Wright et al. (2020), economically, inactivity creates major barriers to the economic growth of a country. Based on this perception, it is seen that the current economic inactivity rate of the UK was 21.5%, which means 8.94 million appeals are economically inactive. In this context, it can be said that 8.94 million people have a low contribution to the economic progress of this country (Trading Economics, 2022). However, it is seen that the rate of inactive people has increased after the covid pandemic as a large portion of the population has lost their jobs. In such a condition, there </w:t>
      </w:r>
      <w:r w:rsidR="0075717D" w:rsidRPr="004A724C">
        <w:rPr>
          <w:color w:val="0E101A"/>
        </w:rPr>
        <w:t>are</w:t>
      </w:r>
      <w:r w:rsidRPr="004A724C">
        <w:rPr>
          <w:color w:val="0E101A"/>
        </w:rPr>
        <w:t xml:space="preserve"> an increasing number of economically inactive people in post-pandemic conditions. </w:t>
      </w:r>
    </w:p>
    <w:p w:rsidR="000F15F8" w:rsidRPr="004A724C" w:rsidRDefault="000F15F8" w:rsidP="008D5402">
      <w:pPr>
        <w:pStyle w:val="NormalWeb"/>
        <w:spacing w:before="0" w:beforeAutospacing="0" w:after="0" w:afterAutospacing="0" w:line="360" w:lineRule="auto"/>
        <w:jc w:val="center"/>
      </w:pPr>
      <w:r w:rsidRPr="004A724C">
        <w:rPr>
          <w:noProof/>
          <w:color w:val="0E101A"/>
          <w:bdr w:val="none" w:sz="0" w:space="0" w:color="auto" w:frame="1"/>
        </w:rPr>
        <w:lastRenderedPageBreak/>
        <w:drawing>
          <wp:inline distT="0" distB="0" distL="0" distR="0">
            <wp:extent cx="3419475" cy="2564606"/>
            <wp:effectExtent l="19050" t="0" r="9525" b="0"/>
            <wp:docPr id="21" name="Picture 21" descr="https://lh6.googleusercontent.com/nPSMQiwvyYovsTLYFNZ6zIv685l941vLzlOXDsEk3-XGEsVSk5t2nS62s05EXvCjEk9ESggGREVdu5gnSCudABdKn2fyplFT1a5ktIWFhwL-wsITkFHpHh7HnBTVFjkhtHWZM2EofgaifxK96s282yXtUiWhBn7Z5mBwuUzP-3DkQQI7biwu1Vp3ICUa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lh6.googleusercontent.com/nPSMQiwvyYovsTLYFNZ6zIv685l941vLzlOXDsEk3-XGEsVSk5t2nS62s05EXvCjEk9ESggGREVdu5gnSCudABdKn2fyplFT1a5ktIWFhwL-wsITkFHpHh7HnBTVFjkhtHWZM2EofgaifxK96s282yXtUiWhBn7Z5mBwuUzP-3DkQQI7biwu1Vp3ICUa1A"/>
                    <pic:cNvPicPr>
                      <a:picLocks noChangeAspect="1" noChangeArrowheads="1"/>
                    </pic:cNvPicPr>
                  </pic:nvPicPr>
                  <pic:blipFill>
                    <a:blip r:embed="rId9" cstate="print"/>
                    <a:srcRect/>
                    <a:stretch>
                      <a:fillRect/>
                    </a:stretch>
                  </pic:blipFill>
                  <pic:spPr bwMode="auto">
                    <a:xfrm>
                      <a:off x="0" y="0"/>
                      <a:ext cx="3419475" cy="2564606"/>
                    </a:xfrm>
                    <a:prstGeom prst="rect">
                      <a:avLst/>
                    </a:prstGeom>
                    <a:noFill/>
                    <a:ln w="9525">
                      <a:noFill/>
                      <a:miter lim="800000"/>
                      <a:headEnd/>
                      <a:tailEnd/>
                    </a:ln>
                  </pic:spPr>
                </pic:pic>
              </a:graphicData>
            </a:graphic>
          </wp:inline>
        </w:drawing>
      </w:r>
    </w:p>
    <w:p w:rsidR="000F15F8" w:rsidRPr="004A724C" w:rsidRDefault="00732C07" w:rsidP="008D5402">
      <w:pPr>
        <w:pStyle w:val="NormalWeb"/>
        <w:spacing w:before="0" w:beforeAutospacing="0" w:after="0" w:afterAutospacing="0" w:line="360" w:lineRule="auto"/>
        <w:jc w:val="center"/>
      </w:pPr>
      <w:r>
        <w:rPr>
          <w:b/>
          <w:bCs/>
          <w:color w:val="0E101A"/>
        </w:rPr>
        <w:t>Figure 3</w:t>
      </w:r>
      <w:r w:rsidR="000F15F8" w:rsidRPr="004A724C">
        <w:rPr>
          <w:b/>
          <w:bCs/>
          <w:color w:val="0E101A"/>
        </w:rPr>
        <w:t>: Job Vacancies in the UK</w:t>
      </w:r>
    </w:p>
    <w:p w:rsidR="000F15F8" w:rsidRPr="004A724C" w:rsidRDefault="000F15F8" w:rsidP="008D5402">
      <w:pPr>
        <w:pStyle w:val="NormalWeb"/>
        <w:spacing w:before="0" w:beforeAutospacing="0" w:after="0" w:afterAutospacing="0" w:line="360" w:lineRule="auto"/>
        <w:jc w:val="center"/>
      </w:pPr>
      <w:r w:rsidRPr="004A724C">
        <w:rPr>
          <w:color w:val="0E101A"/>
        </w:rPr>
        <w:t>(Source: Trading Economics, 2022)</w:t>
      </w:r>
    </w:p>
    <w:p w:rsidR="000F15F8" w:rsidRPr="004A724C" w:rsidRDefault="000F15F8" w:rsidP="00E672A1">
      <w:pPr>
        <w:pStyle w:val="NormalWeb"/>
        <w:spacing w:before="0" w:beforeAutospacing="0" w:after="0" w:afterAutospacing="0" w:line="360" w:lineRule="auto"/>
        <w:jc w:val="both"/>
      </w:pPr>
      <w:r w:rsidRPr="004A724C">
        <w:rPr>
          <w:color w:val="0E101A"/>
        </w:rPr>
        <w:t>It is also evaluated that job vacancies have increased after the covid pandemic condition, a long-term lockdown and global restrictions for transportation, there are only a few new job opportunities for people. In this context, it is seen that the current number of job vacancies in this country is 1.19 million, which can create good career opportunities for youth in this country (Trading Economics, 2022). As argued by Mendly-Zambo, Raphael and Taman (2021), job vacancies are important for stable employment growth in a particular country, which leads to higher productivity. Thus, the UK has good opportunities to create both economic and employment growth in the global market by creating good job vacancies for the youth generation in this country.  </w:t>
      </w:r>
    </w:p>
    <w:p w:rsidR="000F15F8" w:rsidRPr="004A724C" w:rsidRDefault="000F15F8" w:rsidP="008D5402">
      <w:pPr>
        <w:pStyle w:val="NormalWeb"/>
        <w:spacing w:before="0" w:beforeAutospacing="0" w:after="0" w:afterAutospacing="0" w:line="360" w:lineRule="auto"/>
        <w:jc w:val="center"/>
      </w:pPr>
      <w:r w:rsidRPr="004A724C">
        <w:rPr>
          <w:noProof/>
          <w:color w:val="0E101A"/>
          <w:bdr w:val="none" w:sz="0" w:space="0" w:color="auto" w:frame="1"/>
        </w:rPr>
        <w:drawing>
          <wp:inline distT="0" distB="0" distL="0" distR="0">
            <wp:extent cx="4105275" cy="2506586"/>
            <wp:effectExtent l="19050" t="0" r="9525" b="0"/>
            <wp:docPr id="22" name="Picture 22" descr="https://lh6.googleusercontent.com/XuDzmaxGwX7StmbsQdA2a3vzVfVct66zFdZqXxR5SjNXWXq40qPyQu0d5CO_l8mg8v-3w0eoB8k3WAjtoj3Ivxh8FWrPCj_YzjJ2rO8SdOalfgfzC39Al-IVdcBYMNGJR8Io4LZvyLHWGJiHOB0aic9BOwWtMSSTEQlNKN_X8lkcdBTX_ee4DzRXnZgee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6.googleusercontent.com/XuDzmaxGwX7StmbsQdA2a3vzVfVct66zFdZqXxR5SjNXWXq40qPyQu0d5CO_l8mg8v-3w0eoB8k3WAjtoj3Ivxh8FWrPCj_YzjJ2rO8SdOalfgfzC39Al-IVdcBYMNGJR8Io4LZvyLHWGJiHOB0aic9BOwWtMSSTEQlNKN_X8lkcdBTX_ee4DzRXnZgeeQ"/>
                    <pic:cNvPicPr>
                      <a:picLocks noChangeAspect="1" noChangeArrowheads="1"/>
                    </pic:cNvPicPr>
                  </pic:nvPicPr>
                  <pic:blipFill>
                    <a:blip r:embed="rId10"/>
                    <a:srcRect/>
                    <a:stretch>
                      <a:fillRect/>
                    </a:stretch>
                  </pic:blipFill>
                  <pic:spPr bwMode="auto">
                    <a:xfrm>
                      <a:off x="0" y="0"/>
                      <a:ext cx="4105275" cy="2506586"/>
                    </a:xfrm>
                    <a:prstGeom prst="rect">
                      <a:avLst/>
                    </a:prstGeom>
                    <a:noFill/>
                    <a:ln w="9525">
                      <a:noFill/>
                      <a:miter lim="800000"/>
                      <a:headEnd/>
                      <a:tailEnd/>
                    </a:ln>
                  </pic:spPr>
                </pic:pic>
              </a:graphicData>
            </a:graphic>
          </wp:inline>
        </w:drawing>
      </w:r>
    </w:p>
    <w:p w:rsidR="000F15F8" w:rsidRPr="004A724C" w:rsidRDefault="00732C07" w:rsidP="008D5402">
      <w:pPr>
        <w:pStyle w:val="NormalWeb"/>
        <w:spacing w:before="0" w:beforeAutospacing="0" w:after="0" w:afterAutospacing="0" w:line="360" w:lineRule="auto"/>
        <w:jc w:val="center"/>
      </w:pPr>
      <w:r>
        <w:rPr>
          <w:b/>
          <w:bCs/>
          <w:color w:val="0E101A"/>
        </w:rPr>
        <w:t>Figure 4</w:t>
      </w:r>
      <w:r w:rsidR="000F15F8" w:rsidRPr="004A724C">
        <w:rPr>
          <w:b/>
          <w:bCs/>
          <w:color w:val="0E101A"/>
        </w:rPr>
        <w:t>: Weekly earnings growth</w:t>
      </w:r>
    </w:p>
    <w:p w:rsidR="000F15F8" w:rsidRPr="004A724C" w:rsidRDefault="000F15F8" w:rsidP="008D5402">
      <w:pPr>
        <w:pStyle w:val="NormalWeb"/>
        <w:spacing w:before="0" w:beforeAutospacing="0" w:after="0" w:afterAutospacing="0" w:line="360" w:lineRule="auto"/>
        <w:jc w:val="center"/>
      </w:pPr>
      <w:r w:rsidRPr="004A724C">
        <w:rPr>
          <w:color w:val="0E101A"/>
        </w:rPr>
        <w:t>(Source: Trading Economics, 2022)</w:t>
      </w:r>
    </w:p>
    <w:p w:rsidR="000F15F8" w:rsidRPr="004A724C" w:rsidRDefault="000F15F8" w:rsidP="00E672A1">
      <w:pPr>
        <w:pStyle w:val="NormalWeb"/>
        <w:spacing w:before="0" w:beforeAutospacing="0" w:after="0" w:afterAutospacing="0" w:line="360" w:lineRule="auto"/>
        <w:jc w:val="both"/>
      </w:pPr>
      <w:r w:rsidRPr="004A724C">
        <w:rPr>
          <w:color w:val="0E101A"/>
        </w:rPr>
        <w:lastRenderedPageBreak/>
        <w:t xml:space="preserve">It is also evaluated from the above figure that weekly average income including the bonus of UK employees has been increased to 6.12% in 2022. However, it is evaluated that the actual earnings of employees have been described as 2.07% in the third quarter of 2022 (Trading Economics, 2022). From this perspective, it can be said that higher inflation in this country has effects on the overall earnings of people in this region. As mentioned by Martinescu </w:t>
      </w:r>
      <w:r w:rsidRPr="004A724C">
        <w:rPr>
          <w:i/>
          <w:iCs/>
          <w:color w:val="0E101A"/>
        </w:rPr>
        <w:t>et al.</w:t>
      </w:r>
      <w:r w:rsidRPr="004A724C">
        <w:rPr>
          <w:color w:val="0E101A"/>
        </w:rPr>
        <w:t xml:space="preserve"> (2022), the earnings of employees contribute to their standard of living. Due to this reason, some of the employees in this country have faced some major complications with the right wage as per their capabilities. Similarly, there is a high impact on the current living standards of people. </w:t>
      </w:r>
    </w:p>
    <w:p w:rsidR="000F15F8" w:rsidRPr="004A724C" w:rsidRDefault="000F15F8" w:rsidP="008D5402">
      <w:pPr>
        <w:pStyle w:val="Heading1"/>
      </w:pPr>
      <w:bookmarkStart w:id="2" w:name="_Toc123581561"/>
      <w:r w:rsidRPr="004A724C">
        <w:t>Emerging changes in Human Resourcing Strategies in the post-Covid, post-Brexit external environment</w:t>
      </w:r>
      <w:bookmarkEnd w:id="2"/>
    </w:p>
    <w:p w:rsidR="000F15F8" w:rsidRPr="004A724C" w:rsidRDefault="000F15F8" w:rsidP="00E672A1">
      <w:pPr>
        <w:pStyle w:val="NormalWeb"/>
        <w:spacing w:before="0" w:beforeAutospacing="0" w:after="0" w:afterAutospacing="0" w:line="360" w:lineRule="auto"/>
        <w:jc w:val="both"/>
      </w:pPr>
      <w:r w:rsidRPr="004A724C">
        <w:rPr>
          <w:b/>
          <w:bCs/>
          <w:i/>
          <w:iCs/>
          <w:color w:val="0E101A"/>
        </w:rPr>
        <w:t>Human Resourcing Strategies in post Brexit</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Brexit creates an overall negative impact on both business and human resourcing in the UK. Before 2008, the maximum number of UK-based companies hired employees from EU countries. After leaving the EU, the UK has faced major complications to restrict EU employees due to Brexit issues. Trade restrictions and legal implications create uncertainty making EU employees in the EU. At this time, the UK government has faced several labour shortages, which affects its overall production level and GDP growth of this country. In such a condition, the unemployment rate of the UK climbed to 8% in 2010 and 8.5% in 2011 (Lexology, 2021). According to Ridgway (2019), the rising unemployment rate also created a higher financial crisis for the UK at this time. From the time 2008 to 2018 more than half a million jobs have been lost due to the critical impact of Brexit. In the manufacturing sector, 50,000 people have lost their </w:t>
      </w:r>
      <w:r w:rsidR="0075717D" w:rsidRPr="004A724C">
        <w:rPr>
          <w:color w:val="0E101A"/>
        </w:rPr>
        <w:t>jobs, which create</w:t>
      </w:r>
      <w:r w:rsidRPr="004A724C">
        <w:rPr>
          <w:color w:val="0E101A"/>
        </w:rPr>
        <w:t xml:space="preserve"> uncertainty in the overall labour market of the UK (Lexology, 2021). As the UK has lost its EU labour market, there is a lack of access to a skilled workforce in this country. In such a condition, maximum companies look for cross-bored HRM practices to pull workforce from Asian and Middle East countries. </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For evidence, Unilever has strongly focused on the recruitment of Indian employees in its headquarters by providing good wages and rewards for employees. Based on this perception, Cumming, Wood and Zahra (2020) said that the HRM departments of different companies had set new employee retention policies to motivate them to work with them. Considering the 8-box model of HRM, it is evaluated that the external environment has a high impact on internal HRM practices. In the words of Shipton, Whysall and Abe (2021), external and internal sites determine the pull and push factors of employment. Based on this approach, it </w:t>
      </w:r>
      <w:r w:rsidRPr="004A724C">
        <w:rPr>
          <w:color w:val="0E101A"/>
        </w:rPr>
        <w:lastRenderedPageBreak/>
        <w:t>can be said that Brexit has a negative impact on employment, which has been solved by the internal capabilities of UK-based companies in the post-Brexit period. For managing labour issues, an agile staffing approach has been set up by different companies so that a diverse group of skilled workers can be hired for their core business functions. In this context, the 8-box model of HRM highlights that critical HR goals must be determined by analyzing the current employment market condition in the competitive segments. Based on this perspective, it can be stated that UK companies look for international recruitment strategies to pull more labour into their current business segments. </w:t>
      </w:r>
    </w:p>
    <w:p w:rsidR="000F15F8" w:rsidRPr="004A724C" w:rsidRDefault="000F15F8" w:rsidP="00E672A1">
      <w:pPr>
        <w:pStyle w:val="NormalWeb"/>
        <w:spacing w:before="0" w:beforeAutospacing="0" w:after="0" w:afterAutospacing="0" w:line="360" w:lineRule="auto"/>
        <w:jc w:val="both"/>
      </w:pPr>
      <w:r w:rsidRPr="004A724C">
        <w:rPr>
          <w:color w:val="0E101A"/>
        </w:rPr>
        <w:t>On the opposite side, Spiliopoulos and Timmons (2022) argued that the post-Brexit period will become highly favourable for young British people as there are high levels of vacancies in different sectors. Due to this reason, the maximum number of young students got the opportunity to start their professional careers just after completing graduation. The UK government strongly looked for improvement in their economic crisis by encasing core productivity for different sectors. Thus, the maximum MNC emphasized skilled workforce development initiatives so that the shortage of labour and the economic crisis of this country can be sorted out. In this context, it is noticed that Unilever, Tesco and M&amp;S are strictly locked in place for local hiring and diversity policies in their workplace so that such companies can work with diverse groups of employees from different countries and regions. As argued by Leonida</w:t>
      </w:r>
      <w:r w:rsidRPr="004A724C">
        <w:rPr>
          <w:i/>
          <w:iCs/>
          <w:color w:val="0E101A"/>
        </w:rPr>
        <w:t xml:space="preserve"> et al. </w:t>
      </w:r>
      <w:r w:rsidRPr="004A724C">
        <w:rPr>
          <w:color w:val="0E101A"/>
        </w:rPr>
        <w:t>(2022), flexibility in the work process can motivate employees to enhance their productivity levels. The same initiatives have been adopted by different UK companies in the Post Brexit period. During this time, all UK companies focus on the working flexibility of employees so that they can continue their career options with the same companies. The main intention of HRM after Brexit is to enhance employee retention levels so that the overall productivity of each sector could be improved. In such a condition, </w:t>
      </w:r>
    </w:p>
    <w:p w:rsidR="000F15F8" w:rsidRPr="004A724C" w:rsidRDefault="000F15F8" w:rsidP="00E672A1">
      <w:pPr>
        <w:pStyle w:val="NormalWeb"/>
        <w:spacing w:before="0" w:beforeAutospacing="0" w:after="0" w:afterAutospacing="0" w:line="360" w:lineRule="auto"/>
        <w:jc w:val="both"/>
      </w:pPr>
      <w:r w:rsidRPr="004A724C">
        <w:rPr>
          <w:b/>
          <w:bCs/>
          <w:i/>
          <w:iCs/>
          <w:color w:val="0E101A"/>
        </w:rPr>
        <w:t>Human Resourcing Strategies in post covid</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Global pandemic conduction became the major catalyst for shaping a new HRM approach in the world. As mentioned by Gillen </w:t>
      </w:r>
      <w:r w:rsidRPr="004A724C">
        <w:rPr>
          <w:i/>
          <w:iCs/>
          <w:color w:val="0E101A"/>
        </w:rPr>
        <w:t xml:space="preserve">et al. </w:t>
      </w:r>
      <w:r w:rsidRPr="004A724C">
        <w:rPr>
          <w:color w:val="0E101A"/>
        </w:rPr>
        <w:t xml:space="preserve">(2022), post-covid conditions create a new window for major companies to shape their HRM strategy uniquely. In this context, the majority of companies in the UK have altered their HRM places based on the changing scenario of HRM practices. The new normal environment brings innovation and creativity to the traditional HRM approaches (Stuart </w:t>
      </w:r>
      <w:r w:rsidRPr="004A724C">
        <w:rPr>
          <w:i/>
          <w:iCs/>
          <w:color w:val="0E101A"/>
        </w:rPr>
        <w:t>et al.</w:t>
      </w:r>
      <w:r w:rsidRPr="004A724C">
        <w:rPr>
          <w:color w:val="0E101A"/>
        </w:rPr>
        <w:t xml:space="preserve">, 2021). During the pandemic condition, maximum companies have to change their HRM approach towards the world from home so that their productivity level can be contacted. After the pandemic condition, maximum companies in the UK have faced labour shortages, which create major demand for labour. On the other hand, Spanaki, </w:t>
      </w:r>
      <w:r w:rsidRPr="004A724C">
        <w:rPr>
          <w:color w:val="0E101A"/>
        </w:rPr>
        <w:lastRenderedPageBreak/>
        <w:t xml:space="preserve">Papatheodorou and Pappas (2021) argued low wages and a lack of career opportunities create economically inactive employees. In this context, the UK has also faced the same issues as this country has low average wages for people, which cannot motivate employees to go for a long-term work process. Based on this concept, Caligiuri </w:t>
      </w:r>
      <w:r w:rsidRPr="004A724C">
        <w:rPr>
          <w:i/>
          <w:iCs/>
          <w:color w:val="0E101A"/>
        </w:rPr>
        <w:t>et al.</w:t>
      </w:r>
      <w:r w:rsidRPr="004A724C">
        <w:rPr>
          <w:color w:val="0E101A"/>
        </w:rPr>
        <w:t xml:space="preserve"> (2020), different companies have taken different initiatives to manage their employee engagement initiatives. For avoidance, U-work is one of the major HRM approaches of Unilever, which has focused on the remote working approach for their diverse group of employees (Unilever, 2022). This kind of HRM initiative helps employees to become more loyal and productive with this organisation. </w:t>
      </w:r>
    </w:p>
    <w:p w:rsidR="000F15F8" w:rsidRPr="004A724C" w:rsidRDefault="000F15F8" w:rsidP="008D5402">
      <w:pPr>
        <w:pStyle w:val="NormalWeb"/>
        <w:spacing w:before="0" w:beforeAutospacing="0" w:after="0" w:afterAutospacing="0" w:line="360" w:lineRule="auto"/>
        <w:jc w:val="center"/>
      </w:pPr>
      <w:r w:rsidRPr="004A724C">
        <w:rPr>
          <w:noProof/>
          <w:color w:val="0E101A"/>
          <w:bdr w:val="none" w:sz="0" w:space="0" w:color="auto" w:frame="1"/>
        </w:rPr>
        <w:drawing>
          <wp:inline distT="0" distB="0" distL="0" distR="0">
            <wp:extent cx="5067300" cy="2676525"/>
            <wp:effectExtent l="19050" t="0" r="0" b="0"/>
            <wp:docPr id="23" name="Picture 23" descr="https://lh5.googleusercontent.com/2BpWWrA7bF0kVT9XNEaRB5c35OcNVuscwdYsWiczB-7rvXCAVIGO8SPMD45DDkNUn7ZrXW9cgbWmxpK0uUfKNZx0U93JdINue9iptdVgamuPJKvfqssiatzJyikoxmSrndqj_0j6VMU23mdR3cHdrRIOri5QCaecr4qsjPNu0MlZQuluQ1VAkG5OmDUF7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lh5.googleusercontent.com/2BpWWrA7bF0kVT9XNEaRB5c35OcNVuscwdYsWiczB-7rvXCAVIGO8SPMD45DDkNUn7ZrXW9cgbWmxpK0uUfKNZx0U93JdINue9iptdVgamuPJKvfqssiatzJyikoxmSrndqj_0j6VMU23mdR3cHdrRIOri5QCaecr4qsjPNu0MlZQuluQ1VAkG5OmDUF7w"/>
                    <pic:cNvPicPr>
                      <a:picLocks noChangeAspect="1" noChangeArrowheads="1"/>
                    </pic:cNvPicPr>
                  </pic:nvPicPr>
                  <pic:blipFill>
                    <a:blip r:embed="rId11"/>
                    <a:srcRect/>
                    <a:stretch>
                      <a:fillRect/>
                    </a:stretch>
                  </pic:blipFill>
                  <pic:spPr bwMode="auto">
                    <a:xfrm>
                      <a:off x="0" y="0"/>
                      <a:ext cx="5067300" cy="2676525"/>
                    </a:xfrm>
                    <a:prstGeom prst="rect">
                      <a:avLst/>
                    </a:prstGeom>
                    <a:noFill/>
                    <a:ln w="9525">
                      <a:noFill/>
                      <a:miter lim="800000"/>
                      <a:headEnd/>
                      <a:tailEnd/>
                    </a:ln>
                  </pic:spPr>
                </pic:pic>
              </a:graphicData>
            </a:graphic>
          </wp:inline>
        </w:drawing>
      </w:r>
    </w:p>
    <w:p w:rsidR="000F15F8" w:rsidRPr="004A724C" w:rsidRDefault="000F15F8" w:rsidP="008D5402">
      <w:pPr>
        <w:pStyle w:val="NormalWeb"/>
        <w:spacing w:before="0" w:beforeAutospacing="0" w:after="0" w:afterAutospacing="0" w:line="360" w:lineRule="auto"/>
        <w:jc w:val="center"/>
      </w:pPr>
      <w:r w:rsidRPr="004A724C">
        <w:rPr>
          <w:b/>
          <w:bCs/>
          <w:color w:val="0E101A"/>
        </w:rPr>
        <w:t>Figure 5: HRM transformation post pandemic</w:t>
      </w:r>
    </w:p>
    <w:p w:rsidR="000F15F8" w:rsidRPr="004A724C" w:rsidRDefault="000F15F8" w:rsidP="008D5402">
      <w:pPr>
        <w:pStyle w:val="NormalWeb"/>
        <w:spacing w:before="0" w:beforeAutospacing="0" w:after="0" w:afterAutospacing="0" w:line="360" w:lineRule="auto"/>
        <w:jc w:val="center"/>
      </w:pPr>
      <w:r w:rsidRPr="004A724C">
        <w:rPr>
          <w:color w:val="0E101A"/>
        </w:rPr>
        <w:t>(Source: PwC, 2022)</w:t>
      </w:r>
    </w:p>
    <w:p w:rsidR="000F15F8" w:rsidRPr="004A724C" w:rsidRDefault="000F15F8" w:rsidP="00E672A1">
      <w:pPr>
        <w:pStyle w:val="NormalWeb"/>
        <w:spacing w:before="0" w:beforeAutospacing="0" w:after="0" w:afterAutospacing="0" w:line="360" w:lineRule="auto"/>
        <w:jc w:val="both"/>
      </w:pPr>
      <w:r w:rsidRPr="004A724C">
        <w:rPr>
          <w:color w:val="0E101A"/>
        </w:rPr>
        <w:t xml:space="preserve">On the other hand, Findlay, Lindsay and Roy (2021) argued that maximum organisation has adopted a human-centric organisational approach to motivate the global workforce towards a common organisational goal. PwC (2022) highlights that each organisation has adopted a remote working approach by collaborating with a diverse group of employees. For example, Nestle has developed a flexible working environment after the covid period so that each employee feels comfortable working with them (Nestle, </w:t>
      </w:r>
      <w:r w:rsidR="004A724C">
        <w:rPr>
          <w:color w:val="0E101A"/>
        </w:rPr>
        <w:t>2020</w:t>
      </w:r>
      <w:r w:rsidRPr="004A724C">
        <w:rPr>
          <w:color w:val="0E101A"/>
        </w:rPr>
        <w:t>). As covid pandemic creates an adverse impact on the overall productivity of a business unit, maximum companies focus on strategic employee engagement initiatives by introducing innovative HRM transformation. At this point, each of the companies focuses on the personalized compensation and reward system that can motivate employees to maintain their career opportunities with them. This evidence shows that Amazon, Unilever, Zara and other MNCs provide health benefits and free health check-up opportunities for their employees.  </w:t>
      </w:r>
    </w:p>
    <w:p w:rsidR="000F15F8" w:rsidRPr="004A724C" w:rsidRDefault="000F15F8" w:rsidP="00E672A1">
      <w:pPr>
        <w:pStyle w:val="NormalWeb"/>
        <w:spacing w:before="0" w:beforeAutospacing="0" w:after="0" w:afterAutospacing="0" w:line="360" w:lineRule="auto"/>
        <w:jc w:val="both"/>
      </w:pPr>
      <w:r w:rsidRPr="004A724C">
        <w:rPr>
          <w:color w:val="0E101A"/>
        </w:rPr>
        <w:lastRenderedPageBreak/>
        <w:t xml:space="preserve">By applying the Ulrich model of HRM, it can be said that post-covid HRM practices focus on the strategic partnership with employees by emphasizing a data-driven decision-making approach. According To Azizi </w:t>
      </w:r>
      <w:r w:rsidRPr="004A724C">
        <w:rPr>
          <w:i/>
          <w:iCs/>
          <w:color w:val="0E101A"/>
        </w:rPr>
        <w:t>et al.</w:t>
      </w:r>
      <w:r w:rsidRPr="004A724C">
        <w:rPr>
          <w:color w:val="0E101A"/>
        </w:rPr>
        <w:t xml:space="preserve"> (2021), the Ulrich HRM model highlights that an employee also works as a change agent to promote organisational culture. Based on this perception, it is evaluated that HR after the pandemic condition focuses on the transformation of their business process by enhancing the productivity level of their employees. In this context, HRM has focused on the tech-enabled recruiting and sourcing approach so that employers of different companies can get a highly tech-savvy workforce for them. On the other hand, it is reported that 59% of UAE and 62% of Middle (PwC, 2022) East companies look to automation in their HRM approaches so that the firm can create better productivity. In this context, VR, AI and other emerging technologies are used in the core HR domain so that exclusive HRM practices can be developed in the global workforce management in the post-pandemic period. For evidence, the HR department of Unilever has started to use AI technologies to maintain a good employee engagement initiative in the current workplace. Based on this approach, it can be said that post covid conditions become one of the major advantages for companies to adopt automation in their existing HRM practices. </w:t>
      </w:r>
    </w:p>
    <w:p w:rsidR="000F15F8" w:rsidRPr="004A724C" w:rsidRDefault="000F15F8" w:rsidP="008D5402">
      <w:pPr>
        <w:pStyle w:val="Heading1"/>
      </w:pPr>
      <w:bookmarkStart w:id="3" w:name="_Toc123581562"/>
      <w:r w:rsidRPr="004A724C">
        <w:t>Conclusion</w:t>
      </w:r>
      <w:bookmarkEnd w:id="3"/>
    </w:p>
    <w:p w:rsidR="000F15F8" w:rsidRPr="004A724C" w:rsidRDefault="000F15F8" w:rsidP="00E672A1">
      <w:pPr>
        <w:pStyle w:val="NormalWeb"/>
        <w:spacing w:before="0" w:beforeAutospacing="0" w:after="0" w:afterAutospacing="0" w:line="360" w:lineRule="auto"/>
        <w:jc w:val="both"/>
      </w:pPr>
      <w:r w:rsidRPr="004A724C">
        <w:rPr>
          <w:color w:val="0E101A"/>
        </w:rPr>
        <w:t>From the overall data, it can be said that the current labour market of this country is quite tight as there is a level of demand for skilled workforce in different industries. The employment rate is high while the actual earnings of people have decreased over the years. However, it can be said that the UK has a growing labour market, which creates a higher level of job vacancies and career opportunities for youth in this region. On the other hand, it is evaluated that HRM practices have changed after Brexit and Post covid conditions. After Brexit, the UK faced a severe labour shortage due to movement reduction among EU countries. Besides, the post-pandemic condition is the transformation phase of HRM practices as maximum companies have changed their HRM practices towards the digital world. </w:t>
      </w:r>
    </w:p>
    <w:p w:rsidR="00B304AB" w:rsidRPr="004A724C" w:rsidRDefault="00E50407" w:rsidP="00E672A1">
      <w:pPr>
        <w:spacing w:line="360" w:lineRule="auto"/>
        <w:jc w:val="both"/>
        <w:rPr>
          <w:rFonts w:ascii="Times New Roman" w:hAnsi="Times New Roman" w:cs="Times New Roman"/>
          <w:b/>
          <w:sz w:val="24"/>
          <w:szCs w:val="24"/>
        </w:rPr>
      </w:pPr>
    </w:p>
    <w:p w:rsidR="004553CB" w:rsidRPr="004A724C" w:rsidRDefault="004553CB" w:rsidP="00E672A1">
      <w:pPr>
        <w:spacing w:line="360" w:lineRule="auto"/>
        <w:jc w:val="both"/>
        <w:rPr>
          <w:rFonts w:ascii="Times New Roman" w:hAnsi="Times New Roman" w:cs="Times New Roman"/>
          <w:b/>
          <w:sz w:val="24"/>
          <w:szCs w:val="24"/>
        </w:rPr>
      </w:pPr>
    </w:p>
    <w:p w:rsidR="004553CB" w:rsidRPr="004A724C" w:rsidRDefault="004553CB" w:rsidP="00E672A1">
      <w:pPr>
        <w:spacing w:line="360" w:lineRule="auto"/>
        <w:jc w:val="both"/>
        <w:rPr>
          <w:rFonts w:ascii="Times New Roman" w:hAnsi="Times New Roman" w:cs="Times New Roman"/>
          <w:b/>
          <w:sz w:val="24"/>
          <w:szCs w:val="24"/>
        </w:rPr>
      </w:pPr>
    </w:p>
    <w:p w:rsidR="00286ACA" w:rsidRDefault="00286ACA">
      <w:pPr>
        <w:rPr>
          <w:rFonts w:ascii="Times New Roman" w:hAnsi="Times New Roman" w:cs="Times New Roman"/>
          <w:b/>
          <w:sz w:val="24"/>
          <w:szCs w:val="24"/>
        </w:rPr>
      </w:pPr>
      <w:bookmarkStart w:id="4" w:name="_Toc123581563"/>
      <w:r>
        <w:br w:type="page"/>
      </w:r>
    </w:p>
    <w:p w:rsidR="00AD5E2B" w:rsidRPr="004A724C" w:rsidRDefault="00AD5E2B" w:rsidP="008D5402">
      <w:pPr>
        <w:pStyle w:val="Heading1"/>
      </w:pPr>
      <w:r w:rsidRPr="004A724C">
        <w:lastRenderedPageBreak/>
        <w:t>Reference list</w:t>
      </w:r>
      <w:bookmarkEnd w:id="4"/>
      <w:r w:rsidRPr="004A724C">
        <w:t xml:space="preserve"> </w:t>
      </w:r>
    </w:p>
    <w:p w:rsidR="00AD5E2B" w:rsidRPr="004A724C" w:rsidRDefault="00C513CE" w:rsidP="00E672A1">
      <w:pPr>
        <w:spacing w:line="360" w:lineRule="auto"/>
        <w:jc w:val="both"/>
        <w:rPr>
          <w:rFonts w:ascii="Times New Roman" w:hAnsi="Times New Roman" w:cs="Times New Roman"/>
          <w:b/>
          <w:sz w:val="24"/>
          <w:szCs w:val="24"/>
        </w:rPr>
      </w:pPr>
      <w:r w:rsidRPr="004A724C">
        <w:rPr>
          <w:rFonts w:ascii="Times New Roman" w:hAnsi="Times New Roman" w:cs="Times New Roman"/>
          <w:b/>
          <w:sz w:val="24"/>
          <w:szCs w:val="24"/>
        </w:rPr>
        <w:t xml:space="preserve">Journals </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Azizi, M.R., Atlasi, R., Ziapour, A., Abbas, J. and Naemi, R., 2021. Innovative human resource management strategies during the COVID-19 pandemic: A systematic narrative review approach. </w:t>
      </w:r>
      <w:r w:rsidRPr="004A724C">
        <w:rPr>
          <w:rFonts w:ascii="Times New Roman" w:hAnsi="Times New Roman" w:cs="Times New Roman"/>
          <w:i/>
          <w:iCs/>
          <w:sz w:val="24"/>
          <w:szCs w:val="24"/>
        </w:rPr>
        <w:t>Heliyon</w:t>
      </w:r>
      <w:r w:rsidRPr="004A724C">
        <w:rPr>
          <w:rFonts w:ascii="Times New Roman" w:hAnsi="Times New Roman" w:cs="Times New Roman"/>
          <w:sz w:val="24"/>
          <w:szCs w:val="24"/>
        </w:rPr>
        <w:t>, </w:t>
      </w:r>
      <w:r w:rsidRPr="004A724C">
        <w:rPr>
          <w:rFonts w:ascii="Times New Roman" w:hAnsi="Times New Roman" w:cs="Times New Roman"/>
          <w:i/>
          <w:iCs/>
          <w:sz w:val="24"/>
          <w:szCs w:val="24"/>
        </w:rPr>
        <w:t>7</w:t>
      </w:r>
      <w:r w:rsidRPr="004A724C">
        <w:rPr>
          <w:rFonts w:ascii="Times New Roman" w:hAnsi="Times New Roman" w:cs="Times New Roman"/>
          <w:sz w:val="24"/>
          <w:szCs w:val="24"/>
        </w:rPr>
        <w:t>(6), p.e07233.</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Caligiuri, P., De Cieri, H., Minbaeva, D., Verbeke, A. and Zimmermann, A., 2020. International HRM insights for navigating the COVID-19 pandemic: Implications for future research and practice. </w:t>
      </w:r>
      <w:r w:rsidRPr="004A724C">
        <w:rPr>
          <w:rFonts w:ascii="Times New Roman" w:hAnsi="Times New Roman" w:cs="Times New Roman"/>
          <w:i/>
          <w:iCs/>
          <w:sz w:val="24"/>
          <w:szCs w:val="24"/>
        </w:rPr>
        <w:t>Journal of international business studies</w:t>
      </w:r>
      <w:r w:rsidRPr="004A724C">
        <w:rPr>
          <w:rFonts w:ascii="Times New Roman" w:hAnsi="Times New Roman" w:cs="Times New Roman"/>
          <w:sz w:val="24"/>
          <w:szCs w:val="24"/>
        </w:rPr>
        <w:t>, </w:t>
      </w:r>
      <w:r w:rsidRPr="004A724C">
        <w:rPr>
          <w:rFonts w:ascii="Times New Roman" w:hAnsi="Times New Roman" w:cs="Times New Roman"/>
          <w:i/>
          <w:iCs/>
          <w:sz w:val="24"/>
          <w:szCs w:val="24"/>
        </w:rPr>
        <w:t>51</w:t>
      </w:r>
      <w:r w:rsidRPr="004A724C">
        <w:rPr>
          <w:rFonts w:ascii="Times New Roman" w:hAnsi="Times New Roman" w:cs="Times New Roman"/>
          <w:sz w:val="24"/>
          <w:szCs w:val="24"/>
        </w:rPr>
        <w:t>(5), pp.697-713.</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Cumming, D.J., Wood, G. and Zahra, S.A., 2020. Human resource management practices in the context of rising right‐wing populism. </w:t>
      </w:r>
      <w:r w:rsidRPr="004A724C">
        <w:rPr>
          <w:rFonts w:ascii="Times New Roman" w:hAnsi="Times New Roman" w:cs="Times New Roman"/>
          <w:i/>
          <w:iCs/>
          <w:sz w:val="24"/>
          <w:szCs w:val="24"/>
        </w:rPr>
        <w:t>Human Resource Management Journal</w:t>
      </w:r>
      <w:r w:rsidRPr="004A724C">
        <w:rPr>
          <w:rFonts w:ascii="Times New Roman" w:hAnsi="Times New Roman" w:cs="Times New Roman"/>
          <w:sz w:val="24"/>
          <w:szCs w:val="24"/>
        </w:rPr>
        <w:t>, </w:t>
      </w:r>
      <w:r w:rsidRPr="004A724C">
        <w:rPr>
          <w:rFonts w:ascii="Times New Roman" w:hAnsi="Times New Roman" w:cs="Times New Roman"/>
          <w:i/>
          <w:iCs/>
          <w:sz w:val="24"/>
          <w:szCs w:val="24"/>
        </w:rPr>
        <w:t>30</w:t>
      </w:r>
      <w:r w:rsidRPr="004A724C">
        <w:rPr>
          <w:rFonts w:ascii="Times New Roman" w:hAnsi="Times New Roman" w:cs="Times New Roman"/>
          <w:sz w:val="24"/>
          <w:szCs w:val="24"/>
        </w:rPr>
        <w:t>(4), pp.525-536.</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Findlay, P., Lindsay, C. and Roy, G., 2021. Business models, innovation and employees experiences in the workplace: challenges for the post-Covid-19 economy. </w:t>
      </w:r>
      <w:r w:rsidRPr="004A724C">
        <w:rPr>
          <w:rFonts w:ascii="Times New Roman" w:hAnsi="Times New Roman" w:cs="Times New Roman"/>
          <w:i/>
          <w:iCs/>
          <w:sz w:val="24"/>
          <w:szCs w:val="24"/>
        </w:rPr>
        <w:t>Productivity and the Pandemic</w:t>
      </w:r>
      <w:r w:rsidRPr="004A724C">
        <w:rPr>
          <w:rFonts w:ascii="Times New Roman" w:hAnsi="Times New Roman" w:cs="Times New Roman"/>
          <w:sz w:val="24"/>
          <w:szCs w:val="24"/>
        </w:rPr>
        <w:t>.</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Gillen, P., Neill, R.D., Mallett, J., Moriarty, J., Manthorpe, J., Schroder, H., Currie, D., McGrory, S., Nicholl, P., Ravalier, J. and McFadden, P., 2022. Wellbeing and coping of UK nurses, midwives and allied health professionals during COVID-19-a cross-sectional study. </w:t>
      </w:r>
      <w:r w:rsidRPr="004A724C">
        <w:rPr>
          <w:rFonts w:ascii="Times New Roman" w:hAnsi="Times New Roman" w:cs="Times New Roman"/>
          <w:i/>
          <w:iCs/>
          <w:sz w:val="24"/>
          <w:szCs w:val="24"/>
        </w:rPr>
        <w:t>Plos one</w:t>
      </w:r>
      <w:r w:rsidRPr="004A724C">
        <w:rPr>
          <w:rFonts w:ascii="Times New Roman" w:hAnsi="Times New Roman" w:cs="Times New Roman"/>
          <w:sz w:val="24"/>
          <w:szCs w:val="24"/>
        </w:rPr>
        <w:t>, </w:t>
      </w:r>
      <w:r w:rsidRPr="004A724C">
        <w:rPr>
          <w:rFonts w:ascii="Times New Roman" w:hAnsi="Times New Roman" w:cs="Times New Roman"/>
          <w:i/>
          <w:iCs/>
          <w:sz w:val="24"/>
          <w:szCs w:val="24"/>
        </w:rPr>
        <w:t>17</w:t>
      </w:r>
      <w:r w:rsidRPr="004A724C">
        <w:rPr>
          <w:rFonts w:ascii="Times New Roman" w:hAnsi="Times New Roman" w:cs="Times New Roman"/>
          <w:sz w:val="24"/>
          <w:szCs w:val="24"/>
        </w:rPr>
        <w:t>(9), p.e0274036.</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Leonida, L., Giangreco, A., Scicchitano, S. and Biagetti, M., 2022. Britain and BrExit: Is the UK more attractive to supervisors? An analysis of the wage premium to supervision across the EU. </w:t>
      </w:r>
      <w:r w:rsidRPr="004A724C">
        <w:rPr>
          <w:rFonts w:ascii="Times New Roman" w:hAnsi="Times New Roman" w:cs="Times New Roman"/>
          <w:i/>
          <w:iCs/>
          <w:sz w:val="24"/>
          <w:szCs w:val="24"/>
        </w:rPr>
        <w:t>British Journal of Industrial Relations</w:t>
      </w:r>
      <w:r w:rsidRPr="004A724C">
        <w:rPr>
          <w:rFonts w:ascii="Times New Roman" w:hAnsi="Times New Roman" w:cs="Times New Roman"/>
          <w:sz w:val="24"/>
          <w:szCs w:val="24"/>
        </w:rPr>
        <w:t>.</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Martinescu, E., Edwards, M.R., Leite, A.C., Randsley de Moura, G., Marques, A.G. and Abrams, D., 2022. The interactive effect of job skill level and citizenship status on job depression, work engagement and turnover intentions: A moderated mediation model in the context of macro‐level turbulence (of ‘Brexit’). </w:t>
      </w:r>
      <w:r w:rsidRPr="004A724C">
        <w:rPr>
          <w:rFonts w:ascii="Times New Roman" w:hAnsi="Times New Roman" w:cs="Times New Roman"/>
          <w:i/>
          <w:iCs/>
          <w:sz w:val="24"/>
          <w:szCs w:val="24"/>
        </w:rPr>
        <w:t>Human Resource Management Journal</w:t>
      </w:r>
      <w:r w:rsidRPr="004A724C">
        <w:rPr>
          <w:rFonts w:ascii="Times New Roman" w:hAnsi="Times New Roman" w:cs="Times New Roman"/>
          <w:sz w:val="24"/>
          <w:szCs w:val="24"/>
        </w:rPr>
        <w:t>.</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Mendly-Zambo, Z., Raphael, D. and Taman, A., 2021. Take the money and run: how food banks became complicit with Walmart Canada’s hunger producing employment practices. </w:t>
      </w:r>
      <w:r w:rsidRPr="004A724C">
        <w:rPr>
          <w:rFonts w:ascii="Times New Roman" w:hAnsi="Times New Roman" w:cs="Times New Roman"/>
          <w:i/>
          <w:iCs/>
          <w:sz w:val="24"/>
          <w:szCs w:val="24"/>
        </w:rPr>
        <w:t>Critical Public Health</w:t>
      </w:r>
      <w:r w:rsidRPr="004A724C">
        <w:rPr>
          <w:rFonts w:ascii="Times New Roman" w:hAnsi="Times New Roman" w:cs="Times New Roman"/>
          <w:sz w:val="24"/>
          <w:szCs w:val="24"/>
        </w:rPr>
        <w:t>, pp.1-12.</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lastRenderedPageBreak/>
        <w:t>Ridgway, M., 2019. Brexit: human resourcing implications. </w:t>
      </w:r>
      <w:r w:rsidRPr="004A724C">
        <w:rPr>
          <w:rFonts w:ascii="Times New Roman" w:hAnsi="Times New Roman" w:cs="Times New Roman"/>
          <w:i/>
          <w:iCs/>
          <w:sz w:val="24"/>
          <w:szCs w:val="24"/>
        </w:rPr>
        <w:t>Employee Relations: The International Journal</w:t>
      </w:r>
      <w:r w:rsidRPr="004A724C">
        <w:rPr>
          <w:rFonts w:ascii="Times New Roman" w:hAnsi="Times New Roman" w:cs="Times New Roman"/>
          <w:sz w:val="24"/>
          <w:szCs w:val="24"/>
        </w:rPr>
        <w:t>.</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Shipton, H., Whysall, Z. and Abe, C., 2021. Turnover and Retention in the United Kingdom: Change, Uncertainty and Opportunity. In </w:t>
      </w:r>
      <w:r w:rsidRPr="004A724C">
        <w:rPr>
          <w:rFonts w:ascii="Times New Roman" w:hAnsi="Times New Roman" w:cs="Times New Roman"/>
          <w:i/>
          <w:iCs/>
          <w:sz w:val="24"/>
          <w:szCs w:val="24"/>
        </w:rPr>
        <w:t>Global Talent Retention: Understanding Employee Turnover Around the World</w:t>
      </w:r>
      <w:r w:rsidRPr="004A724C">
        <w:rPr>
          <w:rFonts w:ascii="Times New Roman" w:hAnsi="Times New Roman" w:cs="Times New Roman"/>
          <w:sz w:val="24"/>
          <w:szCs w:val="24"/>
        </w:rPr>
        <w:t>. Emerald Publishing Limited.</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Spanaki, M.Z., Papatheodorou, A. and Pappas, N., 2021. Tourism in the post COVID-19 era: evidence from hotels in the North East of England. </w:t>
      </w:r>
      <w:r w:rsidRPr="004A724C">
        <w:rPr>
          <w:rFonts w:ascii="Times New Roman" w:hAnsi="Times New Roman" w:cs="Times New Roman"/>
          <w:i/>
          <w:iCs/>
          <w:sz w:val="24"/>
          <w:szCs w:val="24"/>
        </w:rPr>
        <w:t>Worldwide Hospitality and Tourism Themes</w:t>
      </w:r>
      <w:r w:rsidRPr="004A724C">
        <w:rPr>
          <w:rFonts w:ascii="Times New Roman" w:hAnsi="Times New Roman" w:cs="Times New Roman"/>
          <w:sz w:val="24"/>
          <w:szCs w:val="24"/>
        </w:rPr>
        <w:t>, </w:t>
      </w:r>
      <w:r w:rsidRPr="004A724C">
        <w:rPr>
          <w:rFonts w:ascii="Times New Roman" w:hAnsi="Times New Roman" w:cs="Times New Roman"/>
          <w:i/>
          <w:iCs/>
          <w:sz w:val="24"/>
          <w:szCs w:val="24"/>
        </w:rPr>
        <w:t>13</w:t>
      </w:r>
      <w:r w:rsidRPr="004A724C">
        <w:rPr>
          <w:rFonts w:ascii="Times New Roman" w:hAnsi="Times New Roman" w:cs="Times New Roman"/>
          <w:sz w:val="24"/>
          <w:szCs w:val="24"/>
        </w:rPr>
        <w:t>(3), pp.357-368.</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Spiliopoulos, G. and Timmons, S., 2022. Migrant NHS nurses as ‘tolerated’citizens in post-Brexit Britain. </w:t>
      </w:r>
      <w:r w:rsidRPr="004A724C">
        <w:rPr>
          <w:rFonts w:ascii="Times New Roman" w:hAnsi="Times New Roman" w:cs="Times New Roman"/>
          <w:i/>
          <w:iCs/>
          <w:sz w:val="24"/>
          <w:szCs w:val="24"/>
        </w:rPr>
        <w:t>The Sociological Review</w:t>
      </w:r>
      <w:r w:rsidRPr="004A724C">
        <w:rPr>
          <w:rFonts w:ascii="Times New Roman" w:hAnsi="Times New Roman" w:cs="Times New Roman"/>
          <w:sz w:val="24"/>
          <w:szCs w:val="24"/>
        </w:rPr>
        <w:t>, p.00380261221092199.</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Stuart, M., Spencer, D.A., McLachlan, C.J. and Forde, C., 2021. COVID‐19 and the uncertain future of HRM: Furlough, job retention and reform. </w:t>
      </w:r>
      <w:r w:rsidRPr="004A724C">
        <w:rPr>
          <w:rFonts w:ascii="Times New Roman" w:hAnsi="Times New Roman" w:cs="Times New Roman"/>
          <w:i/>
          <w:iCs/>
          <w:sz w:val="24"/>
          <w:szCs w:val="24"/>
        </w:rPr>
        <w:t>Human Resource Management Journal</w:t>
      </w:r>
      <w:r w:rsidRPr="004A724C">
        <w:rPr>
          <w:rFonts w:ascii="Times New Roman" w:hAnsi="Times New Roman" w:cs="Times New Roman"/>
          <w:sz w:val="24"/>
          <w:szCs w:val="24"/>
        </w:rPr>
        <w:t>, </w:t>
      </w:r>
      <w:r w:rsidRPr="004A724C">
        <w:rPr>
          <w:rFonts w:ascii="Times New Roman" w:hAnsi="Times New Roman" w:cs="Times New Roman"/>
          <w:i/>
          <w:iCs/>
          <w:sz w:val="24"/>
          <w:szCs w:val="24"/>
        </w:rPr>
        <w:t>31</w:t>
      </w:r>
      <w:r w:rsidRPr="004A724C">
        <w:rPr>
          <w:rFonts w:ascii="Times New Roman" w:hAnsi="Times New Roman" w:cs="Times New Roman"/>
          <w:sz w:val="24"/>
          <w:szCs w:val="24"/>
        </w:rPr>
        <w:t>(4), pp.904-917.</w:t>
      </w:r>
    </w:p>
    <w:p w:rsidR="004A724C"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Wright, T., Wehman, P., McDonough, J., Thomas, K., Ochrach, C., Brooke, A., Ham, W., Godwin Jr, J.C. and Junod, P., 2020. Charity-oriented versus human resource-oriented perspectives: Investigating staff understandings of employment practices for persons with disabilities. </w:t>
      </w:r>
      <w:r w:rsidRPr="004A724C">
        <w:rPr>
          <w:rFonts w:ascii="Times New Roman" w:hAnsi="Times New Roman" w:cs="Times New Roman"/>
          <w:i/>
          <w:iCs/>
          <w:sz w:val="24"/>
          <w:szCs w:val="24"/>
        </w:rPr>
        <w:t>Journal of Applied Rehabilitation Counseling</w:t>
      </w:r>
      <w:r w:rsidRPr="004A724C">
        <w:rPr>
          <w:rFonts w:ascii="Times New Roman" w:hAnsi="Times New Roman" w:cs="Times New Roman"/>
          <w:sz w:val="24"/>
          <w:szCs w:val="24"/>
        </w:rPr>
        <w:t>, </w:t>
      </w:r>
      <w:r w:rsidRPr="004A724C">
        <w:rPr>
          <w:rFonts w:ascii="Times New Roman" w:hAnsi="Times New Roman" w:cs="Times New Roman"/>
          <w:i/>
          <w:iCs/>
          <w:sz w:val="24"/>
          <w:szCs w:val="24"/>
        </w:rPr>
        <w:t>51</w:t>
      </w:r>
      <w:r w:rsidRPr="004A724C">
        <w:rPr>
          <w:rFonts w:ascii="Times New Roman" w:hAnsi="Times New Roman" w:cs="Times New Roman"/>
          <w:sz w:val="24"/>
          <w:szCs w:val="24"/>
        </w:rPr>
        <w:t>(2), pp.146-167.</w:t>
      </w:r>
    </w:p>
    <w:p w:rsidR="004A724C" w:rsidRDefault="00E672A1" w:rsidP="00E672A1">
      <w:pPr>
        <w:spacing w:line="360" w:lineRule="auto"/>
        <w:jc w:val="both"/>
        <w:rPr>
          <w:rFonts w:ascii="Times New Roman" w:hAnsi="Times New Roman" w:cs="Times New Roman"/>
          <w:b/>
          <w:sz w:val="24"/>
          <w:szCs w:val="24"/>
        </w:rPr>
      </w:pPr>
      <w:r w:rsidRPr="004A724C">
        <w:rPr>
          <w:rFonts w:ascii="Times New Roman" w:hAnsi="Times New Roman" w:cs="Times New Roman"/>
          <w:b/>
          <w:sz w:val="24"/>
          <w:szCs w:val="24"/>
        </w:rPr>
        <w:t xml:space="preserve">Websites </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House of Commons Library, 2022. </w:t>
      </w:r>
      <w:r w:rsidRPr="004A1BD4">
        <w:rPr>
          <w:rFonts w:ascii="Times New Roman" w:hAnsi="Times New Roman" w:cs="Times New Roman"/>
          <w:i/>
          <w:sz w:val="24"/>
          <w:szCs w:val="24"/>
        </w:rPr>
        <w:t>UK Labour Market Statistics</w:t>
      </w:r>
      <w:r>
        <w:rPr>
          <w:rFonts w:ascii="Times New Roman" w:hAnsi="Times New Roman" w:cs="Times New Roman"/>
          <w:sz w:val="24"/>
          <w:szCs w:val="24"/>
        </w:rPr>
        <w:t xml:space="preserve">. Available at: </w:t>
      </w:r>
      <w:hyperlink r:id="rId12" w:history="1">
        <w:r w:rsidRPr="00D406F5">
          <w:rPr>
            <w:rStyle w:val="Hyperlink"/>
            <w:rFonts w:ascii="Times New Roman" w:hAnsi="Times New Roman" w:cs="Times New Roman"/>
            <w:sz w:val="24"/>
            <w:szCs w:val="24"/>
          </w:rPr>
          <w:t>https://commonslibrary.parliament.uk/research-briefings/cbp-9366/</w:t>
        </w:r>
      </w:hyperlink>
      <w:r>
        <w:rPr>
          <w:rFonts w:ascii="Times New Roman" w:hAnsi="Times New Roman" w:cs="Times New Roman"/>
          <w:sz w:val="24"/>
          <w:szCs w:val="24"/>
        </w:rPr>
        <w:t>[Accessed 31 December 2022]</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ILO, 2022. </w:t>
      </w:r>
      <w:r w:rsidRPr="004A1BD4">
        <w:rPr>
          <w:rFonts w:ascii="Times New Roman" w:hAnsi="Times New Roman" w:cs="Times New Roman"/>
          <w:i/>
          <w:sz w:val="24"/>
          <w:szCs w:val="24"/>
        </w:rPr>
        <w:t>Global labour market to deteriorate further as Ukraine conflict and other crises continue</w:t>
      </w:r>
      <w:r>
        <w:rPr>
          <w:rFonts w:ascii="Times New Roman" w:hAnsi="Times New Roman" w:cs="Times New Roman"/>
          <w:sz w:val="24"/>
          <w:szCs w:val="24"/>
        </w:rPr>
        <w:t xml:space="preserve">. Available at: </w:t>
      </w:r>
      <w:hyperlink r:id="rId13" w:anchor=":~:text=The%20ILO%20estimates%20that%20employment,million%20jobs%20would%20be%20lost%20" w:history="1">
        <w:r w:rsidRPr="00D406F5">
          <w:rPr>
            <w:rStyle w:val="Hyperlink"/>
            <w:rFonts w:ascii="Times New Roman" w:hAnsi="Times New Roman" w:cs="Times New Roman"/>
            <w:sz w:val="24"/>
            <w:szCs w:val="24"/>
          </w:rPr>
          <w:t>https://www.ilo.org/global/about-the-ilo/newsroom/news/WCMS_859191/lang--en/index.htm#:~:text=The%20ILO%20estimates%20that%20employment,million%20jobs%20would%20be%20lost%20</w:t>
        </w:r>
      </w:hyperlink>
      <w:r w:rsidRPr="004A724C">
        <w:rPr>
          <w:rFonts w:ascii="Times New Roman" w:hAnsi="Times New Roman" w:cs="Times New Roman"/>
          <w:sz w:val="24"/>
          <w:szCs w:val="24"/>
        </w:rPr>
        <w:t xml:space="preserve">. </w:t>
      </w:r>
      <w:r>
        <w:rPr>
          <w:rFonts w:ascii="Times New Roman" w:hAnsi="Times New Roman" w:cs="Times New Roman"/>
          <w:sz w:val="24"/>
          <w:szCs w:val="24"/>
        </w:rPr>
        <w:t>[Accessed 31 December 2022]</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Lexology, 2022. </w:t>
      </w:r>
      <w:r w:rsidRPr="004A1BD4">
        <w:rPr>
          <w:rFonts w:ascii="Times New Roman" w:hAnsi="Times New Roman" w:cs="Times New Roman"/>
          <w:i/>
          <w:sz w:val="24"/>
          <w:szCs w:val="24"/>
        </w:rPr>
        <w:t>Brexit and Jobs: What Does the UK Job Market Look like after Leaving EU?</w:t>
      </w:r>
      <w:r>
        <w:rPr>
          <w:rFonts w:ascii="Times New Roman" w:hAnsi="Times New Roman" w:cs="Times New Roman"/>
          <w:sz w:val="24"/>
          <w:szCs w:val="24"/>
        </w:rPr>
        <w:t xml:space="preserve">. Available at: </w:t>
      </w:r>
      <w:hyperlink r:id="rId14" w:history="1">
        <w:r w:rsidRPr="00D406F5">
          <w:rPr>
            <w:rStyle w:val="Hyperlink"/>
            <w:rFonts w:ascii="Times New Roman" w:hAnsi="Times New Roman" w:cs="Times New Roman"/>
            <w:sz w:val="24"/>
            <w:szCs w:val="24"/>
          </w:rPr>
          <w:t>https://www.lexology.com/library/detail.aspx?g=24a77f96-5df8-4577-8781-d3eb139b5ef1</w:t>
        </w:r>
      </w:hyperlink>
      <w:r>
        <w:rPr>
          <w:rFonts w:ascii="Times New Roman" w:hAnsi="Times New Roman" w:cs="Times New Roman"/>
          <w:sz w:val="24"/>
          <w:szCs w:val="24"/>
        </w:rPr>
        <w:t>[Accessed 31 December 2022]</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Nestle, 2020. </w:t>
      </w:r>
      <w:r w:rsidRPr="004A1BD4">
        <w:rPr>
          <w:rFonts w:ascii="Times New Roman" w:hAnsi="Times New Roman" w:cs="Times New Roman"/>
          <w:i/>
          <w:sz w:val="24"/>
          <w:szCs w:val="24"/>
        </w:rPr>
        <w:t>Nestlé Philippines puts employees first amid COVID-19 pandemic</w:t>
      </w:r>
      <w:r>
        <w:rPr>
          <w:rFonts w:ascii="Times New Roman" w:hAnsi="Times New Roman" w:cs="Times New Roman"/>
          <w:sz w:val="24"/>
          <w:szCs w:val="24"/>
        </w:rPr>
        <w:t xml:space="preserve">. Available at: </w:t>
      </w:r>
      <w:hyperlink r:id="rId15" w:history="1">
        <w:r w:rsidRPr="00D406F5">
          <w:rPr>
            <w:rStyle w:val="Hyperlink"/>
            <w:rFonts w:ascii="Times New Roman" w:hAnsi="Times New Roman" w:cs="Times New Roman"/>
            <w:sz w:val="24"/>
            <w:szCs w:val="24"/>
          </w:rPr>
          <w:t>https://www.nestle.com.ph/media/news/putting-employees-first</w:t>
        </w:r>
      </w:hyperlink>
      <w:r>
        <w:rPr>
          <w:rFonts w:ascii="Times New Roman" w:hAnsi="Times New Roman" w:cs="Times New Roman"/>
          <w:sz w:val="24"/>
          <w:szCs w:val="24"/>
        </w:rPr>
        <w:t>[Accessed 31 December 2022]</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ONS, 2022. </w:t>
      </w:r>
      <w:r w:rsidRPr="004A1BD4">
        <w:rPr>
          <w:rFonts w:ascii="Times New Roman" w:hAnsi="Times New Roman" w:cs="Times New Roman"/>
          <w:i/>
          <w:sz w:val="24"/>
          <w:szCs w:val="24"/>
        </w:rPr>
        <w:t>Labour market overview, UK: September 2022</w:t>
      </w:r>
      <w:r>
        <w:rPr>
          <w:rFonts w:ascii="Times New Roman" w:hAnsi="Times New Roman" w:cs="Times New Roman"/>
          <w:sz w:val="24"/>
          <w:szCs w:val="24"/>
        </w:rPr>
        <w:t xml:space="preserve">. Available at: </w:t>
      </w:r>
      <w:hyperlink r:id="rId16" w:anchor=":~:text=The%20most%20timely%20estimate%20of,since%20May%20to%20July%201974" w:history="1">
        <w:r w:rsidRPr="00D406F5">
          <w:rPr>
            <w:rStyle w:val="Hyperlink"/>
            <w:rFonts w:ascii="Times New Roman" w:hAnsi="Times New Roman" w:cs="Times New Roman"/>
            <w:sz w:val="24"/>
            <w:szCs w:val="24"/>
          </w:rPr>
          <w:t>https://www.ons.gov.uk/employmentandlabourmarket/peopleinwork/employmentandemployeetypes/bulletins/uklabourmarket/september2022#:~:text=The%20most%20timely%20estimate%20of,since%20May%20to%20July%201974</w:t>
        </w:r>
      </w:hyperlink>
      <w:r w:rsidRPr="004A724C">
        <w:rPr>
          <w:rFonts w:ascii="Times New Roman" w:hAnsi="Times New Roman" w:cs="Times New Roman"/>
          <w:sz w:val="24"/>
          <w:szCs w:val="24"/>
        </w:rPr>
        <w:t>.</w:t>
      </w:r>
      <w:r w:rsidRPr="0092621D">
        <w:rPr>
          <w:rFonts w:ascii="Times New Roman" w:hAnsi="Times New Roman" w:cs="Times New Roman"/>
          <w:sz w:val="24"/>
          <w:szCs w:val="24"/>
        </w:rPr>
        <w:t xml:space="preserve"> </w:t>
      </w:r>
      <w:r>
        <w:rPr>
          <w:rFonts w:ascii="Times New Roman" w:hAnsi="Times New Roman" w:cs="Times New Roman"/>
          <w:sz w:val="24"/>
          <w:szCs w:val="24"/>
        </w:rPr>
        <w:t>[Accessed 31 December 2022]</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PwC, 2022. </w:t>
      </w:r>
      <w:r w:rsidRPr="004A1BD4">
        <w:rPr>
          <w:rFonts w:ascii="Times New Roman" w:hAnsi="Times New Roman" w:cs="Times New Roman"/>
          <w:i/>
          <w:sz w:val="24"/>
          <w:szCs w:val="24"/>
        </w:rPr>
        <w:t>How the new normal is shaping the future of HR</w:t>
      </w:r>
      <w:r>
        <w:rPr>
          <w:rFonts w:ascii="Times New Roman" w:hAnsi="Times New Roman" w:cs="Times New Roman"/>
          <w:sz w:val="24"/>
          <w:szCs w:val="24"/>
        </w:rPr>
        <w:t xml:space="preserve">. Available at: </w:t>
      </w:r>
      <w:hyperlink r:id="rId17" w:history="1">
        <w:r w:rsidRPr="00D406F5">
          <w:rPr>
            <w:rStyle w:val="Hyperlink"/>
            <w:rFonts w:ascii="Times New Roman" w:hAnsi="Times New Roman" w:cs="Times New Roman"/>
            <w:sz w:val="24"/>
            <w:szCs w:val="24"/>
          </w:rPr>
          <w:t>https://www.pwc.com/m1/en/publications/how-the-new-normal-shaping-future-hr.html</w:t>
        </w:r>
      </w:hyperlink>
      <w:r>
        <w:rPr>
          <w:rFonts w:ascii="Times New Roman" w:hAnsi="Times New Roman" w:cs="Times New Roman"/>
          <w:sz w:val="24"/>
          <w:szCs w:val="24"/>
        </w:rPr>
        <w:t>[Accessed 31 December 2022]</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Trading Economics, 2022. </w:t>
      </w:r>
      <w:r w:rsidRPr="004A1BD4">
        <w:rPr>
          <w:rFonts w:ascii="Times New Roman" w:hAnsi="Times New Roman" w:cs="Times New Roman"/>
          <w:i/>
          <w:sz w:val="24"/>
          <w:szCs w:val="24"/>
        </w:rPr>
        <w:t>United Kingdom Employment Rate</w:t>
      </w:r>
      <w:r>
        <w:rPr>
          <w:rFonts w:ascii="Times New Roman" w:hAnsi="Times New Roman" w:cs="Times New Roman"/>
          <w:sz w:val="24"/>
          <w:szCs w:val="24"/>
        </w:rPr>
        <w:t xml:space="preserve">. Available at: </w:t>
      </w:r>
      <w:hyperlink r:id="rId18" w:history="1">
        <w:r w:rsidRPr="00D406F5">
          <w:rPr>
            <w:rStyle w:val="Hyperlink"/>
            <w:rFonts w:ascii="Times New Roman" w:hAnsi="Times New Roman" w:cs="Times New Roman"/>
            <w:sz w:val="24"/>
            <w:szCs w:val="24"/>
          </w:rPr>
          <w:t>https://tradingeconomics.com/united-kingdom/job-vacancies</w:t>
        </w:r>
      </w:hyperlink>
      <w:r>
        <w:rPr>
          <w:rFonts w:ascii="Times New Roman" w:hAnsi="Times New Roman" w:cs="Times New Roman"/>
          <w:sz w:val="24"/>
          <w:szCs w:val="24"/>
        </w:rPr>
        <w:t xml:space="preserve"> [Accessed 31 December 2022]</w:t>
      </w:r>
    </w:p>
    <w:p w:rsidR="0092621D" w:rsidRDefault="0092621D" w:rsidP="00E672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Unilever, 2022. </w:t>
      </w:r>
      <w:r w:rsidRPr="004A1BD4">
        <w:rPr>
          <w:rFonts w:ascii="Times New Roman" w:hAnsi="Times New Roman" w:cs="Times New Roman"/>
          <w:i/>
          <w:sz w:val="24"/>
          <w:szCs w:val="24"/>
        </w:rPr>
        <w:t>Future workplace</w:t>
      </w:r>
      <w:r>
        <w:rPr>
          <w:rFonts w:ascii="Times New Roman" w:hAnsi="Times New Roman" w:cs="Times New Roman"/>
          <w:sz w:val="24"/>
          <w:szCs w:val="24"/>
        </w:rPr>
        <w:t xml:space="preserve">. Available at: </w:t>
      </w:r>
      <w:hyperlink r:id="rId19" w:history="1">
        <w:r w:rsidRPr="00D406F5">
          <w:rPr>
            <w:rStyle w:val="Hyperlink"/>
            <w:rFonts w:ascii="Times New Roman" w:hAnsi="Times New Roman" w:cs="Times New Roman"/>
            <w:sz w:val="24"/>
            <w:szCs w:val="24"/>
          </w:rPr>
          <w:t>https://www.unilever.com/planet-and-society/future-of-work/future-workplace/</w:t>
        </w:r>
      </w:hyperlink>
      <w:r>
        <w:rPr>
          <w:rFonts w:ascii="Times New Roman" w:hAnsi="Times New Roman" w:cs="Times New Roman"/>
          <w:sz w:val="24"/>
          <w:szCs w:val="24"/>
        </w:rPr>
        <w:t>[Accessed 31 December 2022]</w:t>
      </w:r>
    </w:p>
    <w:p w:rsidR="004A1BD4" w:rsidRDefault="004A1BD4" w:rsidP="00E672A1">
      <w:pPr>
        <w:spacing w:line="360" w:lineRule="auto"/>
        <w:jc w:val="both"/>
        <w:rPr>
          <w:rFonts w:ascii="Times New Roman" w:hAnsi="Times New Roman" w:cs="Times New Roman"/>
          <w:sz w:val="24"/>
          <w:szCs w:val="24"/>
        </w:rPr>
      </w:pPr>
    </w:p>
    <w:p w:rsidR="00A320ED" w:rsidRPr="004A724C" w:rsidRDefault="004A724C" w:rsidP="00E672A1">
      <w:pPr>
        <w:spacing w:line="360" w:lineRule="auto"/>
        <w:jc w:val="both"/>
        <w:rPr>
          <w:rFonts w:ascii="Times New Roman" w:hAnsi="Times New Roman" w:cs="Times New Roman"/>
          <w:sz w:val="24"/>
          <w:szCs w:val="24"/>
        </w:rPr>
      </w:pPr>
      <w:r w:rsidRPr="004A724C">
        <w:rPr>
          <w:rFonts w:ascii="Times New Roman" w:hAnsi="Times New Roman" w:cs="Times New Roman"/>
          <w:sz w:val="24"/>
          <w:szCs w:val="24"/>
        </w:rPr>
        <w:t xml:space="preserve"> </w:t>
      </w:r>
      <w:r w:rsidR="00A320ED" w:rsidRPr="004A724C">
        <w:rPr>
          <w:rFonts w:ascii="Times New Roman" w:hAnsi="Times New Roman" w:cs="Times New Roman"/>
          <w:sz w:val="24"/>
          <w:szCs w:val="24"/>
        </w:rPr>
        <w:br w:type="page"/>
      </w:r>
    </w:p>
    <w:p w:rsidR="00A320ED" w:rsidRPr="008D5402" w:rsidRDefault="00A320ED" w:rsidP="008D5402">
      <w:pPr>
        <w:pStyle w:val="Heading1"/>
      </w:pPr>
      <w:bookmarkStart w:id="5" w:name="_Toc123581564"/>
      <w:r w:rsidRPr="008D5402">
        <w:lastRenderedPageBreak/>
        <w:t>Appendix</w:t>
      </w:r>
      <w:bookmarkEnd w:id="5"/>
      <w:r w:rsidRPr="008D5402">
        <w:t xml:space="preserve"> </w:t>
      </w:r>
    </w:p>
    <w:p w:rsidR="00A320ED" w:rsidRPr="004A724C" w:rsidRDefault="00A320ED" w:rsidP="00AC4250">
      <w:pPr>
        <w:spacing w:line="360" w:lineRule="auto"/>
        <w:jc w:val="center"/>
        <w:rPr>
          <w:rFonts w:ascii="Times New Roman" w:hAnsi="Times New Roman" w:cs="Times New Roman"/>
          <w:b/>
          <w:sz w:val="24"/>
          <w:szCs w:val="24"/>
        </w:rPr>
      </w:pPr>
      <w:r w:rsidRPr="004A724C">
        <w:rPr>
          <w:rFonts w:ascii="Times New Roman" w:hAnsi="Times New Roman" w:cs="Times New Roman"/>
          <w:b/>
          <w:noProof/>
          <w:sz w:val="24"/>
          <w:szCs w:val="24"/>
          <w:lang w:eastAsia="en-GB"/>
        </w:rPr>
        <w:drawing>
          <wp:inline distT="0" distB="0" distL="0" distR="0">
            <wp:extent cx="4675263" cy="409575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srcRect/>
                    <a:stretch>
                      <a:fillRect/>
                    </a:stretch>
                  </pic:blipFill>
                  <pic:spPr bwMode="auto">
                    <a:xfrm>
                      <a:off x="0" y="0"/>
                      <a:ext cx="4675263" cy="4095750"/>
                    </a:xfrm>
                    <a:prstGeom prst="rect">
                      <a:avLst/>
                    </a:prstGeom>
                    <a:noFill/>
                    <a:ln w="9525">
                      <a:noFill/>
                      <a:miter lim="800000"/>
                      <a:headEnd/>
                      <a:tailEnd/>
                    </a:ln>
                  </pic:spPr>
                </pic:pic>
              </a:graphicData>
            </a:graphic>
          </wp:inline>
        </w:drawing>
      </w:r>
    </w:p>
    <w:p w:rsidR="00A320ED" w:rsidRPr="004A724C" w:rsidRDefault="00A320ED" w:rsidP="00AC4250">
      <w:pPr>
        <w:spacing w:line="360" w:lineRule="auto"/>
        <w:jc w:val="center"/>
        <w:rPr>
          <w:rFonts w:ascii="Times New Roman" w:hAnsi="Times New Roman" w:cs="Times New Roman"/>
          <w:b/>
          <w:sz w:val="24"/>
          <w:szCs w:val="24"/>
        </w:rPr>
      </w:pPr>
      <w:r w:rsidRPr="004A724C">
        <w:rPr>
          <w:rFonts w:ascii="Times New Roman" w:hAnsi="Times New Roman" w:cs="Times New Roman"/>
          <w:b/>
          <w:sz w:val="24"/>
          <w:szCs w:val="24"/>
        </w:rPr>
        <w:t xml:space="preserve">Figure </w:t>
      </w:r>
      <w:r w:rsidR="00AC4250" w:rsidRPr="004A724C">
        <w:rPr>
          <w:rFonts w:ascii="Times New Roman" w:hAnsi="Times New Roman" w:cs="Times New Roman"/>
          <w:b/>
          <w:sz w:val="24"/>
          <w:szCs w:val="24"/>
        </w:rPr>
        <w:t>1: Employment</w:t>
      </w:r>
      <w:r w:rsidRPr="004A724C">
        <w:rPr>
          <w:rFonts w:ascii="Times New Roman" w:hAnsi="Times New Roman" w:cs="Times New Roman"/>
          <w:b/>
          <w:sz w:val="24"/>
          <w:szCs w:val="24"/>
        </w:rPr>
        <w:t xml:space="preserve"> rate in the world</w:t>
      </w:r>
    </w:p>
    <w:p w:rsidR="00A320ED" w:rsidRPr="00AC4250" w:rsidRDefault="00AC4250" w:rsidP="00AC4250">
      <w:pPr>
        <w:spacing w:line="360" w:lineRule="auto"/>
        <w:jc w:val="center"/>
        <w:rPr>
          <w:rFonts w:ascii="Times New Roman" w:hAnsi="Times New Roman" w:cs="Times New Roman"/>
          <w:sz w:val="24"/>
          <w:szCs w:val="24"/>
        </w:rPr>
      </w:pPr>
      <w:r w:rsidRPr="004A724C">
        <w:rPr>
          <w:rFonts w:ascii="Times New Roman" w:hAnsi="Times New Roman" w:cs="Times New Roman"/>
          <w:sz w:val="24"/>
          <w:szCs w:val="24"/>
        </w:rPr>
        <w:t>(</w:t>
      </w:r>
      <w:r w:rsidR="00A320ED" w:rsidRPr="004A724C">
        <w:rPr>
          <w:rFonts w:ascii="Times New Roman" w:hAnsi="Times New Roman" w:cs="Times New Roman"/>
          <w:sz w:val="24"/>
          <w:szCs w:val="24"/>
        </w:rPr>
        <w:t>Source:</w:t>
      </w:r>
      <w:r w:rsidRPr="004A724C">
        <w:rPr>
          <w:rFonts w:ascii="Times New Roman" w:hAnsi="Times New Roman" w:cs="Times New Roman"/>
          <w:sz w:val="24"/>
          <w:szCs w:val="24"/>
        </w:rPr>
        <w:t xml:space="preserve"> Statista</w:t>
      </w:r>
      <w:r w:rsidR="00A320ED" w:rsidRPr="004A724C">
        <w:rPr>
          <w:rFonts w:ascii="Times New Roman" w:hAnsi="Times New Roman" w:cs="Times New Roman"/>
          <w:sz w:val="24"/>
          <w:szCs w:val="24"/>
        </w:rPr>
        <w:t>, 2022</w:t>
      </w:r>
      <w:r w:rsidRPr="004A724C">
        <w:rPr>
          <w:rFonts w:ascii="Times New Roman" w:hAnsi="Times New Roman" w:cs="Times New Roman"/>
          <w:sz w:val="24"/>
          <w:szCs w:val="24"/>
        </w:rPr>
        <w:t>)</w:t>
      </w:r>
    </w:p>
    <w:sectPr w:rsidR="00A320ED" w:rsidRPr="00AC4250" w:rsidSect="001F121B">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50407" w:rsidRDefault="00E50407" w:rsidP="001F121B">
      <w:pPr>
        <w:spacing w:after="0" w:line="240" w:lineRule="auto"/>
      </w:pPr>
      <w:r>
        <w:separator/>
      </w:r>
    </w:p>
  </w:endnote>
  <w:endnote w:type="continuationSeparator" w:id="1">
    <w:p w:rsidR="00E50407" w:rsidRDefault="00E50407" w:rsidP="001F121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rPr>
      <w:id w:val="906804745"/>
      <w:docPartObj>
        <w:docPartGallery w:val="Page Numbers (Bottom of Page)"/>
        <w:docPartUnique/>
      </w:docPartObj>
    </w:sdtPr>
    <w:sdtContent>
      <w:p w:rsidR="001F121B" w:rsidRPr="001F121B" w:rsidRDefault="007D6487">
        <w:pPr>
          <w:pStyle w:val="Footer"/>
          <w:jc w:val="right"/>
          <w:rPr>
            <w:rFonts w:ascii="Times New Roman" w:hAnsi="Times New Roman" w:cs="Times New Roman"/>
            <w:sz w:val="20"/>
          </w:rPr>
        </w:pPr>
        <w:r w:rsidRPr="001F121B">
          <w:rPr>
            <w:rFonts w:ascii="Times New Roman" w:hAnsi="Times New Roman" w:cs="Times New Roman"/>
            <w:sz w:val="20"/>
          </w:rPr>
          <w:fldChar w:fldCharType="begin"/>
        </w:r>
        <w:r w:rsidR="001F121B" w:rsidRPr="001F121B">
          <w:rPr>
            <w:rFonts w:ascii="Times New Roman" w:hAnsi="Times New Roman" w:cs="Times New Roman"/>
            <w:sz w:val="20"/>
          </w:rPr>
          <w:instrText xml:space="preserve"> PAGE   \* MERGEFORMAT </w:instrText>
        </w:r>
        <w:r w:rsidRPr="001F121B">
          <w:rPr>
            <w:rFonts w:ascii="Times New Roman" w:hAnsi="Times New Roman" w:cs="Times New Roman"/>
            <w:sz w:val="20"/>
          </w:rPr>
          <w:fldChar w:fldCharType="separate"/>
        </w:r>
        <w:r w:rsidR="00B757E3">
          <w:rPr>
            <w:rFonts w:ascii="Times New Roman" w:hAnsi="Times New Roman" w:cs="Times New Roman"/>
            <w:noProof/>
            <w:sz w:val="20"/>
          </w:rPr>
          <w:t>2</w:t>
        </w:r>
        <w:r w:rsidRPr="001F121B">
          <w:rPr>
            <w:rFonts w:ascii="Times New Roman" w:hAnsi="Times New Roman" w:cs="Times New Roman"/>
            <w:sz w:val="20"/>
          </w:rPr>
          <w:fldChar w:fldCharType="end"/>
        </w:r>
      </w:p>
    </w:sdtContent>
  </w:sdt>
  <w:p w:rsidR="001F121B" w:rsidRPr="001F121B" w:rsidRDefault="001F121B">
    <w:pPr>
      <w:pStyle w:val="Footer"/>
      <w:rPr>
        <w:rFonts w:ascii="Times New Roman" w:hAnsi="Times New Roman" w:cs="Times New Roman"/>
        <w:sz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50407" w:rsidRDefault="00E50407" w:rsidP="001F121B">
      <w:pPr>
        <w:spacing w:after="0" w:line="240" w:lineRule="auto"/>
      </w:pPr>
      <w:r>
        <w:separator/>
      </w:r>
    </w:p>
  </w:footnote>
  <w:footnote w:type="continuationSeparator" w:id="1">
    <w:p w:rsidR="00E50407" w:rsidRDefault="00E50407" w:rsidP="001F121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72483"/>
    <w:rsid w:val="000B669C"/>
    <w:rsid w:val="000F15F8"/>
    <w:rsid w:val="001731DD"/>
    <w:rsid w:val="001F121B"/>
    <w:rsid w:val="00211FA7"/>
    <w:rsid w:val="002179E8"/>
    <w:rsid w:val="00234A16"/>
    <w:rsid w:val="00286ACA"/>
    <w:rsid w:val="002D1F53"/>
    <w:rsid w:val="003403AF"/>
    <w:rsid w:val="004553CB"/>
    <w:rsid w:val="004A1BD4"/>
    <w:rsid w:val="004A724C"/>
    <w:rsid w:val="004C2F9E"/>
    <w:rsid w:val="005465FA"/>
    <w:rsid w:val="006F0C18"/>
    <w:rsid w:val="00732C07"/>
    <w:rsid w:val="0075717D"/>
    <w:rsid w:val="007D6487"/>
    <w:rsid w:val="008112E3"/>
    <w:rsid w:val="008C26BA"/>
    <w:rsid w:val="008D5402"/>
    <w:rsid w:val="0092621D"/>
    <w:rsid w:val="009C374C"/>
    <w:rsid w:val="009E6039"/>
    <w:rsid w:val="00A320ED"/>
    <w:rsid w:val="00A85630"/>
    <w:rsid w:val="00AC4250"/>
    <w:rsid w:val="00AD5E2B"/>
    <w:rsid w:val="00AF562B"/>
    <w:rsid w:val="00B757E3"/>
    <w:rsid w:val="00C50380"/>
    <w:rsid w:val="00C513CE"/>
    <w:rsid w:val="00C72483"/>
    <w:rsid w:val="00DB0A3C"/>
    <w:rsid w:val="00E50407"/>
    <w:rsid w:val="00E672A1"/>
    <w:rsid w:val="00F176DB"/>
    <w:rsid w:val="00F92E7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2F9E"/>
  </w:style>
  <w:style w:type="paragraph" w:styleId="Heading1">
    <w:name w:val="heading 1"/>
    <w:basedOn w:val="Normal"/>
    <w:next w:val="Normal"/>
    <w:link w:val="Heading1Char"/>
    <w:uiPriority w:val="9"/>
    <w:qFormat/>
    <w:rsid w:val="008D5402"/>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112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12E3"/>
    <w:rPr>
      <w:rFonts w:ascii="Tahoma" w:hAnsi="Tahoma" w:cs="Tahoma"/>
      <w:sz w:val="16"/>
      <w:szCs w:val="16"/>
    </w:rPr>
  </w:style>
  <w:style w:type="paragraph" w:styleId="NormalWeb">
    <w:name w:val="Normal (Web)"/>
    <w:basedOn w:val="Normal"/>
    <w:uiPriority w:val="99"/>
    <w:semiHidden/>
    <w:unhideWhenUsed/>
    <w:rsid w:val="00A320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13CE"/>
    <w:pPr>
      <w:ind w:left="720"/>
      <w:contextualSpacing/>
    </w:pPr>
  </w:style>
  <w:style w:type="character" w:styleId="Hyperlink">
    <w:name w:val="Hyperlink"/>
    <w:basedOn w:val="DefaultParagraphFont"/>
    <w:uiPriority w:val="99"/>
    <w:unhideWhenUsed/>
    <w:rsid w:val="004A724C"/>
    <w:rPr>
      <w:color w:val="0000FF" w:themeColor="hyperlink"/>
      <w:u w:val="single"/>
    </w:rPr>
  </w:style>
  <w:style w:type="character" w:customStyle="1" w:styleId="Heading1Char">
    <w:name w:val="Heading 1 Char"/>
    <w:basedOn w:val="DefaultParagraphFont"/>
    <w:link w:val="Heading1"/>
    <w:uiPriority w:val="9"/>
    <w:rsid w:val="008D5402"/>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AF562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F562B"/>
    <w:pPr>
      <w:spacing w:after="100"/>
    </w:pPr>
  </w:style>
  <w:style w:type="paragraph" w:styleId="Header">
    <w:name w:val="header"/>
    <w:basedOn w:val="Normal"/>
    <w:link w:val="HeaderChar"/>
    <w:uiPriority w:val="99"/>
    <w:semiHidden/>
    <w:unhideWhenUsed/>
    <w:rsid w:val="001F121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F121B"/>
  </w:style>
  <w:style w:type="paragraph" w:styleId="Footer">
    <w:name w:val="footer"/>
    <w:basedOn w:val="Normal"/>
    <w:link w:val="FooterChar"/>
    <w:uiPriority w:val="99"/>
    <w:unhideWhenUsed/>
    <w:rsid w:val="001F1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21B"/>
  </w:style>
</w:styles>
</file>

<file path=word/webSettings.xml><?xml version="1.0" encoding="utf-8"?>
<w:webSettings xmlns:r="http://schemas.openxmlformats.org/officeDocument/2006/relationships" xmlns:w="http://schemas.openxmlformats.org/wordprocessingml/2006/main">
  <w:divs>
    <w:div w:id="371803393">
      <w:bodyDiv w:val="1"/>
      <w:marLeft w:val="0"/>
      <w:marRight w:val="0"/>
      <w:marTop w:val="0"/>
      <w:marBottom w:val="0"/>
      <w:divBdr>
        <w:top w:val="none" w:sz="0" w:space="0" w:color="auto"/>
        <w:left w:val="none" w:sz="0" w:space="0" w:color="auto"/>
        <w:bottom w:val="none" w:sz="0" w:space="0" w:color="auto"/>
        <w:right w:val="none" w:sz="0" w:space="0" w:color="auto"/>
      </w:divBdr>
    </w:div>
    <w:div w:id="721096429">
      <w:bodyDiv w:val="1"/>
      <w:marLeft w:val="0"/>
      <w:marRight w:val="0"/>
      <w:marTop w:val="0"/>
      <w:marBottom w:val="0"/>
      <w:divBdr>
        <w:top w:val="none" w:sz="0" w:space="0" w:color="auto"/>
        <w:left w:val="none" w:sz="0" w:space="0" w:color="auto"/>
        <w:bottom w:val="none" w:sz="0" w:space="0" w:color="auto"/>
        <w:right w:val="none" w:sz="0" w:space="0" w:color="auto"/>
      </w:divBdr>
    </w:div>
    <w:div w:id="991373277">
      <w:bodyDiv w:val="1"/>
      <w:marLeft w:val="0"/>
      <w:marRight w:val="0"/>
      <w:marTop w:val="0"/>
      <w:marBottom w:val="0"/>
      <w:divBdr>
        <w:top w:val="none" w:sz="0" w:space="0" w:color="auto"/>
        <w:left w:val="none" w:sz="0" w:space="0" w:color="auto"/>
        <w:bottom w:val="none" w:sz="0" w:space="0" w:color="auto"/>
        <w:right w:val="none" w:sz="0" w:space="0" w:color="auto"/>
      </w:divBdr>
      <w:divsChild>
        <w:div w:id="158548260">
          <w:marLeft w:val="0"/>
          <w:marRight w:val="0"/>
          <w:marTop w:val="0"/>
          <w:marBottom w:val="0"/>
          <w:divBdr>
            <w:top w:val="none" w:sz="0" w:space="0" w:color="auto"/>
            <w:left w:val="none" w:sz="0" w:space="0" w:color="auto"/>
            <w:bottom w:val="none" w:sz="0" w:space="0" w:color="auto"/>
            <w:right w:val="none" w:sz="0" w:space="0" w:color="auto"/>
          </w:divBdr>
        </w:div>
      </w:divsChild>
    </w:div>
    <w:div w:id="1155489044">
      <w:bodyDiv w:val="1"/>
      <w:marLeft w:val="0"/>
      <w:marRight w:val="0"/>
      <w:marTop w:val="0"/>
      <w:marBottom w:val="0"/>
      <w:divBdr>
        <w:top w:val="none" w:sz="0" w:space="0" w:color="auto"/>
        <w:left w:val="none" w:sz="0" w:space="0" w:color="auto"/>
        <w:bottom w:val="none" w:sz="0" w:space="0" w:color="auto"/>
        <w:right w:val="none" w:sz="0" w:space="0" w:color="auto"/>
      </w:divBdr>
    </w:div>
    <w:div w:id="1385257436">
      <w:bodyDiv w:val="1"/>
      <w:marLeft w:val="0"/>
      <w:marRight w:val="0"/>
      <w:marTop w:val="0"/>
      <w:marBottom w:val="0"/>
      <w:divBdr>
        <w:top w:val="none" w:sz="0" w:space="0" w:color="auto"/>
        <w:left w:val="none" w:sz="0" w:space="0" w:color="auto"/>
        <w:bottom w:val="none" w:sz="0" w:space="0" w:color="auto"/>
        <w:right w:val="none" w:sz="0" w:space="0" w:color="auto"/>
      </w:divBdr>
    </w:div>
    <w:div w:id="1443378511">
      <w:bodyDiv w:val="1"/>
      <w:marLeft w:val="0"/>
      <w:marRight w:val="0"/>
      <w:marTop w:val="0"/>
      <w:marBottom w:val="0"/>
      <w:divBdr>
        <w:top w:val="none" w:sz="0" w:space="0" w:color="auto"/>
        <w:left w:val="none" w:sz="0" w:space="0" w:color="auto"/>
        <w:bottom w:val="none" w:sz="0" w:space="0" w:color="auto"/>
        <w:right w:val="none" w:sz="0" w:space="0" w:color="auto"/>
      </w:divBdr>
    </w:div>
    <w:div w:id="1576477771">
      <w:bodyDiv w:val="1"/>
      <w:marLeft w:val="0"/>
      <w:marRight w:val="0"/>
      <w:marTop w:val="0"/>
      <w:marBottom w:val="0"/>
      <w:divBdr>
        <w:top w:val="none" w:sz="0" w:space="0" w:color="auto"/>
        <w:left w:val="none" w:sz="0" w:space="0" w:color="auto"/>
        <w:bottom w:val="none" w:sz="0" w:space="0" w:color="auto"/>
        <w:right w:val="none" w:sz="0" w:space="0" w:color="auto"/>
      </w:divBdr>
    </w:div>
    <w:div w:id="1636565550">
      <w:bodyDiv w:val="1"/>
      <w:marLeft w:val="0"/>
      <w:marRight w:val="0"/>
      <w:marTop w:val="0"/>
      <w:marBottom w:val="0"/>
      <w:divBdr>
        <w:top w:val="none" w:sz="0" w:space="0" w:color="auto"/>
        <w:left w:val="none" w:sz="0" w:space="0" w:color="auto"/>
        <w:bottom w:val="none" w:sz="0" w:space="0" w:color="auto"/>
        <w:right w:val="none" w:sz="0" w:space="0" w:color="auto"/>
      </w:divBdr>
    </w:div>
    <w:div w:id="1680082362">
      <w:bodyDiv w:val="1"/>
      <w:marLeft w:val="0"/>
      <w:marRight w:val="0"/>
      <w:marTop w:val="0"/>
      <w:marBottom w:val="0"/>
      <w:divBdr>
        <w:top w:val="none" w:sz="0" w:space="0" w:color="auto"/>
        <w:left w:val="none" w:sz="0" w:space="0" w:color="auto"/>
        <w:bottom w:val="none" w:sz="0" w:space="0" w:color="auto"/>
        <w:right w:val="none" w:sz="0" w:space="0" w:color="auto"/>
      </w:divBdr>
    </w:div>
    <w:div w:id="2119372901">
      <w:bodyDiv w:val="1"/>
      <w:marLeft w:val="0"/>
      <w:marRight w:val="0"/>
      <w:marTop w:val="0"/>
      <w:marBottom w:val="0"/>
      <w:divBdr>
        <w:top w:val="none" w:sz="0" w:space="0" w:color="auto"/>
        <w:left w:val="none" w:sz="0" w:space="0" w:color="auto"/>
        <w:bottom w:val="none" w:sz="0" w:space="0" w:color="auto"/>
        <w:right w:val="none" w:sz="0" w:space="0" w:color="auto"/>
      </w:divBdr>
    </w:div>
    <w:div w:id="213335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lo.org/global/about-the-ilo/newsroom/news/WCMS_859191/lang--en/index.htm" TargetMode="External"/><Relationship Id="rId18" Type="http://schemas.openxmlformats.org/officeDocument/2006/relationships/hyperlink" Target="https://tradingeconomics.com/united-kingdom/job-vacanci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commonslibrary.parliament.uk/research-briefings/cbp-9366/" TargetMode="External"/><Relationship Id="rId17" Type="http://schemas.openxmlformats.org/officeDocument/2006/relationships/hyperlink" Target="https://www.pwc.com/m1/en/publications/how-the-new-normal-shaping-future-hr.html" TargetMode="External"/><Relationship Id="rId2" Type="http://schemas.openxmlformats.org/officeDocument/2006/relationships/styles" Target="styles.xml"/><Relationship Id="rId16" Type="http://schemas.openxmlformats.org/officeDocument/2006/relationships/hyperlink" Target="https://www.ons.gov.uk/employmentandlabourmarket/peopleinwork/employmentandemployeetypes/bulletins/uklabourmarket/september2022"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nestle.com.ph/media/news/putting-employees-first"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unilever.com/planet-and-society/future-of-work/future-workpla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exology.com/library/detail.aspx?g=24a77f96-5df8-4577-8781-d3eb139b5ef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9F0489-A8EC-41B6-9F95-4C159A6B3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607</TotalTime>
  <Pages>15</Pages>
  <Words>3436</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22982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81</cp:revision>
  <dcterms:created xsi:type="dcterms:W3CDTF">2023-01-02T04:18:00Z</dcterms:created>
  <dcterms:modified xsi:type="dcterms:W3CDTF">2023-01-02T14:56:00Z</dcterms:modified>
</cp:coreProperties>
</file>