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 A"/>
        <w:spacing w:line="240" w:lineRule="auto"/>
        <w:jc w:val="center"/>
        <w:rPr>
          <w:b w:val="1"/>
          <w:bCs w:val="1"/>
          <w:u w:val="single"/>
        </w:rPr>
      </w:pPr>
      <w:r>
        <w:br w:type="textWrapping"/>
        <w:br w:type="textWrapping"/>
        <w:br w:type="textWrapping"/>
      </w:r>
      <w:r>
        <w:rPr>
          <w:b w:val="1"/>
          <w:bCs w:val="1"/>
          <w:u w:val="single"/>
          <w:rtl w:val="0"/>
          <w:lang w:val="en-US"/>
        </w:rPr>
        <w:t>Personal Branding for Sustainable Employment</w:t>
      </w:r>
      <w:r>
        <w:rPr>
          <w:b w:val="1"/>
          <w:bCs w:val="1"/>
          <w:rtl w:val="0"/>
          <w:lang w:val="en-US"/>
        </w:rPr>
        <w:t xml:space="preserve"> </w:t>
      </w:r>
    </w:p>
    <w:p>
      <w:pPr>
        <w:pStyle w:val="Body A"/>
        <w:spacing w:line="240" w:lineRule="auto"/>
        <w:jc w:val="center"/>
        <w:rPr>
          <w:b w:val="1"/>
          <w:bCs w:val="1"/>
          <w:u w:val="single"/>
        </w:rPr>
      </w:pPr>
      <w:r>
        <w:rPr>
          <w:b w:val="1"/>
          <w:bCs w:val="1"/>
          <w:u w:val="single"/>
          <w:rtl w:val="0"/>
          <w:lang w:val="en-US"/>
        </w:rPr>
        <w:t>Assessment Component 2</w:t>
      </w:r>
      <w:r>
        <w:rPr>
          <w:b w:val="1"/>
          <w:bCs w:val="1"/>
          <w:u w:val="single"/>
        </w:rPr>
        <w:br w:type="textWrapping"/>
        <w:br w:type="textWrapping"/>
        <w:br w:type="textWrapping"/>
      </w:r>
    </w:p>
    <w:tbl>
      <w:tblPr>
        <w:tblW w:w="10440" w:type="dxa"/>
        <w:jc w:val="center"/>
        <w:tblInd w:w="324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d0ddef"/>
        <w:tblLayout w:type="fixed"/>
      </w:tblPr>
      <w:tblGrid>
        <w:gridCol w:w="10440"/>
      </w:tblGrid>
      <w:tr>
        <w:tblPrEx>
          <w:shd w:val="clear" w:color="auto" w:fill="d0ddef"/>
        </w:tblPrEx>
        <w:trPr>
          <w:trHeight w:val="2049" w:hRule="atLeast"/>
        </w:trPr>
        <w:tc>
          <w:tcPr>
            <w:tcW w:type="dxa" w:w="1044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u w:val="single"/>
                <w:shd w:val="nil" w:color="auto" w:fill="auto"/>
              </w:rPr>
            </w:pPr>
            <w:r>
              <w:rPr>
                <w:u w:val="single"/>
                <w:shd w:val="nil" w:color="auto" w:fill="auto"/>
                <w:rtl w:val="0"/>
                <w:lang w:val="en-US"/>
              </w:rPr>
              <w:t>Link to Video Presentation (with access):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Style w:val="Hyperlink.0"/>
                <w:outline w:val="0"/>
                <w:color w:val="0000ff"/>
                <w:u w:val="single" w:color="0000ff"/>
                <w:shd w:val="nil" w:color="auto" w:fill="auto"/>
                <w:lang w:val="en-US"/>
                <w14:textFill>
                  <w14:solidFill>
                    <w14:srgbClr w14:val="0000FF"/>
                  </w14:solidFill>
                </w14:textFill>
              </w:rPr>
              <w:fldChar w:fldCharType="begin" w:fldLock="0"/>
            </w:r>
            <w:r>
              <w:rPr>
                <w:rStyle w:val="Hyperlink.0"/>
                <w:outline w:val="0"/>
                <w:color w:val="0000ff"/>
                <w:u w:val="single" w:color="0000ff"/>
                <w:shd w:val="nil" w:color="auto" w:fill="auto"/>
                <w:lang w:val="en-US"/>
                <w14:textFill>
                  <w14:solidFill>
                    <w14:srgbClr w14:val="0000FF"/>
                  </w14:solidFill>
                </w14:textFill>
              </w:rPr>
              <w:instrText xml:space="preserve"> HYPERLINK "https://youtu.be/ciA48AKV1ls"</w:instrText>
            </w:r>
            <w:r>
              <w:rPr>
                <w:rStyle w:val="Hyperlink.0"/>
                <w:outline w:val="0"/>
                <w:color w:val="0000ff"/>
                <w:u w:val="single" w:color="0000ff"/>
                <w:shd w:val="nil" w:color="auto" w:fill="auto"/>
                <w:lang w:val="en-US"/>
                <w14:textFill>
                  <w14:solidFill>
                    <w14:srgbClr w14:val="0000FF"/>
                  </w14:solidFill>
                </w14:textFill>
              </w:rPr>
              <w:fldChar w:fldCharType="separate" w:fldLock="0"/>
            </w:r>
            <w:r>
              <w:rPr>
                <w:rStyle w:val="Hyperlink.0"/>
                <w:outline w:val="0"/>
                <w:color w:val="0000ff"/>
                <w:u w:val="single" w:color="0000ff"/>
                <w:shd w:val="nil" w:color="auto" w:fill="auto"/>
                <w:rtl w:val="0"/>
                <w:lang w:val="en-US"/>
                <w14:textFill>
                  <w14:solidFill>
                    <w14:srgbClr w14:val="0000FF"/>
                  </w14:solidFill>
                </w14:textFill>
              </w:rPr>
              <w:t>https://youtu.be/ciA48AKV1ls</w:t>
            </w:r>
            <w:r>
              <w:rPr>
                <w:u w:val="single" w:color="262626"/>
              </w:rPr>
              <w:fldChar w:fldCharType="end" w:fldLock="0"/>
            </w:r>
            <w:r>
              <w:rPr>
                <w:rStyle w:val="None"/>
                <w:u w:val="single" w:color="262626"/>
                <w:shd w:val="nil" w:color="auto" w:fill="auto"/>
              </w:rPr>
            </w:r>
          </w:p>
        </w:tc>
      </w:tr>
      <w:tr>
        <w:tblPrEx>
          <w:shd w:val="clear" w:color="auto" w:fill="d0ddef"/>
        </w:tblPrEx>
        <w:trPr>
          <w:trHeight w:val="15234" w:hRule="atLeast"/>
        </w:trPr>
        <w:tc>
          <w:tcPr>
            <w:tcW w:type="dxa" w:w="1044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Style w:val="None"/>
                <w:b w:val="1"/>
                <w:bCs w:val="1"/>
                <w:u w:val="single"/>
                <w:shd w:val="nil" w:color="auto" w:fill="auto"/>
              </w:rPr>
            </w:pPr>
            <w:r>
              <w:rPr>
                <w:rStyle w:val="None"/>
                <w:b w:val="1"/>
                <w:bCs w:val="1"/>
                <w:u w:val="single"/>
                <w:rtl w:val="0"/>
                <w:lang w:val="en-US"/>
              </w:rPr>
              <w:t>Reference List:</w:t>
            </w:r>
          </w:p>
          <w:p>
            <w:pPr>
              <w:pStyle w:val="Default"/>
              <w:numPr>
                <w:ilvl w:val="0"/>
                <w:numId w:val="1"/>
              </w:numPr>
              <w:suppressAutoHyphens w:val="1"/>
              <w:bidi w:val="0"/>
              <w:spacing w:before="67" w:after="120"/>
              <w:ind w:right="0"/>
              <w:jc w:val="left"/>
              <w:outlineLvl w:val="0"/>
              <w:rPr>
                <w:rFonts w:ascii="Times New Roman" w:hAnsi="Times New Roman"/>
                <w:rtl w:val="0"/>
                <w:lang w:val="en-US"/>
              </w:rPr>
            </w:pP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>Agnihotri, R., Mani, S., Chaker, N. N., Daugherty, J. P. and Kothandaraman, P. (2022). Drivers and Performance Implications of Frontline Employees</w:t>
            </w:r>
            <w:r>
              <w:rPr>
                <w:rStyle w:val="None"/>
                <w:rFonts w:ascii="Times New Roman" w:hAnsi="Times New Roman" w:hint="default"/>
                <w:u w:color="262626"/>
                <w:rtl w:val="0"/>
                <w:lang w:val="en-US"/>
              </w:rPr>
              <w:t xml:space="preserve">’ </w:t>
            </w: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 xml:space="preserve">Social Capital Development and Maintenance: The Role of Online Social Networks. </w:t>
            </w:r>
            <w:r>
              <w:rPr>
                <w:rStyle w:val="None"/>
                <w:rFonts w:ascii="Times New Roman" w:hAnsi="Times New Roman"/>
                <w:i w:val="1"/>
                <w:iCs w:val="1"/>
                <w:u w:color="262626"/>
                <w:rtl w:val="0"/>
                <w:lang w:val="en-US"/>
              </w:rPr>
              <w:t>A Journal of the Decision Sciences.</w:t>
            </w: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 xml:space="preserve"> 53(1). pp.181-215. </w:t>
            </w:r>
          </w:p>
          <w:p>
            <w:pPr>
              <w:pStyle w:val="Default"/>
              <w:numPr>
                <w:ilvl w:val="0"/>
                <w:numId w:val="1"/>
              </w:numPr>
              <w:suppressAutoHyphens w:val="1"/>
              <w:bidi w:val="0"/>
              <w:spacing w:before="67" w:after="120"/>
              <w:ind w:right="0"/>
              <w:jc w:val="left"/>
              <w:outlineLvl w:val="0"/>
              <w:rPr>
                <w:rFonts w:ascii="Times New Roman" w:hAnsi="Times New Roman"/>
                <w:rtl w:val="0"/>
                <w:lang w:val="en-US"/>
              </w:rPr>
            </w:pP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 xml:space="preserve">Ahsan, K., Ho, M. and Khan, S. (2013). Recruiting Project Managers: A Comparative Analysis of Competencies and Recruitment Signals from Job Advertisements. </w:t>
            </w:r>
            <w:r>
              <w:rPr>
                <w:rStyle w:val="None"/>
                <w:rFonts w:ascii="Times New Roman" w:hAnsi="Times New Roman"/>
                <w:i w:val="1"/>
                <w:iCs w:val="1"/>
                <w:u w:color="262626"/>
                <w:rtl w:val="0"/>
                <w:lang w:val="en-US"/>
              </w:rPr>
              <w:t xml:space="preserve">Project Management Journal. </w:t>
            </w: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 xml:space="preserve">44(5). pp.36-54. </w:t>
            </w:r>
          </w:p>
          <w:p>
            <w:pPr>
              <w:pStyle w:val="Default"/>
              <w:numPr>
                <w:ilvl w:val="0"/>
                <w:numId w:val="1"/>
              </w:numPr>
              <w:suppressAutoHyphens w:val="1"/>
              <w:bidi w:val="0"/>
              <w:spacing w:before="67" w:after="120"/>
              <w:ind w:right="0"/>
              <w:jc w:val="left"/>
              <w:outlineLvl w:val="0"/>
              <w:rPr>
                <w:rFonts w:ascii="Times New Roman" w:hAnsi="Times New Roman"/>
                <w:rtl w:val="0"/>
                <w:lang w:val="en-US"/>
              </w:rPr>
            </w:pP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 xml:space="preserve">Asif, H., Mclnnis, C., Dang, F., Ajzenberg, H., Wang, L. P., Mosa, A., Ko, G., Zevin, B., Mann, S. and Winthrop, A. (2022). Objective Structured Assessment of technical skill (OSATS) in the Surgical Skills and Technology Elective Program (SSTEP): Comparison of peer and expert raters. </w:t>
            </w:r>
            <w:r>
              <w:rPr>
                <w:rStyle w:val="None"/>
                <w:rFonts w:ascii="Times New Roman" w:hAnsi="Times New Roman"/>
                <w:i w:val="1"/>
                <w:iCs w:val="1"/>
                <w:u w:color="262626"/>
                <w:rtl w:val="0"/>
                <w:lang w:val="en-US"/>
              </w:rPr>
              <w:t>The American Journal of Surgery.</w:t>
            </w: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 xml:space="preserve"> 223(2). pp.276-279. </w:t>
            </w:r>
          </w:p>
          <w:p>
            <w:pPr>
              <w:pStyle w:val="Default"/>
              <w:numPr>
                <w:ilvl w:val="0"/>
                <w:numId w:val="1"/>
              </w:numPr>
              <w:suppressAutoHyphens w:val="1"/>
              <w:bidi w:val="0"/>
              <w:spacing w:before="67" w:after="120"/>
              <w:ind w:right="0"/>
              <w:jc w:val="left"/>
              <w:outlineLvl w:val="0"/>
              <w:rPr>
                <w:rFonts w:ascii="Times New Roman" w:hAnsi="Times New Roman"/>
                <w:rtl w:val="0"/>
                <w:lang w:val="en-US"/>
              </w:rPr>
            </w:pP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 xml:space="preserve">Dhar, B. K., Stasi, A., Dopping, J. O., Gazi, M. A. I., Shaturaev, J. and Sarkar, S. M. (2022). Mediating Role of Strategic Flexibility Between Leadership Styles on Strategic Sxecution: A Study on Bangladeshi Private Enterprises. </w:t>
            </w:r>
            <w:r>
              <w:rPr>
                <w:rStyle w:val="None"/>
                <w:rFonts w:ascii="Times New Roman" w:hAnsi="Times New Roman"/>
                <w:i w:val="1"/>
                <w:iCs w:val="1"/>
                <w:u w:color="262626"/>
                <w:rtl w:val="0"/>
                <w:lang w:val="en-US"/>
              </w:rPr>
              <w:t>Global Journal of Flexible Systems Management.</w:t>
            </w: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 xml:space="preserve"> 23(3). pp.409-420. </w:t>
            </w:r>
          </w:p>
          <w:p>
            <w:pPr>
              <w:pStyle w:val="Default"/>
              <w:numPr>
                <w:ilvl w:val="0"/>
                <w:numId w:val="1"/>
              </w:numPr>
              <w:suppressAutoHyphens w:val="1"/>
              <w:bidi w:val="0"/>
              <w:spacing w:before="67" w:after="120"/>
              <w:ind w:right="0"/>
              <w:jc w:val="left"/>
              <w:outlineLvl w:val="0"/>
              <w:rPr>
                <w:rFonts w:ascii="Times New Roman" w:hAnsi="Times New Roman"/>
                <w:rtl w:val="0"/>
                <w:lang w:val="en-US"/>
              </w:rPr>
            </w:pP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 xml:space="preserve">Khiat, H. (2022). Using automated time management enablers to improve self-regulated learning. </w:t>
            </w:r>
            <w:r>
              <w:rPr>
                <w:rStyle w:val="None"/>
                <w:rFonts w:ascii="Times New Roman" w:hAnsi="Times New Roman"/>
                <w:i w:val="1"/>
                <w:iCs w:val="1"/>
                <w:u w:color="262626"/>
                <w:rtl w:val="0"/>
                <w:lang w:val="en-US"/>
              </w:rPr>
              <w:t>Active Learning in Higher Education</w:t>
            </w: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 xml:space="preserve">. 23(1). pp.3-15. </w:t>
            </w:r>
          </w:p>
          <w:p>
            <w:pPr>
              <w:pStyle w:val="Default"/>
              <w:numPr>
                <w:ilvl w:val="0"/>
                <w:numId w:val="1"/>
              </w:numPr>
              <w:suppressAutoHyphens w:val="1"/>
              <w:bidi w:val="0"/>
              <w:spacing w:before="67" w:after="120"/>
              <w:ind w:right="0"/>
              <w:jc w:val="left"/>
              <w:outlineLvl w:val="0"/>
              <w:rPr>
                <w:rFonts w:ascii="Times New Roman" w:hAnsi="Times New Roman"/>
                <w:rtl w:val="0"/>
                <w:lang w:val="en-US"/>
              </w:rPr>
            </w:pP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 xml:space="preserve">Kodiraliev, A. T. U. (2022). CRITERIA FOR DEVELOPMENT OF LEADERSHIP SKILLS IN THE MANAGEMENT PROCESS. </w:t>
            </w:r>
            <w:r>
              <w:rPr>
                <w:rStyle w:val="None"/>
                <w:rFonts w:ascii="Times New Roman" w:hAnsi="Times New Roman"/>
                <w:i w:val="1"/>
                <w:iCs w:val="1"/>
                <w:u w:color="262626"/>
                <w:rtl w:val="0"/>
                <w:lang w:val="en-US"/>
              </w:rPr>
              <w:t>Oriental Renaissance: Innovative, Educational, Natural and Social Sciences.</w:t>
            </w: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 xml:space="preserve"> 2(11). pp.519-525. </w:t>
            </w:r>
          </w:p>
          <w:p>
            <w:pPr>
              <w:pStyle w:val="Default"/>
              <w:numPr>
                <w:ilvl w:val="0"/>
                <w:numId w:val="1"/>
              </w:numPr>
              <w:suppressAutoHyphens w:val="1"/>
              <w:bidi w:val="0"/>
              <w:spacing w:before="67" w:after="120"/>
              <w:ind w:right="0"/>
              <w:jc w:val="left"/>
              <w:outlineLvl w:val="0"/>
              <w:rPr>
                <w:rFonts w:ascii="Times New Roman" w:hAnsi="Times New Roman"/>
                <w:rtl w:val="0"/>
                <w:lang w:val="en-US"/>
              </w:rPr>
            </w:pP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>Kov</w:t>
            </w:r>
            <w:r>
              <w:rPr>
                <w:rStyle w:val="None"/>
                <w:rFonts w:ascii="Times New Roman" w:hAnsi="Times New Roman" w:hint="default"/>
                <w:u w:color="262626"/>
                <w:rtl w:val="0"/>
                <w:lang w:val="en-US"/>
              </w:rPr>
              <w:t>á</w:t>
            </w: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>cs, I. and Zar</w:t>
            </w:r>
            <w:r>
              <w:rPr>
                <w:rStyle w:val="None"/>
                <w:rFonts w:ascii="Times New Roman" w:hAnsi="Times New Roman" w:hint="default"/>
                <w:u w:color="262626"/>
                <w:rtl w:val="0"/>
                <w:lang w:val="en-US"/>
              </w:rPr>
              <w:t>á</w:t>
            </w: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>ndn</w:t>
            </w:r>
            <w:r>
              <w:rPr>
                <w:rStyle w:val="None"/>
                <w:rFonts w:ascii="Times New Roman" w:hAnsi="Times New Roman" w:hint="default"/>
                <w:u w:color="262626"/>
                <w:rtl w:val="0"/>
                <w:lang w:val="en-US"/>
              </w:rPr>
              <w:t>é</w:t>
            </w: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 xml:space="preserve">, K. V. (2022). DIGITAL MARKETING EMPLOYABILITY SKILLS IN JOB ADVERTISEMENTS-MUST-HAVE SOFT SKILLS FOR ENTRY-LEVEL WORKERS: A CONTENT ANALYSIS. </w:t>
            </w:r>
            <w:r>
              <w:rPr>
                <w:rStyle w:val="None"/>
                <w:rFonts w:ascii="Times New Roman" w:hAnsi="Times New Roman"/>
                <w:i w:val="1"/>
                <w:iCs w:val="1"/>
                <w:u w:color="262626"/>
                <w:rtl w:val="0"/>
                <w:lang w:val="en-US"/>
              </w:rPr>
              <w:t>Economics &amp; Sociology</w:t>
            </w: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 xml:space="preserve">. 15(1). pp.178-192. </w:t>
            </w:r>
          </w:p>
          <w:p>
            <w:pPr>
              <w:pStyle w:val="Default"/>
              <w:numPr>
                <w:ilvl w:val="0"/>
                <w:numId w:val="1"/>
              </w:numPr>
              <w:suppressAutoHyphens w:val="1"/>
              <w:bidi w:val="0"/>
              <w:spacing w:before="67" w:after="120"/>
              <w:ind w:right="0"/>
              <w:jc w:val="left"/>
              <w:outlineLvl w:val="0"/>
              <w:rPr>
                <w:rFonts w:ascii="Times New Roman" w:hAnsi="Times New Roman"/>
                <w:rtl w:val="0"/>
                <w:lang w:val="en-US"/>
              </w:rPr>
            </w:pP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 xml:space="preserve">Lin, M ., Qian, L., Lianyu, Z., Xiangtian, C. and Zhengjie, Z. (2022). The effects of manager role stress on job thriving of both employees and managers through empowering leadership. </w:t>
            </w:r>
            <w:r>
              <w:rPr>
                <w:rStyle w:val="None"/>
                <w:rFonts w:ascii="Times New Roman" w:hAnsi="Times New Roman"/>
                <w:i w:val="1"/>
                <w:iCs w:val="1"/>
                <w:u w:color="262626"/>
                <w:rtl w:val="0"/>
                <w:lang w:val="en-US"/>
              </w:rPr>
              <w:t>Tourism Management</w:t>
            </w:r>
            <w:r>
              <w:rPr>
                <w:rStyle w:val="None"/>
                <w:rFonts w:ascii="Times New Roman" w:hAnsi="Times New Roman"/>
                <w:u w:color="262626"/>
                <w:rtl w:val="0"/>
                <w:lang w:val="en-US"/>
              </w:rPr>
              <w:t xml:space="preserve">. 92. p.104545. </w:t>
            </w:r>
          </w:p>
          <w:p>
            <w:pPr>
              <w:pStyle w:val="Default"/>
              <w:numPr>
                <w:ilvl w:val="0"/>
                <w:numId w:val="1"/>
              </w:numPr>
              <w:suppressAutoHyphens w:val="1"/>
              <w:bidi w:val="0"/>
              <w:spacing w:before="67" w:after="120"/>
              <w:ind w:right="0"/>
              <w:jc w:val="left"/>
              <w:outlineLvl w:val="0"/>
              <w:rPr>
                <w:rFonts w:ascii="Times New Roman" w:hAnsi="Times New Roman"/>
                <w:rtl w:val="0"/>
                <w:lang w:val="en-US"/>
              </w:rPr>
            </w:pPr>
            <w:r>
              <w:rPr>
                <w:rStyle w:val="None"/>
                <w:rFonts w:ascii="Times New Roman" w:hAnsi="Times New Roman"/>
                <w:rtl w:val="0"/>
                <w:lang w:val="en-US"/>
              </w:rPr>
              <w:t xml:space="preserve">Othman, M. H., Sulor, M. A. and Haidar, M. (2022). A Review of Recent Skills Required as Engineering Project Managers. </w:t>
            </w:r>
            <w:r>
              <w:rPr>
                <w:rStyle w:val="None"/>
                <w:rFonts w:ascii="Times New Roman" w:hAnsi="Times New Roman"/>
                <w:i w:val="1"/>
                <w:iCs w:val="1"/>
                <w:rtl w:val="0"/>
                <w:lang w:val="en-US"/>
              </w:rPr>
              <w:t>Journal of Advanced Mechanical Engineering Applications</w:t>
            </w:r>
            <w:r>
              <w:rPr>
                <w:rStyle w:val="None"/>
                <w:rFonts w:ascii="Times New Roman" w:hAnsi="Times New Roman"/>
                <w:rtl w:val="0"/>
                <w:lang w:val="en-US"/>
              </w:rPr>
              <w:t xml:space="preserve">. 3(1). pp.1-5. </w:t>
            </w:r>
          </w:p>
          <w:p>
            <w:pPr>
              <w:pStyle w:val="Default"/>
              <w:numPr>
                <w:ilvl w:val="0"/>
                <w:numId w:val="1"/>
              </w:numPr>
              <w:suppressAutoHyphens w:val="1"/>
              <w:bidi w:val="0"/>
              <w:spacing w:before="67" w:after="120"/>
              <w:ind w:right="0"/>
              <w:jc w:val="left"/>
              <w:outlineLvl w:val="0"/>
              <w:rPr>
                <w:rFonts w:ascii="Times New Roman" w:hAnsi="Times New Roman"/>
                <w:rtl w:val="0"/>
                <w:lang w:val="en-US"/>
              </w:rPr>
            </w:pPr>
            <w:r>
              <w:rPr>
                <w:rStyle w:val="None"/>
                <w:rFonts w:ascii="Times New Roman" w:hAnsi="Times New Roman"/>
                <w:rtl w:val="0"/>
                <w:lang w:val="en-US"/>
              </w:rPr>
              <w:t xml:space="preserve">Sharma, A. and Kim, T. E. (2022). Exploring technical and non-technical competencies of navigators for autonomous shipping. </w:t>
            </w:r>
            <w:r>
              <w:rPr>
                <w:rStyle w:val="None"/>
                <w:rFonts w:ascii="Times New Roman" w:hAnsi="Times New Roman"/>
                <w:i w:val="1"/>
                <w:iCs w:val="1"/>
                <w:rtl w:val="0"/>
                <w:lang w:val="en-US"/>
              </w:rPr>
              <w:t>Maritime Policy &amp; Management</w:t>
            </w:r>
            <w:r>
              <w:rPr>
                <w:rStyle w:val="None"/>
                <w:rFonts w:ascii="Times New Roman" w:hAnsi="Times New Roman"/>
                <w:rtl w:val="0"/>
                <w:lang w:val="en-US"/>
              </w:rPr>
              <w:t xml:space="preserve">. 49(6). pp.831-849. </w:t>
            </w:r>
          </w:p>
          <w:p>
            <w:pPr>
              <w:pStyle w:val="Default"/>
              <w:numPr>
                <w:ilvl w:val="0"/>
                <w:numId w:val="1"/>
              </w:numPr>
              <w:suppressAutoHyphens w:val="1"/>
              <w:bidi w:val="0"/>
              <w:spacing w:before="67" w:after="120"/>
              <w:ind w:right="0"/>
              <w:jc w:val="left"/>
              <w:outlineLvl w:val="0"/>
              <w:rPr>
                <w:rFonts w:ascii="Times New Roman" w:hAnsi="Times New Roman"/>
                <w:rtl w:val="0"/>
                <w:lang w:val="en-US"/>
              </w:rPr>
            </w:pPr>
            <w:r>
              <w:rPr>
                <w:rStyle w:val="None"/>
                <w:rFonts w:ascii="Times New Roman" w:hAnsi="Times New Roman"/>
                <w:rtl w:val="0"/>
                <w:lang w:val="en-US"/>
              </w:rPr>
              <w:t xml:space="preserve">Suter, J., Irvine, A. and Howorth, C. (2023). Juggling on a tightrope: Experiences of small and micro business managers responding to employees with mental health difficulties. </w:t>
            </w:r>
            <w:r>
              <w:rPr>
                <w:rStyle w:val="None"/>
                <w:rFonts w:ascii="Times New Roman" w:hAnsi="Times New Roman"/>
                <w:i w:val="1"/>
                <w:iCs w:val="1"/>
                <w:rtl w:val="0"/>
                <w:lang w:val="en-US"/>
              </w:rPr>
              <w:t>International small business journal.</w:t>
            </w:r>
            <w:r>
              <w:rPr>
                <w:rStyle w:val="None"/>
                <w:rFonts w:ascii="Times New Roman" w:hAnsi="Times New Roman"/>
                <w:rtl w:val="0"/>
                <w:lang w:val="en-US"/>
              </w:rPr>
              <w:t xml:space="preserve"> 41(1). pp.3-34. </w:t>
            </w:r>
          </w:p>
          <w:p>
            <w:pPr>
              <w:pStyle w:val="Default"/>
              <w:numPr>
                <w:ilvl w:val="0"/>
                <w:numId w:val="1"/>
              </w:numPr>
              <w:suppressAutoHyphens w:val="1"/>
              <w:bidi w:val="0"/>
              <w:spacing w:before="67" w:after="120"/>
              <w:ind w:right="0"/>
              <w:jc w:val="left"/>
              <w:outlineLvl w:val="0"/>
              <w:rPr>
                <w:rFonts w:ascii="Times New Roman" w:hAnsi="Times New Roman"/>
                <w:rtl w:val="0"/>
                <w:lang w:val="en-US"/>
              </w:rPr>
            </w:pPr>
            <w:r>
              <w:rPr>
                <w:rStyle w:val="None"/>
                <w:rFonts w:ascii="Times New Roman" w:hAnsi="Times New Roman"/>
                <w:rtl w:val="0"/>
                <w:lang w:val="en-US"/>
              </w:rPr>
              <w:t xml:space="preserve">Tran, L. T., Ngo, N. T. H., Nguyen, H. T. M., Le, T. T. T. and Ho, T. T. H. (2022). </w:t>
            </w:r>
            <w:r>
              <w:rPr>
                <w:rStyle w:val="None"/>
                <w:rFonts w:ascii="Times New Roman" w:hAnsi="Times New Roman" w:hint="default"/>
                <w:rtl w:val="0"/>
                <w:lang w:val="en-US"/>
              </w:rPr>
              <w:t>“</w:t>
            </w:r>
            <w:r>
              <w:rPr>
                <w:rStyle w:val="None"/>
                <w:rFonts w:ascii="Times New Roman" w:hAnsi="Times New Roman"/>
                <w:rtl w:val="0"/>
                <w:lang w:val="en-US"/>
              </w:rPr>
              <w:t>Employability in context</w:t>
            </w:r>
            <w:r>
              <w:rPr>
                <w:rStyle w:val="None"/>
                <w:rFonts w:ascii="Times New Roman" w:hAnsi="Times New Roman" w:hint="default"/>
                <w:rtl w:val="0"/>
                <w:lang w:val="en-US"/>
              </w:rPr>
              <w:t>”</w:t>
            </w:r>
            <w:r>
              <w:rPr>
                <w:rStyle w:val="None"/>
                <w:rFonts w:ascii="Times New Roman" w:hAnsi="Times New Roman"/>
                <w:rtl w:val="0"/>
                <w:lang w:val="en-US"/>
              </w:rPr>
              <w:t xml:space="preserve">: graduate employability attributes expected by employers in regional Vietnam and implications for career guidance. </w:t>
            </w:r>
            <w:r>
              <w:rPr>
                <w:rStyle w:val="None"/>
                <w:rFonts w:ascii="Times New Roman" w:hAnsi="Times New Roman"/>
                <w:i w:val="1"/>
                <w:iCs w:val="1"/>
                <w:rtl w:val="0"/>
                <w:lang w:val="en-US"/>
              </w:rPr>
              <w:t>International Journal for Educational and Vocational Guidance.</w:t>
            </w:r>
            <w:r>
              <w:rPr>
                <w:rStyle w:val="None"/>
                <w:rFonts w:ascii="Times New Roman" w:hAnsi="Times New Roman"/>
                <w:rtl w:val="0"/>
                <w:lang w:val="en-US"/>
              </w:rPr>
              <w:t xml:space="preserve"> pp.1-21.</w:t>
            </w:r>
          </w:p>
          <w:p>
            <w:pPr>
              <w:pStyle w:val="Default"/>
              <w:suppressAutoHyphens w:val="1"/>
              <w:spacing w:before="67" w:after="120"/>
              <w:outlineLvl w:val="0"/>
              <w:rPr>
                <w:rStyle w:val="None"/>
                <w:rFonts w:ascii="Times New Roman" w:cs="Times New Roman" w:hAnsi="Times New Roman" w:eastAsia="Times New Roman"/>
                <w:u w:color="262626"/>
                <w:lang w:val="en-US"/>
              </w:rPr>
            </w:pPr>
          </w:p>
          <w:p>
            <w:pPr>
              <w:pStyle w:val="Default"/>
              <w:suppressAutoHyphens w:val="1"/>
              <w:spacing w:before="67" w:after="120"/>
              <w:outlineLvl w:val="0"/>
              <w:rPr>
                <w:rStyle w:val="None"/>
                <w:rFonts w:ascii="Times New Roman" w:cs="Times New Roman" w:hAnsi="Times New Roman" w:eastAsia="Times New Roman"/>
                <w:outline w:val="0"/>
                <w:color w:val="262626"/>
                <w:u w:color="262626"/>
                <w:shd w:val="nil" w:color="auto" w:fill="auto"/>
                <w:lang w:val="en-US"/>
                <w14:textFill>
                  <w14:solidFill>
                    <w14:srgbClr w14:val="262626"/>
                  </w14:solidFill>
                </w14:textFill>
              </w:rPr>
            </w:pPr>
          </w:p>
          <w:p>
            <w:pPr>
              <w:pStyle w:val="Default"/>
              <w:suppressAutoHyphens w:val="1"/>
              <w:spacing w:before="67" w:after="120"/>
              <w:outlineLvl w:val="0"/>
              <w:rPr>
                <w:rStyle w:val="None"/>
                <w:rFonts w:ascii="Times New Roman" w:cs="Times New Roman" w:hAnsi="Times New Roman" w:eastAsia="Times New Roman"/>
                <w:outline w:val="0"/>
                <w:color w:val="262626"/>
                <w:u w:color="262626"/>
                <w:shd w:val="nil" w:color="auto" w:fill="auto"/>
                <w:lang w:val="en-US"/>
                <w14:textFill>
                  <w14:solidFill>
                    <w14:srgbClr w14:val="262626"/>
                  </w14:solidFill>
                </w14:textFill>
              </w:rPr>
            </w:pPr>
          </w:p>
          <w:p>
            <w:pPr>
              <w:pStyle w:val="Default"/>
              <w:suppressAutoHyphens w:val="1"/>
              <w:spacing w:before="67" w:after="120"/>
              <w:outlineLvl w:val="0"/>
              <w:rPr>
                <w:rStyle w:val="None"/>
                <w:rFonts w:ascii="Arial" w:cs="Arial" w:hAnsi="Arial" w:eastAsia="Arial"/>
                <w:outline w:val="0"/>
                <w:color w:val="262626"/>
                <w:shd w:val="nil" w:color="auto" w:fill="auto"/>
                <w:lang w:val="en-US"/>
                <w14:textFill>
                  <w14:solidFill>
                    <w14:srgbClr w14:val="262626"/>
                  </w14:solidFill>
                </w14:textFill>
              </w:rPr>
            </w:pPr>
          </w:p>
          <w:p>
            <w:pPr>
              <w:pStyle w:val="Body A"/>
              <w:rPr>
                <w:rStyle w:val="None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rStyle w:val="None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rStyle w:val="None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rStyle w:val="None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rStyle w:val="None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rStyle w:val="None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rStyle w:val="None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rStyle w:val="None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rStyle w:val="None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rStyle w:val="None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rStyle w:val="None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rStyle w:val="None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rStyle w:val="None"/>
                <w:shd w:val="nil" w:color="auto" w:fill="auto"/>
                <w:lang w:val="en-US"/>
              </w:rPr>
            </w:pPr>
          </w:p>
          <w:p>
            <w:pPr>
              <w:pStyle w:val="Body A"/>
            </w:pPr>
            <w:r>
              <w:rPr>
                <w:rStyle w:val="None"/>
                <w:shd w:val="nil" w:color="auto" w:fill="auto"/>
                <w:lang w:val="en-US"/>
              </w:rPr>
            </w:r>
          </w:p>
        </w:tc>
      </w:tr>
    </w:tbl>
    <w:p>
      <w:pPr>
        <w:pStyle w:val="Body A"/>
        <w:widowControl w:val="0"/>
        <w:spacing w:line="240" w:lineRule="auto"/>
        <w:ind w:left="216" w:hanging="216"/>
        <w:jc w:val="center"/>
        <w:rPr>
          <w:rStyle w:val="None"/>
          <w:b w:val="1"/>
          <w:bCs w:val="1"/>
          <w:u w:val="single"/>
        </w:rPr>
      </w:pPr>
    </w:p>
    <w:p>
      <w:pPr>
        <w:pStyle w:val="Body A"/>
        <w:widowControl w:val="0"/>
        <w:spacing w:line="240" w:lineRule="auto"/>
        <w:ind w:left="108" w:hanging="108"/>
        <w:jc w:val="center"/>
        <w:rPr>
          <w:rStyle w:val="None"/>
          <w:b w:val="1"/>
          <w:bCs w:val="1"/>
          <w:u w:val="single"/>
        </w:rPr>
      </w:pPr>
    </w:p>
    <w:p>
      <w:pPr>
        <w:pStyle w:val="Body A"/>
        <w:widowControl w:val="0"/>
        <w:spacing w:line="240" w:lineRule="auto"/>
        <w:jc w:val="center"/>
        <w:rPr>
          <w:rStyle w:val="None"/>
          <w:b w:val="1"/>
          <w:bCs w:val="1"/>
          <w:u w:val="single"/>
        </w:rPr>
      </w:pPr>
    </w:p>
    <w:p>
      <w:pPr>
        <w:pStyle w:val="Body A"/>
        <w:spacing w:line="240" w:lineRule="auto"/>
      </w:pPr>
      <w:r/>
    </w:p>
    <w:sectPr>
      <w:headerReference w:type="default" r:id="rId4"/>
      <w:headerReference w:type="first" r:id="rId5"/>
      <w:footerReference w:type="default" r:id="rId6"/>
      <w:footerReference w:type="first" r:id="rId7"/>
      <w:pgSz w:w="11900" w:h="16840" w:orient="portrait"/>
      <w:pgMar w:top="720" w:right="720" w:bottom="720" w:left="720" w:header="706" w:footer="454"/>
      <w:titlePg w:val="1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footer"/>
      <w:jc w:val="center"/>
    </w:pPr>
    <w:r>
      <w:rPr>
        <w:rtl w:val="0"/>
        <w:lang w:val="en-US"/>
      </w:rPr>
      <w:t xml:space="preserve">Page </w:t>
    </w:r>
    <w:r>
      <w:rPr>
        <w:b w:val="1"/>
        <w:bCs w:val="1"/>
      </w:rPr>
      <w:fldChar w:fldCharType="begin" w:fldLock="0"/>
    </w:r>
    <w:r>
      <w:rPr>
        <w:b w:val="1"/>
        <w:bCs w:val="1"/>
      </w:rPr>
      <w:instrText xml:space="preserve"> PAGE </w:instrText>
    </w:r>
    <w:r>
      <w:rPr>
        <w:b w:val="1"/>
        <w:bCs w:val="1"/>
      </w:rPr>
      <w:fldChar w:fldCharType="separate" w:fldLock="0"/>
    </w:r>
    <w:r>
      <w:rPr>
        <w:b w:val="1"/>
        <w:bCs w:val="1"/>
      </w:rPr>
    </w:r>
    <w:r>
      <w:rPr>
        <w:b w:val="1"/>
        <w:bCs w:val="1"/>
      </w:rPr>
      <w:fldChar w:fldCharType="end" w:fldLock="0"/>
    </w:r>
    <w:r>
      <w:rPr>
        <w:rtl w:val="0"/>
        <w:lang w:val="en-US"/>
      </w:rPr>
      <w:t xml:space="preserve"> of </w:t>
    </w:r>
    <w:r>
      <w:rPr>
        <w:b w:val="1"/>
        <w:bCs w:val="1"/>
      </w:rPr>
      <w:fldChar w:fldCharType="begin" w:fldLock="0"/>
    </w:r>
    <w:r>
      <w:rPr>
        <w:b w:val="1"/>
        <w:bCs w:val="1"/>
      </w:rPr>
      <w:instrText xml:space="preserve"> NUMPAGES </w:instrText>
    </w:r>
    <w:r>
      <w:rPr>
        <w:b w:val="1"/>
        <w:bCs w:val="1"/>
      </w:rPr>
      <w:fldChar w:fldCharType="separate" w:fldLock="0"/>
    </w:r>
    <w:r>
      <w:rPr>
        <w:b w:val="1"/>
        <w:bCs w:val="1"/>
      </w:rPr>
    </w:r>
    <w:r>
      <w:rPr>
        <w:b w:val="1"/>
        <w:bCs w:val="1"/>
      </w:rPr>
      <w:fldChar w:fldCharType="end" w:fldLock="0"/>
    </w:r>
  </w:p>
</w:ftr>
</file>

<file path=word/footer2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header2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lvl w:ilvl="0">
      <w:start w:val="1"/>
      <w:numFmt w:val="bullet"/>
      <w:suff w:val="tab"/>
      <w:lvlText w:val="•"/>
      <w:lvlJc w:val="left"/>
      <w:pPr>
        <w:ind w:left="450" w:hanging="45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color w:val="83992a"/>
        <w:spacing w:val="0"/>
        <w:w w:val="100"/>
        <w:kern w:val="0"/>
        <w:position w:val="0"/>
        <w:sz w:val="28"/>
        <w:szCs w:val="28"/>
        <w:highlight w:val="none"/>
        <w:vertAlign w:val="baseline"/>
      </w:rPr>
    </w:lvl>
    <w:lvl w:ilvl="1">
      <w:start w:val="1"/>
      <w:numFmt w:val="bullet"/>
      <w:suff w:val="tab"/>
      <w:lvlText w:val="•"/>
      <w:lvlJc w:val="left"/>
      <w:pPr>
        <w:ind w:left="990" w:hanging="27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color w:val="83992a"/>
        <w:spacing w:val="0"/>
        <w:w w:val="100"/>
        <w:kern w:val="0"/>
        <w:position w:val="0"/>
        <w:sz w:val="28"/>
        <w:szCs w:val="28"/>
        <w:highlight w:val="none"/>
        <w:vertAlign w:val="baseline"/>
      </w:rPr>
    </w:lvl>
    <w:lvl w:ilvl="2">
      <w:start w:val="1"/>
      <w:numFmt w:val="bullet"/>
      <w:suff w:val="tab"/>
      <w:lvlText w:val="•"/>
      <w:lvlJc w:val="left"/>
      <w:pPr>
        <w:ind w:left="1740" w:hanging="30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color w:val="83992a"/>
        <w:spacing w:val="0"/>
        <w:w w:val="100"/>
        <w:kern w:val="0"/>
        <w:position w:val="0"/>
        <w:sz w:val="28"/>
        <w:szCs w:val="28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362" w:hanging="202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color w:val="83992a"/>
        <w:spacing w:val="0"/>
        <w:w w:val="100"/>
        <w:kern w:val="0"/>
        <w:position w:val="0"/>
        <w:sz w:val="28"/>
        <w:szCs w:val="28"/>
        <w:highlight w:val="none"/>
        <w:vertAlign w:val="baseline"/>
      </w:rPr>
    </w:lvl>
    <w:lvl w:ilvl="4">
      <w:start w:val="1"/>
      <w:numFmt w:val="bullet"/>
      <w:suff w:val="tab"/>
      <w:lvlText w:val="•"/>
      <w:lvlJc w:val="left"/>
      <w:pPr>
        <w:ind w:left="3112" w:hanging="232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color w:val="83992a"/>
        <w:spacing w:val="0"/>
        <w:w w:val="100"/>
        <w:kern w:val="0"/>
        <w:position w:val="0"/>
        <w:sz w:val="28"/>
        <w:szCs w:val="28"/>
        <w:highlight w:val="none"/>
        <w:vertAlign w:val="baseline"/>
      </w:rPr>
    </w:lvl>
    <w:lvl w:ilvl="5">
      <w:start w:val="1"/>
      <w:numFmt w:val="bullet"/>
      <w:suff w:val="tab"/>
      <w:lvlText w:val="•"/>
      <w:lvlJc w:val="left"/>
      <w:pPr>
        <w:ind w:left="3908" w:hanging="308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color w:val="83992a"/>
        <w:spacing w:val="0"/>
        <w:w w:val="100"/>
        <w:kern w:val="0"/>
        <w:position w:val="0"/>
        <w:sz w:val="28"/>
        <w:szCs w:val="28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4628" w:hanging="308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color w:val="83992a"/>
        <w:spacing w:val="0"/>
        <w:w w:val="100"/>
        <w:kern w:val="0"/>
        <w:position w:val="0"/>
        <w:sz w:val="28"/>
        <w:szCs w:val="28"/>
        <w:highlight w:val="none"/>
        <w:vertAlign w:val="baseline"/>
      </w:rPr>
    </w:lvl>
    <w:lvl w:ilvl="7">
      <w:start w:val="1"/>
      <w:numFmt w:val="bullet"/>
      <w:suff w:val="tab"/>
      <w:lvlText w:val="•"/>
      <w:lvlJc w:val="left"/>
      <w:pPr>
        <w:ind w:left="5348" w:hanging="308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color w:val="83992a"/>
        <w:spacing w:val="0"/>
        <w:w w:val="100"/>
        <w:kern w:val="0"/>
        <w:position w:val="0"/>
        <w:sz w:val="28"/>
        <w:szCs w:val="28"/>
        <w:highlight w:val="none"/>
        <w:vertAlign w:val="baseline"/>
      </w:rPr>
    </w:lvl>
    <w:lvl w:ilvl="8">
      <w:start w:val="1"/>
      <w:numFmt w:val="bullet"/>
      <w:suff w:val="tab"/>
      <w:lvlText w:val="•"/>
      <w:lvlJc w:val="left"/>
      <w:pPr>
        <w:ind w:left="6068" w:hanging="308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color w:val="83992a"/>
        <w:spacing w:val="0"/>
        <w:w w:val="100"/>
        <w:kern w:val="0"/>
        <w:position w:val="0"/>
        <w:sz w:val="28"/>
        <w:szCs w:val="28"/>
        <w:highlight w:val="none"/>
        <w:vertAlign w:val="baseli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footer">
    <w:name w:val="footer"/>
    <w:next w:val="footer"/>
    <w:pPr>
      <w:keepNext w:val="0"/>
      <w:keepLines w:val="0"/>
      <w:pageBreakBefore w:val="0"/>
      <w:widowControl w:val="1"/>
      <w:shd w:val="clear" w:color="auto" w:fill="auto"/>
      <w:tabs>
        <w:tab w:val="center" w:pos="4153"/>
        <w:tab w:val="right" w:pos="8306"/>
      </w:tabs>
      <w:suppressAutoHyphens w:val="0"/>
      <w:bidi w:val="0"/>
      <w:spacing w:before="0" w:after="0" w:line="480" w:lineRule="auto"/>
      <w:ind w:left="0" w:right="0" w:firstLine="0"/>
      <w:jc w:val="left"/>
      <w:outlineLvl w:val="9"/>
    </w:pPr>
    <w:rPr>
      <w:rFonts w:ascii="Arial" w:cs="Arial Unicode MS" w:hAnsi="Arial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Fill>
        <w14:solidFill>
          <w14:srgbClr w14:val="000000"/>
        </w14:solidFill>
      </w14:textFill>
    </w:rPr>
  </w:style>
  <w:style w:type="paragraph" w:styleId="Body A">
    <w:name w:val="Body A"/>
    <w:next w:val="Body A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480" w:lineRule="auto"/>
      <w:ind w:left="0" w:right="0" w:firstLine="0"/>
      <w:jc w:val="left"/>
      <w:outlineLvl w:val="9"/>
    </w:pPr>
    <w:rPr>
      <w:rFonts w:ascii="Arial" w:cs="Arial" w:hAnsi="Arial" w:eastAsia="Arial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Outline w14:w="12700" w14:cap="flat">
        <w14:noFill/>
        <w14:miter w14:lim="400000"/>
      </w14:textOutline>
      <w14:textFill>
        <w14:solidFill>
          <w14:srgbClr w14:val="000000"/>
        </w14:solidFill>
      </w14:textFill>
    </w:rPr>
  </w:style>
  <w:style w:type="character" w:styleId="None">
    <w:name w:val="None"/>
  </w:style>
  <w:style w:type="character" w:styleId="Hyperlink.0">
    <w:name w:val="Hyperlink.0"/>
    <w:basedOn w:val="None"/>
    <w:next w:val="Hyperlink.0"/>
    <w:rPr>
      <w:rFonts w:ascii="Arial" w:cs="Arial" w:hAnsi="Arial" w:eastAsia="Arial"/>
      <w:outline w:val="0"/>
      <w:color w:val="0000ff"/>
      <w:u w:color="0000ff"/>
      <w:shd w:val="nil" w:color="auto" w:fill="auto"/>
      <w:lang w:val="en-US"/>
      <w14:textFill>
        <w14:solidFill>
          <w14:srgbClr w14:val="0000FF"/>
        </w14:solidFill>
      </w14:textFill>
    </w:rPr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60" w:after="0" w:line="288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Outline w14:w="12700" w14:cap="flat">
        <w14:noFill/>
        <w14:miter w14:lim="400000"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header" Target="header2.xml"/><Relationship Id="rId6" Type="http://schemas.openxmlformats.org/officeDocument/2006/relationships/footer" Target="footer1.xml"/><Relationship Id="rId7" Type="http://schemas.openxmlformats.org/officeDocument/2006/relationships/footer" Target="footer2.xml"/><Relationship Id="rId8" Type="http://schemas.openxmlformats.org/officeDocument/2006/relationships/numbering" Target="numbering.xml"/><Relationship Id="rId9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