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8B5185" w14:textId="210180C4" w:rsidR="00DD4F70" w:rsidRPr="00F13B0B" w:rsidRDefault="00070912">
      <w:pPr>
        <w:rPr>
          <w:rFonts w:ascii="Segoe UI" w:hAnsi="Segoe UI" w:cs="Segoe UI"/>
          <w:color w:val="373A3C"/>
          <w:sz w:val="23"/>
          <w:szCs w:val="23"/>
          <w:u w:val="single"/>
          <w:shd w:val="clear" w:color="auto" w:fill="FFFFFF"/>
        </w:rPr>
      </w:pPr>
      <w:r w:rsidRPr="00F13B0B">
        <w:rPr>
          <w:rFonts w:ascii="Segoe UI" w:hAnsi="Segoe UI" w:cs="Segoe UI"/>
          <w:color w:val="373A3C"/>
          <w:sz w:val="23"/>
          <w:szCs w:val="23"/>
          <w:u w:val="single"/>
          <w:shd w:val="clear" w:color="auto" w:fill="FFFFFF"/>
        </w:rPr>
        <w:t xml:space="preserve">Analyse the depiction of Arthur and the Arthurian milieu in </w:t>
      </w:r>
      <w:r w:rsidRPr="00F13B0B">
        <w:rPr>
          <w:rFonts w:ascii="Segoe UI" w:hAnsi="Segoe UI" w:cs="Segoe UI"/>
          <w:i/>
          <w:iCs/>
          <w:color w:val="373A3C"/>
          <w:sz w:val="23"/>
          <w:szCs w:val="23"/>
          <w:u w:val="single"/>
          <w:shd w:val="clear" w:color="auto" w:fill="FFFFFF"/>
        </w:rPr>
        <w:t>Culhwch and Olwen</w:t>
      </w:r>
      <w:r w:rsidRPr="00F13B0B">
        <w:rPr>
          <w:rFonts w:ascii="Segoe UI" w:hAnsi="Segoe UI" w:cs="Segoe UI"/>
          <w:color w:val="373A3C"/>
          <w:sz w:val="23"/>
          <w:szCs w:val="23"/>
          <w:u w:val="single"/>
          <w:shd w:val="clear" w:color="auto" w:fill="FFFFFF"/>
        </w:rPr>
        <w:t>.</w:t>
      </w:r>
    </w:p>
    <w:p w14:paraId="2227CA09" w14:textId="552491BE" w:rsidR="00C652E3" w:rsidRDefault="00D74CE0">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tale of </w:t>
      </w:r>
      <w:r w:rsidRPr="00F13B0B">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is one of eleven collective medieval Welsh stories found in the </w:t>
      </w:r>
      <w:r w:rsidR="00100107">
        <w:rPr>
          <w:rFonts w:ascii="Segoe UI" w:hAnsi="Segoe UI" w:cs="Segoe UI"/>
          <w:color w:val="373A3C"/>
          <w:sz w:val="23"/>
          <w:szCs w:val="23"/>
          <w:shd w:val="clear" w:color="auto" w:fill="FFFFFF"/>
        </w:rPr>
        <w:t>anthology</w:t>
      </w:r>
      <w:r>
        <w:rPr>
          <w:rFonts w:ascii="Segoe UI" w:hAnsi="Segoe UI" w:cs="Segoe UI"/>
          <w:color w:val="373A3C"/>
          <w:sz w:val="23"/>
          <w:szCs w:val="23"/>
          <w:shd w:val="clear" w:color="auto" w:fill="FFFFFF"/>
        </w:rPr>
        <w:t xml:space="preserve"> known as the </w:t>
      </w:r>
      <w:r w:rsidRPr="00D74CE0">
        <w:rPr>
          <w:rFonts w:ascii="Segoe UI" w:hAnsi="Segoe UI" w:cs="Segoe UI"/>
          <w:i/>
          <w:iCs/>
          <w:color w:val="373A3C"/>
          <w:sz w:val="23"/>
          <w:szCs w:val="23"/>
          <w:shd w:val="clear" w:color="auto" w:fill="FFFFFF"/>
        </w:rPr>
        <w:t>Mabinogion.</w:t>
      </w:r>
      <w:r>
        <w:rPr>
          <w:rFonts w:ascii="Segoe UI" w:hAnsi="Segoe UI" w:cs="Segoe UI"/>
          <w:color w:val="373A3C"/>
          <w:sz w:val="23"/>
          <w:szCs w:val="23"/>
          <w:shd w:val="clear" w:color="auto" w:fill="FFFFFF"/>
        </w:rPr>
        <w:t xml:space="preserve"> </w:t>
      </w:r>
      <w:r w:rsidR="00100107">
        <w:rPr>
          <w:rFonts w:ascii="Segoe UI" w:hAnsi="Segoe UI" w:cs="Segoe UI"/>
          <w:color w:val="373A3C"/>
          <w:sz w:val="23"/>
          <w:szCs w:val="23"/>
          <w:shd w:val="clear" w:color="auto" w:fill="FFFFFF"/>
        </w:rPr>
        <w:t xml:space="preserve">The </w:t>
      </w:r>
      <w:r w:rsidR="00100107" w:rsidRPr="00F13B0B">
        <w:rPr>
          <w:rFonts w:ascii="Segoe UI" w:hAnsi="Segoe UI" w:cs="Segoe UI"/>
          <w:i/>
          <w:iCs/>
          <w:color w:val="373A3C"/>
          <w:sz w:val="23"/>
          <w:szCs w:val="23"/>
          <w:shd w:val="clear" w:color="auto" w:fill="FFFFFF"/>
        </w:rPr>
        <w:t>Mabinogion</w:t>
      </w:r>
      <w:r w:rsidR="00100107">
        <w:rPr>
          <w:rFonts w:ascii="Segoe UI" w:hAnsi="Segoe UI" w:cs="Segoe UI"/>
          <w:color w:val="373A3C"/>
          <w:sz w:val="23"/>
          <w:szCs w:val="23"/>
          <w:shd w:val="clear" w:color="auto" w:fill="FFFFFF"/>
        </w:rPr>
        <w:t xml:space="preserve"> is found mostly over two separate manuscripts, the </w:t>
      </w:r>
      <w:r w:rsidR="00100107" w:rsidRPr="009F62B6">
        <w:rPr>
          <w:rFonts w:ascii="Segoe UI" w:hAnsi="Segoe UI" w:cs="Segoe UI"/>
          <w:i/>
          <w:iCs/>
          <w:color w:val="373A3C"/>
          <w:sz w:val="23"/>
          <w:szCs w:val="23"/>
          <w:shd w:val="clear" w:color="auto" w:fill="FFFFFF"/>
        </w:rPr>
        <w:t xml:space="preserve">White Book of </w:t>
      </w:r>
      <w:r w:rsidR="00F13B0B" w:rsidRPr="009F62B6">
        <w:rPr>
          <w:rFonts w:ascii="Segoe UI" w:hAnsi="Segoe UI" w:cs="Segoe UI"/>
          <w:i/>
          <w:iCs/>
          <w:color w:val="373A3C"/>
          <w:sz w:val="23"/>
          <w:szCs w:val="23"/>
          <w:shd w:val="clear" w:color="auto" w:fill="FFFFFF"/>
        </w:rPr>
        <w:t>Rhydderch,</w:t>
      </w:r>
      <w:r w:rsidR="00F13B0B">
        <w:rPr>
          <w:rFonts w:ascii="Segoe UI" w:hAnsi="Segoe UI" w:cs="Segoe UI"/>
          <w:color w:val="373A3C"/>
          <w:sz w:val="23"/>
          <w:szCs w:val="23"/>
          <w:shd w:val="clear" w:color="auto" w:fill="FFFFFF"/>
        </w:rPr>
        <w:t xml:space="preserve"> dated to circa 1350 and found in the National Library of Wales in Aberystwyth and the </w:t>
      </w:r>
      <w:r w:rsidR="00F13B0B" w:rsidRPr="009F62B6">
        <w:rPr>
          <w:rFonts w:ascii="Segoe UI" w:hAnsi="Segoe UI" w:cs="Segoe UI"/>
          <w:i/>
          <w:iCs/>
          <w:color w:val="373A3C"/>
          <w:sz w:val="23"/>
          <w:szCs w:val="23"/>
          <w:shd w:val="clear" w:color="auto" w:fill="FFFFFF"/>
        </w:rPr>
        <w:t>Red Book of Hergest,</w:t>
      </w:r>
      <w:r w:rsidR="00F13B0B">
        <w:rPr>
          <w:rFonts w:ascii="Segoe UI" w:hAnsi="Segoe UI" w:cs="Segoe UI"/>
          <w:color w:val="373A3C"/>
          <w:sz w:val="23"/>
          <w:szCs w:val="23"/>
          <w:shd w:val="clear" w:color="auto" w:fill="FFFFFF"/>
        </w:rPr>
        <w:t xml:space="preserve"> in the Bodleian Library, Oxford and dated to between 1382 and 1410.</w:t>
      </w:r>
      <w:r w:rsidR="00F13B0B">
        <w:rPr>
          <w:rStyle w:val="FootnoteReference"/>
          <w:rFonts w:ascii="Segoe UI" w:hAnsi="Segoe UI" w:cs="Segoe UI"/>
          <w:color w:val="373A3C"/>
          <w:sz w:val="23"/>
          <w:szCs w:val="23"/>
          <w:shd w:val="clear" w:color="auto" w:fill="FFFFFF"/>
        </w:rPr>
        <w:footnoteReference w:id="1"/>
      </w:r>
      <w:r w:rsidR="00F13B0B">
        <w:rPr>
          <w:rFonts w:ascii="Segoe UI" w:hAnsi="Segoe UI" w:cs="Segoe UI"/>
          <w:color w:val="373A3C"/>
          <w:sz w:val="23"/>
          <w:szCs w:val="23"/>
          <w:shd w:val="clear" w:color="auto" w:fill="FFFFFF"/>
        </w:rPr>
        <w:t xml:space="preserve"> </w:t>
      </w:r>
      <w:r w:rsidR="00F13B0B" w:rsidRPr="00F13B0B">
        <w:rPr>
          <w:rFonts w:ascii="Segoe UI" w:hAnsi="Segoe UI" w:cs="Segoe UI"/>
          <w:i/>
          <w:iCs/>
          <w:color w:val="373A3C"/>
          <w:sz w:val="23"/>
          <w:szCs w:val="23"/>
          <w:shd w:val="clear" w:color="auto" w:fill="FFFFFF"/>
        </w:rPr>
        <w:t>Culhwch and Olwen</w:t>
      </w:r>
      <w:r w:rsidR="00F13B0B">
        <w:rPr>
          <w:rFonts w:ascii="Segoe UI" w:hAnsi="Segoe UI" w:cs="Segoe UI"/>
          <w:color w:val="373A3C"/>
          <w:sz w:val="23"/>
          <w:szCs w:val="23"/>
          <w:shd w:val="clear" w:color="auto" w:fill="FFFFFF"/>
        </w:rPr>
        <w:t xml:space="preserve"> is ranked as “one of the loveliest in the collection”</w:t>
      </w:r>
      <w:r w:rsidR="00F13B0B">
        <w:rPr>
          <w:rStyle w:val="FootnoteReference"/>
          <w:rFonts w:ascii="Segoe UI" w:hAnsi="Segoe UI" w:cs="Segoe UI"/>
          <w:color w:val="373A3C"/>
          <w:sz w:val="23"/>
          <w:szCs w:val="23"/>
          <w:shd w:val="clear" w:color="auto" w:fill="FFFFFF"/>
        </w:rPr>
        <w:footnoteReference w:id="2"/>
      </w:r>
      <w:r w:rsidR="00F13B0B">
        <w:rPr>
          <w:rFonts w:ascii="Segoe UI" w:hAnsi="Segoe UI" w:cs="Segoe UI"/>
          <w:color w:val="373A3C"/>
          <w:sz w:val="23"/>
          <w:szCs w:val="23"/>
          <w:shd w:val="clear" w:color="auto" w:fill="FFFFFF"/>
        </w:rPr>
        <w:t xml:space="preserve"> by Goyne, who analyses the themes of Arthurian literature, dating this tale to circa 1100, during a period of revised interest in folk tales.</w:t>
      </w:r>
      <w:r w:rsidR="00F13B0B">
        <w:rPr>
          <w:rStyle w:val="FootnoteReference"/>
          <w:rFonts w:ascii="Segoe UI" w:hAnsi="Segoe UI" w:cs="Segoe UI"/>
          <w:color w:val="373A3C"/>
          <w:sz w:val="23"/>
          <w:szCs w:val="23"/>
          <w:shd w:val="clear" w:color="auto" w:fill="FFFFFF"/>
        </w:rPr>
        <w:footnoteReference w:id="3"/>
      </w:r>
      <w:r w:rsidR="00F13B0B">
        <w:rPr>
          <w:rFonts w:ascii="Segoe UI" w:hAnsi="Segoe UI" w:cs="Segoe UI"/>
          <w:color w:val="373A3C"/>
          <w:sz w:val="23"/>
          <w:szCs w:val="23"/>
          <w:shd w:val="clear" w:color="auto" w:fill="FFFFFF"/>
        </w:rPr>
        <w:t xml:space="preserve"> Though </w:t>
      </w:r>
      <w:r w:rsidR="00F13B0B" w:rsidRPr="009F62B6">
        <w:rPr>
          <w:rFonts w:ascii="Segoe UI" w:hAnsi="Segoe UI" w:cs="Segoe UI"/>
          <w:i/>
          <w:iCs/>
          <w:color w:val="373A3C"/>
          <w:sz w:val="23"/>
          <w:szCs w:val="23"/>
          <w:shd w:val="clear" w:color="auto" w:fill="FFFFFF"/>
        </w:rPr>
        <w:t>Culhwch and Olwen</w:t>
      </w:r>
      <w:r w:rsidR="00F13B0B">
        <w:rPr>
          <w:rFonts w:ascii="Segoe UI" w:hAnsi="Segoe UI" w:cs="Segoe UI"/>
          <w:color w:val="373A3C"/>
          <w:sz w:val="23"/>
          <w:szCs w:val="23"/>
          <w:shd w:val="clear" w:color="auto" w:fill="FFFFFF"/>
        </w:rPr>
        <w:t xml:space="preserve"> is seemingly a straightforward tale of our hero, Culhwch, pursuing his love Olwen and battling her villainous father for her hand in marriage, upon closer inspection the depiction of each character, and the </w:t>
      </w:r>
      <w:r w:rsidR="00C652E3">
        <w:rPr>
          <w:rFonts w:ascii="Segoe UI" w:hAnsi="Segoe UI" w:cs="Segoe UI"/>
          <w:color w:val="373A3C"/>
          <w:sz w:val="23"/>
          <w:szCs w:val="23"/>
          <w:shd w:val="clear" w:color="auto" w:fill="FFFFFF"/>
        </w:rPr>
        <w:t xml:space="preserve">society they reside in, we are lead to a more complex analysis of the themes and structure of this tale. </w:t>
      </w:r>
      <w:r w:rsidR="00F13B0B">
        <w:rPr>
          <w:rFonts w:ascii="Segoe UI" w:hAnsi="Segoe UI" w:cs="Segoe UI"/>
          <w:color w:val="373A3C"/>
          <w:sz w:val="23"/>
          <w:szCs w:val="23"/>
          <w:shd w:val="clear" w:color="auto" w:fill="FFFFFF"/>
        </w:rPr>
        <w:t xml:space="preserve"> </w:t>
      </w:r>
    </w:p>
    <w:p w14:paraId="76F80D1F" w14:textId="2FE41339" w:rsidR="00AB22F6" w:rsidRDefault="00160939">
      <w:pPr>
        <w:rPr>
          <w:rFonts w:ascii="Segoe UI" w:hAnsi="Segoe UI" w:cs="Segoe UI"/>
          <w:color w:val="373A3C"/>
          <w:sz w:val="23"/>
          <w:szCs w:val="23"/>
          <w:shd w:val="clear" w:color="auto" w:fill="FFFFFF"/>
        </w:rPr>
      </w:pPr>
      <w:r w:rsidRPr="009F62B6">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features many recycled stories from other Arthurian tales which help create a </w:t>
      </w:r>
      <w:r w:rsidR="000D1A18">
        <w:rPr>
          <w:rFonts w:ascii="Segoe UI" w:hAnsi="Segoe UI" w:cs="Segoe UI"/>
          <w:color w:val="373A3C"/>
          <w:sz w:val="23"/>
          <w:szCs w:val="23"/>
          <w:shd w:val="clear" w:color="auto" w:fill="FFFFFF"/>
        </w:rPr>
        <w:t xml:space="preserve">consistent depiction of the Arthurian milieu across the </w:t>
      </w:r>
      <w:r w:rsidR="000D1A18" w:rsidRPr="009F62B6">
        <w:rPr>
          <w:rFonts w:ascii="Segoe UI" w:hAnsi="Segoe UI" w:cs="Segoe UI"/>
          <w:i/>
          <w:iCs/>
          <w:color w:val="373A3C"/>
          <w:sz w:val="23"/>
          <w:szCs w:val="23"/>
          <w:shd w:val="clear" w:color="auto" w:fill="FFFFFF"/>
        </w:rPr>
        <w:t>Mabinogion.</w:t>
      </w:r>
      <w:r w:rsidR="000D1A18">
        <w:rPr>
          <w:rFonts w:ascii="Segoe UI" w:hAnsi="Segoe UI" w:cs="Segoe UI"/>
          <w:color w:val="373A3C"/>
          <w:sz w:val="23"/>
          <w:szCs w:val="23"/>
          <w:shd w:val="clear" w:color="auto" w:fill="FFFFFF"/>
        </w:rPr>
        <w:t xml:space="preserve"> One of these stories seen in </w:t>
      </w:r>
      <w:r w:rsidR="000D1A18" w:rsidRPr="009F62B6">
        <w:rPr>
          <w:rFonts w:ascii="Segoe UI" w:hAnsi="Segoe UI" w:cs="Segoe UI"/>
          <w:i/>
          <w:iCs/>
          <w:color w:val="373A3C"/>
          <w:sz w:val="23"/>
          <w:szCs w:val="23"/>
          <w:shd w:val="clear" w:color="auto" w:fill="FFFFFF"/>
        </w:rPr>
        <w:t>Culhwch and Olwen</w:t>
      </w:r>
      <w:r w:rsidR="000D1A18">
        <w:rPr>
          <w:rFonts w:ascii="Segoe UI" w:hAnsi="Segoe UI" w:cs="Segoe UI"/>
          <w:color w:val="373A3C"/>
          <w:sz w:val="23"/>
          <w:szCs w:val="23"/>
          <w:shd w:val="clear" w:color="auto" w:fill="FFFFFF"/>
        </w:rPr>
        <w:t xml:space="preserve"> is the boar hunt. The hunting of aforementioned boar, or Twrch Trwyth, has a long history in medieval Welsh literature, including the ninth-century text, </w:t>
      </w:r>
      <w:r w:rsidR="000D1A18" w:rsidRPr="000D1A18">
        <w:rPr>
          <w:rFonts w:ascii="Segoe UI" w:hAnsi="Segoe UI" w:cs="Segoe UI"/>
          <w:i/>
          <w:iCs/>
          <w:color w:val="373A3C"/>
          <w:sz w:val="23"/>
          <w:szCs w:val="23"/>
          <w:shd w:val="clear" w:color="auto" w:fill="FFFFFF"/>
        </w:rPr>
        <w:t>History of Britons</w:t>
      </w:r>
      <w:r w:rsidR="000D1A18">
        <w:rPr>
          <w:rFonts w:ascii="Segoe UI" w:hAnsi="Segoe UI" w:cs="Segoe UI"/>
          <w:color w:val="373A3C"/>
          <w:sz w:val="23"/>
          <w:szCs w:val="23"/>
          <w:shd w:val="clear" w:color="auto" w:fill="FFFFFF"/>
        </w:rPr>
        <w:t>.</w:t>
      </w:r>
      <w:r w:rsidR="000D1A18">
        <w:rPr>
          <w:rStyle w:val="FootnoteReference"/>
          <w:rFonts w:ascii="Segoe UI" w:hAnsi="Segoe UI" w:cs="Segoe UI"/>
          <w:color w:val="373A3C"/>
          <w:sz w:val="23"/>
          <w:szCs w:val="23"/>
          <w:shd w:val="clear" w:color="auto" w:fill="FFFFFF"/>
        </w:rPr>
        <w:footnoteReference w:id="4"/>
      </w:r>
      <w:r w:rsidR="000D1A18">
        <w:rPr>
          <w:rFonts w:ascii="Segoe UI" w:hAnsi="Segoe UI" w:cs="Segoe UI"/>
          <w:color w:val="373A3C"/>
          <w:sz w:val="23"/>
          <w:szCs w:val="23"/>
          <w:shd w:val="clear" w:color="auto" w:fill="FFFFFF"/>
        </w:rPr>
        <w:t xml:space="preserve"> In </w:t>
      </w:r>
      <w:r w:rsidR="000D1A18" w:rsidRPr="009F62B6">
        <w:rPr>
          <w:rFonts w:ascii="Segoe UI" w:hAnsi="Segoe UI" w:cs="Segoe UI"/>
          <w:i/>
          <w:iCs/>
          <w:color w:val="373A3C"/>
          <w:sz w:val="23"/>
          <w:szCs w:val="23"/>
          <w:shd w:val="clear" w:color="auto" w:fill="FFFFFF"/>
        </w:rPr>
        <w:t xml:space="preserve">Culhwch and Olwen, </w:t>
      </w:r>
      <w:r w:rsidR="000D1A18">
        <w:rPr>
          <w:rFonts w:ascii="Segoe UI" w:hAnsi="Segoe UI" w:cs="Segoe UI"/>
          <w:color w:val="373A3C"/>
          <w:sz w:val="23"/>
          <w:szCs w:val="23"/>
          <w:shd w:val="clear" w:color="auto" w:fill="FFFFFF"/>
        </w:rPr>
        <w:t>the boar is hunted as one of the many tasks set for Culhwch by Olwen’s father, the giant Ysbaddaden, for the comb and scissors required to trim the giants hair. This ask is framed in the format specifically structured for this monologue, as Ysbaddaden asks and explains why he needs such an item after saying “there is something you will not get”.</w:t>
      </w:r>
      <w:r w:rsidR="000D1A18">
        <w:rPr>
          <w:rStyle w:val="FootnoteReference"/>
          <w:rFonts w:ascii="Segoe UI" w:hAnsi="Segoe UI" w:cs="Segoe UI"/>
          <w:color w:val="373A3C"/>
          <w:sz w:val="23"/>
          <w:szCs w:val="23"/>
          <w:shd w:val="clear" w:color="auto" w:fill="FFFFFF"/>
        </w:rPr>
        <w:footnoteReference w:id="5"/>
      </w:r>
      <w:r w:rsidR="002C27A4">
        <w:rPr>
          <w:rFonts w:ascii="Segoe UI" w:hAnsi="Segoe UI" w:cs="Segoe UI"/>
          <w:color w:val="373A3C"/>
          <w:sz w:val="23"/>
          <w:szCs w:val="23"/>
          <w:shd w:val="clear" w:color="auto" w:fill="FFFFFF"/>
        </w:rPr>
        <w:t xml:space="preserve"> </w:t>
      </w:r>
      <w:r w:rsidR="00D87BF8">
        <w:rPr>
          <w:rFonts w:ascii="Segoe UI" w:hAnsi="Segoe UI" w:cs="Segoe UI"/>
          <w:color w:val="373A3C"/>
          <w:sz w:val="23"/>
          <w:szCs w:val="23"/>
          <w:shd w:val="clear" w:color="auto" w:fill="FFFFFF"/>
        </w:rPr>
        <w:t xml:space="preserve">The hunt of Twrch Trwyth is seen in the </w:t>
      </w:r>
      <w:r w:rsidR="00D87BF8" w:rsidRPr="00D87BF8">
        <w:rPr>
          <w:rFonts w:ascii="Segoe UI" w:hAnsi="Segoe UI" w:cs="Segoe UI"/>
          <w:i/>
          <w:iCs/>
          <w:color w:val="373A3C"/>
          <w:sz w:val="23"/>
          <w:szCs w:val="23"/>
          <w:shd w:val="clear" w:color="auto" w:fill="FFFFFF"/>
        </w:rPr>
        <w:t>Mirabilia</w:t>
      </w:r>
      <w:r w:rsidR="00D87BF8">
        <w:rPr>
          <w:rFonts w:ascii="Segoe UI" w:hAnsi="Segoe UI" w:cs="Segoe UI"/>
          <w:color w:val="373A3C"/>
          <w:sz w:val="23"/>
          <w:szCs w:val="23"/>
          <w:shd w:val="clear" w:color="auto" w:fill="FFFFFF"/>
        </w:rPr>
        <w:t xml:space="preserve"> affixed to the </w:t>
      </w:r>
      <w:r w:rsidR="00D87BF8" w:rsidRPr="00D87BF8">
        <w:rPr>
          <w:rFonts w:ascii="Segoe UI" w:hAnsi="Segoe UI" w:cs="Segoe UI"/>
          <w:i/>
          <w:iCs/>
          <w:color w:val="373A3C"/>
          <w:sz w:val="23"/>
          <w:szCs w:val="23"/>
          <w:shd w:val="clear" w:color="auto" w:fill="FFFFFF"/>
        </w:rPr>
        <w:t>History of Britons,</w:t>
      </w:r>
      <w:r w:rsidR="00D87BF8">
        <w:rPr>
          <w:rFonts w:ascii="Segoe UI" w:hAnsi="Segoe UI" w:cs="Segoe UI"/>
          <w:color w:val="373A3C"/>
          <w:sz w:val="23"/>
          <w:szCs w:val="23"/>
          <w:shd w:val="clear" w:color="auto" w:fill="FFFFFF"/>
        </w:rPr>
        <w:t xml:space="preserve"> or </w:t>
      </w:r>
      <w:r w:rsidR="00D87BF8" w:rsidRPr="00D87BF8">
        <w:rPr>
          <w:rFonts w:ascii="Segoe UI" w:hAnsi="Segoe UI" w:cs="Segoe UI"/>
          <w:i/>
          <w:iCs/>
          <w:color w:val="373A3C"/>
          <w:sz w:val="23"/>
          <w:szCs w:val="23"/>
          <w:shd w:val="clear" w:color="auto" w:fill="FFFFFF"/>
        </w:rPr>
        <w:t>Historia Brittonum</w:t>
      </w:r>
      <w:r w:rsidR="00D87BF8">
        <w:rPr>
          <w:rFonts w:ascii="Segoe UI" w:hAnsi="Segoe UI" w:cs="Segoe UI"/>
          <w:color w:val="373A3C"/>
          <w:sz w:val="23"/>
          <w:szCs w:val="23"/>
          <w:shd w:val="clear" w:color="auto" w:fill="FFFFFF"/>
        </w:rPr>
        <w:t xml:space="preserve"> where Arthur fights the boar with the help of his hound Cafall and therefore secures its place as a tale which supersedes Celtic tradition.</w:t>
      </w:r>
      <w:r w:rsidR="00D87BF8">
        <w:rPr>
          <w:rStyle w:val="FootnoteReference"/>
          <w:rFonts w:ascii="Segoe UI" w:hAnsi="Segoe UI" w:cs="Segoe UI"/>
          <w:color w:val="373A3C"/>
          <w:sz w:val="23"/>
          <w:szCs w:val="23"/>
          <w:shd w:val="clear" w:color="auto" w:fill="FFFFFF"/>
        </w:rPr>
        <w:footnoteReference w:id="6"/>
      </w:r>
      <w:r w:rsidR="00D87BF8">
        <w:rPr>
          <w:rFonts w:ascii="Segoe UI" w:hAnsi="Segoe UI" w:cs="Segoe UI"/>
          <w:color w:val="373A3C"/>
          <w:sz w:val="23"/>
          <w:szCs w:val="23"/>
          <w:shd w:val="clear" w:color="auto" w:fill="FFFFFF"/>
        </w:rPr>
        <w:t xml:space="preserve"> This all aids the rooting of </w:t>
      </w:r>
      <w:r w:rsidR="00D87BF8" w:rsidRPr="009F62B6">
        <w:rPr>
          <w:rFonts w:ascii="Segoe UI" w:hAnsi="Segoe UI" w:cs="Segoe UI"/>
          <w:i/>
          <w:iCs/>
          <w:color w:val="373A3C"/>
          <w:sz w:val="23"/>
          <w:szCs w:val="23"/>
          <w:shd w:val="clear" w:color="auto" w:fill="FFFFFF"/>
        </w:rPr>
        <w:t>Culhwch and Olwen</w:t>
      </w:r>
      <w:r w:rsidR="00D87BF8">
        <w:rPr>
          <w:rFonts w:ascii="Segoe UI" w:hAnsi="Segoe UI" w:cs="Segoe UI"/>
          <w:color w:val="373A3C"/>
          <w:sz w:val="23"/>
          <w:szCs w:val="23"/>
          <w:shd w:val="clear" w:color="auto" w:fill="FFFFFF"/>
        </w:rPr>
        <w:t xml:space="preserve"> as a traditional Welsh tale and allows for the depiction of Arthur and the Arthurian milieu to keep some consistency throughout the various tales, though the stories about said hunts and similarly recycled tales vary, and therefore the manner and situation in which Twrch Trwyth is slain is inconsistent, the heroism and bravery of the Arthurian milieu to take on such a beast is coherent and reliable as a depiction. </w:t>
      </w:r>
    </w:p>
    <w:p w14:paraId="5BC2360B" w14:textId="0374B2FD" w:rsidR="00D87BF8" w:rsidRDefault="00D87BF8">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In a similar motif, there are other ways in which the tale of </w:t>
      </w:r>
      <w:r w:rsidRPr="009F62B6">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maintains an ordinary and consistent depiction of the Arthurian milieu through the use of themes. </w:t>
      </w:r>
      <w:r w:rsidRPr="009F62B6">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falls into the category of “the Giant’s daughter”</w:t>
      </w:r>
      <w:r w:rsidR="00847E7B">
        <w:rPr>
          <w:rFonts w:ascii="Segoe UI" w:hAnsi="Segoe UI" w:cs="Segoe UI"/>
          <w:color w:val="373A3C"/>
          <w:sz w:val="23"/>
          <w:szCs w:val="23"/>
          <w:shd w:val="clear" w:color="auto" w:fill="FFFFFF"/>
        </w:rPr>
        <w:t>,</w:t>
      </w:r>
      <w:r>
        <w:rPr>
          <w:rStyle w:val="FootnoteReference"/>
          <w:rFonts w:ascii="Segoe UI" w:hAnsi="Segoe UI" w:cs="Segoe UI"/>
          <w:color w:val="373A3C"/>
          <w:sz w:val="23"/>
          <w:szCs w:val="23"/>
          <w:shd w:val="clear" w:color="auto" w:fill="FFFFFF"/>
        </w:rPr>
        <w:footnoteReference w:id="7"/>
      </w:r>
      <w:r>
        <w:rPr>
          <w:rFonts w:ascii="Segoe UI" w:hAnsi="Segoe UI" w:cs="Segoe UI"/>
          <w:color w:val="373A3C"/>
          <w:sz w:val="23"/>
          <w:szCs w:val="23"/>
          <w:shd w:val="clear" w:color="auto" w:fill="FFFFFF"/>
        </w:rPr>
        <w:t xml:space="preserve"> </w:t>
      </w:r>
      <w:r w:rsidR="00847E7B">
        <w:rPr>
          <w:rFonts w:ascii="Segoe UI" w:hAnsi="Segoe UI" w:cs="Segoe UI"/>
          <w:color w:val="373A3C"/>
          <w:sz w:val="23"/>
          <w:szCs w:val="23"/>
          <w:shd w:val="clear" w:color="auto" w:fill="FFFFFF"/>
        </w:rPr>
        <w:t xml:space="preserve">formally known as </w:t>
      </w:r>
      <w:r w:rsidR="00847E7B">
        <w:rPr>
          <w:rFonts w:ascii="Segoe UI" w:hAnsi="Segoe UI" w:cs="Segoe UI"/>
          <w:color w:val="373A3C"/>
          <w:sz w:val="23"/>
          <w:szCs w:val="23"/>
          <w:shd w:val="clear" w:color="auto" w:fill="FFFFFF"/>
        </w:rPr>
        <w:lastRenderedPageBreak/>
        <w:t>“six go through the world type”</w:t>
      </w:r>
      <w:r w:rsidR="00847E7B">
        <w:rPr>
          <w:rStyle w:val="FootnoteReference"/>
          <w:rFonts w:ascii="Segoe UI" w:hAnsi="Segoe UI" w:cs="Segoe UI"/>
          <w:color w:val="373A3C"/>
          <w:sz w:val="23"/>
          <w:szCs w:val="23"/>
          <w:shd w:val="clear" w:color="auto" w:fill="FFFFFF"/>
        </w:rPr>
        <w:footnoteReference w:id="8"/>
      </w:r>
      <w:r w:rsidR="00847E7B">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in regards to the theme of the folktale and its being a “bridal quest”</w:t>
      </w:r>
      <w:r w:rsidR="00847E7B">
        <w:rPr>
          <w:rStyle w:val="FootnoteReference"/>
          <w:rFonts w:ascii="Segoe UI" w:hAnsi="Segoe UI" w:cs="Segoe UI"/>
          <w:color w:val="373A3C"/>
          <w:sz w:val="23"/>
          <w:szCs w:val="23"/>
          <w:shd w:val="clear" w:color="auto" w:fill="FFFFFF"/>
        </w:rPr>
        <w:footnoteReference w:id="9"/>
      </w:r>
      <w:r w:rsidR="00847E7B">
        <w:rPr>
          <w:rFonts w:ascii="Segoe UI" w:hAnsi="Segoe UI" w:cs="Segoe UI"/>
          <w:color w:val="373A3C"/>
          <w:sz w:val="23"/>
          <w:szCs w:val="23"/>
          <w:shd w:val="clear" w:color="auto" w:fill="FFFFFF"/>
        </w:rPr>
        <w:t xml:space="preserve"> stereotype. There are many ways in which </w:t>
      </w:r>
      <w:r w:rsidR="00847E7B" w:rsidRPr="009F62B6">
        <w:rPr>
          <w:rFonts w:ascii="Segoe UI" w:hAnsi="Segoe UI" w:cs="Segoe UI"/>
          <w:i/>
          <w:iCs/>
          <w:color w:val="373A3C"/>
          <w:sz w:val="23"/>
          <w:szCs w:val="23"/>
          <w:shd w:val="clear" w:color="auto" w:fill="FFFFFF"/>
        </w:rPr>
        <w:t xml:space="preserve">Culhwch and Olwen </w:t>
      </w:r>
      <w:r w:rsidR="00847E7B">
        <w:rPr>
          <w:rFonts w:ascii="Segoe UI" w:hAnsi="Segoe UI" w:cs="Segoe UI"/>
          <w:color w:val="373A3C"/>
          <w:sz w:val="23"/>
          <w:szCs w:val="23"/>
          <w:shd w:val="clear" w:color="auto" w:fill="FFFFFF"/>
        </w:rPr>
        <w:t>falls into this categor</w:t>
      </w:r>
      <w:r w:rsidR="009F62B6">
        <w:rPr>
          <w:rFonts w:ascii="Segoe UI" w:hAnsi="Segoe UI" w:cs="Segoe UI"/>
          <w:color w:val="373A3C"/>
          <w:sz w:val="23"/>
          <w:szCs w:val="23"/>
          <w:shd w:val="clear" w:color="auto" w:fill="FFFFFF"/>
        </w:rPr>
        <w:t>y’</w:t>
      </w:r>
      <w:r w:rsidR="00847E7B">
        <w:rPr>
          <w:rFonts w:ascii="Segoe UI" w:hAnsi="Segoe UI" w:cs="Segoe UI"/>
          <w:color w:val="373A3C"/>
          <w:sz w:val="23"/>
          <w:szCs w:val="23"/>
          <w:shd w:val="clear" w:color="auto" w:fill="FFFFFF"/>
        </w:rPr>
        <w:t xml:space="preserve">s stereotypes, from the jealous step-mother motif, to the hero’s strange birth, to the protagonist falling in love with his bride after hearing only her name. These all are used to reinforce the stereotypes of this folktale category and maintain a consistency between tales. In the words of Davies, </w:t>
      </w:r>
      <w:r w:rsidR="00847E7B" w:rsidRPr="009F62B6">
        <w:rPr>
          <w:rFonts w:ascii="Segoe UI" w:hAnsi="Segoe UI" w:cs="Segoe UI"/>
          <w:i/>
          <w:iCs/>
          <w:color w:val="373A3C"/>
          <w:sz w:val="23"/>
          <w:szCs w:val="23"/>
          <w:shd w:val="clear" w:color="auto" w:fill="FFFFFF"/>
        </w:rPr>
        <w:t>Culhwch and Olwen’s</w:t>
      </w:r>
      <w:r w:rsidR="00847E7B">
        <w:rPr>
          <w:rFonts w:ascii="Segoe UI" w:hAnsi="Segoe UI" w:cs="Segoe UI"/>
          <w:color w:val="373A3C"/>
          <w:sz w:val="23"/>
          <w:szCs w:val="23"/>
          <w:shd w:val="clear" w:color="auto" w:fill="FFFFFF"/>
        </w:rPr>
        <w:t xml:space="preserve"> underlying structure is “quite simple, and is a focus for a myriad of international motifs”.</w:t>
      </w:r>
      <w:r w:rsidR="00847E7B">
        <w:rPr>
          <w:rStyle w:val="FootnoteReference"/>
          <w:rFonts w:ascii="Segoe UI" w:hAnsi="Segoe UI" w:cs="Segoe UI"/>
          <w:color w:val="373A3C"/>
          <w:sz w:val="23"/>
          <w:szCs w:val="23"/>
          <w:shd w:val="clear" w:color="auto" w:fill="FFFFFF"/>
        </w:rPr>
        <w:footnoteReference w:id="10"/>
      </w:r>
      <w:r w:rsidR="00847E7B">
        <w:rPr>
          <w:rFonts w:ascii="Segoe UI" w:hAnsi="Segoe UI" w:cs="Segoe UI"/>
          <w:color w:val="373A3C"/>
          <w:sz w:val="23"/>
          <w:szCs w:val="23"/>
          <w:shd w:val="clear" w:color="auto" w:fill="FFFFFF"/>
        </w:rPr>
        <w:t xml:space="preserve"> With this information, it is logical to draw the conclusion that </w:t>
      </w:r>
      <w:r w:rsidR="00847E7B" w:rsidRPr="009F62B6">
        <w:rPr>
          <w:rFonts w:ascii="Segoe UI" w:hAnsi="Segoe UI" w:cs="Segoe UI"/>
          <w:i/>
          <w:iCs/>
          <w:color w:val="373A3C"/>
          <w:sz w:val="23"/>
          <w:szCs w:val="23"/>
          <w:shd w:val="clear" w:color="auto" w:fill="FFFFFF"/>
        </w:rPr>
        <w:t>Culhwch and Olwen</w:t>
      </w:r>
      <w:r w:rsidR="00847E7B">
        <w:rPr>
          <w:rFonts w:ascii="Segoe UI" w:hAnsi="Segoe UI" w:cs="Segoe UI"/>
          <w:color w:val="373A3C"/>
          <w:sz w:val="23"/>
          <w:szCs w:val="23"/>
          <w:shd w:val="clear" w:color="auto" w:fill="FFFFFF"/>
        </w:rPr>
        <w:t xml:space="preserve"> is a tale consisting of mere stereotypes and the same few stories already heard by the original, intended audience. </w:t>
      </w:r>
    </w:p>
    <w:p w14:paraId="1A8D39B3" w14:textId="09BE886F" w:rsidR="00847E7B" w:rsidRDefault="00847E7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However, </w:t>
      </w:r>
      <w:r w:rsidR="004B1C18">
        <w:rPr>
          <w:rFonts w:ascii="Segoe UI" w:hAnsi="Segoe UI" w:cs="Segoe UI"/>
          <w:color w:val="373A3C"/>
          <w:sz w:val="23"/>
          <w:szCs w:val="23"/>
          <w:shd w:val="clear" w:color="auto" w:fill="FFFFFF"/>
        </w:rPr>
        <w:t xml:space="preserve">the world of </w:t>
      </w:r>
      <w:r w:rsidR="004B1C18" w:rsidRPr="009F62B6">
        <w:rPr>
          <w:rFonts w:ascii="Segoe UI" w:hAnsi="Segoe UI" w:cs="Segoe UI"/>
          <w:i/>
          <w:iCs/>
          <w:color w:val="373A3C"/>
          <w:sz w:val="23"/>
          <w:szCs w:val="23"/>
          <w:shd w:val="clear" w:color="auto" w:fill="FFFFFF"/>
        </w:rPr>
        <w:t>Culhwch and Olwen</w:t>
      </w:r>
      <w:r w:rsidR="004B1C18">
        <w:rPr>
          <w:rFonts w:ascii="Segoe UI" w:hAnsi="Segoe UI" w:cs="Segoe UI"/>
          <w:color w:val="373A3C"/>
          <w:sz w:val="23"/>
          <w:szCs w:val="23"/>
          <w:shd w:val="clear" w:color="auto" w:fill="FFFFFF"/>
        </w:rPr>
        <w:t xml:space="preserve"> is presented differently than what is seen in other, similar tales of the </w:t>
      </w:r>
      <w:r w:rsidR="004B1C18" w:rsidRPr="009F62B6">
        <w:rPr>
          <w:rFonts w:ascii="Segoe UI" w:hAnsi="Segoe UI" w:cs="Segoe UI"/>
          <w:i/>
          <w:iCs/>
          <w:color w:val="373A3C"/>
          <w:sz w:val="23"/>
          <w:szCs w:val="23"/>
          <w:shd w:val="clear" w:color="auto" w:fill="FFFFFF"/>
        </w:rPr>
        <w:t>Mabinogion.</w:t>
      </w:r>
      <w:r w:rsidR="004B1C18">
        <w:rPr>
          <w:rFonts w:ascii="Segoe UI" w:hAnsi="Segoe UI" w:cs="Segoe UI"/>
          <w:color w:val="373A3C"/>
          <w:sz w:val="23"/>
          <w:szCs w:val="23"/>
          <w:shd w:val="clear" w:color="auto" w:fill="FFFFFF"/>
        </w:rPr>
        <w:t xml:space="preserve"> The Arthurian milieu, as presented </w:t>
      </w:r>
      <w:r w:rsidR="004B1C18" w:rsidRPr="009F62B6">
        <w:rPr>
          <w:rFonts w:ascii="Segoe UI" w:hAnsi="Segoe UI" w:cs="Segoe UI"/>
          <w:i/>
          <w:iCs/>
          <w:color w:val="373A3C"/>
          <w:sz w:val="23"/>
          <w:szCs w:val="23"/>
          <w:shd w:val="clear" w:color="auto" w:fill="FFFFFF"/>
        </w:rPr>
        <w:t>in Culhwch and Olwen</w:t>
      </w:r>
      <w:r w:rsidR="004B1C18">
        <w:rPr>
          <w:rFonts w:ascii="Segoe UI" w:hAnsi="Segoe UI" w:cs="Segoe UI"/>
          <w:color w:val="373A3C"/>
          <w:sz w:val="23"/>
          <w:szCs w:val="23"/>
          <w:shd w:val="clear" w:color="auto" w:fill="FFFFFF"/>
        </w:rPr>
        <w:t xml:space="preserve"> is met with giants and magical creatures, </w:t>
      </w:r>
      <w:r w:rsidR="002D4997">
        <w:rPr>
          <w:rFonts w:ascii="Segoe UI" w:hAnsi="Segoe UI" w:cs="Segoe UI"/>
          <w:color w:val="373A3C"/>
          <w:sz w:val="23"/>
          <w:szCs w:val="23"/>
          <w:shd w:val="clear" w:color="auto" w:fill="FFFFFF"/>
        </w:rPr>
        <w:t xml:space="preserve">Arthur, </w:t>
      </w:r>
      <w:r w:rsidR="004B1C18">
        <w:rPr>
          <w:rFonts w:ascii="Segoe UI" w:hAnsi="Segoe UI" w:cs="Segoe UI"/>
          <w:color w:val="373A3C"/>
          <w:sz w:val="23"/>
          <w:szCs w:val="23"/>
          <w:shd w:val="clear" w:color="auto" w:fill="FFFFFF"/>
        </w:rPr>
        <w:t xml:space="preserve">Culhwch and their men </w:t>
      </w:r>
      <w:r w:rsidR="002D4997">
        <w:rPr>
          <w:rFonts w:ascii="Segoe UI" w:hAnsi="Segoe UI" w:cs="Segoe UI"/>
          <w:color w:val="373A3C"/>
          <w:sz w:val="23"/>
          <w:szCs w:val="23"/>
          <w:shd w:val="clear" w:color="auto" w:fill="FFFFFF"/>
        </w:rPr>
        <w:t>are presented with an atmosphere</w:t>
      </w:r>
      <w:r w:rsidR="004B1C18">
        <w:rPr>
          <w:rFonts w:ascii="Segoe UI" w:hAnsi="Segoe UI" w:cs="Segoe UI"/>
          <w:color w:val="373A3C"/>
          <w:sz w:val="23"/>
          <w:szCs w:val="23"/>
          <w:shd w:val="clear" w:color="auto" w:fill="FFFFFF"/>
        </w:rPr>
        <w:t xml:space="preserve"> of heroism and masculinity and </w:t>
      </w:r>
      <w:r w:rsidR="002D4997">
        <w:rPr>
          <w:rFonts w:ascii="Segoe UI" w:hAnsi="Segoe UI" w:cs="Segoe UI"/>
          <w:color w:val="373A3C"/>
          <w:sz w:val="23"/>
          <w:szCs w:val="23"/>
          <w:shd w:val="clear" w:color="auto" w:fill="FFFFFF"/>
        </w:rPr>
        <w:t xml:space="preserve">the tale </w:t>
      </w:r>
      <w:r w:rsidR="004B1C18">
        <w:rPr>
          <w:rFonts w:ascii="Segoe UI" w:hAnsi="Segoe UI" w:cs="Segoe UI"/>
          <w:color w:val="373A3C"/>
          <w:sz w:val="23"/>
          <w:szCs w:val="23"/>
          <w:shd w:val="clear" w:color="auto" w:fill="FFFFFF"/>
        </w:rPr>
        <w:t>centres the court of Arthur at Celli Wig in Cornwall.</w:t>
      </w:r>
      <w:r w:rsidR="004B1C18">
        <w:rPr>
          <w:rStyle w:val="FootnoteReference"/>
          <w:rFonts w:ascii="Segoe UI" w:hAnsi="Segoe UI" w:cs="Segoe UI"/>
          <w:color w:val="373A3C"/>
          <w:sz w:val="23"/>
          <w:szCs w:val="23"/>
          <w:shd w:val="clear" w:color="auto" w:fill="FFFFFF"/>
        </w:rPr>
        <w:footnoteReference w:id="11"/>
      </w:r>
      <w:r w:rsidR="004B1C18">
        <w:rPr>
          <w:rFonts w:ascii="Segoe UI" w:hAnsi="Segoe UI" w:cs="Segoe UI"/>
          <w:color w:val="373A3C"/>
          <w:sz w:val="23"/>
          <w:szCs w:val="23"/>
          <w:shd w:val="clear" w:color="auto" w:fill="FFFFFF"/>
        </w:rPr>
        <w:t xml:space="preserve"> However, in the tales </w:t>
      </w:r>
      <w:r w:rsidR="004B1C18" w:rsidRPr="004B1C18">
        <w:rPr>
          <w:rFonts w:ascii="Segoe UI" w:hAnsi="Segoe UI" w:cs="Segoe UI"/>
          <w:i/>
          <w:iCs/>
          <w:color w:val="373A3C"/>
          <w:sz w:val="23"/>
          <w:szCs w:val="23"/>
          <w:shd w:val="clear" w:color="auto" w:fill="FFFFFF"/>
        </w:rPr>
        <w:t xml:space="preserve">Peredur son of </w:t>
      </w:r>
      <w:proofErr w:type="spellStart"/>
      <w:r w:rsidR="004B1C18" w:rsidRPr="004B1C18">
        <w:rPr>
          <w:rFonts w:ascii="Segoe UI" w:hAnsi="Segoe UI" w:cs="Segoe UI"/>
          <w:i/>
          <w:iCs/>
          <w:color w:val="373A3C"/>
          <w:sz w:val="23"/>
          <w:szCs w:val="23"/>
          <w:shd w:val="clear" w:color="auto" w:fill="FFFFFF"/>
        </w:rPr>
        <w:t>Efrog</w:t>
      </w:r>
      <w:proofErr w:type="spellEnd"/>
      <w:r w:rsidR="004B1C18" w:rsidRPr="004B1C18">
        <w:rPr>
          <w:rFonts w:ascii="Segoe UI" w:hAnsi="Segoe UI" w:cs="Segoe UI"/>
          <w:i/>
          <w:iCs/>
          <w:color w:val="373A3C"/>
          <w:sz w:val="23"/>
          <w:szCs w:val="23"/>
          <w:shd w:val="clear" w:color="auto" w:fill="FFFFFF"/>
        </w:rPr>
        <w:t>, Geraint son of Erbin</w:t>
      </w:r>
      <w:r w:rsidR="004B1C18">
        <w:rPr>
          <w:rFonts w:ascii="Segoe UI" w:hAnsi="Segoe UI" w:cs="Segoe UI"/>
          <w:color w:val="373A3C"/>
          <w:sz w:val="23"/>
          <w:szCs w:val="23"/>
          <w:shd w:val="clear" w:color="auto" w:fill="FFFFFF"/>
        </w:rPr>
        <w:t xml:space="preserve"> and </w:t>
      </w:r>
      <w:r w:rsidR="004B1C18" w:rsidRPr="004B1C18">
        <w:rPr>
          <w:rFonts w:ascii="Segoe UI" w:hAnsi="Segoe UI" w:cs="Segoe UI"/>
          <w:i/>
          <w:iCs/>
          <w:color w:val="373A3C"/>
          <w:sz w:val="23"/>
          <w:szCs w:val="23"/>
          <w:shd w:val="clear" w:color="auto" w:fill="FFFFFF"/>
        </w:rPr>
        <w:t>The Lady of the Well</w:t>
      </w:r>
      <w:r w:rsidR="004B1C18">
        <w:rPr>
          <w:rFonts w:ascii="Segoe UI" w:hAnsi="Segoe UI" w:cs="Segoe UI"/>
          <w:color w:val="373A3C"/>
          <w:sz w:val="23"/>
          <w:szCs w:val="23"/>
          <w:shd w:val="clear" w:color="auto" w:fill="FFFFFF"/>
        </w:rPr>
        <w:t xml:space="preserve">, the themes and atmosphere presented seems to follow that of romance literature. The court of Arthur is relocated to </w:t>
      </w:r>
      <w:proofErr w:type="spellStart"/>
      <w:r w:rsidR="004B1C18">
        <w:rPr>
          <w:rFonts w:ascii="Segoe UI" w:hAnsi="Segoe UI" w:cs="Segoe UI"/>
          <w:color w:val="373A3C"/>
          <w:sz w:val="23"/>
          <w:szCs w:val="23"/>
          <w:shd w:val="clear" w:color="auto" w:fill="FFFFFF"/>
        </w:rPr>
        <w:t>Caerllion</w:t>
      </w:r>
      <w:proofErr w:type="spellEnd"/>
      <w:r w:rsidR="004B1C18">
        <w:rPr>
          <w:rFonts w:ascii="Segoe UI" w:hAnsi="Segoe UI" w:cs="Segoe UI"/>
          <w:color w:val="373A3C"/>
          <w:sz w:val="23"/>
          <w:szCs w:val="23"/>
          <w:shd w:val="clear" w:color="auto" w:fill="FFFFFF"/>
        </w:rPr>
        <w:t xml:space="preserve"> on </w:t>
      </w:r>
      <w:proofErr w:type="spellStart"/>
      <w:r w:rsidR="004B1C18">
        <w:rPr>
          <w:rFonts w:ascii="Segoe UI" w:hAnsi="Segoe UI" w:cs="Segoe UI"/>
          <w:color w:val="373A3C"/>
          <w:sz w:val="23"/>
          <w:szCs w:val="23"/>
          <w:shd w:val="clear" w:color="auto" w:fill="FFFFFF"/>
        </w:rPr>
        <w:t>Usk</w:t>
      </w:r>
      <w:proofErr w:type="spellEnd"/>
      <w:r w:rsidR="004B1C18">
        <w:rPr>
          <w:rFonts w:ascii="Segoe UI" w:hAnsi="Segoe UI" w:cs="Segoe UI"/>
          <w:color w:val="373A3C"/>
          <w:sz w:val="23"/>
          <w:szCs w:val="23"/>
          <w:shd w:val="clear" w:color="auto" w:fill="FFFFFF"/>
        </w:rPr>
        <w:t xml:space="preserve"> and is shadowed by the influence of Geoffrey of Monmouth</w:t>
      </w:r>
      <w:r w:rsidR="002D4997">
        <w:rPr>
          <w:rFonts w:ascii="Segoe UI" w:hAnsi="Segoe UI" w:cs="Segoe UI"/>
          <w:color w:val="373A3C"/>
          <w:sz w:val="23"/>
          <w:szCs w:val="23"/>
          <w:shd w:val="clear" w:color="auto" w:fill="FFFFFF"/>
        </w:rPr>
        <w:t>.</w:t>
      </w:r>
      <w:r w:rsidR="004B1C18">
        <w:rPr>
          <w:rFonts w:ascii="Segoe UI" w:hAnsi="Segoe UI" w:cs="Segoe UI"/>
          <w:color w:val="373A3C"/>
          <w:sz w:val="23"/>
          <w:szCs w:val="23"/>
          <w:shd w:val="clear" w:color="auto" w:fill="FFFFFF"/>
        </w:rPr>
        <w:t xml:space="preserve"> </w:t>
      </w:r>
      <w:r w:rsidR="002D4997">
        <w:rPr>
          <w:rFonts w:ascii="Segoe UI" w:hAnsi="Segoe UI" w:cs="Segoe UI"/>
          <w:color w:val="373A3C"/>
          <w:sz w:val="23"/>
          <w:szCs w:val="23"/>
          <w:shd w:val="clear" w:color="auto" w:fill="FFFFFF"/>
        </w:rPr>
        <w:t>Within these tales both Owain and Geraint win their brides, but become preoccupied or neglectful in favour of their fellow warriors and knights, presenting the union of knights being above all else.</w:t>
      </w:r>
      <w:r w:rsidR="002D4997">
        <w:rPr>
          <w:rStyle w:val="FootnoteReference"/>
          <w:rFonts w:ascii="Segoe UI" w:hAnsi="Segoe UI" w:cs="Segoe UI"/>
          <w:color w:val="373A3C"/>
          <w:sz w:val="23"/>
          <w:szCs w:val="23"/>
          <w:shd w:val="clear" w:color="auto" w:fill="FFFFFF"/>
        </w:rPr>
        <w:footnoteReference w:id="12"/>
      </w:r>
      <w:r w:rsidR="002D4997">
        <w:rPr>
          <w:rFonts w:ascii="Segoe UI" w:hAnsi="Segoe UI" w:cs="Segoe UI"/>
          <w:color w:val="373A3C"/>
          <w:sz w:val="23"/>
          <w:szCs w:val="23"/>
          <w:shd w:val="clear" w:color="auto" w:fill="FFFFFF"/>
        </w:rPr>
        <w:t xml:space="preserve"> The actions in these texts is dazed and dream-like in a way that seems as though they are not thought out. There is no clear political boundary to the rule of Arthur, nor any geographical limit to his reach, or the hero’s journey</w:t>
      </w:r>
      <w:r w:rsidR="00715109">
        <w:rPr>
          <w:rFonts w:ascii="Segoe UI" w:hAnsi="Segoe UI" w:cs="Segoe UI"/>
          <w:color w:val="373A3C"/>
          <w:sz w:val="23"/>
          <w:szCs w:val="23"/>
          <w:shd w:val="clear" w:color="auto" w:fill="FFFFFF"/>
        </w:rPr>
        <w:t>, as if the world itself is unreal.</w:t>
      </w:r>
      <w:r w:rsidR="00715109">
        <w:rPr>
          <w:rStyle w:val="FootnoteReference"/>
          <w:rFonts w:ascii="Segoe UI" w:hAnsi="Segoe UI" w:cs="Segoe UI"/>
          <w:color w:val="373A3C"/>
          <w:sz w:val="23"/>
          <w:szCs w:val="23"/>
          <w:shd w:val="clear" w:color="auto" w:fill="FFFFFF"/>
        </w:rPr>
        <w:footnoteReference w:id="13"/>
      </w:r>
      <w:r w:rsidR="002D4997">
        <w:rPr>
          <w:rFonts w:ascii="Segoe UI" w:hAnsi="Segoe UI" w:cs="Segoe UI"/>
          <w:color w:val="373A3C"/>
          <w:sz w:val="23"/>
          <w:szCs w:val="23"/>
          <w:shd w:val="clear" w:color="auto" w:fill="FFFFFF"/>
        </w:rPr>
        <w:t xml:space="preserve"> </w:t>
      </w:r>
      <w:r w:rsidR="00715109">
        <w:rPr>
          <w:rFonts w:ascii="Segoe UI" w:hAnsi="Segoe UI" w:cs="Segoe UI"/>
          <w:color w:val="373A3C"/>
          <w:sz w:val="23"/>
          <w:szCs w:val="23"/>
          <w:shd w:val="clear" w:color="auto" w:fill="FFFFFF"/>
        </w:rPr>
        <w:t xml:space="preserve">These factors made the texts of </w:t>
      </w:r>
      <w:r w:rsidR="00715109" w:rsidRPr="004B1C18">
        <w:rPr>
          <w:rFonts w:ascii="Segoe UI" w:hAnsi="Segoe UI" w:cs="Segoe UI"/>
          <w:i/>
          <w:iCs/>
          <w:color w:val="373A3C"/>
          <w:sz w:val="23"/>
          <w:szCs w:val="23"/>
          <w:shd w:val="clear" w:color="auto" w:fill="FFFFFF"/>
        </w:rPr>
        <w:t xml:space="preserve">Peredur son of </w:t>
      </w:r>
      <w:proofErr w:type="spellStart"/>
      <w:r w:rsidR="00715109" w:rsidRPr="004B1C18">
        <w:rPr>
          <w:rFonts w:ascii="Segoe UI" w:hAnsi="Segoe UI" w:cs="Segoe UI"/>
          <w:i/>
          <w:iCs/>
          <w:color w:val="373A3C"/>
          <w:sz w:val="23"/>
          <w:szCs w:val="23"/>
          <w:shd w:val="clear" w:color="auto" w:fill="FFFFFF"/>
        </w:rPr>
        <w:t>Efrog</w:t>
      </w:r>
      <w:proofErr w:type="spellEnd"/>
      <w:r w:rsidR="00715109" w:rsidRPr="004B1C18">
        <w:rPr>
          <w:rFonts w:ascii="Segoe UI" w:hAnsi="Segoe UI" w:cs="Segoe UI"/>
          <w:i/>
          <w:iCs/>
          <w:color w:val="373A3C"/>
          <w:sz w:val="23"/>
          <w:szCs w:val="23"/>
          <w:shd w:val="clear" w:color="auto" w:fill="FFFFFF"/>
        </w:rPr>
        <w:t>, Geraint son of Erbin</w:t>
      </w:r>
      <w:r w:rsidR="00715109">
        <w:rPr>
          <w:rFonts w:ascii="Segoe UI" w:hAnsi="Segoe UI" w:cs="Segoe UI"/>
          <w:color w:val="373A3C"/>
          <w:sz w:val="23"/>
          <w:szCs w:val="23"/>
          <w:shd w:val="clear" w:color="auto" w:fill="FFFFFF"/>
        </w:rPr>
        <w:t xml:space="preserve"> and </w:t>
      </w:r>
      <w:r w:rsidR="00715109" w:rsidRPr="004B1C18">
        <w:rPr>
          <w:rFonts w:ascii="Segoe UI" w:hAnsi="Segoe UI" w:cs="Segoe UI"/>
          <w:i/>
          <w:iCs/>
          <w:color w:val="373A3C"/>
          <w:sz w:val="23"/>
          <w:szCs w:val="23"/>
          <w:shd w:val="clear" w:color="auto" w:fill="FFFFFF"/>
        </w:rPr>
        <w:t>The Lady of the Wel</w:t>
      </w:r>
      <w:r w:rsidR="00715109">
        <w:rPr>
          <w:rFonts w:ascii="Segoe UI" w:hAnsi="Segoe UI" w:cs="Segoe UI"/>
          <w:i/>
          <w:iCs/>
          <w:color w:val="373A3C"/>
          <w:sz w:val="23"/>
          <w:szCs w:val="23"/>
          <w:shd w:val="clear" w:color="auto" w:fill="FFFFFF"/>
        </w:rPr>
        <w:t xml:space="preserve">l </w:t>
      </w:r>
      <w:r w:rsidR="00715109">
        <w:rPr>
          <w:rFonts w:ascii="Segoe UI" w:hAnsi="Segoe UI" w:cs="Segoe UI"/>
          <w:color w:val="373A3C"/>
          <w:sz w:val="23"/>
          <w:szCs w:val="23"/>
          <w:shd w:val="clear" w:color="auto" w:fill="FFFFFF"/>
        </w:rPr>
        <w:t xml:space="preserve">read entirely differently to </w:t>
      </w:r>
      <w:r w:rsidR="00715109" w:rsidRPr="009F62B6">
        <w:rPr>
          <w:rFonts w:ascii="Segoe UI" w:hAnsi="Segoe UI" w:cs="Segoe UI"/>
          <w:i/>
          <w:iCs/>
          <w:color w:val="373A3C"/>
          <w:sz w:val="23"/>
          <w:szCs w:val="23"/>
          <w:shd w:val="clear" w:color="auto" w:fill="FFFFFF"/>
        </w:rPr>
        <w:t>Culhwch and Olwen</w:t>
      </w:r>
      <w:r w:rsidR="00715109">
        <w:rPr>
          <w:rFonts w:ascii="Segoe UI" w:hAnsi="Segoe UI" w:cs="Segoe UI"/>
          <w:color w:val="373A3C"/>
          <w:sz w:val="23"/>
          <w:szCs w:val="23"/>
          <w:shd w:val="clear" w:color="auto" w:fill="FFFFFF"/>
        </w:rPr>
        <w:t xml:space="preserve">, as if set in entirely different time periods and locations, and with a different set of characters and rulers, presenting an inconsistency in the depiction of the Arthurian milieu. </w:t>
      </w:r>
    </w:p>
    <w:p w14:paraId="09CCA7B3" w14:textId="47D3629E" w:rsidR="00715109" w:rsidRDefault="00715109" w:rsidP="00715109">
      <w:r>
        <w:rPr>
          <w:rFonts w:ascii="Segoe UI" w:hAnsi="Segoe UI" w:cs="Segoe UI"/>
          <w:color w:val="373A3C"/>
          <w:sz w:val="23"/>
          <w:szCs w:val="23"/>
          <w:shd w:val="clear" w:color="auto" w:fill="FFFFFF"/>
        </w:rPr>
        <w:t xml:space="preserve">An explanation of this, of course, comes with the storytelling practise of the oral tradition. Although the </w:t>
      </w:r>
      <w:r w:rsidRPr="009F62B6">
        <w:rPr>
          <w:rFonts w:ascii="Segoe UI" w:hAnsi="Segoe UI" w:cs="Segoe UI"/>
          <w:i/>
          <w:iCs/>
          <w:color w:val="373A3C"/>
          <w:sz w:val="23"/>
          <w:szCs w:val="23"/>
          <w:shd w:val="clear" w:color="auto" w:fill="FFFFFF"/>
        </w:rPr>
        <w:t>Mabinogion</w:t>
      </w:r>
      <w:r>
        <w:rPr>
          <w:rFonts w:ascii="Segoe UI" w:hAnsi="Segoe UI" w:cs="Segoe UI"/>
          <w:color w:val="373A3C"/>
          <w:sz w:val="23"/>
          <w:szCs w:val="23"/>
          <w:shd w:val="clear" w:color="auto" w:fill="FFFFFF"/>
        </w:rPr>
        <w:t xml:space="preserve"> is now written down between the manuscripts of the </w:t>
      </w:r>
      <w:r w:rsidRPr="009F62B6">
        <w:rPr>
          <w:rFonts w:ascii="Segoe UI" w:hAnsi="Segoe UI" w:cs="Segoe UI"/>
          <w:i/>
          <w:iCs/>
          <w:color w:val="373A3C"/>
          <w:sz w:val="23"/>
          <w:szCs w:val="23"/>
          <w:shd w:val="clear" w:color="auto" w:fill="FFFFFF"/>
        </w:rPr>
        <w:t>White Book of Rhydderch</w:t>
      </w:r>
      <w:r>
        <w:rPr>
          <w:rFonts w:ascii="Segoe UI" w:hAnsi="Segoe UI" w:cs="Segoe UI"/>
          <w:color w:val="373A3C"/>
          <w:sz w:val="23"/>
          <w:szCs w:val="23"/>
          <w:shd w:val="clear" w:color="auto" w:fill="FFFFFF"/>
        </w:rPr>
        <w:t xml:space="preserve"> and the </w:t>
      </w:r>
      <w:r w:rsidRPr="009F62B6">
        <w:rPr>
          <w:rFonts w:ascii="Segoe UI" w:hAnsi="Segoe UI" w:cs="Segoe UI"/>
          <w:i/>
          <w:iCs/>
          <w:color w:val="373A3C"/>
          <w:sz w:val="23"/>
          <w:szCs w:val="23"/>
          <w:shd w:val="clear" w:color="auto" w:fill="FFFFFF"/>
        </w:rPr>
        <w:t>Red Book of Hergest,</w:t>
      </w:r>
      <w:r>
        <w:rPr>
          <w:rFonts w:ascii="Segoe UI" w:hAnsi="Segoe UI" w:cs="Segoe UI"/>
          <w:color w:val="373A3C"/>
          <w:sz w:val="23"/>
          <w:szCs w:val="23"/>
          <w:shd w:val="clear" w:color="auto" w:fill="FFFFFF"/>
        </w:rPr>
        <w:t xml:space="preserve"> the tales are heavily inspired and drawn from the oral tradition of storytelling.</w:t>
      </w:r>
      <w:r>
        <w:rPr>
          <w:rStyle w:val="FootnoteReference"/>
          <w:rFonts w:ascii="Segoe UI" w:hAnsi="Segoe UI" w:cs="Segoe UI"/>
          <w:color w:val="373A3C"/>
          <w:sz w:val="23"/>
          <w:szCs w:val="23"/>
          <w:shd w:val="clear" w:color="auto" w:fill="FFFFFF"/>
        </w:rPr>
        <w:footnoteReference w:id="14"/>
      </w:r>
      <w:r>
        <w:rPr>
          <w:rFonts w:ascii="Segoe UI" w:hAnsi="Segoe UI" w:cs="Segoe UI"/>
          <w:color w:val="373A3C"/>
          <w:sz w:val="23"/>
          <w:szCs w:val="23"/>
          <w:shd w:val="clear" w:color="auto" w:fill="FFFFFF"/>
        </w:rPr>
        <w:t xml:space="preserve"> Though it is unlikely that the</w:t>
      </w:r>
      <w:r w:rsidRPr="009F62B6">
        <w:rPr>
          <w:rFonts w:ascii="Segoe UI" w:hAnsi="Segoe UI" w:cs="Segoe UI"/>
          <w:i/>
          <w:iCs/>
          <w:color w:val="373A3C"/>
          <w:sz w:val="23"/>
          <w:szCs w:val="23"/>
          <w:shd w:val="clear" w:color="auto" w:fill="FFFFFF"/>
        </w:rPr>
        <w:t xml:space="preserve"> Mabinogion </w:t>
      </w:r>
      <w:r>
        <w:rPr>
          <w:rFonts w:ascii="Segoe UI" w:hAnsi="Segoe UI" w:cs="Segoe UI"/>
          <w:color w:val="373A3C"/>
          <w:sz w:val="23"/>
          <w:szCs w:val="23"/>
          <w:shd w:val="clear" w:color="auto" w:fill="FFFFFF"/>
        </w:rPr>
        <w:t xml:space="preserve">and its tales are direct transcripts of oral prose, they are likely to be the work of authors that take traditional works, shared originally through memory and recited stories and written for later use. This leads to a lack of ownership of the material and a sense of a </w:t>
      </w:r>
      <w:r>
        <w:rPr>
          <w:rFonts w:ascii="Segoe UI" w:hAnsi="Segoe UI" w:cs="Segoe UI"/>
          <w:color w:val="373A3C"/>
          <w:sz w:val="23"/>
          <w:szCs w:val="23"/>
          <w:shd w:val="clear" w:color="auto" w:fill="FFFFFF"/>
        </w:rPr>
        <w:lastRenderedPageBreak/>
        <w:t>collective memory being used to recount such tales, as the stories cannot be attributed to one single author.</w:t>
      </w:r>
      <w:r>
        <w:rPr>
          <w:rStyle w:val="FootnoteReference"/>
          <w:rFonts w:ascii="Segoe UI" w:hAnsi="Segoe UI" w:cs="Segoe UI"/>
          <w:color w:val="373A3C"/>
          <w:sz w:val="23"/>
          <w:szCs w:val="23"/>
          <w:shd w:val="clear" w:color="auto" w:fill="FFFFFF"/>
        </w:rPr>
        <w:footnoteReference w:id="15"/>
      </w:r>
      <w:r>
        <w:rPr>
          <w:rFonts w:ascii="Segoe UI" w:hAnsi="Segoe UI" w:cs="Segoe UI"/>
          <w:color w:val="373A3C"/>
          <w:sz w:val="23"/>
          <w:szCs w:val="23"/>
          <w:shd w:val="clear" w:color="auto" w:fill="FFFFFF"/>
        </w:rPr>
        <w:t xml:space="preserve"> This means that inconsistencies, whether this being a recycling of stories with different purposes, as we see in the slaying of Twrch Trwyth, the location inconsistencies of Arthur’s court, or the changing motives, personalities and involvement of important figures such as Arthur, can be attributed to the </w:t>
      </w:r>
      <w:r w:rsidR="004E7F46">
        <w:rPr>
          <w:rFonts w:ascii="Segoe UI" w:hAnsi="Segoe UI" w:cs="Segoe UI"/>
          <w:color w:val="373A3C"/>
          <w:sz w:val="23"/>
          <w:szCs w:val="23"/>
          <w:shd w:val="clear" w:color="auto" w:fill="FFFFFF"/>
        </w:rPr>
        <w:t>diversity of memories and authors likely to have had a hand in the writing of these tales.</w:t>
      </w:r>
    </w:p>
    <w:p w14:paraId="04BACC5D" w14:textId="775201D4" w:rsidR="002D4997" w:rsidRDefault="009F62B6" w:rsidP="004E7F4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The</w:t>
      </w:r>
      <w:r w:rsidR="004E7F46">
        <w:rPr>
          <w:rFonts w:ascii="Segoe UI" w:hAnsi="Segoe UI" w:cs="Segoe UI"/>
          <w:color w:val="373A3C"/>
          <w:sz w:val="23"/>
          <w:szCs w:val="23"/>
          <w:shd w:val="clear" w:color="auto" w:fill="FFFFFF"/>
        </w:rPr>
        <w:t xml:space="preserve"> discrepancies in the depiction of Arthur leads to an interesting involvement of the figure in </w:t>
      </w:r>
      <w:r w:rsidR="004E7F46" w:rsidRPr="009F62B6">
        <w:rPr>
          <w:rFonts w:ascii="Segoe UI" w:hAnsi="Segoe UI" w:cs="Segoe UI"/>
          <w:i/>
          <w:iCs/>
          <w:color w:val="373A3C"/>
          <w:sz w:val="23"/>
          <w:szCs w:val="23"/>
          <w:shd w:val="clear" w:color="auto" w:fill="FFFFFF"/>
        </w:rPr>
        <w:t>Culhwch and Olwen.</w:t>
      </w:r>
      <w:r w:rsidR="004E7F46">
        <w:rPr>
          <w:rFonts w:ascii="Segoe UI" w:hAnsi="Segoe UI" w:cs="Segoe UI"/>
          <w:color w:val="373A3C"/>
          <w:sz w:val="23"/>
          <w:szCs w:val="23"/>
          <w:shd w:val="clear" w:color="auto" w:fill="FFFFFF"/>
        </w:rPr>
        <w:t xml:space="preserve"> In this prose text, the overarching depiction is </w:t>
      </w:r>
      <w:r w:rsidR="002D4997">
        <w:rPr>
          <w:rFonts w:ascii="Segoe UI" w:hAnsi="Segoe UI" w:cs="Segoe UI"/>
          <w:color w:val="373A3C"/>
          <w:sz w:val="23"/>
          <w:szCs w:val="23"/>
          <w:shd w:val="clear" w:color="auto" w:fill="FFFFFF"/>
        </w:rPr>
        <w:t>Arthur as a present and proactive figure,</w:t>
      </w:r>
      <w:r w:rsidR="004E7F46">
        <w:rPr>
          <w:rFonts w:ascii="Segoe UI" w:hAnsi="Segoe UI" w:cs="Segoe UI"/>
          <w:color w:val="373A3C"/>
          <w:sz w:val="23"/>
          <w:szCs w:val="23"/>
          <w:shd w:val="clear" w:color="auto" w:fill="FFFFFF"/>
        </w:rPr>
        <w:t xml:space="preserve"> who</w:t>
      </w:r>
      <w:r w:rsidR="002D4997">
        <w:rPr>
          <w:rFonts w:ascii="Segoe UI" w:hAnsi="Segoe UI" w:cs="Segoe UI"/>
          <w:color w:val="373A3C"/>
          <w:sz w:val="23"/>
          <w:szCs w:val="23"/>
          <w:shd w:val="clear" w:color="auto" w:fill="FFFFFF"/>
        </w:rPr>
        <w:t xml:space="preserve"> plays an active role in the seeking of Olwen and Culhwch’s adventures to win her hand. Culhwch tells Ysbaddaden that “Arthur, my lord and kinsman, will get me all those things”,</w:t>
      </w:r>
      <w:r w:rsidR="002D4997">
        <w:rPr>
          <w:rStyle w:val="FootnoteReference"/>
          <w:rFonts w:ascii="Segoe UI" w:hAnsi="Segoe UI" w:cs="Segoe UI"/>
          <w:color w:val="373A3C"/>
          <w:sz w:val="23"/>
          <w:szCs w:val="23"/>
          <w:shd w:val="clear" w:color="auto" w:fill="FFFFFF"/>
        </w:rPr>
        <w:footnoteReference w:id="16"/>
      </w:r>
      <w:r w:rsidR="002D4997" w:rsidRPr="002D4997">
        <w:rPr>
          <w:rFonts w:ascii="Segoe UI" w:hAnsi="Segoe UI" w:cs="Segoe UI"/>
          <w:color w:val="373A3C"/>
          <w:sz w:val="23"/>
          <w:szCs w:val="23"/>
          <w:shd w:val="clear" w:color="auto" w:fill="FFFFFF"/>
        </w:rPr>
        <w:t xml:space="preserve"> </w:t>
      </w:r>
      <w:r w:rsidR="004E7F46">
        <w:rPr>
          <w:rFonts w:ascii="Segoe UI" w:hAnsi="Segoe UI" w:cs="Segoe UI"/>
          <w:color w:val="373A3C"/>
          <w:sz w:val="23"/>
          <w:szCs w:val="23"/>
          <w:shd w:val="clear" w:color="auto" w:fill="FFFFFF"/>
        </w:rPr>
        <w:t>and Arthur is told by his men to “go home,” as he “cannot go with [his] host to seek such trivial things”.</w:t>
      </w:r>
      <w:r w:rsidR="004E7F46">
        <w:rPr>
          <w:rStyle w:val="FootnoteReference"/>
          <w:rFonts w:ascii="Segoe UI" w:hAnsi="Segoe UI" w:cs="Segoe UI"/>
          <w:color w:val="373A3C"/>
          <w:sz w:val="23"/>
          <w:szCs w:val="23"/>
          <w:shd w:val="clear" w:color="auto" w:fill="FFFFFF"/>
        </w:rPr>
        <w:footnoteReference w:id="17"/>
      </w:r>
      <w:r w:rsidR="004E7F46">
        <w:rPr>
          <w:rFonts w:ascii="Segoe UI" w:hAnsi="Segoe UI" w:cs="Segoe UI"/>
          <w:color w:val="373A3C"/>
          <w:sz w:val="23"/>
          <w:szCs w:val="23"/>
          <w:shd w:val="clear" w:color="auto" w:fill="FFFFFF"/>
        </w:rPr>
        <w:t xml:space="preserve"> This renders the figure of Arthur as a practical ruler, who seeks adventure alongside his men. However, in other texts such as </w:t>
      </w:r>
      <w:r w:rsidR="004E7F46" w:rsidRPr="004B1C18">
        <w:rPr>
          <w:rFonts w:ascii="Segoe UI" w:hAnsi="Segoe UI" w:cs="Segoe UI"/>
          <w:i/>
          <w:iCs/>
          <w:color w:val="373A3C"/>
          <w:sz w:val="23"/>
          <w:szCs w:val="23"/>
          <w:shd w:val="clear" w:color="auto" w:fill="FFFFFF"/>
        </w:rPr>
        <w:t xml:space="preserve">Peredur son of </w:t>
      </w:r>
      <w:proofErr w:type="spellStart"/>
      <w:r w:rsidR="004E7F46" w:rsidRPr="004B1C18">
        <w:rPr>
          <w:rFonts w:ascii="Segoe UI" w:hAnsi="Segoe UI" w:cs="Segoe UI"/>
          <w:i/>
          <w:iCs/>
          <w:color w:val="373A3C"/>
          <w:sz w:val="23"/>
          <w:szCs w:val="23"/>
          <w:shd w:val="clear" w:color="auto" w:fill="FFFFFF"/>
        </w:rPr>
        <w:t>Efrog</w:t>
      </w:r>
      <w:proofErr w:type="spellEnd"/>
      <w:r w:rsidR="004E7F46" w:rsidRPr="004B1C18">
        <w:rPr>
          <w:rFonts w:ascii="Segoe UI" w:hAnsi="Segoe UI" w:cs="Segoe UI"/>
          <w:i/>
          <w:iCs/>
          <w:color w:val="373A3C"/>
          <w:sz w:val="23"/>
          <w:szCs w:val="23"/>
          <w:shd w:val="clear" w:color="auto" w:fill="FFFFFF"/>
        </w:rPr>
        <w:t>, Geraint son of Erbin</w:t>
      </w:r>
      <w:r w:rsidR="004E7F46">
        <w:rPr>
          <w:rFonts w:ascii="Segoe UI" w:hAnsi="Segoe UI" w:cs="Segoe UI"/>
          <w:color w:val="373A3C"/>
          <w:sz w:val="23"/>
          <w:szCs w:val="23"/>
          <w:shd w:val="clear" w:color="auto" w:fill="FFFFFF"/>
        </w:rPr>
        <w:t xml:space="preserve"> and </w:t>
      </w:r>
      <w:r w:rsidR="004E7F46" w:rsidRPr="004B1C18">
        <w:rPr>
          <w:rFonts w:ascii="Segoe UI" w:hAnsi="Segoe UI" w:cs="Segoe UI"/>
          <w:i/>
          <w:iCs/>
          <w:color w:val="373A3C"/>
          <w:sz w:val="23"/>
          <w:szCs w:val="23"/>
          <w:shd w:val="clear" w:color="auto" w:fill="FFFFFF"/>
        </w:rPr>
        <w:t>The Lady of the Wel</w:t>
      </w:r>
      <w:r w:rsidR="004E7F46">
        <w:rPr>
          <w:rFonts w:ascii="Segoe UI" w:hAnsi="Segoe UI" w:cs="Segoe UI"/>
          <w:i/>
          <w:iCs/>
          <w:color w:val="373A3C"/>
          <w:sz w:val="23"/>
          <w:szCs w:val="23"/>
          <w:shd w:val="clear" w:color="auto" w:fill="FFFFFF"/>
        </w:rPr>
        <w:t xml:space="preserve">l </w:t>
      </w:r>
      <w:r w:rsidR="004E7F46">
        <w:rPr>
          <w:rFonts w:ascii="Segoe UI" w:hAnsi="Segoe UI" w:cs="Segoe UI"/>
          <w:color w:val="373A3C"/>
          <w:sz w:val="23"/>
          <w:szCs w:val="23"/>
          <w:shd w:val="clear" w:color="auto" w:fill="FFFFFF"/>
        </w:rPr>
        <w:t>Arthur is r</w:t>
      </w:r>
      <w:r w:rsidR="002D4997">
        <w:rPr>
          <w:rFonts w:ascii="Segoe UI" w:hAnsi="Segoe UI" w:cs="Segoe UI"/>
          <w:color w:val="373A3C"/>
          <w:sz w:val="23"/>
          <w:szCs w:val="23"/>
          <w:shd w:val="clear" w:color="auto" w:fill="FFFFFF"/>
        </w:rPr>
        <w:t>endered to a passive figure, merely mentioned and not proactive in the adventures told.</w:t>
      </w:r>
      <w:r w:rsidR="002D4997">
        <w:rPr>
          <w:rStyle w:val="FootnoteReference"/>
          <w:rFonts w:ascii="Segoe UI" w:hAnsi="Segoe UI" w:cs="Segoe UI"/>
          <w:color w:val="373A3C"/>
          <w:sz w:val="23"/>
          <w:szCs w:val="23"/>
          <w:shd w:val="clear" w:color="auto" w:fill="FFFFFF"/>
        </w:rPr>
        <w:footnoteReference w:id="18"/>
      </w:r>
    </w:p>
    <w:p w14:paraId="3DD72102" w14:textId="282E94EE" w:rsidR="002D4997" w:rsidRDefault="004E7F4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Arthur depicted in </w:t>
      </w:r>
      <w:r w:rsidRPr="009F62B6">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is proactive to such an extent that he renders the named hero of the tale, Culhwch, to an extra in his own story, as Arthur becomes the protagonist of the tale. </w:t>
      </w:r>
      <w:r w:rsidR="00565E5C">
        <w:rPr>
          <w:rFonts w:ascii="Segoe UI" w:hAnsi="Segoe UI" w:cs="Segoe UI"/>
          <w:color w:val="373A3C"/>
          <w:sz w:val="23"/>
          <w:szCs w:val="23"/>
          <w:shd w:val="clear" w:color="auto" w:fill="FFFFFF"/>
        </w:rPr>
        <w:t>Over, in his analysis of the tale, concludes that “Culhwch plays a relatively minor role… he disappears entirely from the arduous action and the narrative”,</w:t>
      </w:r>
      <w:r w:rsidR="00565E5C">
        <w:rPr>
          <w:rStyle w:val="FootnoteReference"/>
          <w:rFonts w:ascii="Segoe UI" w:hAnsi="Segoe UI" w:cs="Segoe UI"/>
          <w:color w:val="373A3C"/>
          <w:sz w:val="23"/>
          <w:szCs w:val="23"/>
          <w:shd w:val="clear" w:color="auto" w:fill="FFFFFF"/>
        </w:rPr>
        <w:footnoteReference w:id="19"/>
      </w:r>
      <w:r w:rsidR="00565E5C">
        <w:rPr>
          <w:rFonts w:ascii="Segoe UI" w:hAnsi="Segoe UI" w:cs="Segoe UI"/>
          <w:color w:val="373A3C"/>
          <w:sz w:val="23"/>
          <w:szCs w:val="23"/>
          <w:shd w:val="clear" w:color="auto" w:fill="FFFFFF"/>
        </w:rPr>
        <w:t xml:space="preserve"> this assessment comes after the forty tasks Culhwch must complete in order to win his bride’s hand is recounted to him by Ysbaddaden, and the character of Culhwch passes these onto Arthur and his men. It is Arthur who, during the completion of these tasks, asks the knights “which of these wonders is it best to seek now?”</w:t>
      </w:r>
      <w:r w:rsidR="00565E5C">
        <w:rPr>
          <w:rStyle w:val="FootnoteReference"/>
          <w:rFonts w:ascii="Segoe UI" w:hAnsi="Segoe UI" w:cs="Segoe UI"/>
          <w:color w:val="373A3C"/>
          <w:sz w:val="23"/>
          <w:szCs w:val="23"/>
          <w:shd w:val="clear" w:color="auto" w:fill="FFFFFF"/>
        </w:rPr>
        <w:footnoteReference w:id="20"/>
      </w:r>
      <w:r w:rsidR="00565E5C">
        <w:rPr>
          <w:rFonts w:ascii="Segoe UI" w:hAnsi="Segoe UI" w:cs="Segoe UI"/>
          <w:color w:val="373A3C"/>
          <w:sz w:val="23"/>
          <w:szCs w:val="23"/>
          <w:shd w:val="clear" w:color="auto" w:fill="FFFFFF"/>
        </w:rPr>
        <w:t xml:space="preserve"> therefore leading the adventure. It is al</w:t>
      </w:r>
      <w:r w:rsidR="002921E7">
        <w:rPr>
          <w:rFonts w:ascii="Segoe UI" w:hAnsi="Segoe UI" w:cs="Segoe UI"/>
          <w:color w:val="373A3C"/>
          <w:sz w:val="23"/>
          <w:szCs w:val="23"/>
          <w:shd w:val="clear" w:color="auto" w:fill="FFFFFF"/>
        </w:rPr>
        <w:t xml:space="preserve">so depicted in </w:t>
      </w:r>
      <w:r w:rsidR="002921E7" w:rsidRPr="009F62B6">
        <w:rPr>
          <w:rFonts w:ascii="Segoe UI" w:hAnsi="Segoe UI" w:cs="Segoe UI"/>
          <w:i/>
          <w:iCs/>
          <w:color w:val="373A3C"/>
          <w:sz w:val="23"/>
          <w:szCs w:val="23"/>
          <w:shd w:val="clear" w:color="auto" w:fill="FFFFFF"/>
        </w:rPr>
        <w:t>Culhwch and Olwen</w:t>
      </w:r>
      <w:r w:rsidR="002921E7">
        <w:rPr>
          <w:rFonts w:ascii="Segoe UI" w:hAnsi="Segoe UI" w:cs="Segoe UI"/>
          <w:color w:val="373A3C"/>
          <w:sz w:val="23"/>
          <w:szCs w:val="23"/>
          <w:shd w:val="clear" w:color="auto" w:fill="FFFFFF"/>
        </w:rPr>
        <w:t xml:space="preserve"> that Arthur is the one on many of these expeditions for the wonders Ysbaddaden seeks, including the slaying of Twrch Trwyth, as we read that “Arthur went with his men until he caught up with Twrch Trwyth in Cornwall”.</w:t>
      </w:r>
      <w:r w:rsidR="002921E7">
        <w:rPr>
          <w:rStyle w:val="FootnoteReference"/>
          <w:rFonts w:ascii="Segoe UI" w:hAnsi="Segoe UI" w:cs="Segoe UI"/>
          <w:color w:val="373A3C"/>
          <w:sz w:val="23"/>
          <w:szCs w:val="23"/>
          <w:shd w:val="clear" w:color="auto" w:fill="FFFFFF"/>
        </w:rPr>
        <w:footnoteReference w:id="21"/>
      </w:r>
      <w:r w:rsidR="002921E7">
        <w:rPr>
          <w:rFonts w:ascii="Segoe UI" w:hAnsi="Segoe UI" w:cs="Segoe UI"/>
          <w:color w:val="373A3C"/>
          <w:sz w:val="23"/>
          <w:szCs w:val="23"/>
          <w:shd w:val="clear" w:color="auto" w:fill="FFFFFF"/>
        </w:rPr>
        <w:t xml:space="preserve"> However, despite the active role Arthur plays in this adventure in comparison to the named hero Culhwch, who is only mentioned in passing during the sequence of events that lands him the wonders for Ysbaddaden, it is Culhwch who of course receives the glory. Culhwch is given the hand of Olwen by Ysbaddaden, as arranged, which leads to the death of the aforementioned giant. However, it is with his last known words that even Ysbaddaden acknowledges the minor role Culhwch played in this tale, as he says “thank Arthur, the man who arranged it for you.”</w:t>
      </w:r>
      <w:r w:rsidR="002921E7">
        <w:rPr>
          <w:rStyle w:val="FootnoteReference"/>
          <w:rFonts w:ascii="Segoe UI" w:hAnsi="Segoe UI" w:cs="Segoe UI"/>
          <w:color w:val="373A3C"/>
          <w:sz w:val="23"/>
          <w:szCs w:val="23"/>
          <w:shd w:val="clear" w:color="auto" w:fill="FFFFFF"/>
        </w:rPr>
        <w:footnoteReference w:id="22"/>
      </w:r>
      <w:r w:rsidR="002921E7">
        <w:rPr>
          <w:rFonts w:ascii="Segoe UI" w:hAnsi="Segoe UI" w:cs="Segoe UI"/>
          <w:color w:val="373A3C"/>
          <w:sz w:val="23"/>
          <w:szCs w:val="23"/>
          <w:shd w:val="clear" w:color="auto" w:fill="FFFFFF"/>
        </w:rPr>
        <w:t xml:space="preserve"> It is clear through </w:t>
      </w:r>
      <w:r w:rsidR="002921E7">
        <w:rPr>
          <w:rFonts w:ascii="Segoe UI" w:hAnsi="Segoe UI" w:cs="Segoe UI"/>
          <w:color w:val="373A3C"/>
          <w:sz w:val="23"/>
          <w:szCs w:val="23"/>
          <w:shd w:val="clear" w:color="auto" w:fill="FFFFFF"/>
        </w:rPr>
        <w:lastRenderedPageBreak/>
        <w:t xml:space="preserve">this that the tale is not recounted to explore the love story of its title couple, Culhwch and Olwen, but instead highlights the superiority of Arthur and his men, and celebrate their triumphs over the evils of Arthur’s land, including giants such as Ysbaddaden, boars such as Twrch Trwyth and </w:t>
      </w:r>
      <w:r w:rsidR="000C706E">
        <w:rPr>
          <w:rFonts w:ascii="Segoe UI" w:hAnsi="Segoe UI" w:cs="Segoe UI"/>
          <w:color w:val="373A3C"/>
          <w:sz w:val="23"/>
          <w:szCs w:val="23"/>
          <w:shd w:val="clear" w:color="auto" w:fill="FFFFFF"/>
        </w:rPr>
        <w:t>the witches and she-wolves they meet along their journey. This is achieved through the shift in the narrative as the focus turns away from Culhwch, as it originally prioritises before his meeting with Arthur, to concentrate the narrative onto Arthur, his exploits and his superhuman knights.</w:t>
      </w:r>
      <w:r w:rsidR="000C706E">
        <w:rPr>
          <w:rStyle w:val="FootnoteReference"/>
          <w:rFonts w:ascii="Segoe UI" w:hAnsi="Segoe UI" w:cs="Segoe UI"/>
          <w:color w:val="373A3C"/>
          <w:sz w:val="23"/>
          <w:szCs w:val="23"/>
          <w:shd w:val="clear" w:color="auto" w:fill="FFFFFF"/>
        </w:rPr>
        <w:footnoteReference w:id="23"/>
      </w:r>
      <w:r w:rsidR="002921E7">
        <w:rPr>
          <w:rFonts w:ascii="Segoe UI" w:hAnsi="Segoe UI" w:cs="Segoe UI"/>
          <w:color w:val="373A3C"/>
          <w:sz w:val="23"/>
          <w:szCs w:val="23"/>
          <w:shd w:val="clear" w:color="auto" w:fill="FFFFFF"/>
        </w:rPr>
        <w:t xml:space="preserve"> </w:t>
      </w:r>
      <w:r w:rsidR="00EC0538">
        <w:rPr>
          <w:rFonts w:ascii="Segoe UI" w:hAnsi="Segoe UI" w:cs="Segoe UI"/>
          <w:color w:val="373A3C"/>
          <w:sz w:val="23"/>
          <w:szCs w:val="23"/>
          <w:shd w:val="clear" w:color="auto" w:fill="FFFFFF"/>
        </w:rPr>
        <w:t>Arthur is written to be the centre of this tale, and therefore the most powerful figure in the true meaning of the word, Arthur is set up to be “not only politically pre-eminent… but is implicitly positioned, by the style of the narrative, as the natural centre of moral authority.”</w:t>
      </w:r>
      <w:r w:rsidR="00EC0538">
        <w:rPr>
          <w:rStyle w:val="FootnoteReference"/>
          <w:rFonts w:ascii="Segoe UI" w:hAnsi="Segoe UI" w:cs="Segoe UI"/>
          <w:color w:val="373A3C"/>
          <w:sz w:val="23"/>
          <w:szCs w:val="23"/>
          <w:shd w:val="clear" w:color="auto" w:fill="FFFFFF"/>
        </w:rPr>
        <w:footnoteReference w:id="24"/>
      </w:r>
    </w:p>
    <w:p w14:paraId="07B7B094" w14:textId="3A0ACDA0" w:rsidR="00AD62A6" w:rsidRDefault="005F0686" w:rsidP="005F068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Alongside the depiction of Arthur as a protagonist in </w:t>
      </w:r>
      <w:r w:rsidRPr="009F62B6">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we also receive an insight into the workings of an Arthurian court and its principles, mainly the honour of Arthur. This concept is first introduced by Culhwch’s father in the early pages of </w:t>
      </w:r>
      <w:r w:rsidRPr="009F62B6">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where the father advises Culhwch to “go to Arthur to have your hair trimmed, and ask him for that as your gift.”</w:t>
      </w:r>
      <w:r>
        <w:rPr>
          <w:rStyle w:val="FootnoteReference"/>
          <w:rFonts w:ascii="Segoe UI" w:hAnsi="Segoe UI" w:cs="Segoe UI"/>
          <w:color w:val="373A3C"/>
          <w:sz w:val="23"/>
          <w:szCs w:val="23"/>
          <w:shd w:val="clear" w:color="auto" w:fill="FFFFFF"/>
        </w:rPr>
        <w:footnoteReference w:id="25"/>
      </w:r>
      <w:r>
        <w:rPr>
          <w:rFonts w:ascii="Segoe UI" w:hAnsi="Segoe UI" w:cs="Segoe UI"/>
          <w:color w:val="373A3C"/>
          <w:sz w:val="23"/>
          <w:szCs w:val="23"/>
          <w:shd w:val="clear" w:color="auto" w:fill="FFFFFF"/>
        </w:rPr>
        <w:t xml:space="preserve"> The cutting of Culhwch’s hair by Arthur is a symbolic act to recognise a blood relationship between the two, as we see later Arthur accepts Culhwch as his cousin while completing his act, saying “my heart warms towards you, I know you are of my blood.”</w:t>
      </w:r>
      <w:r>
        <w:rPr>
          <w:rStyle w:val="FootnoteReference"/>
          <w:rFonts w:ascii="Segoe UI" w:hAnsi="Segoe UI" w:cs="Segoe UI"/>
          <w:color w:val="373A3C"/>
          <w:sz w:val="23"/>
          <w:szCs w:val="23"/>
          <w:shd w:val="clear" w:color="auto" w:fill="FFFFFF"/>
        </w:rPr>
        <w:footnoteReference w:id="26"/>
      </w:r>
      <w:r>
        <w:rPr>
          <w:rFonts w:ascii="Segoe UI" w:hAnsi="Segoe UI" w:cs="Segoe UI"/>
          <w:color w:val="373A3C"/>
          <w:sz w:val="23"/>
          <w:szCs w:val="23"/>
          <w:shd w:val="clear" w:color="auto" w:fill="FFFFFF"/>
        </w:rPr>
        <w:t xml:space="preserve"> It is with this recognition that Arthur invokes Culhwch’s gift, as he is entitled to by his lord as a formal member of the family.</w:t>
      </w:r>
      <w:r>
        <w:rPr>
          <w:rStyle w:val="FootnoteReference"/>
          <w:rFonts w:ascii="Segoe UI" w:hAnsi="Segoe UI" w:cs="Segoe UI"/>
          <w:color w:val="373A3C"/>
          <w:sz w:val="23"/>
          <w:szCs w:val="23"/>
          <w:shd w:val="clear" w:color="auto" w:fill="FFFFFF"/>
        </w:rPr>
        <w:footnoteReference w:id="27"/>
      </w:r>
      <w:r>
        <w:rPr>
          <w:rFonts w:ascii="Segoe UI" w:hAnsi="Segoe UI" w:cs="Segoe UI"/>
          <w:color w:val="373A3C"/>
          <w:sz w:val="23"/>
          <w:szCs w:val="23"/>
          <w:shd w:val="clear" w:color="auto" w:fill="FFFFFF"/>
        </w:rPr>
        <w:t xml:space="preserve"> </w:t>
      </w:r>
      <w:r w:rsidR="00AD62A6">
        <w:rPr>
          <w:rFonts w:ascii="Segoe UI" w:hAnsi="Segoe UI" w:cs="Segoe UI"/>
          <w:color w:val="373A3C"/>
          <w:sz w:val="23"/>
          <w:szCs w:val="23"/>
          <w:shd w:val="clear" w:color="auto" w:fill="FFFFFF"/>
        </w:rPr>
        <w:t xml:space="preserve">This action is a familiar motif in literature as a similar situation is seen in the </w:t>
      </w:r>
      <w:r w:rsidR="00AD62A6" w:rsidRPr="00AD62A6">
        <w:rPr>
          <w:rFonts w:ascii="Segoe UI" w:hAnsi="Segoe UI" w:cs="Segoe UI"/>
          <w:i/>
          <w:iCs/>
          <w:color w:val="373A3C"/>
          <w:sz w:val="23"/>
          <w:szCs w:val="23"/>
          <w:shd w:val="clear" w:color="auto" w:fill="FFFFFF"/>
        </w:rPr>
        <w:t>History of Britons</w:t>
      </w:r>
      <w:r w:rsidR="00AD62A6">
        <w:rPr>
          <w:rFonts w:ascii="Segoe UI" w:hAnsi="Segoe UI" w:cs="Segoe UI"/>
          <w:color w:val="373A3C"/>
          <w:sz w:val="23"/>
          <w:szCs w:val="23"/>
          <w:shd w:val="clear" w:color="auto" w:fill="FFFFFF"/>
        </w:rPr>
        <w:t xml:space="preserve">. The tale in the aforesaid </w:t>
      </w:r>
      <w:r w:rsidR="00AD62A6" w:rsidRPr="00AD62A6">
        <w:rPr>
          <w:rFonts w:ascii="Segoe UI" w:hAnsi="Segoe UI" w:cs="Segoe UI"/>
          <w:i/>
          <w:iCs/>
          <w:color w:val="373A3C"/>
          <w:sz w:val="23"/>
          <w:szCs w:val="23"/>
          <w:shd w:val="clear" w:color="auto" w:fill="FFFFFF"/>
        </w:rPr>
        <w:t>History of Britons</w:t>
      </w:r>
      <w:r w:rsidR="00AD62A6">
        <w:rPr>
          <w:rFonts w:ascii="Segoe UI" w:hAnsi="Segoe UI" w:cs="Segoe UI"/>
          <w:color w:val="373A3C"/>
          <w:sz w:val="23"/>
          <w:szCs w:val="23"/>
          <w:shd w:val="clear" w:color="auto" w:fill="FFFFFF"/>
        </w:rPr>
        <w:t xml:space="preserve"> is surrounding Guorthegirn, rather than Arthur, who offers to cut and comb a young boy’s hair, it is while completing this that Guorthegirn is labelled as the young boy’s father, and grandfather and exposed as having an incestuous relationship with his daughter in order to have said son.</w:t>
      </w:r>
      <w:r w:rsidR="00AD62A6">
        <w:rPr>
          <w:rStyle w:val="FootnoteReference"/>
          <w:rFonts w:ascii="Segoe UI" w:hAnsi="Segoe UI" w:cs="Segoe UI"/>
          <w:color w:val="373A3C"/>
          <w:sz w:val="23"/>
          <w:szCs w:val="23"/>
          <w:shd w:val="clear" w:color="auto" w:fill="FFFFFF"/>
        </w:rPr>
        <w:footnoteReference w:id="28"/>
      </w:r>
    </w:p>
    <w:p w14:paraId="212A22BE" w14:textId="5D865E48" w:rsidR="00AD62A6" w:rsidRDefault="005F0686"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The inclusion of such a tradition</w:t>
      </w:r>
      <w:r w:rsidR="00AD62A6">
        <w:rPr>
          <w:rFonts w:ascii="Segoe UI" w:hAnsi="Segoe UI" w:cs="Segoe UI"/>
          <w:color w:val="373A3C"/>
          <w:sz w:val="23"/>
          <w:szCs w:val="23"/>
          <w:shd w:val="clear" w:color="auto" w:fill="FFFFFF"/>
        </w:rPr>
        <w:t xml:space="preserve"> as gift giving</w:t>
      </w:r>
      <w:r>
        <w:rPr>
          <w:rFonts w:ascii="Segoe UI" w:hAnsi="Segoe UI" w:cs="Segoe UI"/>
          <w:color w:val="373A3C"/>
          <w:sz w:val="23"/>
          <w:szCs w:val="23"/>
          <w:shd w:val="clear" w:color="auto" w:fill="FFFFFF"/>
        </w:rPr>
        <w:t xml:space="preserve"> is not only useful in aiding the movement of the story, but also allows us a glimpse into the priorities of the Arthurian court. Arthur is a noble and honourable man, and therefore is </w:t>
      </w:r>
      <w:r w:rsidR="00AD62A6">
        <w:rPr>
          <w:rFonts w:ascii="Segoe UI" w:hAnsi="Segoe UI" w:cs="Segoe UI"/>
          <w:color w:val="373A3C"/>
          <w:sz w:val="23"/>
          <w:szCs w:val="23"/>
          <w:shd w:val="clear" w:color="auto" w:fill="FFFFFF"/>
        </w:rPr>
        <w:t>compelled to complete any gift asked upon him by Culhwch, or accept shame should he not comply. When Culhwch believes that Arthur has failed in locating Olwen after a year of attempting to find the maiden, Culhwch says “everyone has had his gift but I am still without. I will leave and take away your honour with me</w:t>
      </w:r>
      <w:r w:rsidR="005B1F47">
        <w:rPr>
          <w:rFonts w:ascii="Segoe UI" w:hAnsi="Segoe UI" w:cs="Segoe UI"/>
          <w:color w:val="373A3C"/>
          <w:sz w:val="23"/>
          <w:szCs w:val="23"/>
          <w:shd w:val="clear" w:color="auto" w:fill="FFFFFF"/>
        </w:rPr>
        <w:t>.</w:t>
      </w:r>
      <w:r w:rsidR="00AD62A6">
        <w:rPr>
          <w:rFonts w:ascii="Segoe UI" w:hAnsi="Segoe UI" w:cs="Segoe UI"/>
          <w:color w:val="373A3C"/>
          <w:sz w:val="23"/>
          <w:szCs w:val="23"/>
          <w:shd w:val="clear" w:color="auto" w:fill="FFFFFF"/>
        </w:rPr>
        <w:t>”</w:t>
      </w:r>
      <w:r w:rsidR="00AD62A6">
        <w:rPr>
          <w:rStyle w:val="FootnoteReference"/>
          <w:rFonts w:ascii="Segoe UI" w:hAnsi="Segoe UI" w:cs="Segoe UI"/>
          <w:color w:val="373A3C"/>
          <w:sz w:val="23"/>
          <w:szCs w:val="23"/>
          <w:shd w:val="clear" w:color="auto" w:fill="FFFFFF"/>
        </w:rPr>
        <w:footnoteReference w:id="29"/>
      </w:r>
      <w:r w:rsidR="00C31E27">
        <w:rPr>
          <w:rFonts w:ascii="Segoe UI" w:hAnsi="Segoe UI" w:cs="Segoe UI"/>
          <w:color w:val="373A3C"/>
          <w:sz w:val="23"/>
          <w:szCs w:val="23"/>
          <w:shd w:val="clear" w:color="auto" w:fill="FFFFFF"/>
        </w:rPr>
        <w:t xml:space="preserve"> </w:t>
      </w:r>
      <w:r w:rsidR="005B1F47">
        <w:rPr>
          <w:rFonts w:ascii="Segoe UI" w:hAnsi="Segoe UI" w:cs="Segoe UI"/>
          <w:color w:val="373A3C"/>
          <w:sz w:val="23"/>
          <w:szCs w:val="23"/>
          <w:shd w:val="clear" w:color="auto" w:fill="FFFFFF"/>
        </w:rPr>
        <w:t>The threat of this is enough for Arthur to make one final attempt at finding Culhwch’s bride, this time by sending out his most noble and magical of warriors.</w:t>
      </w:r>
      <w:r w:rsidR="005B1F47">
        <w:rPr>
          <w:rStyle w:val="FootnoteReference"/>
          <w:rFonts w:ascii="Segoe UI" w:hAnsi="Segoe UI" w:cs="Segoe UI"/>
          <w:color w:val="373A3C"/>
          <w:sz w:val="23"/>
          <w:szCs w:val="23"/>
          <w:shd w:val="clear" w:color="auto" w:fill="FFFFFF"/>
        </w:rPr>
        <w:footnoteReference w:id="30"/>
      </w:r>
      <w:r w:rsidR="005B1F47">
        <w:rPr>
          <w:rFonts w:ascii="Segoe UI" w:hAnsi="Segoe UI" w:cs="Segoe UI"/>
          <w:color w:val="373A3C"/>
          <w:sz w:val="23"/>
          <w:szCs w:val="23"/>
          <w:shd w:val="clear" w:color="auto" w:fill="FFFFFF"/>
        </w:rPr>
        <w:t xml:space="preserve"> The gift asked of Arthur by Culhwch is summoned in the names of an incredibly long list of Arthur’s companions, of which there are roughly 26o in total, who </w:t>
      </w:r>
      <w:r w:rsidR="005B1F47">
        <w:rPr>
          <w:rFonts w:ascii="Segoe UI" w:hAnsi="Segoe UI" w:cs="Segoe UI"/>
          <w:color w:val="373A3C"/>
          <w:sz w:val="23"/>
          <w:szCs w:val="23"/>
          <w:shd w:val="clear" w:color="auto" w:fill="FFFFFF"/>
        </w:rPr>
        <w:lastRenderedPageBreak/>
        <w:t xml:space="preserve">are invoked as patrons or guarantors of the fulfilment of said gift being demanded of Arthur, therefore holding Arthur accountable. </w:t>
      </w:r>
      <w:r w:rsidR="00F905DF">
        <w:rPr>
          <w:rFonts w:ascii="Segoe UI" w:hAnsi="Segoe UI" w:cs="Segoe UI"/>
          <w:color w:val="373A3C"/>
          <w:sz w:val="23"/>
          <w:szCs w:val="23"/>
          <w:shd w:val="clear" w:color="auto" w:fill="FFFFFF"/>
        </w:rPr>
        <w:t>The list of names invoked in this process exists within a specifically formatted framework and there is belief that parts of the list may have been taken from other pieces of literature, using shorter lists of names to compile this one.</w:t>
      </w:r>
      <w:r w:rsidR="00F905DF">
        <w:rPr>
          <w:rStyle w:val="FootnoteReference"/>
          <w:rFonts w:ascii="Segoe UI" w:hAnsi="Segoe UI" w:cs="Segoe UI"/>
          <w:color w:val="373A3C"/>
          <w:sz w:val="23"/>
          <w:szCs w:val="23"/>
          <w:shd w:val="clear" w:color="auto" w:fill="FFFFFF"/>
        </w:rPr>
        <w:footnoteReference w:id="31"/>
      </w:r>
      <w:r w:rsidR="00F905DF">
        <w:rPr>
          <w:rFonts w:ascii="Segoe UI" w:hAnsi="Segoe UI" w:cs="Segoe UI"/>
          <w:color w:val="373A3C"/>
          <w:sz w:val="23"/>
          <w:szCs w:val="23"/>
          <w:shd w:val="clear" w:color="auto" w:fill="FFFFFF"/>
        </w:rPr>
        <w:t xml:space="preserve"> </w:t>
      </w:r>
    </w:p>
    <w:p w14:paraId="06DBE247" w14:textId="5505FB43" w:rsidR="00F905DF" w:rsidRDefault="00F905DF"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Unlike Arthur, who seemingly steps out of the character stereotypes usually associated with himself in other Arthurian texts, Culhwch is the epitome of a stereotyped protagonist turned love interest. Emphasis is put onto the handsome looks of Culhwch, as he falls into this typecast</w:t>
      </w:r>
      <w:r w:rsidR="00EC0538">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Glewlwyd Gafaelfawr, while</w:t>
      </w:r>
      <w:r w:rsidR="00EC0538">
        <w:rPr>
          <w:rFonts w:ascii="Segoe UI" w:hAnsi="Segoe UI" w:cs="Segoe UI"/>
          <w:color w:val="373A3C"/>
          <w:sz w:val="23"/>
          <w:szCs w:val="23"/>
          <w:shd w:val="clear" w:color="auto" w:fill="FFFFFF"/>
        </w:rPr>
        <w:t xml:space="preserve"> alerting Arthur to the presence of Culhwch at the gates, describes him as handsome, saying “I never in my life saw a man as handsome as the one who is at the entrance to the gate at this very moment.”</w:t>
      </w:r>
      <w:r w:rsidR="00EC0538">
        <w:rPr>
          <w:rStyle w:val="FootnoteReference"/>
          <w:rFonts w:ascii="Segoe UI" w:hAnsi="Segoe UI" w:cs="Segoe UI"/>
          <w:color w:val="373A3C"/>
          <w:sz w:val="23"/>
          <w:szCs w:val="23"/>
          <w:shd w:val="clear" w:color="auto" w:fill="FFFFFF"/>
        </w:rPr>
        <w:footnoteReference w:id="32"/>
      </w:r>
      <w:r w:rsidR="00EC0538">
        <w:rPr>
          <w:rFonts w:ascii="Segoe UI" w:hAnsi="Segoe UI" w:cs="Segoe UI"/>
          <w:color w:val="373A3C"/>
          <w:sz w:val="23"/>
          <w:szCs w:val="23"/>
          <w:shd w:val="clear" w:color="auto" w:fill="FFFFFF"/>
        </w:rPr>
        <w:t xml:space="preserve"> </w:t>
      </w:r>
      <w:r w:rsidR="00DB4959">
        <w:rPr>
          <w:rFonts w:ascii="Segoe UI" w:hAnsi="Segoe UI" w:cs="Segoe UI"/>
          <w:color w:val="373A3C"/>
          <w:sz w:val="23"/>
          <w:szCs w:val="23"/>
          <w:shd w:val="clear" w:color="auto" w:fill="FFFFFF"/>
        </w:rPr>
        <w:t xml:space="preserve">This is however the only </w:t>
      </w:r>
      <w:r w:rsidR="009F62B6">
        <w:rPr>
          <w:rFonts w:ascii="Segoe UI" w:hAnsi="Segoe UI" w:cs="Segoe UI"/>
          <w:color w:val="373A3C"/>
          <w:sz w:val="23"/>
          <w:szCs w:val="23"/>
          <w:shd w:val="clear" w:color="auto" w:fill="FFFFFF"/>
        </w:rPr>
        <w:t xml:space="preserve">true </w:t>
      </w:r>
      <w:r w:rsidR="00DB4959">
        <w:rPr>
          <w:rFonts w:ascii="Segoe UI" w:hAnsi="Segoe UI" w:cs="Segoe UI"/>
          <w:color w:val="373A3C"/>
          <w:sz w:val="23"/>
          <w:szCs w:val="23"/>
          <w:shd w:val="clear" w:color="auto" w:fill="FFFFFF"/>
        </w:rPr>
        <w:t>description we receive about Culhwch, as the character is reliant on his dialogue to be bought to life, in order to piece together more explanation and description of Culhwch, one must therefore look to the stereotypes of his character instead.</w:t>
      </w:r>
      <w:r w:rsidR="00DB4959">
        <w:rPr>
          <w:rStyle w:val="FootnoteReference"/>
          <w:rFonts w:ascii="Segoe UI" w:hAnsi="Segoe UI" w:cs="Segoe UI"/>
          <w:color w:val="373A3C"/>
          <w:sz w:val="23"/>
          <w:szCs w:val="23"/>
          <w:shd w:val="clear" w:color="auto" w:fill="FFFFFF"/>
        </w:rPr>
        <w:footnoteReference w:id="33"/>
      </w:r>
      <w:r w:rsidR="00DB4959">
        <w:rPr>
          <w:rFonts w:ascii="Segoe UI" w:hAnsi="Segoe UI" w:cs="Segoe UI"/>
          <w:color w:val="373A3C"/>
          <w:sz w:val="23"/>
          <w:szCs w:val="23"/>
          <w:shd w:val="clear" w:color="auto" w:fill="FFFFFF"/>
        </w:rPr>
        <w:t xml:space="preserve"> Culhwch is given a long passage in order to describe the life he leads, namely his hounds, horse and equipment and is described as being of “noble descent”</w:t>
      </w:r>
      <w:r w:rsidR="00DB4959">
        <w:rPr>
          <w:rStyle w:val="FootnoteReference"/>
          <w:rFonts w:ascii="Segoe UI" w:hAnsi="Segoe UI" w:cs="Segoe UI"/>
          <w:color w:val="373A3C"/>
          <w:sz w:val="23"/>
          <w:szCs w:val="23"/>
          <w:shd w:val="clear" w:color="auto" w:fill="FFFFFF"/>
        </w:rPr>
        <w:footnoteReference w:id="34"/>
      </w:r>
      <w:r w:rsidR="00DB4959">
        <w:rPr>
          <w:rFonts w:ascii="Segoe UI" w:hAnsi="Segoe UI" w:cs="Segoe UI"/>
          <w:color w:val="373A3C"/>
          <w:sz w:val="23"/>
          <w:szCs w:val="23"/>
          <w:shd w:val="clear" w:color="auto" w:fill="FFFFFF"/>
        </w:rPr>
        <w:t xml:space="preserve">, due to his connection with Arthur and as having been baptized. These few descriptions depict Culhwch in as much detail as needed, we can decipher that he is noble, </w:t>
      </w:r>
      <w:r w:rsidR="00897C97">
        <w:rPr>
          <w:rFonts w:ascii="Segoe UI" w:hAnsi="Segoe UI" w:cs="Segoe UI"/>
          <w:color w:val="373A3C"/>
          <w:sz w:val="23"/>
          <w:szCs w:val="23"/>
          <w:shd w:val="clear" w:color="auto" w:fill="FFFFFF"/>
        </w:rPr>
        <w:t>religious</w:t>
      </w:r>
      <w:r w:rsidR="00DB4959">
        <w:rPr>
          <w:rFonts w:ascii="Segoe UI" w:hAnsi="Segoe UI" w:cs="Segoe UI"/>
          <w:color w:val="373A3C"/>
          <w:sz w:val="23"/>
          <w:szCs w:val="23"/>
          <w:shd w:val="clear" w:color="auto" w:fill="FFFFFF"/>
        </w:rPr>
        <w:t xml:space="preserve"> and handsome, therefore worthy of being the title name in an Arthurian tale. </w:t>
      </w:r>
    </w:p>
    <w:p w14:paraId="42C82E38" w14:textId="7BE8F5E6" w:rsidR="008B2161" w:rsidRDefault="00897C97"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An interesting feature of Culhwch as a hero is his name. Culhwch, meaning pig-run is a play on words considering the place in which he was born. As we learn from the opening lines of </w:t>
      </w:r>
      <w:r w:rsidRPr="00764274">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Culhwch’s mother, the wife of Cilydd, went mad while pregnant with Culhwch, and was frightened by a herd of pigs into giving birth. A swineherd bought the boy to his father and so was aptly named Culhwch in honour of his birthplace.</w:t>
      </w:r>
      <w:r>
        <w:rPr>
          <w:rStyle w:val="FootnoteReference"/>
          <w:rFonts w:ascii="Segoe UI" w:hAnsi="Segoe UI" w:cs="Segoe UI"/>
          <w:color w:val="373A3C"/>
          <w:sz w:val="23"/>
          <w:szCs w:val="23"/>
          <w:shd w:val="clear" w:color="auto" w:fill="FFFFFF"/>
        </w:rPr>
        <w:footnoteReference w:id="35"/>
      </w:r>
      <w:r>
        <w:rPr>
          <w:rFonts w:ascii="Segoe UI" w:hAnsi="Segoe UI" w:cs="Segoe UI"/>
          <w:color w:val="373A3C"/>
          <w:sz w:val="23"/>
          <w:szCs w:val="23"/>
          <w:shd w:val="clear" w:color="auto" w:fill="FFFFFF"/>
        </w:rPr>
        <w:t xml:space="preserve"> Animals are common in literature such as </w:t>
      </w:r>
      <w:r w:rsidRPr="00764274">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and therefore the frequent connections between heroes and animals are to be expected, </w:t>
      </w:r>
      <w:r w:rsidR="00764274">
        <w:rPr>
          <w:rFonts w:ascii="Segoe UI" w:hAnsi="Segoe UI" w:cs="Segoe UI"/>
          <w:color w:val="373A3C"/>
          <w:sz w:val="23"/>
          <w:szCs w:val="23"/>
          <w:shd w:val="clear" w:color="auto" w:fill="FFFFFF"/>
        </w:rPr>
        <w:t xml:space="preserve">the </w:t>
      </w:r>
      <w:r>
        <w:rPr>
          <w:rFonts w:ascii="Segoe UI" w:hAnsi="Segoe UI" w:cs="Segoe UI"/>
          <w:color w:val="373A3C"/>
          <w:sz w:val="23"/>
          <w:szCs w:val="23"/>
          <w:shd w:val="clear" w:color="auto" w:fill="FFFFFF"/>
        </w:rPr>
        <w:t xml:space="preserve">medieval poetry traditions over Wales are suggestive that this name is no coincidence, </w:t>
      </w:r>
      <w:r w:rsidR="00764274">
        <w:rPr>
          <w:rFonts w:ascii="Segoe UI" w:hAnsi="Segoe UI" w:cs="Segoe UI"/>
          <w:color w:val="373A3C"/>
          <w:sz w:val="23"/>
          <w:szCs w:val="23"/>
          <w:shd w:val="clear" w:color="auto" w:fill="FFFFFF"/>
        </w:rPr>
        <w:t>and are</w:t>
      </w:r>
      <w:r>
        <w:rPr>
          <w:rFonts w:ascii="Segoe UI" w:hAnsi="Segoe UI" w:cs="Segoe UI"/>
          <w:color w:val="373A3C"/>
          <w:sz w:val="23"/>
          <w:szCs w:val="23"/>
          <w:shd w:val="clear" w:color="auto" w:fill="FFFFFF"/>
        </w:rPr>
        <w:t xml:space="preserve"> setting up as Culhwch as a heroic figure in literature.</w:t>
      </w:r>
      <w:r>
        <w:rPr>
          <w:rStyle w:val="FootnoteReference"/>
          <w:rFonts w:ascii="Segoe UI" w:hAnsi="Segoe UI" w:cs="Segoe UI"/>
          <w:color w:val="373A3C"/>
          <w:sz w:val="23"/>
          <w:szCs w:val="23"/>
          <w:shd w:val="clear" w:color="auto" w:fill="FFFFFF"/>
        </w:rPr>
        <w:footnoteReference w:id="36"/>
      </w:r>
      <w:r>
        <w:rPr>
          <w:rFonts w:ascii="Segoe UI" w:hAnsi="Segoe UI" w:cs="Segoe UI"/>
          <w:color w:val="373A3C"/>
          <w:sz w:val="23"/>
          <w:szCs w:val="23"/>
          <w:shd w:val="clear" w:color="auto" w:fill="FFFFFF"/>
        </w:rPr>
        <w:t xml:space="preserve"> </w:t>
      </w:r>
      <w:r w:rsidR="00366385">
        <w:rPr>
          <w:rFonts w:ascii="Segoe UI" w:hAnsi="Segoe UI" w:cs="Segoe UI"/>
          <w:color w:val="373A3C"/>
          <w:sz w:val="23"/>
          <w:szCs w:val="23"/>
          <w:shd w:val="clear" w:color="auto" w:fill="FFFFFF"/>
        </w:rPr>
        <w:t xml:space="preserve">Ford </w:t>
      </w:r>
      <w:r>
        <w:rPr>
          <w:rFonts w:ascii="Segoe UI" w:hAnsi="Segoe UI" w:cs="Segoe UI"/>
          <w:color w:val="373A3C"/>
          <w:sz w:val="23"/>
          <w:szCs w:val="23"/>
          <w:shd w:val="clear" w:color="auto" w:fill="FFFFFF"/>
        </w:rPr>
        <w:t xml:space="preserve">links the birth of Culhwch to the birth of </w:t>
      </w:r>
      <w:r w:rsidR="00366385">
        <w:rPr>
          <w:rFonts w:ascii="Segoe UI" w:hAnsi="Segoe UI" w:cs="Segoe UI"/>
          <w:color w:val="373A3C"/>
          <w:sz w:val="23"/>
          <w:szCs w:val="23"/>
          <w:shd w:val="clear" w:color="auto" w:fill="FFFFFF"/>
        </w:rPr>
        <w:t xml:space="preserve">Pryderi, a hero who appears in the first branch of the </w:t>
      </w:r>
      <w:r w:rsidR="00366385" w:rsidRPr="00764274">
        <w:rPr>
          <w:rFonts w:ascii="Segoe UI" w:hAnsi="Segoe UI" w:cs="Segoe UI"/>
          <w:i/>
          <w:iCs/>
          <w:color w:val="373A3C"/>
          <w:sz w:val="23"/>
          <w:szCs w:val="23"/>
          <w:shd w:val="clear" w:color="auto" w:fill="FFFFFF"/>
        </w:rPr>
        <w:t>Mabinogion</w:t>
      </w:r>
      <w:r w:rsidR="00366385">
        <w:rPr>
          <w:rFonts w:ascii="Segoe UI" w:hAnsi="Segoe UI" w:cs="Segoe UI"/>
          <w:color w:val="373A3C"/>
          <w:sz w:val="23"/>
          <w:szCs w:val="23"/>
          <w:shd w:val="clear" w:color="auto" w:fill="FFFFFF"/>
        </w:rPr>
        <w:t>. Pryderi’s birth involves his disappearance, and reappearance at the stables of Teyrnon, who takes him in as his own, Pryderi grew to have superhuman speed and was later revealed to be the child of Pwyll and Rhiannon and reconciled with them before being renamed Pryderi to mimic the circumstances of his childhood and birth.</w:t>
      </w:r>
      <w:r w:rsidR="00366385">
        <w:rPr>
          <w:rStyle w:val="FootnoteReference"/>
          <w:rFonts w:ascii="Segoe UI" w:hAnsi="Segoe UI" w:cs="Segoe UI"/>
          <w:color w:val="373A3C"/>
          <w:sz w:val="23"/>
          <w:szCs w:val="23"/>
          <w:shd w:val="clear" w:color="auto" w:fill="FFFFFF"/>
        </w:rPr>
        <w:footnoteReference w:id="37"/>
      </w:r>
      <w:r w:rsidR="00366385">
        <w:rPr>
          <w:rFonts w:ascii="Segoe UI" w:hAnsi="Segoe UI" w:cs="Segoe UI"/>
          <w:color w:val="373A3C"/>
          <w:sz w:val="23"/>
          <w:szCs w:val="23"/>
          <w:shd w:val="clear" w:color="auto" w:fill="FFFFFF"/>
        </w:rPr>
        <w:t xml:space="preserve"> It is evident through this that the formula for naming children, and the mysterious and </w:t>
      </w:r>
      <w:r w:rsidR="00366385">
        <w:rPr>
          <w:rFonts w:ascii="Segoe UI" w:hAnsi="Segoe UI" w:cs="Segoe UI"/>
          <w:color w:val="373A3C"/>
          <w:sz w:val="23"/>
          <w:szCs w:val="23"/>
          <w:shd w:val="clear" w:color="auto" w:fill="FFFFFF"/>
        </w:rPr>
        <w:lastRenderedPageBreak/>
        <w:t xml:space="preserve">unlikely situations of their births are stereotypical archetypes for a hero in medieval Welsh text, and Culhwch is one of many who fall into this category. </w:t>
      </w:r>
    </w:p>
    <w:p w14:paraId="27F1E734" w14:textId="0925EF9B" w:rsidR="00EF7259" w:rsidRDefault="00366385"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Similarly stereotyped is Culhwch’s counterpart, Olwen. Olwen follows the Giant’s daughter stereotype known throughout Welsh literature. </w:t>
      </w:r>
      <w:r w:rsidR="00D657EF">
        <w:rPr>
          <w:rFonts w:ascii="Segoe UI" w:hAnsi="Segoe UI" w:cs="Segoe UI"/>
          <w:color w:val="373A3C"/>
          <w:sz w:val="23"/>
          <w:szCs w:val="23"/>
          <w:shd w:val="clear" w:color="auto" w:fill="FFFFFF"/>
        </w:rPr>
        <w:t>The Giant’s daughter is known as a classical international theme</w:t>
      </w:r>
      <w:r w:rsidR="005A353D">
        <w:rPr>
          <w:rFonts w:ascii="Segoe UI" w:hAnsi="Segoe UI" w:cs="Segoe UI"/>
          <w:color w:val="373A3C"/>
          <w:sz w:val="23"/>
          <w:szCs w:val="23"/>
          <w:shd w:val="clear" w:color="auto" w:fill="FFFFFF"/>
        </w:rPr>
        <w:t xml:space="preserve"> as in accordance to th</w:t>
      </w:r>
      <w:r w:rsidR="00764274">
        <w:rPr>
          <w:rFonts w:ascii="Segoe UI" w:hAnsi="Segoe UI" w:cs="Segoe UI"/>
          <w:color w:val="373A3C"/>
          <w:sz w:val="23"/>
          <w:szCs w:val="23"/>
          <w:shd w:val="clear" w:color="auto" w:fill="FFFFFF"/>
        </w:rPr>
        <w:t xml:space="preserve">e </w:t>
      </w:r>
      <w:r w:rsidR="00764274" w:rsidRPr="00764274">
        <w:rPr>
          <w:rFonts w:ascii="Segoe UI" w:hAnsi="Segoe UI" w:cs="Segoe UI"/>
          <w:i/>
          <w:iCs/>
          <w:color w:val="373A3C"/>
          <w:sz w:val="23"/>
          <w:szCs w:val="23"/>
          <w:shd w:val="clear" w:color="auto" w:fill="FFFFFF"/>
        </w:rPr>
        <w:t>H</w:t>
      </w:r>
      <w:r w:rsidR="005A353D" w:rsidRPr="00764274">
        <w:rPr>
          <w:rFonts w:ascii="Segoe UI" w:hAnsi="Segoe UI" w:cs="Segoe UI"/>
          <w:i/>
          <w:iCs/>
          <w:color w:val="373A3C"/>
          <w:sz w:val="23"/>
          <w:szCs w:val="23"/>
          <w:shd w:val="clear" w:color="auto" w:fill="FFFFFF"/>
        </w:rPr>
        <w:t>istory of Britain,</w:t>
      </w:r>
      <w:r w:rsidR="005A353D">
        <w:rPr>
          <w:rFonts w:ascii="Segoe UI" w:hAnsi="Segoe UI" w:cs="Segoe UI"/>
          <w:color w:val="373A3C"/>
          <w:sz w:val="23"/>
          <w:szCs w:val="23"/>
          <w:shd w:val="clear" w:color="auto" w:fill="FFFFFF"/>
        </w:rPr>
        <w:t xml:space="preserve"> as written by Geoffrey of Monmouth</w:t>
      </w:r>
      <w:r w:rsidR="00764274">
        <w:rPr>
          <w:rFonts w:ascii="Segoe UI" w:hAnsi="Segoe UI" w:cs="Segoe UI"/>
          <w:color w:val="373A3C"/>
          <w:sz w:val="23"/>
          <w:szCs w:val="23"/>
          <w:shd w:val="clear" w:color="auto" w:fill="FFFFFF"/>
        </w:rPr>
        <w:t>. He writes that t</w:t>
      </w:r>
      <w:r w:rsidR="005A353D">
        <w:rPr>
          <w:rFonts w:ascii="Segoe UI" w:hAnsi="Segoe UI" w:cs="Segoe UI"/>
          <w:color w:val="373A3C"/>
          <w:sz w:val="23"/>
          <w:szCs w:val="23"/>
          <w:shd w:val="clear" w:color="auto" w:fill="FFFFFF"/>
        </w:rPr>
        <w:t>he island of Britain, then known as Albion, was home first to Giants before men.</w:t>
      </w:r>
      <w:r w:rsidR="005A353D">
        <w:rPr>
          <w:rStyle w:val="FootnoteReference"/>
          <w:rFonts w:ascii="Segoe UI" w:hAnsi="Segoe UI" w:cs="Segoe UI"/>
          <w:color w:val="373A3C"/>
          <w:sz w:val="23"/>
          <w:szCs w:val="23"/>
          <w:shd w:val="clear" w:color="auto" w:fill="FFFFFF"/>
        </w:rPr>
        <w:footnoteReference w:id="38"/>
      </w:r>
      <w:r w:rsidR="005A353D">
        <w:rPr>
          <w:rFonts w:ascii="Segoe UI" w:hAnsi="Segoe UI" w:cs="Segoe UI"/>
          <w:color w:val="373A3C"/>
          <w:sz w:val="23"/>
          <w:szCs w:val="23"/>
          <w:shd w:val="clear" w:color="auto" w:fill="FFFFFF"/>
        </w:rPr>
        <w:t xml:space="preserve"> This makes the daughter’s of Giants sought after and often in a situation of needed rescuing from their barbaric fathers. Another Arthurian figure to follow this stereotype is Arthur’s wife Gwenhwyfar. Gwenhwyfar is written in the Triads to be the daughter of Ogfran the Giant, who is also referred to as Gogfran in some texts, however this categorising Gwenhwyfar as a Giant’s daughter only appears in literature after the period of Geoffrey of Monmouth’s influence.</w:t>
      </w:r>
      <w:r w:rsidR="005A353D">
        <w:rPr>
          <w:rStyle w:val="FootnoteReference"/>
          <w:rFonts w:ascii="Segoe UI" w:hAnsi="Segoe UI" w:cs="Segoe UI"/>
          <w:color w:val="373A3C"/>
          <w:sz w:val="23"/>
          <w:szCs w:val="23"/>
          <w:shd w:val="clear" w:color="auto" w:fill="FFFFFF"/>
        </w:rPr>
        <w:footnoteReference w:id="39"/>
      </w:r>
      <w:r w:rsidR="004E034F">
        <w:rPr>
          <w:rFonts w:ascii="Segoe UI" w:hAnsi="Segoe UI" w:cs="Segoe UI"/>
          <w:color w:val="373A3C"/>
          <w:sz w:val="23"/>
          <w:szCs w:val="23"/>
          <w:shd w:val="clear" w:color="auto" w:fill="FFFFFF"/>
        </w:rPr>
        <w:t xml:space="preserve"> Despite Gwenhwyfar’s role in medieval Welsh literature as the wife of Arthur and daughter of Ogfran the Giant, her character alters between prose and poetry texts, much like her reputation does in the later continental romance genre as she is then the subject of an adulterous affair, this perhaps dilutes her stereotype as a Giant’s daughter though solidifies the argument of the Giant’s daughter stereotype being used as a literary device to explain the reputation and perhaps situation of a women in Arthurian legend.</w:t>
      </w:r>
      <w:r w:rsidR="004E034F">
        <w:rPr>
          <w:rStyle w:val="FootnoteReference"/>
          <w:rFonts w:ascii="Segoe UI" w:hAnsi="Segoe UI" w:cs="Segoe UI"/>
          <w:color w:val="373A3C"/>
          <w:sz w:val="23"/>
          <w:szCs w:val="23"/>
          <w:shd w:val="clear" w:color="auto" w:fill="FFFFFF"/>
        </w:rPr>
        <w:footnoteReference w:id="40"/>
      </w:r>
      <w:r w:rsidR="004E034F">
        <w:rPr>
          <w:rFonts w:ascii="Segoe UI" w:hAnsi="Segoe UI" w:cs="Segoe UI"/>
          <w:color w:val="373A3C"/>
          <w:sz w:val="23"/>
          <w:szCs w:val="23"/>
          <w:shd w:val="clear" w:color="auto" w:fill="FFFFFF"/>
        </w:rPr>
        <w:t xml:space="preserve"> </w:t>
      </w:r>
    </w:p>
    <w:p w14:paraId="6D6F7037" w14:textId="3D1B709E" w:rsidR="00E70AEA" w:rsidRDefault="004E034F"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With this in mind, Olwen’s role as a Giant’s daughter is perhaps merely a literary device to portray her as a maiden in need of Culhwch’s saviour, paired with the picture of her beauty, aptly addressed in a “soft and poetic”</w:t>
      </w:r>
      <w:r>
        <w:rPr>
          <w:rStyle w:val="FootnoteReference"/>
          <w:rFonts w:ascii="Segoe UI" w:hAnsi="Segoe UI" w:cs="Segoe UI"/>
          <w:color w:val="373A3C"/>
          <w:sz w:val="23"/>
          <w:szCs w:val="23"/>
          <w:shd w:val="clear" w:color="auto" w:fill="FFFFFF"/>
        </w:rPr>
        <w:footnoteReference w:id="41"/>
      </w:r>
      <w:r>
        <w:rPr>
          <w:rFonts w:ascii="Segoe UI" w:hAnsi="Segoe UI" w:cs="Segoe UI"/>
          <w:color w:val="373A3C"/>
          <w:sz w:val="23"/>
          <w:szCs w:val="23"/>
          <w:shd w:val="clear" w:color="auto" w:fill="FFFFFF"/>
        </w:rPr>
        <w:t xml:space="preserve"> pas</w:t>
      </w:r>
      <w:r w:rsidR="00BD303B">
        <w:rPr>
          <w:rFonts w:ascii="Segoe UI" w:hAnsi="Segoe UI" w:cs="Segoe UI"/>
          <w:color w:val="373A3C"/>
          <w:sz w:val="23"/>
          <w:szCs w:val="23"/>
          <w:shd w:val="clear" w:color="auto" w:fill="FFFFFF"/>
        </w:rPr>
        <w:t>sage which lists the aspects of her beauty, are used to further enhance the importance of the quest for Olwen’s hand in marriage. Olwen is described in aforementioned passage in the following way: “yellower was her hair than the flowers of the broom / whiter was her flesh than the foam of the wave”</w:t>
      </w:r>
      <w:r w:rsidR="00BD303B">
        <w:rPr>
          <w:rStyle w:val="FootnoteReference"/>
          <w:rFonts w:ascii="Segoe UI" w:hAnsi="Segoe UI" w:cs="Segoe UI"/>
          <w:color w:val="373A3C"/>
          <w:sz w:val="23"/>
          <w:szCs w:val="23"/>
          <w:shd w:val="clear" w:color="auto" w:fill="FFFFFF"/>
        </w:rPr>
        <w:footnoteReference w:id="42"/>
      </w:r>
      <w:r w:rsidR="00BD303B">
        <w:rPr>
          <w:rFonts w:ascii="Segoe UI" w:hAnsi="Segoe UI" w:cs="Segoe UI"/>
          <w:color w:val="373A3C"/>
          <w:sz w:val="23"/>
          <w:szCs w:val="23"/>
          <w:shd w:val="clear" w:color="auto" w:fill="FFFFFF"/>
        </w:rPr>
        <w:t xml:space="preserve"> further stereotyping her beauty and radiance, solidifying her role as a maiden worthy not only of marriage, but also a tale named for her. It is Davies’ conclusion that the stereotyping of Culhwch and Olwen is “a deliberate creation… as a vehicle to bring together numerous episodes… concerning Arthur and the Arthurian world.”</w:t>
      </w:r>
      <w:r w:rsidR="00BD303B">
        <w:rPr>
          <w:rStyle w:val="FootnoteReference"/>
          <w:rFonts w:ascii="Segoe UI" w:hAnsi="Segoe UI" w:cs="Segoe UI"/>
          <w:color w:val="373A3C"/>
          <w:sz w:val="23"/>
          <w:szCs w:val="23"/>
          <w:shd w:val="clear" w:color="auto" w:fill="FFFFFF"/>
        </w:rPr>
        <w:footnoteReference w:id="43"/>
      </w:r>
      <w:r w:rsidR="00B8583C">
        <w:rPr>
          <w:rFonts w:ascii="Segoe UI" w:hAnsi="Segoe UI" w:cs="Segoe UI"/>
          <w:color w:val="373A3C"/>
          <w:sz w:val="23"/>
          <w:szCs w:val="23"/>
          <w:shd w:val="clear" w:color="auto" w:fill="FFFFFF"/>
        </w:rPr>
        <w:t xml:space="preserve"> Olwen, by being the subject of stereotyping, therefore, may be a literary device in which we receive appropriate information about the world of Arthur and his men, and therefore the Arthurian milieu by design. </w:t>
      </w:r>
    </w:p>
    <w:p w14:paraId="60BC409A" w14:textId="61038D09" w:rsidR="00EF7259" w:rsidRDefault="00EF7259"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Arthurian world in </w:t>
      </w:r>
      <w:r w:rsidRPr="00764274">
        <w:rPr>
          <w:rFonts w:ascii="Segoe UI" w:hAnsi="Segoe UI" w:cs="Segoe UI"/>
          <w:i/>
          <w:iCs/>
          <w:color w:val="373A3C"/>
          <w:sz w:val="23"/>
          <w:szCs w:val="23"/>
          <w:shd w:val="clear" w:color="auto" w:fill="FFFFFF"/>
        </w:rPr>
        <w:t xml:space="preserve">Culhwch and Olwen </w:t>
      </w:r>
      <w:r>
        <w:rPr>
          <w:rFonts w:ascii="Segoe UI" w:hAnsi="Segoe UI" w:cs="Segoe UI"/>
          <w:color w:val="373A3C"/>
          <w:sz w:val="23"/>
          <w:szCs w:val="23"/>
          <w:shd w:val="clear" w:color="auto" w:fill="FFFFFF"/>
        </w:rPr>
        <w:t xml:space="preserve">is </w:t>
      </w:r>
      <w:r w:rsidR="00A55DD7">
        <w:rPr>
          <w:rFonts w:ascii="Segoe UI" w:hAnsi="Segoe UI" w:cs="Segoe UI"/>
          <w:color w:val="373A3C"/>
          <w:sz w:val="23"/>
          <w:szCs w:val="23"/>
          <w:shd w:val="clear" w:color="auto" w:fill="FFFFFF"/>
        </w:rPr>
        <w:t xml:space="preserve">created with the aid of the characters, another notable set of figures in the tale are the knights and warriors Arthur and Culhwch call upon on their quest to find Olwen and defeat Ysbaddaden. The list of </w:t>
      </w:r>
      <w:r w:rsidR="00A55DD7">
        <w:rPr>
          <w:rFonts w:ascii="Segoe UI" w:hAnsi="Segoe UI" w:cs="Segoe UI"/>
          <w:color w:val="373A3C"/>
          <w:sz w:val="23"/>
          <w:szCs w:val="23"/>
          <w:shd w:val="clear" w:color="auto" w:fill="FFFFFF"/>
        </w:rPr>
        <w:lastRenderedPageBreak/>
        <w:t>names Arthur calls upon as witnesses to his gift to Culhwch includes many of these figures, some merely named and others categorised with epithets, attributes and stories, all in order to conjure up a concrete and exciting image of the men that fight alongside Arthur.</w:t>
      </w:r>
      <w:r w:rsidR="00A55DD7">
        <w:rPr>
          <w:rStyle w:val="FootnoteReference"/>
          <w:rFonts w:ascii="Segoe UI" w:hAnsi="Segoe UI" w:cs="Segoe UI"/>
          <w:color w:val="373A3C"/>
          <w:sz w:val="23"/>
          <w:szCs w:val="23"/>
          <w:shd w:val="clear" w:color="auto" w:fill="FFFFFF"/>
        </w:rPr>
        <w:footnoteReference w:id="44"/>
      </w:r>
      <w:r w:rsidR="00A55DD7">
        <w:rPr>
          <w:rFonts w:ascii="Segoe UI" w:hAnsi="Segoe UI" w:cs="Segoe UI"/>
          <w:color w:val="373A3C"/>
          <w:sz w:val="23"/>
          <w:szCs w:val="23"/>
          <w:shd w:val="clear" w:color="auto" w:fill="FFFFFF"/>
        </w:rPr>
        <w:t xml:space="preserve"> Many of these figures are of historical significance as they are well-known to a mainstream audience who many only know the well-documented legends of Arthur and his men, for example Cai, or as modern adaptations name him, Sir Kay, is a figure a more conventional audience may have heard of.</w:t>
      </w:r>
      <w:r w:rsidR="00922E53">
        <w:rPr>
          <w:rFonts w:ascii="Segoe UI" w:hAnsi="Segoe UI" w:cs="Segoe UI"/>
          <w:color w:val="373A3C"/>
          <w:sz w:val="23"/>
          <w:szCs w:val="23"/>
          <w:shd w:val="clear" w:color="auto" w:fill="FFFFFF"/>
        </w:rPr>
        <w:t xml:space="preserve"> </w:t>
      </w:r>
      <w:r w:rsidR="00A55DD7">
        <w:rPr>
          <w:rFonts w:ascii="Segoe UI" w:hAnsi="Segoe UI" w:cs="Segoe UI"/>
          <w:color w:val="373A3C"/>
          <w:sz w:val="23"/>
          <w:szCs w:val="23"/>
          <w:shd w:val="clear" w:color="auto" w:fill="FFFFFF"/>
        </w:rPr>
        <w:t>Other men listed here are also featured in many other Arthurian texts and therefore may have been of significance to the intended audience, for example Geraint son of Er</w:t>
      </w:r>
      <w:r w:rsidR="001F4FD6">
        <w:rPr>
          <w:rFonts w:ascii="Segoe UI" w:hAnsi="Segoe UI" w:cs="Segoe UI"/>
          <w:color w:val="373A3C"/>
          <w:sz w:val="23"/>
          <w:szCs w:val="23"/>
          <w:shd w:val="clear" w:color="auto" w:fill="FFFFFF"/>
        </w:rPr>
        <w:t>b</w:t>
      </w:r>
      <w:r w:rsidR="00A55DD7">
        <w:rPr>
          <w:rFonts w:ascii="Segoe UI" w:hAnsi="Segoe UI" w:cs="Segoe UI"/>
          <w:color w:val="373A3C"/>
          <w:sz w:val="23"/>
          <w:szCs w:val="23"/>
          <w:shd w:val="clear" w:color="auto" w:fill="FFFFFF"/>
        </w:rPr>
        <w:t xml:space="preserve">in is mentioned in this line up alongside his brothers, </w:t>
      </w:r>
      <w:r w:rsidR="001F4FD6">
        <w:rPr>
          <w:rFonts w:ascii="Segoe UI" w:hAnsi="Segoe UI" w:cs="Segoe UI"/>
          <w:color w:val="373A3C"/>
          <w:sz w:val="23"/>
          <w:szCs w:val="23"/>
          <w:shd w:val="clear" w:color="auto" w:fill="FFFFFF"/>
        </w:rPr>
        <w:t xml:space="preserve">a figure who is mentioned as a title character in the </w:t>
      </w:r>
      <w:r w:rsidR="001F4FD6" w:rsidRPr="00764274">
        <w:rPr>
          <w:rFonts w:ascii="Segoe UI" w:hAnsi="Segoe UI" w:cs="Segoe UI"/>
          <w:i/>
          <w:iCs/>
          <w:color w:val="373A3C"/>
          <w:sz w:val="23"/>
          <w:szCs w:val="23"/>
          <w:shd w:val="clear" w:color="auto" w:fill="FFFFFF"/>
        </w:rPr>
        <w:t>Mabinogion</w:t>
      </w:r>
      <w:r w:rsidR="001F4FD6">
        <w:rPr>
          <w:rFonts w:ascii="Segoe UI" w:hAnsi="Segoe UI" w:cs="Segoe UI"/>
          <w:color w:val="373A3C"/>
          <w:sz w:val="23"/>
          <w:szCs w:val="23"/>
          <w:shd w:val="clear" w:color="auto" w:fill="FFFFFF"/>
        </w:rPr>
        <w:t xml:space="preserve"> tales. The inclusion of well known figures, and the influence these figures lead on into modern adaptations of Arthurian tales, depicts the importance and significance of naming these knights and provide a cohesive depiction of the Arthurian milieu across multiple platforms and literary pieces. </w:t>
      </w:r>
    </w:p>
    <w:p w14:paraId="1309D4C6" w14:textId="6E381D16" w:rsidR="001F4FD6" w:rsidRDefault="001F4FD6"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inclusion of each knight’s attributes, both of mainstream characteristics and of magical qualities also aids in depicting and pinpointing the important traits to an Arthurian crowd. </w:t>
      </w:r>
      <w:r w:rsidR="00922E53">
        <w:rPr>
          <w:rFonts w:ascii="Segoe UI" w:hAnsi="Segoe UI" w:cs="Segoe UI"/>
          <w:color w:val="373A3C"/>
          <w:sz w:val="23"/>
          <w:szCs w:val="23"/>
          <w:shd w:val="clear" w:color="auto" w:fill="FFFFFF"/>
        </w:rPr>
        <w:t xml:space="preserve">The magical and mystical plays an important part in </w:t>
      </w:r>
      <w:r w:rsidR="00922E53" w:rsidRPr="00764274">
        <w:rPr>
          <w:rFonts w:ascii="Segoe UI" w:hAnsi="Segoe UI" w:cs="Segoe UI"/>
          <w:i/>
          <w:iCs/>
          <w:color w:val="373A3C"/>
          <w:sz w:val="23"/>
          <w:szCs w:val="23"/>
          <w:shd w:val="clear" w:color="auto" w:fill="FFFFFF"/>
        </w:rPr>
        <w:t>Culhwch and Olwen</w:t>
      </w:r>
      <w:r w:rsidR="00922E53">
        <w:rPr>
          <w:rFonts w:ascii="Segoe UI" w:hAnsi="Segoe UI" w:cs="Segoe UI"/>
          <w:color w:val="373A3C"/>
          <w:sz w:val="23"/>
          <w:szCs w:val="23"/>
          <w:shd w:val="clear" w:color="auto" w:fill="FFFFFF"/>
        </w:rPr>
        <w:t xml:space="preserve">, which begins with the figures themselves. There are many characters who bare no significance on the storyline of </w:t>
      </w:r>
      <w:r w:rsidR="00922E53" w:rsidRPr="00764274">
        <w:rPr>
          <w:rFonts w:ascii="Segoe UI" w:hAnsi="Segoe UI" w:cs="Segoe UI"/>
          <w:i/>
          <w:iCs/>
          <w:color w:val="373A3C"/>
          <w:sz w:val="23"/>
          <w:szCs w:val="23"/>
          <w:shd w:val="clear" w:color="auto" w:fill="FFFFFF"/>
        </w:rPr>
        <w:t>Culhwch and Olwen</w:t>
      </w:r>
      <w:r w:rsidR="00922E53">
        <w:rPr>
          <w:rFonts w:ascii="Segoe UI" w:hAnsi="Segoe UI" w:cs="Segoe UI"/>
          <w:color w:val="373A3C"/>
          <w:sz w:val="23"/>
          <w:szCs w:val="23"/>
          <w:shd w:val="clear" w:color="auto" w:fill="FFFFFF"/>
        </w:rPr>
        <w:t xml:space="preserve"> and are listed as benefactor’s to Culhwch’s gift only, however they are still attributed mystical abilities in order to further solidify magic in the Arthurian court. An illustration of this is Teithi Hen son of Gwynnan, Teithi Hen is not important to Culhwch’s situation, in fact we learn that he is in fact dead at the time of Culhwch’s arrival at court. This is backed, however, by the knowledge that his knife had a magical attribute”</w:t>
      </w:r>
      <w:r w:rsidR="00922E53">
        <w:rPr>
          <w:rStyle w:val="FootnoteReference"/>
          <w:rFonts w:ascii="Segoe UI" w:hAnsi="Segoe UI" w:cs="Segoe UI"/>
          <w:color w:val="373A3C"/>
          <w:sz w:val="23"/>
          <w:szCs w:val="23"/>
          <w:shd w:val="clear" w:color="auto" w:fill="FFFFFF"/>
        </w:rPr>
        <w:footnoteReference w:id="45"/>
      </w:r>
      <w:r w:rsidR="00922E53">
        <w:rPr>
          <w:rFonts w:ascii="Segoe UI" w:hAnsi="Segoe UI" w:cs="Segoe UI"/>
          <w:color w:val="373A3C"/>
          <w:sz w:val="23"/>
          <w:szCs w:val="23"/>
          <w:shd w:val="clear" w:color="auto" w:fill="FFFFFF"/>
        </w:rPr>
        <w:t xml:space="preserve"> which ultimately caused his untimely death. By including small tales of magic surrounding the other figures at court, the theme of the mystical is well established in the Arthurian milieu, and </w:t>
      </w:r>
      <w:r w:rsidR="00A023A2">
        <w:rPr>
          <w:rFonts w:ascii="Segoe UI" w:hAnsi="Segoe UI" w:cs="Segoe UI"/>
          <w:color w:val="373A3C"/>
          <w:sz w:val="23"/>
          <w:szCs w:val="23"/>
          <w:shd w:val="clear" w:color="auto" w:fill="FFFFFF"/>
        </w:rPr>
        <w:t xml:space="preserve">magic is accepted as an ordinary part of the world. </w:t>
      </w:r>
    </w:p>
    <w:p w14:paraId="79C0C0F4" w14:textId="15E43DC5" w:rsidR="00A023A2" w:rsidRDefault="00A023A2"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While picking men to travel with Culhwch to find his bride, Arthur chooses the ones with exceptional magical qualities. The first of these men is the well-known Cai, who amongst many skills can act as kindling for his comrades due to his heat and could deal a wound no physician can heal.</w:t>
      </w:r>
      <w:r>
        <w:rPr>
          <w:rStyle w:val="FootnoteReference"/>
          <w:rFonts w:ascii="Segoe UI" w:hAnsi="Segoe UI" w:cs="Segoe UI"/>
          <w:color w:val="373A3C"/>
          <w:sz w:val="23"/>
          <w:szCs w:val="23"/>
          <w:shd w:val="clear" w:color="auto" w:fill="FFFFFF"/>
        </w:rPr>
        <w:footnoteReference w:id="46"/>
      </w:r>
      <w:r>
        <w:rPr>
          <w:rFonts w:ascii="Segoe UI" w:hAnsi="Segoe UI" w:cs="Segoe UI"/>
          <w:color w:val="373A3C"/>
          <w:sz w:val="23"/>
          <w:szCs w:val="23"/>
          <w:shd w:val="clear" w:color="auto" w:fill="FFFFFF"/>
        </w:rPr>
        <w:t xml:space="preserve"> Cai is a figure who alters significantly between texts however, as many note that he is in </w:t>
      </w:r>
      <w:r w:rsidRPr="00764274">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not the “ill-tempered and ineffectual malcontent we often see in Arthurian literature,”</w:t>
      </w:r>
      <w:r>
        <w:rPr>
          <w:rStyle w:val="FootnoteReference"/>
          <w:rFonts w:ascii="Segoe UI" w:hAnsi="Segoe UI" w:cs="Segoe UI"/>
          <w:color w:val="373A3C"/>
          <w:sz w:val="23"/>
          <w:szCs w:val="23"/>
          <w:shd w:val="clear" w:color="auto" w:fill="FFFFFF"/>
        </w:rPr>
        <w:footnoteReference w:id="47"/>
      </w:r>
      <w:r>
        <w:rPr>
          <w:rFonts w:ascii="Segoe UI" w:hAnsi="Segoe UI" w:cs="Segoe UI"/>
          <w:color w:val="373A3C"/>
          <w:sz w:val="23"/>
          <w:szCs w:val="23"/>
          <w:shd w:val="clear" w:color="auto" w:fill="FFFFFF"/>
        </w:rPr>
        <w:t xml:space="preserve"> but instead a “truly magical personage, and he boasts the attributes needed for the task at hand.”</w:t>
      </w:r>
      <w:r>
        <w:rPr>
          <w:rStyle w:val="FootnoteReference"/>
          <w:rFonts w:ascii="Segoe UI" w:hAnsi="Segoe UI" w:cs="Segoe UI"/>
          <w:color w:val="373A3C"/>
          <w:sz w:val="23"/>
          <w:szCs w:val="23"/>
          <w:shd w:val="clear" w:color="auto" w:fill="FFFFFF"/>
        </w:rPr>
        <w:footnoteReference w:id="48"/>
      </w:r>
      <w:r w:rsidR="00205178">
        <w:rPr>
          <w:rFonts w:ascii="Segoe UI" w:hAnsi="Segoe UI" w:cs="Segoe UI"/>
          <w:color w:val="373A3C"/>
          <w:sz w:val="23"/>
          <w:szCs w:val="23"/>
          <w:shd w:val="clear" w:color="auto" w:fill="FFFFFF"/>
        </w:rPr>
        <w:t xml:space="preserve"> Once again implying the significance of his magical attributes and how the inclusion of such aids the hero of our text. </w:t>
      </w:r>
      <w:r>
        <w:rPr>
          <w:rFonts w:ascii="Segoe UI" w:hAnsi="Segoe UI" w:cs="Segoe UI"/>
          <w:color w:val="373A3C"/>
          <w:sz w:val="23"/>
          <w:szCs w:val="23"/>
          <w:shd w:val="clear" w:color="auto" w:fill="FFFFFF"/>
        </w:rPr>
        <w:t xml:space="preserve">The other men enlisted to accompany Culhwch are: Bedwyr, who </w:t>
      </w:r>
      <w:r>
        <w:rPr>
          <w:rFonts w:ascii="Segoe UI" w:hAnsi="Segoe UI" w:cs="Segoe UI"/>
          <w:color w:val="373A3C"/>
          <w:sz w:val="23"/>
          <w:szCs w:val="23"/>
          <w:shd w:val="clear" w:color="auto" w:fill="FFFFFF"/>
        </w:rPr>
        <w:lastRenderedPageBreak/>
        <w:t>despite being one-handed, “no three warriors could draw blood in the same field faster than he”;</w:t>
      </w:r>
      <w:r>
        <w:rPr>
          <w:rStyle w:val="FootnoteReference"/>
          <w:rFonts w:ascii="Segoe UI" w:hAnsi="Segoe UI" w:cs="Segoe UI"/>
          <w:color w:val="373A3C"/>
          <w:sz w:val="23"/>
          <w:szCs w:val="23"/>
          <w:shd w:val="clear" w:color="auto" w:fill="FFFFFF"/>
        </w:rPr>
        <w:footnoteReference w:id="49"/>
      </w:r>
      <w:r>
        <w:rPr>
          <w:rFonts w:ascii="Segoe UI" w:hAnsi="Segoe UI" w:cs="Segoe UI"/>
          <w:color w:val="373A3C"/>
          <w:sz w:val="23"/>
          <w:szCs w:val="23"/>
          <w:shd w:val="clear" w:color="auto" w:fill="FFFFFF"/>
        </w:rPr>
        <w:t xml:space="preserve"> Cynddylig Gyfarwydd, Gwrhyr Gwalstawd Ieithoedd and Gwalchmai son of Gwyar, who all carried mystical qualities useful for their quest, including the knowledge of all languages and skills in guiding; and finally Menw son of Teirgwaedd, who could cast a spell on his companions to make them invisible in pagan lands.</w:t>
      </w:r>
      <w:r>
        <w:rPr>
          <w:rStyle w:val="FootnoteReference"/>
          <w:rFonts w:ascii="Segoe UI" w:hAnsi="Segoe UI" w:cs="Segoe UI"/>
          <w:color w:val="373A3C"/>
          <w:sz w:val="23"/>
          <w:szCs w:val="23"/>
          <w:shd w:val="clear" w:color="auto" w:fill="FFFFFF"/>
        </w:rPr>
        <w:footnoteReference w:id="50"/>
      </w:r>
      <w:r>
        <w:rPr>
          <w:rFonts w:ascii="Segoe UI" w:hAnsi="Segoe UI" w:cs="Segoe UI"/>
          <w:color w:val="373A3C"/>
          <w:sz w:val="23"/>
          <w:szCs w:val="23"/>
          <w:shd w:val="clear" w:color="auto" w:fill="FFFFFF"/>
        </w:rPr>
        <w:t xml:space="preserve"> </w:t>
      </w:r>
      <w:r w:rsidR="00CA5E3B">
        <w:rPr>
          <w:rFonts w:ascii="Segoe UI" w:hAnsi="Segoe UI" w:cs="Segoe UI"/>
          <w:color w:val="373A3C"/>
          <w:sz w:val="23"/>
          <w:szCs w:val="23"/>
          <w:shd w:val="clear" w:color="auto" w:fill="FFFFFF"/>
        </w:rPr>
        <w:t xml:space="preserve">The inclusion of such magical qualities not only aids the storyline’s progression, but also normalises these mystical artforms and attributes them to everyday Arthurian society. However, this is not something that is ever explained in </w:t>
      </w:r>
      <w:r w:rsidR="00CA5E3B" w:rsidRPr="00764274">
        <w:rPr>
          <w:rFonts w:ascii="Segoe UI" w:hAnsi="Segoe UI" w:cs="Segoe UI"/>
          <w:i/>
          <w:iCs/>
          <w:color w:val="373A3C"/>
          <w:sz w:val="23"/>
          <w:szCs w:val="23"/>
          <w:shd w:val="clear" w:color="auto" w:fill="FFFFFF"/>
        </w:rPr>
        <w:t>Culhwch and Olwen,</w:t>
      </w:r>
      <w:r w:rsidR="00CA5E3B">
        <w:rPr>
          <w:rFonts w:ascii="Segoe UI" w:hAnsi="Segoe UI" w:cs="Segoe UI"/>
          <w:color w:val="373A3C"/>
          <w:sz w:val="23"/>
          <w:szCs w:val="23"/>
          <w:shd w:val="clear" w:color="auto" w:fill="FFFFFF"/>
        </w:rPr>
        <w:t xml:space="preserve"> and by the inclusion of such themes it is merely expected of you to appreciate and accept magic as a part of the Arthurian milieu as if it were a historical fact. Of course, we are affronted with the </w:t>
      </w:r>
      <w:r w:rsidR="000E642F">
        <w:rPr>
          <w:rFonts w:ascii="Segoe UI" w:hAnsi="Segoe UI" w:cs="Segoe UI"/>
          <w:color w:val="373A3C"/>
          <w:sz w:val="23"/>
          <w:szCs w:val="23"/>
          <w:shd w:val="clear" w:color="auto" w:fill="FFFFFF"/>
        </w:rPr>
        <w:t>inclusion as the factors of magic in the Arthurian world are plainly written, however, the continuity of such attributes is not considered, as quite often the skills are not transferred to other, similar literatures.</w:t>
      </w:r>
    </w:p>
    <w:p w14:paraId="1148922E" w14:textId="77777777" w:rsidR="00764274" w:rsidRDefault="000E642F"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Despite Culhwch and Olwen themselves seemingly having little magical qualities, they are constantly surrounded by both mystical themes, and also people. Olwen herself is the daughter of a giant, though never labelled as a giantess, and is “appropriately magical and symbol-laden”.</w:t>
      </w:r>
      <w:r>
        <w:rPr>
          <w:rStyle w:val="FootnoteReference"/>
          <w:rFonts w:ascii="Segoe UI" w:hAnsi="Segoe UI" w:cs="Segoe UI"/>
          <w:color w:val="373A3C"/>
          <w:sz w:val="23"/>
          <w:szCs w:val="23"/>
          <w:shd w:val="clear" w:color="auto" w:fill="FFFFFF"/>
        </w:rPr>
        <w:footnoteReference w:id="51"/>
      </w:r>
      <w:r w:rsidR="00006301">
        <w:rPr>
          <w:rFonts w:ascii="Segoe UI" w:hAnsi="Segoe UI" w:cs="Segoe UI"/>
          <w:color w:val="373A3C"/>
          <w:sz w:val="23"/>
          <w:szCs w:val="23"/>
          <w:shd w:val="clear" w:color="auto" w:fill="FFFFFF"/>
        </w:rPr>
        <w:t xml:space="preserve"> </w:t>
      </w:r>
      <w:r w:rsidR="00854CF5">
        <w:rPr>
          <w:rFonts w:ascii="Segoe UI" w:hAnsi="Segoe UI" w:cs="Segoe UI"/>
          <w:color w:val="373A3C"/>
          <w:sz w:val="23"/>
          <w:szCs w:val="23"/>
          <w:shd w:val="clear" w:color="auto" w:fill="FFFFFF"/>
        </w:rPr>
        <w:t>Due to the circumstances of Culhwch’s love for her, Olwen is seen as the object of a magical tryst, as her hand in marriage is seen as a destined outcome, rather than any man-made choice.</w:t>
      </w:r>
      <w:r w:rsidR="00854CF5">
        <w:rPr>
          <w:rStyle w:val="FootnoteReference"/>
          <w:rFonts w:ascii="Segoe UI" w:hAnsi="Segoe UI" w:cs="Segoe UI"/>
          <w:color w:val="373A3C"/>
          <w:sz w:val="23"/>
          <w:szCs w:val="23"/>
          <w:shd w:val="clear" w:color="auto" w:fill="FFFFFF"/>
        </w:rPr>
        <w:footnoteReference w:id="52"/>
      </w:r>
      <w:r w:rsidR="00854CF5">
        <w:rPr>
          <w:rFonts w:ascii="Segoe UI" w:hAnsi="Segoe UI" w:cs="Segoe UI"/>
          <w:color w:val="373A3C"/>
          <w:sz w:val="23"/>
          <w:szCs w:val="23"/>
          <w:shd w:val="clear" w:color="auto" w:fill="FFFFFF"/>
        </w:rPr>
        <w:t xml:space="preserve"> In the original Welsh texts, many of the passages about Olwen are written poetically and with soft language, even noted as being written with rhyming units to create a certain tone,</w:t>
      </w:r>
      <w:r w:rsidR="00854CF5">
        <w:rPr>
          <w:rStyle w:val="FootnoteReference"/>
          <w:rFonts w:ascii="Segoe UI" w:hAnsi="Segoe UI" w:cs="Segoe UI"/>
          <w:color w:val="373A3C"/>
          <w:sz w:val="23"/>
          <w:szCs w:val="23"/>
          <w:shd w:val="clear" w:color="auto" w:fill="FFFFFF"/>
        </w:rPr>
        <w:footnoteReference w:id="53"/>
      </w:r>
      <w:r w:rsidR="00854CF5">
        <w:rPr>
          <w:rFonts w:ascii="Segoe UI" w:hAnsi="Segoe UI" w:cs="Segoe UI"/>
          <w:color w:val="373A3C"/>
          <w:sz w:val="23"/>
          <w:szCs w:val="23"/>
          <w:shd w:val="clear" w:color="auto" w:fill="FFFFFF"/>
        </w:rPr>
        <w:t xml:space="preserve"> Olwen is throughout the tale a figure of literary device and created to be the end goal of the heroes quest, therefore by making her the object of beauty and magic the overall theme of the mystic is maintained.</w:t>
      </w:r>
      <w:r w:rsidR="00854CF5">
        <w:rPr>
          <w:rStyle w:val="FootnoteReference"/>
          <w:rFonts w:ascii="Segoe UI" w:hAnsi="Segoe UI" w:cs="Segoe UI"/>
          <w:color w:val="373A3C"/>
          <w:sz w:val="23"/>
          <w:szCs w:val="23"/>
          <w:shd w:val="clear" w:color="auto" w:fill="FFFFFF"/>
        </w:rPr>
        <w:footnoteReference w:id="54"/>
      </w:r>
      <w:r w:rsidR="00854CF5">
        <w:rPr>
          <w:rFonts w:ascii="Segoe UI" w:hAnsi="Segoe UI" w:cs="Segoe UI"/>
          <w:color w:val="373A3C"/>
          <w:sz w:val="23"/>
          <w:szCs w:val="23"/>
          <w:shd w:val="clear" w:color="auto" w:fill="FFFFFF"/>
        </w:rPr>
        <w:t xml:space="preserve"> </w:t>
      </w:r>
      <w:r w:rsidR="00CF7C8B">
        <w:rPr>
          <w:rFonts w:ascii="Segoe UI" w:hAnsi="Segoe UI" w:cs="Segoe UI"/>
          <w:color w:val="373A3C"/>
          <w:sz w:val="23"/>
          <w:szCs w:val="23"/>
          <w:shd w:val="clear" w:color="auto" w:fill="FFFFFF"/>
        </w:rPr>
        <w:t>The rhymical period of Olwen’s introduction is used “to signify the arrival of a significant point in the story”</w:t>
      </w:r>
      <w:r w:rsidR="00CF7C8B">
        <w:rPr>
          <w:rStyle w:val="FootnoteReference"/>
          <w:rFonts w:ascii="Segoe UI" w:hAnsi="Segoe UI" w:cs="Segoe UI"/>
          <w:color w:val="373A3C"/>
          <w:sz w:val="23"/>
          <w:szCs w:val="23"/>
          <w:shd w:val="clear" w:color="auto" w:fill="FFFFFF"/>
        </w:rPr>
        <w:footnoteReference w:id="55"/>
      </w:r>
      <w:r w:rsidR="00CF7C8B">
        <w:rPr>
          <w:rFonts w:ascii="Segoe UI" w:hAnsi="Segoe UI" w:cs="Segoe UI"/>
          <w:color w:val="373A3C"/>
          <w:sz w:val="23"/>
          <w:szCs w:val="23"/>
          <w:shd w:val="clear" w:color="auto" w:fill="FFFFFF"/>
        </w:rPr>
        <w:t xml:space="preserve"> and the impulsiveness and mystic of the moment. </w:t>
      </w:r>
      <w:r w:rsidR="00854CF5">
        <w:rPr>
          <w:rFonts w:ascii="Segoe UI" w:hAnsi="Segoe UI" w:cs="Segoe UI"/>
          <w:color w:val="373A3C"/>
          <w:sz w:val="23"/>
          <w:szCs w:val="23"/>
          <w:shd w:val="clear" w:color="auto" w:fill="FFFFFF"/>
        </w:rPr>
        <w:t>It is Culhwch’s status that allows him to be a suitable magical match for Olwen. As established, Arthur is a prominent figure of which magic surrounds, and therefore his cousin, Culhwch can be viewed as similarly magically endowered himself, despite any known mystical attributes.</w:t>
      </w:r>
      <w:r w:rsidR="00854CF5">
        <w:rPr>
          <w:rStyle w:val="FootnoteReference"/>
          <w:rFonts w:ascii="Segoe UI" w:hAnsi="Segoe UI" w:cs="Segoe UI"/>
          <w:color w:val="373A3C"/>
          <w:sz w:val="23"/>
          <w:szCs w:val="23"/>
          <w:shd w:val="clear" w:color="auto" w:fill="FFFFFF"/>
        </w:rPr>
        <w:footnoteReference w:id="56"/>
      </w:r>
      <w:r w:rsidR="00854CF5">
        <w:rPr>
          <w:rFonts w:ascii="Segoe UI" w:hAnsi="Segoe UI" w:cs="Segoe UI"/>
          <w:color w:val="373A3C"/>
          <w:sz w:val="23"/>
          <w:szCs w:val="23"/>
          <w:shd w:val="clear" w:color="auto" w:fill="FFFFFF"/>
        </w:rPr>
        <w:t xml:space="preserve"> </w:t>
      </w:r>
      <w:r w:rsidR="00F8063A">
        <w:rPr>
          <w:rFonts w:ascii="Segoe UI" w:hAnsi="Segoe UI" w:cs="Segoe UI"/>
          <w:color w:val="373A3C"/>
          <w:sz w:val="23"/>
          <w:szCs w:val="23"/>
          <w:shd w:val="clear" w:color="auto" w:fill="FFFFFF"/>
        </w:rPr>
        <w:t xml:space="preserve">Descriptions of Culhwch and Olwen are matched in their language. Early in the tale, a description of Culhwch is given which is </w:t>
      </w:r>
      <w:r w:rsidR="002B6375">
        <w:rPr>
          <w:rFonts w:ascii="Segoe UI" w:hAnsi="Segoe UI" w:cs="Segoe UI"/>
          <w:color w:val="373A3C"/>
          <w:sz w:val="23"/>
          <w:szCs w:val="23"/>
          <w:shd w:val="clear" w:color="auto" w:fill="FFFFFF"/>
        </w:rPr>
        <w:t xml:space="preserve">described by Goyne as </w:t>
      </w:r>
      <w:r w:rsidR="00F8063A">
        <w:rPr>
          <w:rFonts w:ascii="Segoe UI" w:hAnsi="Segoe UI" w:cs="Segoe UI"/>
          <w:color w:val="373A3C"/>
          <w:sz w:val="23"/>
          <w:szCs w:val="23"/>
          <w:shd w:val="clear" w:color="auto" w:fill="FFFFFF"/>
        </w:rPr>
        <w:t>restrained</w:t>
      </w:r>
      <w:r w:rsidR="002B6375">
        <w:rPr>
          <w:rFonts w:ascii="Segoe UI" w:hAnsi="Segoe UI" w:cs="Segoe UI"/>
          <w:color w:val="373A3C"/>
          <w:sz w:val="23"/>
          <w:szCs w:val="23"/>
          <w:shd w:val="clear" w:color="auto" w:fill="FFFFFF"/>
        </w:rPr>
        <w:t xml:space="preserve"> and mystical, both in the author’s language and Culhwch’s.</w:t>
      </w:r>
      <w:r w:rsidR="002B6375">
        <w:rPr>
          <w:rStyle w:val="FootnoteReference"/>
          <w:rFonts w:ascii="Segoe UI" w:hAnsi="Segoe UI" w:cs="Segoe UI"/>
          <w:color w:val="373A3C"/>
          <w:sz w:val="23"/>
          <w:szCs w:val="23"/>
          <w:shd w:val="clear" w:color="auto" w:fill="FFFFFF"/>
        </w:rPr>
        <w:footnoteReference w:id="57"/>
      </w:r>
      <w:r w:rsidR="002B6375">
        <w:rPr>
          <w:rFonts w:ascii="Segoe UI" w:hAnsi="Segoe UI" w:cs="Segoe UI"/>
          <w:color w:val="373A3C"/>
          <w:sz w:val="23"/>
          <w:szCs w:val="23"/>
          <w:shd w:val="clear" w:color="auto" w:fill="FFFFFF"/>
        </w:rPr>
        <w:t xml:space="preserve"> This description is equally matched when we meet Olwen for the first time, the two introductions are “a companion piece”</w:t>
      </w:r>
      <w:r w:rsidR="002B6375">
        <w:rPr>
          <w:rStyle w:val="FootnoteReference"/>
          <w:rFonts w:ascii="Segoe UI" w:hAnsi="Segoe UI" w:cs="Segoe UI"/>
          <w:color w:val="373A3C"/>
          <w:sz w:val="23"/>
          <w:szCs w:val="23"/>
          <w:shd w:val="clear" w:color="auto" w:fill="FFFFFF"/>
        </w:rPr>
        <w:footnoteReference w:id="58"/>
      </w:r>
      <w:r w:rsidR="002B6375">
        <w:rPr>
          <w:rFonts w:ascii="Segoe UI" w:hAnsi="Segoe UI" w:cs="Segoe UI"/>
          <w:color w:val="373A3C"/>
          <w:sz w:val="23"/>
          <w:szCs w:val="23"/>
          <w:shd w:val="clear" w:color="auto" w:fill="FFFFFF"/>
        </w:rPr>
        <w:t xml:space="preserve"> to one another,</w:t>
      </w:r>
      <w:r w:rsidR="00CF7C8B">
        <w:rPr>
          <w:rFonts w:ascii="Segoe UI" w:hAnsi="Segoe UI" w:cs="Segoe UI"/>
          <w:color w:val="373A3C"/>
          <w:sz w:val="23"/>
          <w:szCs w:val="23"/>
          <w:shd w:val="clear" w:color="auto" w:fill="FFFFFF"/>
        </w:rPr>
        <w:t xml:space="preserve"> as the language between them </w:t>
      </w:r>
      <w:r w:rsidR="00CF7C8B">
        <w:rPr>
          <w:rFonts w:ascii="Segoe UI" w:hAnsi="Segoe UI" w:cs="Segoe UI"/>
          <w:color w:val="373A3C"/>
          <w:sz w:val="23"/>
          <w:szCs w:val="23"/>
          <w:shd w:val="clear" w:color="auto" w:fill="FFFFFF"/>
        </w:rPr>
        <w:lastRenderedPageBreak/>
        <w:t>are similarly matched. Thus signifying that Culhwch and Olwen are an suitably matched pair.</w:t>
      </w:r>
    </w:p>
    <w:p w14:paraId="75F8BD75" w14:textId="21BE0167" w:rsidR="00610BAF" w:rsidRDefault="00610BAF"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As well as the theme of magic being carried throughout </w:t>
      </w:r>
      <w:r w:rsidRPr="00764274">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via its figures in an attempt to normalise sorcery in the court of Arthur, the theme is also conducted through aspects of the storyline. To further enhance the importance of magic in the Arthurian milieu, there are multiple curses that occur in order to create a storyline, most notably the curse on Culhwch, and the one on Ysbaddaden. Culhwch is cursed by his stepmother, who plays therefore into the jealous stepmother stereotype,</w:t>
      </w:r>
      <w:r>
        <w:rPr>
          <w:rStyle w:val="FootnoteReference"/>
          <w:rFonts w:ascii="Segoe UI" w:hAnsi="Segoe UI" w:cs="Segoe UI"/>
          <w:color w:val="373A3C"/>
          <w:sz w:val="23"/>
          <w:szCs w:val="23"/>
          <w:shd w:val="clear" w:color="auto" w:fill="FFFFFF"/>
        </w:rPr>
        <w:footnoteReference w:id="59"/>
      </w:r>
      <w:r>
        <w:rPr>
          <w:rFonts w:ascii="Segoe UI" w:hAnsi="Segoe UI" w:cs="Segoe UI"/>
          <w:color w:val="373A3C"/>
          <w:sz w:val="23"/>
          <w:szCs w:val="23"/>
          <w:shd w:val="clear" w:color="auto" w:fill="FFFFFF"/>
        </w:rPr>
        <w:t xml:space="preserve"> to fall in love with Olwen at just the sound of her name. This then sets up the entire plotline to the tale, as it centres around Culhwch making Olwen his bride. The second important curse falls on Ysbaddaden, who is cursed from an unknown origin</w:t>
      </w:r>
      <w:r w:rsidR="00F9644E">
        <w:rPr>
          <w:rFonts w:ascii="Segoe UI" w:hAnsi="Segoe UI" w:cs="Segoe UI"/>
          <w:color w:val="373A3C"/>
          <w:sz w:val="23"/>
          <w:szCs w:val="23"/>
          <w:shd w:val="clear" w:color="auto" w:fill="FFFFFF"/>
        </w:rPr>
        <w:t>. His curse is another famed motif in Arthurian literature, where by the giant is fated to die when his daughter takes a husband.</w:t>
      </w:r>
      <w:r w:rsidR="00F9644E">
        <w:rPr>
          <w:rStyle w:val="FootnoteReference"/>
          <w:rFonts w:ascii="Segoe UI" w:hAnsi="Segoe UI" w:cs="Segoe UI"/>
          <w:color w:val="373A3C"/>
          <w:sz w:val="23"/>
          <w:szCs w:val="23"/>
          <w:shd w:val="clear" w:color="auto" w:fill="FFFFFF"/>
        </w:rPr>
        <w:footnoteReference w:id="60"/>
      </w:r>
      <w:r w:rsidR="00F9644E">
        <w:rPr>
          <w:rFonts w:ascii="Segoe UI" w:hAnsi="Segoe UI" w:cs="Segoe UI"/>
          <w:color w:val="373A3C"/>
          <w:sz w:val="23"/>
          <w:szCs w:val="23"/>
          <w:shd w:val="clear" w:color="auto" w:fill="FFFFFF"/>
        </w:rPr>
        <w:t xml:space="preserve"> Olwen announces this news to Culhwch plainly, stating that no one can think she were being sinful with Culhwch, as she had promised her father to “not leave without consulting him, for he shall only live until I take a husband.”</w:t>
      </w:r>
      <w:r w:rsidR="00F9644E">
        <w:rPr>
          <w:rStyle w:val="FootnoteReference"/>
          <w:rFonts w:ascii="Segoe UI" w:hAnsi="Segoe UI" w:cs="Segoe UI"/>
          <w:color w:val="373A3C"/>
          <w:sz w:val="23"/>
          <w:szCs w:val="23"/>
          <w:shd w:val="clear" w:color="auto" w:fill="FFFFFF"/>
        </w:rPr>
        <w:footnoteReference w:id="61"/>
      </w:r>
      <w:r w:rsidR="00BE1248">
        <w:rPr>
          <w:rFonts w:ascii="Segoe UI" w:hAnsi="Segoe UI" w:cs="Segoe UI"/>
          <w:color w:val="373A3C"/>
          <w:sz w:val="23"/>
          <w:szCs w:val="23"/>
          <w:shd w:val="clear" w:color="auto" w:fill="FFFFFF"/>
        </w:rPr>
        <w:t xml:space="preserve"> These curses play heavily into the storyline, and therefore, the theme of </w:t>
      </w:r>
      <w:r w:rsidR="00BE1248" w:rsidRPr="00764274">
        <w:rPr>
          <w:rFonts w:ascii="Segoe UI" w:hAnsi="Segoe UI" w:cs="Segoe UI"/>
          <w:i/>
          <w:iCs/>
          <w:color w:val="373A3C"/>
          <w:sz w:val="23"/>
          <w:szCs w:val="23"/>
          <w:shd w:val="clear" w:color="auto" w:fill="FFFFFF"/>
        </w:rPr>
        <w:t xml:space="preserve">Culhwch and Olwen, </w:t>
      </w:r>
      <w:r w:rsidR="00BE1248">
        <w:rPr>
          <w:rFonts w:ascii="Segoe UI" w:hAnsi="Segoe UI" w:cs="Segoe UI"/>
          <w:color w:val="373A3C"/>
          <w:sz w:val="23"/>
          <w:szCs w:val="23"/>
          <w:shd w:val="clear" w:color="auto" w:fill="FFFFFF"/>
        </w:rPr>
        <w:t xml:space="preserve">resulting in the normalisation of magic in the heart of the Arthurian milieu. </w:t>
      </w:r>
    </w:p>
    <w:p w14:paraId="721A5122" w14:textId="22152D94" w:rsidR="00BE1248" w:rsidRDefault="00991D8A"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majority of the tasks asked of Culhwch by Ysbaddaden are also rooted in magic, as if to enhance the improbability of the completion of said tasks and further highlight the skill and heroism of the Arthur, Culhwch and their companions. All tasks asked of Culhwch are listed in </w:t>
      </w:r>
      <w:r w:rsidRPr="00764274">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in a rhythmic pattern to emphasize the separation between each task, however there is no satisfaction in seeing the completion of each </w:t>
      </w:r>
      <w:r w:rsidR="00BC4D75">
        <w:rPr>
          <w:rFonts w:ascii="Segoe UI" w:hAnsi="Segoe UI" w:cs="Segoe UI"/>
          <w:color w:val="373A3C"/>
          <w:sz w:val="23"/>
          <w:szCs w:val="23"/>
          <w:shd w:val="clear" w:color="auto" w:fill="FFFFFF"/>
        </w:rPr>
        <w:t>assignment</w:t>
      </w:r>
      <w:r>
        <w:rPr>
          <w:rFonts w:ascii="Segoe UI" w:hAnsi="Segoe UI" w:cs="Segoe UI"/>
          <w:color w:val="373A3C"/>
          <w:sz w:val="23"/>
          <w:szCs w:val="23"/>
          <w:shd w:val="clear" w:color="auto" w:fill="FFFFFF"/>
        </w:rPr>
        <w:t xml:space="preserve">. </w:t>
      </w:r>
      <w:r w:rsidR="00BC4D75">
        <w:rPr>
          <w:rFonts w:ascii="Segoe UI" w:hAnsi="Segoe UI" w:cs="Segoe UI"/>
          <w:color w:val="373A3C"/>
          <w:sz w:val="23"/>
          <w:szCs w:val="23"/>
          <w:shd w:val="clear" w:color="auto" w:fill="FFFFFF"/>
        </w:rPr>
        <w:t>The lack of literature to successfully imply that all forty tasks were completed does “not form a balanced unity”</w:t>
      </w:r>
      <w:r w:rsidR="00BC4D75">
        <w:rPr>
          <w:rStyle w:val="FootnoteReference"/>
          <w:rFonts w:ascii="Segoe UI" w:hAnsi="Segoe UI" w:cs="Segoe UI"/>
          <w:color w:val="373A3C"/>
          <w:sz w:val="23"/>
          <w:szCs w:val="23"/>
          <w:shd w:val="clear" w:color="auto" w:fill="FFFFFF"/>
        </w:rPr>
        <w:footnoteReference w:id="62"/>
      </w:r>
      <w:r w:rsidR="00BC4D75">
        <w:rPr>
          <w:rFonts w:ascii="Segoe UI" w:hAnsi="Segoe UI" w:cs="Segoe UI"/>
          <w:color w:val="373A3C"/>
          <w:sz w:val="23"/>
          <w:szCs w:val="23"/>
          <w:shd w:val="clear" w:color="auto" w:fill="FFFFFF"/>
        </w:rPr>
        <w:t xml:space="preserve"> and therefore leaves the tale unequal. There is argument to be made that this could be due to the development of the tale from oral tradition to the written medium and perhaps a version of the story exists with account of all tasks being completed.</w:t>
      </w:r>
      <w:r w:rsidR="00BC4D75">
        <w:rPr>
          <w:rStyle w:val="FootnoteReference"/>
          <w:rFonts w:ascii="Segoe UI" w:hAnsi="Segoe UI" w:cs="Segoe UI"/>
          <w:color w:val="373A3C"/>
          <w:sz w:val="23"/>
          <w:szCs w:val="23"/>
          <w:shd w:val="clear" w:color="auto" w:fill="FFFFFF"/>
        </w:rPr>
        <w:footnoteReference w:id="63"/>
      </w:r>
      <w:r w:rsidR="00BC4D75">
        <w:rPr>
          <w:rFonts w:ascii="Segoe UI" w:hAnsi="Segoe UI" w:cs="Segoe UI"/>
          <w:color w:val="373A3C"/>
          <w:sz w:val="23"/>
          <w:szCs w:val="23"/>
          <w:shd w:val="clear" w:color="auto" w:fill="FFFFFF"/>
        </w:rPr>
        <w:t xml:space="preserve"> However, the lack of balance between learning of the tasks and completion of the tasks, could instead be due to the importance, or entertainment value, of each of Ysbaddaden’s requests. Perhaps some were omitted in order to keep the tale concise or entertaining, or perhaps the ones excluded were not overlooked by the author, but rather did not concern the overall theme of the Arthurian milieu and did little to impact the story or its end. As previously concluded, many tales from </w:t>
      </w:r>
      <w:r w:rsidR="00BC4D75" w:rsidRPr="00764274">
        <w:rPr>
          <w:rFonts w:ascii="Segoe UI" w:hAnsi="Segoe UI" w:cs="Segoe UI"/>
          <w:i/>
          <w:iCs/>
          <w:color w:val="373A3C"/>
          <w:sz w:val="23"/>
          <w:szCs w:val="23"/>
          <w:shd w:val="clear" w:color="auto" w:fill="FFFFFF"/>
        </w:rPr>
        <w:t>Culhwch and Olwen</w:t>
      </w:r>
      <w:r w:rsidR="00BC4D75">
        <w:rPr>
          <w:rFonts w:ascii="Segoe UI" w:hAnsi="Segoe UI" w:cs="Segoe UI"/>
          <w:color w:val="373A3C"/>
          <w:sz w:val="23"/>
          <w:szCs w:val="23"/>
          <w:shd w:val="clear" w:color="auto" w:fill="FFFFFF"/>
        </w:rPr>
        <w:t xml:space="preserve"> are of significance to the Arthurian milieu, as they appear in many other stories and therefore perhaps the omitted tasks did not feed into the greater aspect of Arthurian legend.</w:t>
      </w:r>
    </w:p>
    <w:p w14:paraId="21824329" w14:textId="731AFBC2" w:rsidR="006C48D7" w:rsidRDefault="006C48D7"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 xml:space="preserve">There is a clear divide in </w:t>
      </w:r>
      <w:r w:rsidRPr="00764274">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between </w:t>
      </w:r>
      <w:r w:rsidR="00764274">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good</w:t>
      </w:r>
      <w:r w:rsidR="00764274">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magic and </w:t>
      </w:r>
      <w:r w:rsidR="00764274">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bad</w:t>
      </w:r>
      <w:r w:rsidR="00764274">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magic. Unlike many other similarly themed medieval writings, the Arthurian milieu seemingly leans into the legends of history and uses them to the extreme. Magic in </w:t>
      </w:r>
      <w:r w:rsidRPr="00764274">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is seen in both Arthur’s court, used openly and with ease as well as being the centre of the </w:t>
      </w:r>
      <w:r w:rsidR="00EF653B">
        <w:rPr>
          <w:rFonts w:ascii="Segoe UI" w:hAnsi="Segoe UI" w:cs="Segoe UI"/>
          <w:color w:val="373A3C"/>
          <w:sz w:val="23"/>
          <w:szCs w:val="23"/>
          <w:shd w:val="clear" w:color="auto" w:fill="FFFFFF"/>
        </w:rPr>
        <w:t>villains</w:t>
      </w:r>
      <w:r>
        <w:rPr>
          <w:rFonts w:ascii="Segoe UI" w:hAnsi="Segoe UI" w:cs="Segoe UI"/>
          <w:color w:val="373A3C"/>
          <w:sz w:val="23"/>
          <w:szCs w:val="23"/>
          <w:shd w:val="clear" w:color="auto" w:fill="FFFFFF"/>
        </w:rPr>
        <w:t xml:space="preserve"> of the story, Culhwch’s stepmother and </w:t>
      </w:r>
      <w:r w:rsidR="00EF653B">
        <w:rPr>
          <w:rFonts w:ascii="Segoe UI" w:hAnsi="Segoe UI" w:cs="Segoe UI"/>
          <w:color w:val="373A3C"/>
          <w:sz w:val="23"/>
          <w:szCs w:val="23"/>
          <w:shd w:val="clear" w:color="auto" w:fill="FFFFFF"/>
        </w:rPr>
        <w:t xml:space="preserve">Ysbaddaden. </w:t>
      </w:r>
      <w:r w:rsidR="00104FBD">
        <w:rPr>
          <w:rFonts w:ascii="Segoe UI" w:hAnsi="Segoe UI" w:cs="Segoe UI"/>
          <w:color w:val="373A3C"/>
          <w:sz w:val="23"/>
          <w:szCs w:val="23"/>
          <w:shd w:val="clear" w:color="auto" w:fill="FFFFFF"/>
        </w:rPr>
        <w:t>However, interestingly, the ‘good’ and beautiful women of Culhwch and Olwen, despite being the subject of magic, are not themselves magical. As previously discussed, both Gwenhwyfar and Olwen are known to be the daughters of Giants, however of course this is irrelevant information in regards to Gwenhwyfar in Culhwch and Olwen.</w:t>
      </w:r>
      <w:r w:rsidR="00104FBD">
        <w:rPr>
          <w:rStyle w:val="FootnoteReference"/>
          <w:rFonts w:ascii="Segoe UI" w:hAnsi="Segoe UI" w:cs="Segoe UI"/>
          <w:color w:val="373A3C"/>
          <w:sz w:val="23"/>
          <w:szCs w:val="23"/>
          <w:shd w:val="clear" w:color="auto" w:fill="FFFFFF"/>
        </w:rPr>
        <w:footnoteReference w:id="64"/>
      </w:r>
      <w:r w:rsidR="00104FBD">
        <w:rPr>
          <w:rFonts w:ascii="Segoe UI" w:hAnsi="Segoe UI" w:cs="Segoe UI"/>
          <w:color w:val="373A3C"/>
          <w:sz w:val="23"/>
          <w:szCs w:val="23"/>
          <w:shd w:val="clear" w:color="auto" w:fill="FFFFFF"/>
        </w:rPr>
        <w:t xml:space="preserve"> This is also the case for our main characters, and potential protagonists Arthur and Culhwch. None of these figures themselves hold magical abilities in accordance to </w:t>
      </w:r>
      <w:r w:rsidR="00104FBD" w:rsidRPr="00764274">
        <w:rPr>
          <w:rFonts w:ascii="Segoe UI" w:hAnsi="Segoe UI" w:cs="Segoe UI"/>
          <w:i/>
          <w:iCs/>
          <w:color w:val="373A3C"/>
          <w:sz w:val="23"/>
          <w:szCs w:val="23"/>
          <w:shd w:val="clear" w:color="auto" w:fill="FFFFFF"/>
        </w:rPr>
        <w:t>Culhwch and Olwen</w:t>
      </w:r>
      <w:r w:rsidR="00104FBD">
        <w:rPr>
          <w:rFonts w:ascii="Segoe UI" w:hAnsi="Segoe UI" w:cs="Segoe UI"/>
          <w:color w:val="373A3C"/>
          <w:sz w:val="23"/>
          <w:szCs w:val="23"/>
          <w:shd w:val="clear" w:color="auto" w:fill="FFFFFF"/>
        </w:rPr>
        <w:t xml:space="preserve"> and yet are surrounded by them, both in court, in comrades on quests, and in mentality. This perhaps implies that despite there being a depiction of magic on both the ‘good’ and the ‘bad’ side of the fight, the true heroes, champions and maidens, the ones who rise above the odds in tales such as </w:t>
      </w:r>
      <w:r w:rsidR="00104FBD" w:rsidRPr="00764274">
        <w:rPr>
          <w:rFonts w:ascii="Segoe UI" w:hAnsi="Segoe UI" w:cs="Segoe UI"/>
          <w:i/>
          <w:iCs/>
          <w:color w:val="373A3C"/>
          <w:sz w:val="23"/>
          <w:szCs w:val="23"/>
          <w:shd w:val="clear" w:color="auto" w:fill="FFFFFF"/>
        </w:rPr>
        <w:t>Culhwch and Olwen</w:t>
      </w:r>
      <w:r w:rsidR="00104FBD">
        <w:rPr>
          <w:rFonts w:ascii="Segoe UI" w:hAnsi="Segoe UI" w:cs="Segoe UI"/>
          <w:color w:val="373A3C"/>
          <w:sz w:val="23"/>
          <w:szCs w:val="23"/>
          <w:shd w:val="clear" w:color="auto" w:fill="FFFFFF"/>
        </w:rPr>
        <w:t xml:space="preserve">, are in fact the ones who can rise victorious against magic, while having little advantage over it. </w:t>
      </w:r>
    </w:p>
    <w:p w14:paraId="2D2B8420" w14:textId="683D17B0" w:rsidR="00BC4D75" w:rsidRDefault="00BC4D75" w:rsidP="00AD62A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In conclusion, </w:t>
      </w:r>
      <w:r w:rsidRPr="00764274">
        <w:rPr>
          <w:rFonts w:ascii="Segoe UI" w:hAnsi="Segoe UI" w:cs="Segoe UI"/>
          <w:i/>
          <w:iCs/>
          <w:color w:val="373A3C"/>
          <w:sz w:val="23"/>
          <w:szCs w:val="23"/>
          <w:shd w:val="clear" w:color="auto" w:fill="FFFFFF"/>
        </w:rPr>
        <w:t>Culhwch and Olwen</w:t>
      </w:r>
      <w:r>
        <w:rPr>
          <w:rFonts w:ascii="Segoe UI" w:hAnsi="Segoe UI" w:cs="Segoe UI"/>
          <w:color w:val="373A3C"/>
          <w:sz w:val="23"/>
          <w:szCs w:val="23"/>
          <w:shd w:val="clear" w:color="auto" w:fill="FFFFFF"/>
        </w:rPr>
        <w:t xml:space="preserve"> is an interesting tale to </w:t>
      </w:r>
      <w:r w:rsidR="00CC4A90">
        <w:rPr>
          <w:rFonts w:ascii="Segoe UI" w:hAnsi="Segoe UI" w:cs="Segoe UI"/>
          <w:color w:val="373A3C"/>
          <w:sz w:val="23"/>
          <w:szCs w:val="23"/>
          <w:shd w:val="clear" w:color="auto" w:fill="FFFFFF"/>
        </w:rPr>
        <w:t xml:space="preserve">analyse the depiction of Arthur and the Arthurian milieu within. In many aspects, the tale holds great similarities to many other stories, themes and motifs of Arthurian literature. Stereotyped characters such as the hero, the maiden and the villain all play into a wider typecast of Arthurian figures and therefore aid the depiction of repetitive characters, such as Arthur and Cai, and repetitive character types, such as the Giant’s daughter to give a greater understanding of Arthurian figures. This also creates an interesting dynamic for authors of Arthurian legends to come, such as the romance genre adopting the characters for their own tales. By maintaining consistency in figures as </w:t>
      </w:r>
      <w:r w:rsidR="00CC4A90" w:rsidRPr="00764274">
        <w:rPr>
          <w:rFonts w:ascii="Segoe UI" w:hAnsi="Segoe UI" w:cs="Segoe UI"/>
          <w:i/>
          <w:iCs/>
          <w:color w:val="373A3C"/>
          <w:sz w:val="23"/>
          <w:szCs w:val="23"/>
          <w:shd w:val="clear" w:color="auto" w:fill="FFFFFF"/>
        </w:rPr>
        <w:t>Culhwch and Olwen</w:t>
      </w:r>
      <w:r w:rsidR="00CC4A90">
        <w:rPr>
          <w:rFonts w:ascii="Segoe UI" w:hAnsi="Segoe UI" w:cs="Segoe UI"/>
          <w:color w:val="373A3C"/>
          <w:sz w:val="23"/>
          <w:szCs w:val="23"/>
          <w:shd w:val="clear" w:color="auto" w:fill="FFFFFF"/>
        </w:rPr>
        <w:t xml:space="preserve"> does, a basis of their characteristics can be established for the time period of this piece. The importance of magic is also vital in the depiction of the Arthurian milieu in </w:t>
      </w:r>
      <w:r w:rsidR="00CC4A90" w:rsidRPr="00764274">
        <w:rPr>
          <w:rFonts w:ascii="Segoe UI" w:hAnsi="Segoe UI" w:cs="Segoe UI"/>
          <w:i/>
          <w:iCs/>
          <w:color w:val="373A3C"/>
          <w:sz w:val="23"/>
          <w:szCs w:val="23"/>
          <w:shd w:val="clear" w:color="auto" w:fill="FFFFFF"/>
        </w:rPr>
        <w:t>Culhwch and Olwen</w:t>
      </w:r>
      <w:r w:rsidR="00CC4A90">
        <w:rPr>
          <w:rFonts w:ascii="Segoe UI" w:hAnsi="Segoe UI" w:cs="Segoe UI"/>
          <w:color w:val="373A3C"/>
          <w:sz w:val="23"/>
          <w:szCs w:val="23"/>
          <w:shd w:val="clear" w:color="auto" w:fill="FFFFFF"/>
        </w:rPr>
        <w:t xml:space="preserve"> and once again, leads to an establishment of the relevant plotlines and motifs of the Arthurian milieu in the time period of this piece. Overall, </w:t>
      </w:r>
      <w:r w:rsidR="00CC4A90" w:rsidRPr="00764274">
        <w:rPr>
          <w:rFonts w:ascii="Segoe UI" w:hAnsi="Segoe UI" w:cs="Segoe UI"/>
          <w:i/>
          <w:iCs/>
          <w:color w:val="373A3C"/>
          <w:sz w:val="23"/>
          <w:szCs w:val="23"/>
          <w:shd w:val="clear" w:color="auto" w:fill="FFFFFF"/>
        </w:rPr>
        <w:t>Culhwch and Olwen</w:t>
      </w:r>
      <w:r w:rsidR="00CC4A90">
        <w:rPr>
          <w:rFonts w:ascii="Segoe UI" w:hAnsi="Segoe UI" w:cs="Segoe UI"/>
          <w:color w:val="373A3C"/>
          <w:sz w:val="23"/>
          <w:szCs w:val="23"/>
          <w:shd w:val="clear" w:color="auto" w:fill="FFFFFF"/>
        </w:rPr>
        <w:t xml:space="preserve"> presents an Arthurian world full of magical curses, fated love stories and heroic knights and men, a theme that carries the Arthurian legend through many time periods, genres and adaptations, to result in the renowned phenomenon still known and loved by many today.  </w:t>
      </w:r>
    </w:p>
    <w:p w14:paraId="5E8CA01A" w14:textId="53E6EBA6" w:rsidR="00E70AEA" w:rsidRDefault="00E70AEA" w:rsidP="00AD62A6">
      <w:pPr>
        <w:rPr>
          <w:rFonts w:ascii="Segoe UI" w:hAnsi="Segoe UI" w:cs="Segoe UI"/>
          <w:color w:val="373A3C"/>
          <w:sz w:val="23"/>
          <w:szCs w:val="23"/>
          <w:shd w:val="clear" w:color="auto" w:fill="FFFFFF"/>
        </w:rPr>
      </w:pPr>
    </w:p>
    <w:p w14:paraId="1DFF5199" w14:textId="77777777" w:rsidR="00E70AEA" w:rsidRDefault="00E70AEA" w:rsidP="00AD62A6">
      <w:pPr>
        <w:rPr>
          <w:rFonts w:ascii="Segoe UI" w:hAnsi="Segoe UI" w:cs="Segoe UI"/>
          <w:color w:val="373A3C"/>
          <w:sz w:val="23"/>
          <w:szCs w:val="23"/>
          <w:shd w:val="clear" w:color="auto" w:fill="FFFFFF"/>
        </w:rPr>
      </w:pPr>
    </w:p>
    <w:p w14:paraId="364B68D1" w14:textId="0600FBA3" w:rsidR="00847E7B" w:rsidRDefault="00847E7B">
      <w:pPr>
        <w:rPr>
          <w:rFonts w:ascii="Segoe UI" w:hAnsi="Segoe UI" w:cs="Segoe UI"/>
          <w:color w:val="373A3C"/>
          <w:sz w:val="23"/>
          <w:szCs w:val="23"/>
          <w:shd w:val="clear" w:color="auto" w:fill="FFFFFF"/>
        </w:rPr>
      </w:pPr>
    </w:p>
    <w:p w14:paraId="6EC24A4B" w14:textId="77777777" w:rsidR="00847E7B" w:rsidRDefault="00847E7B">
      <w:pPr>
        <w:rPr>
          <w:rFonts w:ascii="Segoe UI" w:hAnsi="Segoe UI" w:cs="Segoe UI"/>
          <w:color w:val="373A3C"/>
          <w:sz w:val="23"/>
          <w:szCs w:val="23"/>
          <w:shd w:val="clear" w:color="auto" w:fill="FFFFFF"/>
        </w:rPr>
      </w:pPr>
    </w:p>
    <w:p w14:paraId="5EBEC297" w14:textId="773FD3DA" w:rsidR="00D87BF8" w:rsidRPr="002C5B49" w:rsidRDefault="00650FD1">
      <w:pPr>
        <w:rPr>
          <w:rFonts w:ascii="Segoe UI" w:hAnsi="Segoe UI" w:cs="Segoe UI"/>
          <w:b/>
          <w:bCs/>
          <w:color w:val="373A3C"/>
          <w:sz w:val="23"/>
          <w:szCs w:val="23"/>
          <w:u w:val="single"/>
          <w:shd w:val="clear" w:color="auto" w:fill="FFFFFF"/>
        </w:rPr>
      </w:pPr>
      <w:r w:rsidRPr="002C5B49">
        <w:rPr>
          <w:rFonts w:ascii="Segoe UI" w:hAnsi="Segoe UI" w:cs="Segoe UI"/>
          <w:b/>
          <w:bCs/>
          <w:color w:val="373A3C"/>
          <w:sz w:val="23"/>
          <w:szCs w:val="23"/>
          <w:u w:val="single"/>
          <w:shd w:val="clear" w:color="auto" w:fill="FFFFFF"/>
        </w:rPr>
        <w:lastRenderedPageBreak/>
        <w:t>Bibliography:</w:t>
      </w:r>
    </w:p>
    <w:p w14:paraId="66AF4D14" w14:textId="0D53EF26" w:rsidR="00650FD1" w:rsidRPr="002C5B49" w:rsidRDefault="00650FD1">
      <w:pPr>
        <w:rPr>
          <w:rFonts w:ascii="Segoe UI" w:hAnsi="Segoe UI" w:cs="Segoe UI"/>
          <w:color w:val="373A3C"/>
          <w:sz w:val="23"/>
          <w:szCs w:val="23"/>
          <w:u w:val="single"/>
          <w:shd w:val="clear" w:color="auto" w:fill="FFFFFF"/>
        </w:rPr>
      </w:pPr>
      <w:r w:rsidRPr="002C5B49">
        <w:rPr>
          <w:rFonts w:ascii="Segoe UI" w:hAnsi="Segoe UI" w:cs="Segoe UI"/>
          <w:color w:val="373A3C"/>
          <w:sz w:val="23"/>
          <w:szCs w:val="23"/>
          <w:u w:val="single"/>
          <w:shd w:val="clear" w:color="auto" w:fill="FFFFFF"/>
        </w:rPr>
        <w:t xml:space="preserve">Primary Sources: </w:t>
      </w:r>
    </w:p>
    <w:p w14:paraId="680A4AC9" w14:textId="098B4E58" w:rsidR="00650FD1" w:rsidRPr="002C5B49" w:rsidRDefault="00650FD1">
      <w:pPr>
        <w:rPr>
          <w:rFonts w:ascii="Segoe UI" w:hAnsi="Segoe UI" w:cs="Segoe UI"/>
          <w:sz w:val="23"/>
          <w:szCs w:val="23"/>
        </w:rPr>
      </w:pPr>
      <w:r w:rsidRPr="002C5B49">
        <w:rPr>
          <w:rFonts w:ascii="Segoe UI" w:hAnsi="Segoe UI" w:cs="Segoe UI"/>
          <w:sz w:val="23"/>
          <w:szCs w:val="23"/>
        </w:rPr>
        <w:t>Davies</w:t>
      </w:r>
      <w:r w:rsidRPr="002C5B49">
        <w:rPr>
          <w:rFonts w:ascii="Segoe UI" w:hAnsi="Segoe UI" w:cs="Segoe UI"/>
          <w:sz w:val="23"/>
          <w:szCs w:val="23"/>
        </w:rPr>
        <w:t>, S.</w:t>
      </w:r>
      <w:r w:rsidRPr="002C5B49">
        <w:rPr>
          <w:rFonts w:ascii="Segoe UI" w:hAnsi="Segoe UI" w:cs="Segoe UI"/>
          <w:sz w:val="23"/>
          <w:szCs w:val="23"/>
        </w:rPr>
        <w:t xml:space="preserve"> (trans.), ‘Culhwch and Olwen’, </w:t>
      </w:r>
      <w:r w:rsidRPr="002C5B49">
        <w:rPr>
          <w:rFonts w:ascii="Segoe UI" w:hAnsi="Segoe UI" w:cs="Segoe UI"/>
          <w:i/>
          <w:iCs/>
          <w:sz w:val="23"/>
          <w:szCs w:val="23"/>
        </w:rPr>
        <w:t>The Mabinogion</w:t>
      </w:r>
      <w:r w:rsidRPr="002C5B49">
        <w:rPr>
          <w:rFonts w:ascii="Segoe UI" w:hAnsi="Segoe UI" w:cs="Segoe UI"/>
          <w:i/>
          <w:iCs/>
          <w:sz w:val="23"/>
          <w:szCs w:val="23"/>
        </w:rPr>
        <w:t xml:space="preserve"> </w:t>
      </w:r>
      <w:r w:rsidRPr="002C5B49">
        <w:rPr>
          <w:rFonts w:ascii="Segoe UI" w:hAnsi="Segoe UI" w:cs="Segoe UI"/>
          <w:sz w:val="23"/>
          <w:szCs w:val="23"/>
        </w:rPr>
        <w:t>(New York: Oxford World Classics, 2007)</w:t>
      </w:r>
      <w:r w:rsidRPr="002C5B49">
        <w:rPr>
          <w:rFonts w:ascii="Segoe UI" w:hAnsi="Segoe UI" w:cs="Segoe UI"/>
          <w:sz w:val="23"/>
          <w:szCs w:val="23"/>
        </w:rPr>
        <w:t>.</w:t>
      </w:r>
    </w:p>
    <w:p w14:paraId="4049377F" w14:textId="4A6F0FFA" w:rsidR="00650FD1" w:rsidRPr="002C5B49" w:rsidRDefault="00650FD1">
      <w:pPr>
        <w:rPr>
          <w:rFonts w:ascii="Segoe UI" w:hAnsi="Segoe UI" w:cs="Segoe UI"/>
          <w:sz w:val="23"/>
          <w:szCs w:val="23"/>
        </w:rPr>
      </w:pPr>
      <w:r w:rsidRPr="002C5B49">
        <w:rPr>
          <w:rFonts w:ascii="Segoe UI" w:hAnsi="Segoe UI" w:cs="Segoe UI"/>
          <w:sz w:val="23"/>
          <w:szCs w:val="23"/>
        </w:rPr>
        <w:t xml:space="preserve">Geoffrey of Monmouth, J. Bohn (ed.), </w:t>
      </w:r>
      <w:r w:rsidRPr="002C5B49">
        <w:rPr>
          <w:rFonts w:ascii="Segoe UI" w:hAnsi="Segoe UI" w:cs="Segoe UI"/>
          <w:i/>
          <w:iCs/>
          <w:sz w:val="23"/>
          <w:szCs w:val="23"/>
        </w:rPr>
        <w:t xml:space="preserve">The British History of Geoffrey of Monmouth in Twelve Books </w:t>
      </w:r>
      <w:r w:rsidRPr="002C5B49">
        <w:rPr>
          <w:rFonts w:ascii="Segoe UI" w:hAnsi="Segoe UI" w:cs="Segoe UI"/>
          <w:sz w:val="23"/>
          <w:szCs w:val="23"/>
        </w:rPr>
        <w:t>(California: Stanford Universities Press, 1842)</w:t>
      </w:r>
      <w:r w:rsidRPr="002C5B49">
        <w:rPr>
          <w:rFonts w:ascii="Segoe UI" w:hAnsi="Segoe UI" w:cs="Segoe UI"/>
          <w:sz w:val="23"/>
          <w:szCs w:val="23"/>
        </w:rPr>
        <w:t>.</w:t>
      </w:r>
    </w:p>
    <w:p w14:paraId="21C4C05D" w14:textId="141481C2" w:rsidR="00650FD1" w:rsidRPr="002C5B49" w:rsidRDefault="00650FD1">
      <w:pPr>
        <w:rPr>
          <w:rFonts w:ascii="Segoe UI" w:hAnsi="Segoe UI" w:cs="Segoe UI"/>
          <w:sz w:val="23"/>
          <w:szCs w:val="23"/>
        </w:rPr>
      </w:pPr>
    </w:p>
    <w:p w14:paraId="71C2BE60" w14:textId="4753C615" w:rsidR="00650FD1" w:rsidRPr="002C5B49" w:rsidRDefault="00650FD1">
      <w:pPr>
        <w:rPr>
          <w:rFonts w:ascii="Segoe UI" w:hAnsi="Segoe UI" w:cs="Segoe UI"/>
          <w:sz w:val="23"/>
          <w:szCs w:val="23"/>
          <w:u w:val="single"/>
        </w:rPr>
      </w:pPr>
      <w:r w:rsidRPr="002C5B49">
        <w:rPr>
          <w:rFonts w:ascii="Segoe UI" w:hAnsi="Segoe UI" w:cs="Segoe UI"/>
          <w:sz w:val="23"/>
          <w:szCs w:val="23"/>
          <w:u w:val="single"/>
        </w:rPr>
        <w:t>Secondary Sources:</w:t>
      </w:r>
    </w:p>
    <w:p w14:paraId="3CAE5A9B" w14:textId="77777777" w:rsidR="002C5B49" w:rsidRPr="002C5B49" w:rsidRDefault="002C5B49" w:rsidP="002C5B49">
      <w:pPr>
        <w:rPr>
          <w:rFonts w:ascii="Segoe UI" w:hAnsi="Segoe UI" w:cs="Segoe UI"/>
          <w:sz w:val="23"/>
          <w:szCs w:val="23"/>
        </w:rPr>
      </w:pPr>
      <w:r w:rsidRPr="002C5B49">
        <w:rPr>
          <w:rFonts w:ascii="Segoe UI" w:hAnsi="Segoe UI" w:cs="Segoe UI"/>
          <w:sz w:val="23"/>
          <w:szCs w:val="23"/>
        </w:rPr>
        <w:t xml:space="preserve">Bromwich, R. </w:t>
      </w:r>
      <w:proofErr w:type="spellStart"/>
      <w:r w:rsidRPr="002C5B49">
        <w:rPr>
          <w:rFonts w:ascii="Segoe UI" w:hAnsi="Segoe UI" w:cs="Segoe UI"/>
          <w:i/>
          <w:iCs/>
          <w:sz w:val="23"/>
          <w:szCs w:val="23"/>
        </w:rPr>
        <w:t>Trioedd</w:t>
      </w:r>
      <w:proofErr w:type="spellEnd"/>
      <w:r w:rsidRPr="002C5B49">
        <w:rPr>
          <w:rFonts w:ascii="Segoe UI" w:hAnsi="Segoe UI" w:cs="Segoe UI"/>
          <w:i/>
          <w:iCs/>
          <w:sz w:val="23"/>
          <w:szCs w:val="23"/>
        </w:rPr>
        <w:t xml:space="preserve"> Ynys </w:t>
      </w:r>
      <w:proofErr w:type="spellStart"/>
      <w:r w:rsidRPr="002C5B49">
        <w:rPr>
          <w:rFonts w:ascii="Segoe UI" w:hAnsi="Segoe UI" w:cs="Segoe UI"/>
          <w:i/>
          <w:iCs/>
          <w:sz w:val="23"/>
          <w:szCs w:val="23"/>
        </w:rPr>
        <w:t>Prydein</w:t>
      </w:r>
      <w:proofErr w:type="spellEnd"/>
      <w:r w:rsidRPr="002C5B49">
        <w:rPr>
          <w:rFonts w:ascii="Segoe UI" w:hAnsi="Segoe UI" w:cs="Segoe UI"/>
          <w:i/>
          <w:iCs/>
          <w:sz w:val="23"/>
          <w:szCs w:val="23"/>
        </w:rPr>
        <w:t>: The Triads of the Island of Britain</w:t>
      </w:r>
      <w:r w:rsidRPr="002C5B49">
        <w:rPr>
          <w:rFonts w:ascii="Segoe UI" w:hAnsi="Segoe UI" w:cs="Segoe UI"/>
          <w:sz w:val="23"/>
          <w:szCs w:val="23"/>
        </w:rPr>
        <w:t xml:space="preserve"> (Cardiff: University of Wales Press, 2014).</w:t>
      </w:r>
    </w:p>
    <w:p w14:paraId="0F8B455F" w14:textId="77777777" w:rsidR="002C5B49" w:rsidRPr="002C5B49" w:rsidRDefault="002C5B49" w:rsidP="002C5B49">
      <w:pPr>
        <w:rPr>
          <w:rFonts w:ascii="Segoe UI" w:hAnsi="Segoe UI" w:cs="Segoe UI"/>
          <w:sz w:val="23"/>
          <w:szCs w:val="23"/>
        </w:rPr>
      </w:pPr>
      <w:r w:rsidRPr="002C5B49">
        <w:rPr>
          <w:rFonts w:ascii="Segoe UI" w:hAnsi="Segoe UI" w:cs="Segoe UI"/>
          <w:sz w:val="23"/>
          <w:szCs w:val="23"/>
        </w:rPr>
        <w:t>Bromwich, R. and Evans, S. Culhwch and Olwen: an Edition and Study of the Oldest Arthurian Tale (Cardiff: University of Wales Press, 1992).</w:t>
      </w:r>
    </w:p>
    <w:p w14:paraId="5A4A8839" w14:textId="4D877B6E" w:rsidR="002C5B49" w:rsidRPr="002C5B49" w:rsidRDefault="002C5B49" w:rsidP="002C5B49">
      <w:pPr>
        <w:rPr>
          <w:rFonts w:ascii="Segoe UI" w:hAnsi="Segoe UI" w:cs="Segoe UI"/>
          <w:sz w:val="23"/>
          <w:szCs w:val="23"/>
        </w:rPr>
      </w:pPr>
      <w:r w:rsidRPr="002C5B49">
        <w:rPr>
          <w:rFonts w:ascii="Segoe UI" w:hAnsi="Segoe UI" w:cs="Segoe UI"/>
          <w:sz w:val="23"/>
          <w:szCs w:val="23"/>
        </w:rPr>
        <w:t>Davies,</w:t>
      </w:r>
      <w:r>
        <w:rPr>
          <w:rFonts w:ascii="Segoe UI" w:hAnsi="Segoe UI" w:cs="Segoe UI"/>
          <w:sz w:val="23"/>
          <w:szCs w:val="23"/>
        </w:rPr>
        <w:t xml:space="preserve"> S.</w:t>
      </w:r>
      <w:r w:rsidRPr="002C5B49">
        <w:rPr>
          <w:rFonts w:ascii="Segoe UI" w:hAnsi="Segoe UI" w:cs="Segoe UI"/>
          <w:sz w:val="23"/>
          <w:szCs w:val="23"/>
        </w:rPr>
        <w:t xml:space="preserve"> </w:t>
      </w:r>
      <w:r w:rsidRPr="002C5B49">
        <w:rPr>
          <w:rFonts w:ascii="Segoe UI" w:hAnsi="Segoe UI" w:cs="Segoe UI"/>
          <w:i/>
          <w:iCs/>
          <w:sz w:val="23"/>
          <w:szCs w:val="23"/>
        </w:rPr>
        <w:t>The Mabinogion</w:t>
      </w:r>
      <w:r w:rsidRPr="002C5B49">
        <w:rPr>
          <w:rFonts w:ascii="Segoe UI" w:hAnsi="Segoe UI" w:cs="Segoe UI"/>
          <w:sz w:val="23"/>
          <w:szCs w:val="23"/>
        </w:rPr>
        <w:t xml:space="preserve"> (New York: Oxford World Classics, 2007)</w:t>
      </w:r>
      <w:r w:rsidRPr="002C5B49">
        <w:rPr>
          <w:rFonts w:ascii="Segoe UI" w:hAnsi="Segoe UI" w:cs="Segoe UI"/>
          <w:sz w:val="23"/>
          <w:szCs w:val="23"/>
        </w:rPr>
        <w:t>.</w:t>
      </w:r>
    </w:p>
    <w:p w14:paraId="188E2FAF" w14:textId="63233F91" w:rsidR="002C5B49" w:rsidRPr="002C5B49" w:rsidRDefault="002C5B49" w:rsidP="002C5B49">
      <w:pPr>
        <w:rPr>
          <w:rFonts w:ascii="Segoe UI" w:hAnsi="Segoe UI" w:cs="Segoe UI"/>
          <w:sz w:val="23"/>
          <w:szCs w:val="23"/>
        </w:rPr>
      </w:pPr>
      <w:r w:rsidRPr="002C5B49">
        <w:rPr>
          <w:rFonts w:ascii="Segoe UI" w:hAnsi="Segoe UI" w:cs="Segoe UI"/>
          <w:sz w:val="23"/>
          <w:szCs w:val="23"/>
        </w:rPr>
        <w:t xml:space="preserve">Ford, P. K. </w:t>
      </w:r>
      <w:r w:rsidRPr="002C5B49">
        <w:rPr>
          <w:rFonts w:ascii="Segoe UI" w:hAnsi="Segoe UI" w:cs="Segoe UI"/>
          <w:i/>
          <w:iCs/>
          <w:sz w:val="23"/>
          <w:szCs w:val="23"/>
        </w:rPr>
        <w:t>The Mabinogi and Other Medieval Welsh Tales</w:t>
      </w:r>
      <w:r w:rsidRPr="002C5B49">
        <w:rPr>
          <w:rFonts w:ascii="Segoe UI" w:hAnsi="Segoe UI" w:cs="Segoe UI"/>
          <w:sz w:val="23"/>
          <w:szCs w:val="23"/>
        </w:rPr>
        <w:t xml:space="preserve"> (California: University of California Press, 2019).</w:t>
      </w:r>
    </w:p>
    <w:p w14:paraId="4324A80A" w14:textId="77777777" w:rsidR="002C5B49" w:rsidRPr="002C5B49" w:rsidRDefault="002C5B49" w:rsidP="002C5B49">
      <w:pPr>
        <w:rPr>
          <w:rFonts w:ascii="Segoe UI" w:hAnsi="Segoe UI" w:cs="Segoe UI"/>
          <w:sz w:val="23"/>
          <w:szCs w:val="23"/>
        </w:rPr>
      </w:pPr>
      <w:r w:rsidRPr="002C5B49">
        <w:rPr>
          <w:rFonts w:ascii="Segoe UI" w:hAnsi="Segoe UI" w:cs="Segoe UI"/>
          <w:sz w:val="23"/>
          <w:szCs w:val="23"/>
        </w:rPr>
        <w:t xml:space="preserve">Fulton, H. </w:t>
      </w:r>
      <w:r w:rsidRPr="002C5B49">
        <w:rPr>
          <w:rFonts w:ascii="Segoe UI" w:hAnsi="Segoe UI" w:cs="Segoe UI"/>
          <w:i/>
          <w:iCs/>
          <w:sz w:val="23"/>
          <w:szCs w:val="23"/>
        </w:rPr>
        <w:t>A Companion to Arthurian Literature</w:t>
      </w:r>
      <w:r w:rsidRPr="002C5B49">
        <w:rPr>
          <w:rFonts w:ascii="Segoe UI" w:hAnsi="Segoe UI" w:cs="Segoe UI"/>
          <w:sz w:val="23"/>
          <w:szCs w:val="23"/>
        </w:rPr>
        <w:t xml:space="preserve"> (Chichester: John Wiley and Sons, 2011).</w:t>
      </w:r>
    </w:p>
    <w:p w14:paraId="73E2E094" w14:textId="070FB2B4" w:rsidR="00650FD1" w:rsidRPr="002C5B49" w:rsidRDefault="00616962">
      <w:pPr>
        <w:rPr>
          <w:rFonts w:ascii="Segoe UI" w:hAnsi="Segoe UI" w:cs="Segoe UI"/>
          <w:sz w:val="23"/>
          <w:szCs w:val="23"/>
        </w:rPr>
      </w:pPr>
      <w:r w:rsidRPr="002C5B49">
        <w:rPr>
          <w:rFonts w:ascii="Segoe UI" w:hAnsi="Segoe UI" w:cs="Segoe UI"/>
          <w:sz w:val="23"/>
          <w:szCs w:val="23"/>
        </w:rPr>
        <w:t xml:space="preserve">Goyne, </w:t>
      </w:r>
      <w:r w:rsidRPr="002C5B49">
        <w:rPr>
          <w:rFonts w:ascii="Segoe UI" w:hAnsi="Segoe UI" w:cs="Segoe UI"/>
          <w:sz w:val="23"/>
          <w:szCs w:val="23"/>
        </w:rPr>
        <w:t xml:space="preserve">J. </w:t>
      </w:r>
      <w:r w:rsidRPr="002C5B49">
        <w:rPr>
          <w:rFonts w:ascii="Segoe UI" w:hAnsi="Segoe UI" w:cs="Segoe UI"/>
          <w:sz w:val="23"/>
          <w:szCs w:val="23"/>
        </w:rPr>
        <w:t xml:space="preserve">‘Arthurian Wonder Women: the </w:t>
      </w:r>
      <w:proofErr w:type="spellStart"/>
      <w:r w:rsidRPr="002C5B49">
        <w:rPr>
          <w:rFonts w:ascii="Segoe UI" w:hAnsi="Segoe UI" w:cs="Segoe UI"/>
          <w:sz w:val="23"/>
          <w:szCs w:val="23"/>
        </w:rPr>
        <w:t>Tred</w:t>
      </w:r>
      <w:proofErr w:type="spellEnd"/>
      <w:r w:rsidRPr="002C5B49">
        <w:rPr>
          <w:rFonts w:ascii="Segoe UI" w:hAnsi="Segoe UI" w:cs="Segoe UI"/>
          <w:sz w:val="23"/>
          <w:szCs w:val="23"/>
        </w:rPr>
        <w:t xml:space="preserve"> of Olwen’, </w:t>
      </w:r>
      <w:r w:rsidRPr="002C5B49">
        <w:rPr>
          <w:rFonts w:ascii="Segoe UI" w:hAnsi="Segoe UI" w:cs="Segoe UI"/>
          <w:i/>
          <w:iCs/>
          <w:sz w:val="23"/>
          <w:szCs w:val="23"/>
        </w:rPr>
        <w:t>Arthuriana: Essays in Memory of Maureen Fries</w:t>
      </w:r>
      <w:r w:rsidRPr="002C5B49">
        <w:rPr>
          <w:rFonts w:ascii="Segoe UI" w:hAnsi="Segoe UI" w:cs="Segoe UI"/>
          <w:sz w:val="23"/>
          <w:szCs w:val="23"/>
        </w:rPr>
        <w:t xml:space="preserve"> (JSTOR: Scriptorium Press, 1999</w:t>
      </w:r>
      <w:r w:rsidRPr="002C5B49">
        <w:rPr>
          <w:rFonts w:ascii="Segoe UI" w:hAnsi="Segoe UI" w:cs="Segoe UI"/>
          <w:sz w:val="23"/>
          <w:szCs w:val="23"/>
        </w:rPr>
        <w:t>).</w:t>
      </w:r>
    </w:p>
    <w:p w14:paraId="131D3856" w14:textId="77777777" w:rsidR="002C5B49" w:rsidRPr="002C5B49" w:rsidRDefault="002C5B49" w:rsidP="002C5B49">
      <w:pPr>
        <w:rPr>
          <w:rFonts w:ascii="Segoe UI" w:hAnsi="Segoe UI" w:cs="Segoe UI"/>
          <w:sz w:val="23"/>
          <w:szCs w:val="23"/>
        </w:rPr>
      </w:pPr>
      <w:r w:rsidRPr="002C5B49">
        <w:rPr>
          <w:rFonts w:ascii="Segoe UI" w:hAnsi="Segoe UI" w:cs="Segoe UI"/>
          <w:sz w:val="23"/>
          <w:szCs w:val="23"/>
        </w:rPr>
        <w:t xml:space="preserve">Over, K. L. </w:t>
      </w:r>
      <w:r w:rsidRPr="002C5B49">
        <w:rPr>
          <w:rFonts w:ascii="Segoe UI" w:hAnsi="Segoe UI" w:cs="Segoe UI"/>
          <w:i/>
          <w:iCs/>
          <w:sz w:val="23"/>
          <w:szCs w:val="23"/>
        </w:rPr>
        <w:t xml:space="preserve">Kingship, Conquest and Patria </w:t>
      </w:r>
      <w:r w:rsidRPr="002C5B49">
        <w:rPr>
          <w:rFonts w:ascii="Segoe UI" w:hAnsi="Segoe UI" w:cs="Segoe UI"/>
          <w:sz w:val="23"/>
          <w:szCs w:val="23"/>
        </w:rPr>
        <w:t>(London: Routledge, 2014).</w:t>
      </w:r>
    </w:p>
    <w:p w14:paraId="16AC86D0" w14:textId="77777777" w:rsidR="002C5B49" w:rsidRPr="002C5B49" w:rsidRDefault="002C5B49" w:rsidP="002C5B49">
      <w:pPr>
        <w:rPr>
          <w:rFonts w:ascii="Segoe UI" w:hAnsi="Segoe UI" w:cs="Segoe UI"/>
          <w:sz w:val="23"/>
          <w:szCs w:val="23"/>
        </w:rPr>
      </w:pPr>
      <w:proofErr w:type="spellStart"/>
      <w:r w:rsidRPr="002C5B49">
        <w:rPr>
          <w:rFonts w:ascii="Segoe UI" w:hAnsi="Segoe UI" w:cs="Segoe UI"/>
          <w:sz w:val="23"/>
          <w:szCs w:val="23"/>
        </w:rPr>
        <w:t>Padel</w:t>
      </w:r>
      <w:proofErr w:type="spellEnd"/>
      <w:r w:rsidRPr="002C5B49">
        <w:rPr>
          <w:rFonts w:ascii="Segoe UI" w:hAnsi="Segoe UI" w:cs="Segoe UI"/>
          <w:sz w:val="23"/>
          <w:szCs w:val="23"/>
        </w:rPr>
        <w:t xml:space="preserve">, O. J. </w:t>
      </w:r>
      <w:r w:rsidRPr="002C5B49">
        <w:rPr>
          <w:rFonts w:ascii="Segoe UI" w:hAnsi="Segoe UI" w:cs="Segoe UI"/>
          <w:i/>
          <w:iCs/>
          <w:sz w:val="23"/>
          <w:szCs w:val="23"/>
        </w:rPr>
        <w:t>Arthur in Medieval Welsh Literature</w:t>
      </w:r>
      <w:r w:rsidRPr="002C5B49">
        <w:rPr>
          <w:rFonts w:ascii="Segoe UI" w:hAnsi="Segoe UI" w:cs="Segoe UI"/>
          <w:sz w:val="23"/>
          <w:szCs w:val="23"/>
        </w:rPr>
        <w:t xml:space="preserve"> (Cardiff: University of Wales Press, 2013).</w:t>
      </w:r>
    </w:p>
    <w:p w14:paraId="311463D4" w14:textId="5380BD45" w:rsidR="002C5B49" w:rsidRPr="002C5B49" w:rsidRDefault="002C5B49">
      <w:pPr>
        <w:rPr>
          <w:rFonts w:ascii="Segoe UI" w:hAnsi="Segoe UI" w:cs="Segoe UI"/>
          <w:sz w:val="23"/>
          <w:szCs w:val="23"/>
        </w:rPr>
      </w:pPr>
      <w:r w:rsidRPr="002C5B49">
        <w:rPr>
          <w:rFonts w:ascii="Segoe UI" w:hAnsi="Segoe UI" w:cs="Segoe UI"/>
          <w:sz w:val="23"/>
          <w:szCs w:val="23"/>
        </w:rPr>
        <w:t>Rodway,</w:t>
      </w:r>
      <w:r w:rsidRPr="002C5B49">
        <w:rPr>
          <w:rFonts w:ascii="Segoe UI" w:hAnsi="Segoe UI" w:cs="Segoe UI"/>
          <w:sz w:val="23"/>
          <w:szCs w:val="23"/>
        </w:rPr>
        <w:t xml:space="preserve"> S.</w:t>
      </w:r>
      <w:r w:rsidRPr="002C5B49">
        <w:rPr>
          <w:rFonts w:ascii="Segoe UI" w:hAnsi="Segoe UI" w:cs="Segoe UI"/>
          <w:sz w:val="23"/>
          <w:szCs w:val="23"/>
        </w:rPr>
        <w:t xml:space="preserve"> </w:t>
      </w:r>
      <w:r w:rsidRPr="002C5B49">
        <w:rPr>
          <w:rFonts w:ascii="Segoe UI" w:hAnsi="Segoe UI" w:cs="Segoe UI"/>
          <w:i/>
          <w:iCs/>
          <w:sz w:val="23"/>
          <w:szCs w:val="23"/>
        </w:rPr>
        <w:t>Culhwch ac Olwen: Arthur in the Celtic Languages, the Arthurian Legend in Celtic Literature and Traditions</w:t>
      </w:r>
      <w:r w:rsidRPr="002C5B49">
        <w:rPr>
          <w:rFonts w:ascii="Segoe UI" w:hAnsi="Segoe UI" w:cs="Segoe UI"/>
          <w:sz w:val="23"/>
          <w:szCs w:val="23"/>
        </w:rPr>
        <w:t xml:space="preserve"> (Cardiff: University of Wales Press, 2019)</w:t>
      </w:r>
      <w:r w:rsidRPr="002C5B49">
        <w:rPr>
          <w:rFonts w:ascii="Segoe UI" w:hAnsi="Segoe UI" w:cs="Segoe UI"/>
          <w:sz w:val="23"/>
          <w:szCs w:val="23"/>
        </w:rPr>
        <w:t>.</w:t>
      </w:r>
    </w:p>
    <w:p w14:paraId="75FE1D42" w14:textId="14E22A5F" w:rsidR="002C5B49" w:rsidRPr="00AB22F6" w:rsidRDefault="002C5B49" w:rsidP="002C5B49">
      <w:pPr>
        <w:rPr>
          <w:rFonts w:ascii="Segoe UI" w:hAnsi="Segoe UI" w:cs="Segoe UI"/>
          <w:color w:val="373A3C"/>
          <w:sz w:val="23"/>
          <w:szCs w:val="23"/>
          <w:shd w:val="clear" w:color="auto" w:fill="FFFFFF"/>
        </w:rPr>
      </w:pPr>
    </w:p>
    <w:sectPr w:rsidR="002C5B49" w:rsidRPr="00AB22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27750A" w14:textId="77777777" w:rsidR="00F43729" w:rsidRDefault="00F43729" w:rsidP="00F13B0B">
      <w:pPr>
        <w:spacing w:after="0" w:line="240" w:lineRule="auto"/>
      </w:pPr>
      <w:r>
        <w:separator/>
      </w:r>
    </w:p>
  </w:endnote>
  <w:endnote w:type="continuationSeparator" w:id="0">
    <w:p w14:paraId="0FA9C34A" w14:textId="77777777" w:rsidR="00F43729" w:rsidRDefault="00F43729" w:rsidP="00F13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F26356" w14:textId="77777777" w:rsidR="00F43729" w:rsidRDefault="00F43729" w:rsidP="00F13B0B">
      <w:pPr>
        <w:spacing w:after="0" w:line="240" w:lineRule="auto"/>
      </w:pPr>
      <w:r>
        <w:separator/>
      </w:r>
    </w:p>
  </w:footnote>
  <w:footnote w:type="continuationSeparator" w:id="0">
    <w:p w14:paraId="5B3F945F" w14:textId="77777777" w:rsidR="00F43729" w:rsidRDefault="00F43729" w:rsidP="00F13B0B">
      <w:pPr>
        <w:spacing w:after="0" w:line="240" w:lineRule="auto"/>
      </w:pPr>
      <w:r>
        <w:continuationSeparator/>
      </w:r>
    </w:p>
  </w:footnote>
  <w:footnote w:id="1">
    <w:p w14:paraId="1FE98AC3" w14:textId="76A2432C" w:rsidR="00991D8A" w:rsidRDefault="00991D8A">
      <w:pPr>
        <w:pStyle w:val="FootnoteText"/>
      </w:pPr>
      <w:r>
        <w:rPr>
          <w:rStyle w:val="FootnoteReference"/>
        </w:rPr>
        <w:footnoteRef/>
      </w:r>
      <w:r>
        <w:t xml:space="preserve"> </w:t>
      </w:r>
      <w:r w:rsidR="00B9579D">
        <w:t xml:space="preserve">S. Davies, </w:t>
      </w:r>
      <w:r w:rsidRPr="00B9579D">
        <w:rPr>
          <w:i/>
          <w:iCs/>
        </w:rPr>
        <w:t>The Mab</w:t>
      </w:r>
      <w:r w:rsidR="00B9579D" w:rsidRPr="00B9579D">
        <w:rPr>
          <w:i/>
          <w:iCs/>
        </w:rPr>
        <w:t>inogion</w:t>
      </w:r>
      <w:r w:rsidR="00B9579D">
        <w:t xml:space="preserve"> (New York: Oxford World Classics, 2007), </w:t>
      </w:r>
      <w:r>
        <w:t>p.ix</w:t>
      </w:r>
      <w:r w:rsidR="00B9579D">
        <w:t>.</w:t>
      </w:r>
      <w:r>
        <w:t xml:space="preserve"> </w:t>
      </w:r>
    </w:p>
  </w:footnote>
  <w:footnote w:id="2">
    <w:p w14:paraId="2C909880" w14:textId="269EB303" w:rsidR="00991D8A" w:rsidRDefault="00991D8A">
      <w:pPr>
        <w:pStyle w:val="FootnoteText"/>
      </w:pPr>
      <w:r>
        <w:rPr>
          <w:rStyle w:val="FootnoteReference"/>
        </w:rPr>
        <w:footnoteRef/>
      </w:r>
      <w:r>
        <w:t xml:space="preserve"> </w:t>
      </w:r>
      <w:r w:rsidR="00B9579D">
        <w:t xml:space="preserve">J. Goyne, ‘Arthurian </w:t>
      </w:r>
      <w:r>
        <w:t>Wonder Women</w:t>
      </w:r>
      <w:r w:rsidR="00B9579D">
        <w:t xml:space="preserve">: the </w:t>
      </w:r>
      <w:proofErr w:type="spellStart"/>
      <w:r w:rsidR="00B9579D">
        <w:t>Tred</w:t>
      </w:r>
      <w:proofErr w:type="spellEnd"/>
      <w:r w:rsidR="00B9579D">
        <w:t xml:space="preserve"> of Olwen’, </w:t>
      </w:r>
      <w:r w:rsidR="00B9579D" w:rsidRPr="00B9579D">
        <w:rPr>
          <w:i/>
          <w:iCs/>
        </w:rPr>
        <w:t>Arthuriana: Essays in Memory of Maureen Fries</w:t>
      </w:r>
      <w:r w:rsidR="00B9579D">
        <w:t xml:space="preserve"> (JSTOR: Scriptorium Press, 1999),</w:t>
      </w:r>
      <w:r>
        <w:t xml:space="preserve"> p.5</w:t>
      </w:r>
      <w:r w:rsidR="00B9579D">
        <w:t>.</w:t>
      </w:r>
    </w:p>
  </w:footnote>
  <w:footnote w:id="3">
    <w:p w14:paraId="751AFF62" w14:textId="261D5C6C" w:rsidR="00991D8A" w:rsidRDefault="00991D8A">
      <w:pPr>
        <w:pStyle w:val="FootnoteText"/>
      </w:pPr>
      <w:r>
        <w:rPr>
          <w:rStyle w:val="FootnoteReference"/>
        </w:rPr>
        <w:footnoteRef/>
      </w:r>
      <w:r>
        <w:t xml:space="preserve"> </w:t>
      </w:r>
      <w:r w:rsidR="00B9579D" w:rsidRPr="00B9579D">
        <w:rPr>
          <w:i/>
          <w:iCs/>
        </w:rPr>
        <w:t>i</w:t>
      </w:r>
      <w:r w:rsidRPr="00B9579D">
        <w:rPr>
          <w:i/>
          <w:iCs/>
        </w:rPr>
        <w:t>bid</w:t>
      </w:r>
      <w:r w:rsidR="00B9579D" w:rsidRPr="00B9579D">
        <w:rPr>
          <w:i/>
          <w:iCs/>
        </w:rPr>
        <w:t>.</w:t>
      </w:r>
    </w:p>
  </w:footnote>
  <w:footnote w:id="4">
    <w:p w14:paraId="1940CD19" w14:textId="19211E93" w:rsidR="00991D8A" w:rsidRDefault="00991D8A">
      <w:pPr>
        <w:pStyle w:val="FootnoteText"/>
      </w:pPr>
      <w:r>
        <w:rPr>
          <w:rStyle w:val="FootnoteReference"/>
        </w:rPr>
        <w:footnoteRef/>
      </w:r>
      <w:r>
        <w:t xml:space="preserve"> </w:t>
      </w:r>
      <w:r w:rsidR="00B9579D">
        <w:t xml:space="preserve">Davies, </w:t>
      </w:r>
      <w:r w:rsidRPr="00B9579D">
        <w:rPr>
          <w:i/>
          <w:iCs/>
        </w:rPr>
        <w:t>The Mab</w:t>
      </w:r>
      <w:r w:rsidR="00B9579D" w:rsidRPr="00B9579D">
        <w:rPr>
          <w:i/>
          <w:iCs/>
        </w:rPr>
        <w:t>inogion,</w:t>
      </w:r>
      <w:r>
        <w:t xml:space="preserve"> </w:t>
      </w:r>
      <w:proofErr w:type="spellStart"/>
      <w:r>
        <w:t>p.xxiii</w:t>
      </w:r>
      <w:proofErr w:type="spellEnd"/>
      <w:r w:rsidR="00B9579D">
        <w:t>.</w:t>
      </w:r>
    </w:p>
  </w:footnote>
  <w:footnote w:id="5">
    <w:p w14:paraId="67DFCAFC" w14:textId="0466358C" w:rsidR="00991D8A" w:rsidRDefault="00991D8A">
      <w:pPr>
        <w:pStyle w:val="FootnoteText"/>
      </w:pPr>
      <w:r>
        <w:rPr>
          <w:rStyle w:val="FootnoteReference"/>
        </w:rPr>
        <w:footnoteRef/>
      </w:r>
      <w:r>
        <w:t xml:space="preserve"> </w:t>
      </w:r>
      <w:r w:rsidR="00B9579D">
        <w:t>S. Davies (trans.), ‘</w:t>
      </w:r>
      <w:r>
        <w:t>Culhwch and Olwen</w:t>
      </w:r>
      <w:r w:rsidR="00B9579D">
        <w:t xml:space="preserve">’, </w:t>
      </w:r>
      <w:r w:rsidR="00B9579D" w:rsidRPr="00B9579D">
        <w:rPr>
          <w:i/>
          <w:iCs/>
        </w:rPr>
        <w:t>The Mabinogion</w:t>
      </w:r>
      <w:r w:rsidR="00B9579D">
        <w:t xml:space="preserve"> (New York: Oxford World Classics, 2007),</w:t>
      </w:r>
      <w:r>
        <w:t xml:space="preserve"> p.198</w:t>
      </w:r>
      <w:r w:rsidR="00B9579D">
        <w:t>.</w:t>
      </w:r>
    </w:p>
  </w:footnote>
  <w:footnote w:id="6">
    <w:p w14:paraId="62F3CC10" w14:textId="272478EB" w:rsidR="00991D8A" w:rsidRDefault="00991D8A">
      <w:pPr>
        <w:pStyle w:val="FootnoteText"/>
      </w:pPr>
      <w:r>
        <w:rPr>
          <w:rStyle w:val="FootnoteReference"/>
        </w:rPr>
        <w:footnoteRef/>
      </w:r>
      <w:r>
        <w:t xml:space="preserve"> </w:t>
      </w:r>
      <w:r w:rsidR="00B9579D">
        <w:t xml:space="preserve">S. </w:t>
      </w:r>
      <w:r>
        <w:t>Bromwich</w:t>
      </w:r>
      <w:r w:rsidR="00B9579D">
        <w:t xml:space="preserve"> and S. Evans, Culhwch and Olwen: an Edition and Study of the Oldest Arthurian Tale (Cardiff: University of Wales Press, 1992),</w:t>
      </w:r>
      <w:r>
        <w:t xml:space="preserve"> </w:t>
      </w:r>
      <w:proofErr w:type="spellStart"/>
      <w:r>
        <w:t>p.lxvii</w:t>
      </w:r>
      <w:proofErr w:type="spellEnd"/>
      <w:r w:rsidR="00B9579D">
        <w:t>.</w:t>
      </w:r>
      <w:r>
        <w:t xml:space="preserve"> </w:t>
      </w:r>
    </w:p>
  </w:footnote>
  <w:footnote w:id="7">
    <w:p w14:paraId="006A514D" w14:textId="09619470" w:rsidR="00991D8A" w:rsidRDefault="00991D8A">
      <w:pPr>
        <w:pStyle w:val="FootnoteText"/>
      </w:pPr>
      <w:r>
        <w:rPr>
          <w:rStyle w:val="FootnoteReference"/>
        </w:rPr>
        <w:footnoteRef/>
      </w:r>
      <w:r>
        <w:t xml:space="preserve"> </w:t>
      </w:r>
      <w:r w:rsidR="00B9579D">
        <w:t xml:space="preserve">Goyne, </w:t>
      </w:r>
      <w:r w:rsidR="00B9579D" w:rsidRPr="00B9579D">
        <w:rPr>
          <w:i/>
          <w:iCs/>
        </w:rPr>
        <w:t xml:space="preserve">Arthurian </w:t>
      </w:r>
      <w:r w:rsidRPr="00B9579D">
        <w:rPr>
          <w:i/>
          <w:iCs/>
        </w:rPr>
        <w:t>Wonder women</w:t>
      </w:r>
      <w:r w:rsidR="00B9579D">
        <w:t>,</w:t>
      </w:r>
      <w:r>
        <w:t xml:space="preserve"> p.6</w:t>
      </w:r>
      <w:r w:rsidR="00B9579D">
        <w:t>.</w:t>
      </w:r>
    </w:p>
  </w:footnote>
  <w:footnote w:id="8">
    <w:p w14:paraId="2E97A567" w14:textId="1ADAFF4F" w:rsidR="00991D8A" w:rsidRDefault="00991D8A">
      <w:pPr>
        <w:pStyle w:val="FootnoteText"/>
      </w:pPr>
      <w:r>
        <w:rPr>
          <w:rStyle w:val="FootnoteReference"/>
        </w:rPr>
        <w:footnoteRef/>
      </w:r>
      <w:r>
        <w:t xml:space="preserve"> </w:t>
      </w:r>
      <w:r w:rsidR="000C5137">
        <w:t xml:space="preserve">S. </w:t>
      </w:r>
      <w:r>
        <w:t>Rodway</w:t>
      </w:r>
      <w:r w:rsidR="000C5137">
        <w:t xml:space="preserve">, </w:t>
      </w:r>
      <w:r w:rsidR="000C5137" w:rsidRPr="000C5137">
        <w:rPr>
          <w:i/>
          <w:iCs/>
        </w:rPr>
        <w:t>Culhwch ac Olwen: Arthur in the Celtic Languages, the Arthurian Legend in Celtic Literature and Traditions</w:t>
      </w:r>
      <w:r w:rsidR="000C5137">
        <w:t xml:space="preserve"> (Cardiff: University of Wales Press, 2019),</w:t>
      </w:r>
      <w:r>
        <w:t xml:space="preserve"> p.72</w:t>
      </w:r>
      <w:r w:rsidR="000C5137">
        <w:t>.</w:t>
      </w:r>
    </w:p>
  </w:footnote>
  <w:footnote w:id="9">
    <w:p w14:paraId="5DA7E476" w14:textId="670B4E6F" w:rsidR="00991D8A" w:rsidRDefault="00991D8A">
      <w:pPr>
        <w:pStyle w:val="FootnoteText"/>
      </w:pPr>
      <w:r>
        <w:rPr>
          <w:rStyle w:val="FootnoteReference"/>
        </w:rPr>
        <w:footnoteRef/>
      </w:r>
      <w:r>
        <w:t xml:space="preserve"> </w:t>
      </w:r>
      <w:r w:rsidR="000C5137" w:rsidRPr="000C5137">
        <w:rPr>
          <w:i/>
          <w:iCs/>
        </w:rPr>
        <w:t>i</w:t>
      </w:r>
      <w:r w:rsidRPr="000C5137">
        <w:rPr>
          <w:i/>
          <w:iCs/>
        </w:rPr>
        <w:t>bid</w:t>
      </w:r>
      <w:r w:rsidR="000C5137" w:rsidRPr="000C5137">
        <w:rPr>
          <w:i/>
          <w:iCs/>
        </w:rPr>
        <w:t>.</w:t>
      </w:r>
    </w:p>
  </w:footnote>
  <w:footnote w:id="10">
    <w:p w14:paraId="54BC81E5" w14:textId="3BEE7F28" w:rsidR="00991D8A" w:rsidRDefault="00991D8A">
      <w:pPr>
        <w:pStyle w:val="FootnoteText"/>
      </w:pPr>
      <w:r>
        <w:rPr>
          <w:rStyle w:val="FootnoteReference"/>
        </w:rPr>
        <w:footnoteRef/>
      </w:r>
      <w:r>
        <w:t xml:space="preserve"> </w:t>
      </w:r>
      <w:r w:rsidR="000C5137">
        <w:t xml:space="preserve">Davies, </w:t>
      </w:r>
      <w:r w:rsidRPr="000C5137">
        <w:rPr>
          <w:i/>
          <w:iCs/>
        </w:rPr>
        <w:t>The Mab</w:t>
      </w:r>
      <w:r w:rsidR="000C5137" w:rsidRPr="000C5137">
        <w:rPr>
          <w:i/>
          <w:iCs/>
        </w:rPr>
        <w:t>inogion,</w:t>
      </w:r>
      <w:r>
        <w:t xml:space="preserve"> </w:t>
      </w:r>
      <w:proofErr w:type="spellStart"/>
      <w:r>
        <w:t>p.xxiii</w:t>
      </w:r>
      <w:proofErr w:type="spellEnd"/>
      <w:r w:rsidR="000C5137">
        <w:t>.</w:t>
      </w:r>
    </w:p>
  </w:footnote>
  <w:footnote w:id="11">
    <w:p w14:paraId="73B78FFF" w14:textId="7D5E09D6" w:rsidR="00991D8A" w:rsidRDefault="00991D8A">
      <w:pPr>
        <w:pStyle w:val="FootnoteText"/>
      </w:pPr>
      <w:r>
        <w:rPr>
          <w:rStyle w:val="FootnoteReference"/>
        </w:rPr>
        <w:footnoteRef/>
      </w:r>
      <w:r>
        <w:t xml:space="preserve"> </w:t>
      </w:r>
      <w:r w:rsidR="000C5137" w:rsidRPr="000C5137">
        <w:rPr>
          <w:i/>
          <w:iCs/>
        </w:rPr>
        <w:t>i</w:t>
      </w:r>
      <w:r w:rsidRPr="000C5137">
        <w:rPr>
          <w:i/>
          <w:iCs/>
        </w:rPr>
        <w:t>bid</w:t>
      </w:r>
      <w:r w:rsidR="000C5137" w:rsidRPr="000C5137">
        <w:rPr>
          <w:i/>
          <w:iCs/>
        </w:rPr>
        <w:t>.</w:t>
      </w:r>
    </w:p>
  </w:footnote>
  <w:footnote w:id="12">
    <w:p w14:paraId="0123B318" w14:textId="36F065D6" w:rsidR="00991D8A" w:rsidRDefault="00991D8A">
      <w:pPr>
        <w:pStyle w:val="FootnoteText"/>
      </w:pPr>
      <w:r>
        <w:rPr>
          <w:rStyle w:val="FootnoteReference"/>
        </w:rPr>
        <w:footnoteRef/>
      </w:r>
      <w:r>
        <w:t xml:space="preserve"> </w:t>
      </w:r>
      <w:r w:rsidR="000C5137" w:rsidRPr="000C5137">
        <w:rPr>
          <w:i/>
          <w:iCs/>
        </w:rPr>
        <w:t>ibid.,</w:t>
      </w:r>
      <w:r>
        <w:t xml:space="preserve"> </w:t>
      </w:r>
      <w:proofErr w:type="spellStart"/>
      <w:r>
        <w:t>p.xxiv</w:t>
      </w:r>
      <w:proofErr w:type="spellEnd"/>
      <w:r w:rsidR="000C5137">
        <w:t>.</w:t>
      </w:r>
    </w:p>
  </w:footnote>
  <w:footnote w:id="13">
    <w:p w14:paraId="47ACBF80" w14:textId="1A530366" w:rsidR="00991D8A" w:rsidRDefault="00991D8A">
      <w:pPr>
        <w:pStyle w:val="FootnoteText"/>
      </w:pPr>
      <w:r>
        <w:rPr>
          <w:rStyle w:val="FootnoteReference"/>
        </w:rPr>
        <w:footnoteRef/>
      </w:r>
      <w:r>
        <w:t xml:space="preserve"> </w:t>
      </w:r>
      <w:r w:rsidR="000C5137" w:rsidRPr="000C5137">
        <w:rPr>
          <w:i/>
          <w:iCs/>
        </w:rPr>
        <w:t>i</w:t>
      </w:r>
      <w:r w:rsidRPr="000C5137">
        <w:rPr>
          <w:i/>
          <w:iCs/>
        </w:rPr>
        <w:t>bid</w:t>
      </w:r>
      <w:r w:rsidR="000C5137" w:rsidRPr="000C5137">
        <w:rPr>
          <w:i/>
          <w:iCs/>
        </w:rPr>
        <w:t>.</w:t>
      </w:r>
    </w:p>
  </w:footnote>
  <w:footnote w:id="14">
    <w:p w14:paraId="1EAFADD1" w14:textId="3BA364F9" w:rsidR="00991D8A" w:rsidRDefault="00991D8A">
      <w:pPr>
        <w:pStyle w:val="FootnoteText"/>
      </w:pPr>
      <w:r>
        <w:rPr>
          <w:rStyle w:val="FootnoteReference"/>
        </w:rPr>
        <w:footnoteRef/>
      </w:r>
      <w:r>
        <w:t xml:space="preserve"> </w:t>
      </w:r>
      <w:r w:rsidR="000C5137">
        <w:t xml:space="preserve">Goyne, </w:t>
      </w:r>
      <w:r w:rsidR="000C5137" w:rsidRPr="000C5137">
        <w:rPr>
          <w:i/>
          <w:iCs/>
        </w:rPr>
        <w:t xml:space="preserve">Arthurian </w:t>
      </w:r>
      <w:r w:rsidRPr="000C5137">
        <w:rPr>
          <w:i/>
          <w:iCs/>
        </w:rPr>
        <w:t>Wonder women</w:t>
      </w:r>
      <w:r w:rsidR="000C5137" w:rsidRPr="000C5137">
        <w:rPr>
          <w:i/>
          <w:iCs/>
        </w:rPr>
        <w:t>,</w:t>
      </w:r>
      <w:r w:rsidR="000C5137">
        <w:t xml:space="preserve"> </w:t>
      </w:r>
      <w:r>
        <w:t>p.5</w:t>
      </w:r>
      <w:r w:rsidR="000C5137">
        <w:t>.</w:t>
      </w:r>
    </w:p>
  </w:footnote>
  <w:footnote w:id="15">
    <w:p w14:paraId="4E5B9288" w14:textId="0E493145" w:rsidR="00991D8A" w:rsidRDefault="00991D8A">
      <w:pPr>
        <w:pStyle w:val="FootnoteText"/>
      </w:pPr>
      <w:r>
        <w:rPr>
          <w:rStyle w:val="FootnoteReference"/>
        </w:rPr>
        <w:footnoteRef/>
      </w:r>
      <w:r>
        <w:t xml:space="preserve"> </w:t>
      </w:r>
      <w:r w:rsidR="000C5137">
        <w:t xml:space="preserve">Davies, </w:t>
      </w:r>
      <w:r w:rsidRPr="000C5137">
        <w:rPr>
          <w:i/>
          <w:iCs/>
        </w:rPr>
        <w:t xml:space="preserve">The </w:t>
      </w:r>
      <w:r w:rsidR="000C5137" w:rsidRPr="000C5137">
        <w:rPr>
          <w:i/>
          <w:iCs/>
        </w:rPr>
        <w:t>Mabinogion</w:t>
      </w:r>
      <w:r w:rsidR="000C5137">
        <w:t>,</w:t>
      </w:r>
      <w:r>
        <w:t xml:space="preserve"> </w:t>
      </w:r>
      <w:proofErr w:type="spellStart"/>
      <w:r>
        <w:t>p.xxiii</w:t>
      </w:r>
      <w:proofErr w:type="spellEnd"/>
      <w:r w:rsidR="000C5137">
        <w:t>.</w:t>
      </w:r>
    </w:p>
  </w:footnote>
  <w:footnote w:id="16">
    <w:p w14:paraId="69223BE0" w14:textId="378B22CD" w:rsidR="00991D8A" w:rsidRDefault="00991D8A" w:rsidP="002D4997">
      <w:pPr>
        <w:pStyle w:val="FootnoteText"/>
      </w:pPr>
      <w:r>
        <w:rPr>
          <w:rStyle w:val="FootnoteReference"/>
        </w:rPr>
        <w:footnoteRef/>
      </w:r>
      <w:r>
        <w:t xml:space="preserve"> </w:t>
      </w:r>
      <w:r w:rsidR="000C5137">
        <w:t>Davies (trans.), ‘</w:t>
      </w:r>
      <w:r>
        <w:t>Culhwch and Olwen</w:t>
      </w:r>
      <w:r w:rsidR="000C5137">
        <w:t xml:space="preserve">’, </w:t>
      </w:r>
      <w:r w:rsidR="000C5137" w:rsidRPr="000C5137">
        <w:rPr>
          <w:i/>
          <w:iCs/>
        </w:rPr>
        <w:t>The Mabinogion,</w:t>
      </w:r>
      <w:r>
        <w:t xml:space="preserve"> p.200</w:t>
      </w:r>
      <w:r w:rsidR="000C5137">
        <w:t>.</w:t>
      </w:r>
    </w:p>
  </w:footnote>
  <w:footnote w:id="17">
    <w:p w14:paraId="22B3D367" w14:textId="18CD0CBC" w:rsidR="00991D8A" w:rsidRDefault="00991D8A">
      <w:pPr>
        <w:pStyle w:val="FootnoteText"/>
      </w:pPr>
      <w:r>
        <w:rPr>
          <w:rStyle w:val="FootnoteReference"/>
        </w:rPr>
        <w:footnoteRef/>
      </w:r>
      <w:r>
        <w:t xml:space="preserve"> </w:t>
      </w:r>
      <w:r w:rsidR="000C5137" w:rsidRPr="000C5137">
        <w:rPr>
          <w:i/>
          <w:iCs/>
        </w:rPr>
        <w:t>i</w:t>
      </w:r>
      <w:r w:rsidRPr="000C5137">
        <w:rPr>
          <w:i/>
          <w:iCs/>
        </w:rPr>
        <w:t>bid</w:t>
      </w:r>
      <w:r w:rsidR="000C5137" w:rsidRPr="000C5137">
        <w:rPr>
          <w:i/>
          <w:iCs/>
        </w:rPr>
        <w:t>.,</w:t>
      </w:r>
      <w:r w:rsidR="000C5137">
        <w:t xml:space="preserve"> </w:t>
      </w:r>
      <w:r>
        <w:t>p. 203</w:t>
      </w:r>
      <w:r w:rsidR="000C5137">
        <w:t>.</w:t>
      </w:r>
    </w:p>
  </w:footnote>
  <w:footnote w:id="18">
    <w:p w14:paraId="4F9035A5" w14:textId="4361C655" w:rsidR="00991D8A" w:rsidRDefault="00991D8A" w:rsidP="002D4997">
      <w:pPr>
        <w:pStyle w:val="FootnoteText"/>
      </w:pPr>
      <w:r>
        <w:rPr>
          <w:rStyle w:val="FootnoteReference"/>
        </w:rPr>
        <w:footnoteRef/>
      </w:r>
      <w:r>
        <w:t xml:space="preserve"> </w:t>
      </w:r>
      <w:r w:rsidR="000C5137" w:rsidRPr="000C5137">
        <w:rPr>
          <w:i/>
          <w:iCs/>
        </w:rPr>
        <w:t>i</w:t>
      </w:r>
      <w:r w:rsidRPr="000C5137">
        <w:rPr>
          <w:i/>
          <w:iCs/>
        </w:rPr>
        <w:t>bid</w:t>
      </w:r>
      <w:r w:rsidR="000C5137" w:rsidRPr="000C5137">
        <w:rPr>
          <w:i/>
          <w:iCs/>
        </w:rPr>
        <w:t>.</w:t>
      </w:r>
    </w:p>
  </w:footnote>
  <w:footnote w:id="19">
    <w:p w14:paraId="6B75CFF8" w14:textId="22BF9711" w:rsidR="00991D8A" w:rsidRDefault="00991D8A">
      <w:pPr>
        <w:pStyle w:val="FootnoteText"/>
      </w:pPr>
      <w:r>
        <w:rPr>
          <w:rStyle w:val="FootnoteReference"/>
        </w:rPr>
        <w:footnoteRef/>
      </w:r>
      <w:r>
        <w:t xml:space="preserve"> </w:t>
      </w:r>
      <w:r w:rsidR="000C5137">
        <w:t xml:space="preserve">K. L. </w:t>
      </w:r>
      <w:r>
        <w:t>Over</w:t>
      </w:r>
      <w:r w:rsidR="000C5137">
        <w:t xml:space="preserve">, </w:t>
      </w:r>
      <w:r w:rsidR="000C5137" w:rsidRPr="000C5137">
        <w:rPr>
          <w:i/>
          <w:iCs/>
        </w:rPr>
        <w:t xml:space="preserve">Kingship, Conquest and Patria </w:t>
      </w:r>
      <w:r w:rsidR="000C5137">
        <w:t>(London: Routledge, 2014),</w:t>
      </w:r>
      <w:r>
        <w:t xml:space="preserve"> p.29</w:t>
      </w:r>
      <w:r w:rsidR="000C5137">
        <w:t>.</w:t>
      </w:r>
    </w:p>
  </w:footnote>
  <w:footnote w:id="20">
    <w:p w14:paraId="67ADF995" w14:textId="7E42882F" w:rsidR="00991D8A" w:rsidRDefault="00991D8A">
      <w:pPr>
        <w:pStyle w:val="FootnoteText"/>
      </w:pPr>
      <w:r>
        <w:rPr>
          <w:rStyle w:val="FootnoteReference"/>
        </w:rPr>
        <w:footnoteRef/>
      </w:r>
      <w:r>
        <w:t xml:space="preserve"> </w:t>
      </w:r>
      <w:r w:rsidR="000C5137">
        <w:t xml:space="preserve">Davies (trans.), ‘Culhwch and Olwen’, </w:t>
      </w:r>
      <w:r w:rsidR="000C5137" w:rsidRPr="000C5137">
        <w:rPr>
          <w:i/>
          <w:iCs/>
        </w:rPr>
        <w:t>The Mabinogion,</w:t>
      </w:r>
      <w:r w:rsidR="000C5137">
        <w:t xml:space="preserve"> </w:t>
      </w:r>
      <w:r>
        <w:t>p.207</w:t>
      </w:r>
      <w:r w:rsidR="000C5137">
        <w:t>.</w:t>
      </w:r>
    </w:p>
  </w:footnote>
  <w:footnote w:id="21">
    <w:p w14:paraId="7A3BF88D" w14:textId="4A80AF36" w:rsidR="00991D8A" w:rsidRDefault="00991D8A">
      <w:pPr>
        <w:pStyle w:val="FootnoteText"/>
      </w:pPr>
      <w:r>
        <w:rPr>
          <w:rStyle w:val="FootnoteReference"/>
        </w:rPr>
        <w:footnoteRef/>
      </w:r>
      <w:r>
        <w:t xml:space="preserve"> </w:t>
      </w:r>
      <w:r w:rsidR="000C5137" w:rsidRPr="000C5137">
        <w:rPr>
          <w:i/>
          <w:iCs/>
        </w:rPr>
        <w:t>i</w:t>
      </w:r>
      <w:r w:rsidRPr="000C5137">
        <w:rPr>
          <w:i/>
          <w:iCs/>
        </w:rPr>
        <w:t>bid</w:t>
      </w:r>
      <w:r w:rsidR="000C5137" w:rsidRPr="000C5137">
        <w:rPr>
          <w:i/>
          <w:iCs/>
        </w:rPr>
        <w:t>.,</w:t>
      </w:r>
      <w:r>
        <w:t xml:space="preserve"> p.212</w:t>
      </w:r>
      <w:r w:rsidR="000C5137">
        <w:t>.</w:t>
      </w:r>
    </w:p>
  </w:footnote>
  <w:footnote w:id="22">
    <w:p w14:paraId="70DC439F" w14:textId="2FD51F61" w:rsidR="00991D8A" w:rsidRDefault="00991D8A">
      <w:pPr>
        <w:pStyle w:val="FootnoteText"/>
      </w:pPr>
      <w:r>
        <w:rPr>
          <w:rStyle w:val="FootnoteReference"/>
        </w:rPr>
        <w:footnoteRef/>
      </w:r>
      <w:r>
        <w:t xml:space="preserve"> </w:t>
      </w:r>
      <w:r w:rsidR="000C5137" w:rsidRPr="000C5137">
        <w:rPr>
          <w:i/>
          <w:iCs/>
        </w:rPr>
        <w:t>ib</w:t>
      </w:r>
      <w:r w:rsidRPr="000C5137">
        <w:rPr>
          <w:i/>
          <w:iCs/>
        </w:rPr>
        <w:t>id</w:t>
      </w:r>
      <w:r w:rsidR="000C5137" w:rsidRPr="000C5137">
        <w:rPr>
          <w:i/>
          <w:iCs/>
        </w:rPr>
        <w:t>.,</w:t>
      </w:r>
      <w:r>
        <w:t xml:space="preserve"> p.213</w:t>
      </w:r>
      <w:r w:rsidR="000C5137">
        <w:t>.</w:t>
      </w:r>
    </w:p>
  </w:footnote>
  <w:footnote w:id="23">
    <w:p w14:paraId="37564F43" w14:textId="6FC40A1A" w:rsidR="00991D8A" w:rsidRDefault="00991D8A">
      <w:pPr>
        <w:pStyle w:val="FootnoteText"/>
      </w:pPr>
      <w:r>
        <w:rPr>
          <w:rStyle w:val="FootnoteReference"/>
        </w:rPr>
        <w:footnoteRef/>
      </w:r>
      <w:r>
        <w:t xml:space="preserve"> Over</w:t>
      </w:r>
      <w:r w:rsidR="000C5137">
        <w:t xml:space="preserve">, </w:t>
      </w:r>
      <w:r w:rsidR="000C5137" w:rsidRPr="000C5137">
        <w:rPr>
          <w:i/>
          <w:iCs/>
        </w:rPr>
        <w:t>Kingship, Conquest and Patria,</w:t>
      </w:r>
      <w:r>
        <w:t xml:space="preserve"> p</w:t>
      </w:r>
      <w:r w:rsidR="000C5137">
        <w:t>p</w:t>
      </w:r>
      <w:r>
        <w:t>.29-30</w:t>
      </w:r>
      <w:r w:rsidR="000C5137">
        <w:t>.</w:t>
      </w:r>
    </w:p>
  </w:footnote>
  <w:footnote w:id="24">
    <w:p w14:paraId="1E142BAE" w14:textId="4C3F2444" w:rsidR="00991D8A" w:rsidRDefault="00991D8A">
      <w:pPr>
        <w:pStyle w:val="FootnoteText"/>
      </w:pPr>
      <w:r>
        <w:rPr>
          <w:rStyle w:val="FootnoteReference"/>
        </w:rPr>
        <w:footnoteRef/>
      </w:r>
      <w:r>
        <w:t xml:space="preserve"> </w:t>
      </w:r>
      <w:r w:rsidR="000C5137">
        <w:t xml:space="preserve">H. Fulton, </w:t>
      </w:r>
      <w:r w:rsidR="000C5137" w:rsidRPr="000C5137">
        <w:rPr>
          <w:i/>
          <w:iCs/>
        </w:rPr>
        <w:t xml:space="preserve">A </w:t>
      </w:r>
      <w:r w:rsidRPr="000C5137">
        <w:rPr>
          <w:i/>
          <w:iCs/>
        </w:rPr>
        <w:t>Companion</w:t>
      </w:r>
      <w:r w:rsidR="000C5137" w:rsidRPr="000C5137">
        <w:rPr>
          <w:i/>
          <w:iCs/>
        </w:rPr>
        <w:t xml:space="preserve"> to Arthurian Literature</w:t>
      </w:r>
      <w:r w:rsidR="000C5137">
        <w:t xml:space="preserve"> (Chichester: John Wiley and Sons, 2011),</w:t>
      </w:r>
      <w:r>
        <w:t xml:space="preserve"> p.96</w:t>
      </w:r>
      <w:r w:rsidR="000C5137">
        <w:t>.</w:t>
      </w:r>
    </w:p>
  </w:footnote>
  <w:footnote w:id="25">
    <w:p w14:paraId="554A214E" w14:textId="30D1EB86" w:rsidR="00991D8A" w:rsidRDefault="00991D8A">
      <w:pPr>
        <w:pStyle w:val="FootnoteText"/>
      </w:pPr>
      <w:r>
        <w:rPr>
          <w:rStyle w:val="FootnoteReference"/>
        </w:rPr>
        <w:footnoteRef/>
      </w:r>
      <w:r>
        <w:t xml:space="preserve"> </w:t>
      </w:r>
      <w:r w:rsidR="000C5137">
        <w:t xml:space="preserve">Davies (trans.), ‘Culhwch and Olwen’, </w:t>
      </w:r>
      <w:r w:rsidR="000C5137" w:rsidRPr="000C5137">
        <w:rPr>
          <w:i/>
          <w:iCs/>
        </w:rPr>
        <w:t>The Mabinogion,</w:t>
      </w:r>
      <w:r>
        <w:t xml:space="preserve"> p.180</w:t>
      </w:r>
      <w:r w:rsidR="000C5137">
        <w:t>.</w:t>
      </w:r>
    </w:p>
  </w:footnote>
  <w:footnote w:id="26">
    <w:p w14:paraId="19401E88" w14:textId="394A65C4" w:rsidR="00991D8A" w:rsidRDefault="00991D8A">
      <w:pPr>
        <w:pStyle w:val="FootnoteText"/>
      </w:pPr>
      <w:r>
        <w:rPr>
          <w:rStyle w:val="FootnoteReference"/>
        </w:rPr>
        <w:footnoteRef/>
      </w:r>
      <w:r>
        <w:t xml:space="preserve"> </w:t>
      </w:r>
      <w:r w:rsidR="000C5137" w:rsidRPr="000C5137">
        <w:rPr>
          <w:i/>
          <w:iCs/>
        </w:rPr>
        <w:t>i</w:t>
      </w:r>
      <w:r w:rsidRPr="000C5137">
        <w:rPr>
          <w:i/>
          <w:iCs/>
        </w:rPr>
        <w:t>bid</w:t>
      </w:r>
      <w:r w:rsidR="000C5137" w:rsidRPr="000C5137">
        <w:rPr>
          <w:i/>
          <w:iCs/>
        </w:rPr>
        <w:t>.,</w:t>
      </w:r>
      <w:r>
        <w:t xml:space="preserve"> p.183</w:t>
      </w:r>
      <w:r w:rsidR="000C5137">
        <w:t>.</w:t>
      </w:r>
    </w:p>
  </w:footnote>
  <w:footnote w:id="27">
    <w:p w14:paraId="400291F4" w14:textId="7F5F161D" w:rsidR="00991D8A" w:rsidRDefault="00991D8A">
      <w:pPr>
        <w:pStyle w:val="FootnoteText"/>
      </w:pPr>
      <w:r>
        <w:rPr>
          <w:rStyle w:val="FootnoteReference"/>
        </w:rPr>
        <w:footnoteRef/>
      </w:r>
      <w:r>
        <w:t xml:space="preserve"> </w:t>
      </w:r>
      <w:r w:rsidR="000C5137">
        <w:t xml:space="preserve">Davies, </w:t>
      </w:r>
      <w:r w:rsidRPr="000C5137">
        <w:rPr>
          <w:i/>
          <w:iCs/>
        </w:rPr>
        <w:t>The Mab</w:t>
      </w:r>
      <w:r w:rsidR="000C5137" w:rsidRPr="000C5137">
        <w:rPr>
          <w:i/>
          <w:iCs/>
        </w:rPr>
        <w:t>inogion,</w:t>
      </w:r>
      <w:r w:rsidRPr="000C5137">
        <w:rPr>
          <w:i/>
          <w:iCs/>
        </w:rPr>
        <w:t xml:space="preserve"> </w:t>
      </w:r>
      <w:r>
        <w:t>p.260</w:t>
      </w:r>
      <w:r w:rsidR="000C5137">
        <w:t>.</w:t>
      </w:r>
    </w:p>
  </w:footnote>
  <w:footnote w:id="28">
    <w:p w14:paraId="4B7F3D27" w14:textId="0CF719AE" w:rsidR="00991D8A" w:rsidRDefault="00991D8A">
      <w:pPr>
        <w:pStyle w:val="FootnoteText"/>
      </w:pPr>
      <w:r>
        <w:rPr>
          <w:rStyle w:val="FootnoteReference"/>
        </w:rPr>
        <w:footnoteRef/>
      </w:r>
      <w:r>
        <w:t xml:space="preserve"> </w:t>
      </w:r>
      <w:r w:rsidR="000C5137" w:rsidRPr="000C5137">
        <w:rPr>
          <w:i/>
          <w:iCs/>
        </w:rPr>
        <w:t>i</w:t>
      </w:r>
      <w:r w:rsidRPr="000C5137">
        <w:rPr>
          <w:i/>
          <w:iCs/>
        </w:rPr>
        <w:t>bid</w:t>
      </w:r>
      <w:r w:rsidR="000C5137" w:rsidRPr="000C5137">
        <w:rPr>
          <w:i/>
          <w:iCs/>
        </w:rPr>
        <w:t>.,</w:t>
      </w:r>
      <w:r>
        <w:t xml:space="preserve"> p.261</w:t>
      </w:r>
      <w:r w:rsidR="000C5137">
        <w:t>.</w:t>
      </w:r>
    </w:p>
  </w:footnote>
  <w:footnote w:id="29">
    <w:p w14:paraId="775238FF" w14:textId="28933B17" w:rsidR="00991D8A" w:rsidRDefault="00991D8A">
      <w:pPr>
        <w:pStyle w:val="FootnoteText"/>
      </w:pPr>
      <w:r>
        <w:rPr>
          <w:rStyle w:val="FootnoteReference"/>
        </w:rPr>
        <w:footnoteRef/>
      </w:r>
      <w:r>
        <w:t xml:space="preserve"> </w:t>
      </w:r>
      <w:r w:rsidR="000C5137">
        <w:t xml:space="preserve">Davies (trans.), ‘Culhwch and Olwen’, </w:t>
      </w:r>
      <w:r w:rsidR="000C5137" w:rsidRPr="000C5137">
        <w:rPr>
          <w:i/>
          <w:iCs/>
        </w:rPr>
        <w:t>The Mabinogion,</w:t>
      </w:r>
      <w:r>
        <w:t xml:space="preserve"> p.189</w:t>
      </w:r>
      <w:r w:rsidR="000C5137">
        <w:t>.</w:t>
      </w:r>
    </w:p>
  </w:footnote>
  <w:footnote w:id="30">
    <w:p w14:paraId="5D1EC01C" w14:textId="534C91AD" w:rsidR="00991D8A" w:rsidRDefault="00991D8A">
      <w:pPr>
        <w:pStyle w:val="FootnoteText"/>
      </w:pPr>
      <w:r>
        <w:rPr>
          <w:rStyle w:val="FootnoteReference"/>
        </w:rPr>
        <w:footnoteRef/>
      </w:r>
      <w:r>
        <w:t xml:space="preserve"> </w:t>
      </w:r>
      <w:r w:rsidR="000C5137">
        <w:t xml:space="preserve">Goyne, </w:t>
      </w:r>
      <w:r w:rsidR="000C5137" w:rsidRPr="000C5137">
        <w:rPr>
          <w:i/>
          <w:iCs/>
        </w:rPr>
        <w:t xml:space="preserve">Arthurian </w:t>
      </w:r>
      <w:r w:rsidRPr="000C5137">
        <w:rPr>
          <w:i/>
          <w:iCs/>
        </w:rPr>
        <w:t>Wonder Women</w:t>
      </w:r>
      <w:r w:rsidR="000C5137">
        <w:t>,</w:t>
      </w:r>
      <w:r>
        <w:t xml:space="preserve"> p.6</w:t>
      </w:r>
      <w:r w:rsidR="000C5137">
        <w:t>.</w:t>
      </w:r>
    </w:p>
  </w:footnote>
  <w:footnote w:id="31">
    <w:p w14:paraId="0DF56758" w14:textId="154CA99C" w:rsidR="00991D8A" w:rsidRDefault="00991D8A">
      <w:pPr>
        <w:pStyle w:val="FootnoteText"/>
      </w:pPr>
      <w:r>
        <w:rPr>
          <w:rStyle w:val="FootnoteReference"/>
        </w:rPr>
        <w:footnoteRef/>
      </w:r>
      <w:r>
        <w:t xml:space="preserve"> </w:t>
      </w:r>
      <w:r w:rsidR="000C5137">
        <w:t xml:space="preserve">Davies, </w:t>
      </w:r>
      <w:r w:rsidRPr="000C5137">
        <w:rPr>
          <w:i/>
          <w:iCs/>
        </w:rPr>
        <w:t xml:space="preserve">The </w:t>
      </w:r>
      <w:r w:rsidR="000C5137" w:rsidRPr="000C5137">
        <w:rPr>
          <w:i/>
          <w:iCs/>
        </w:rPr>
        <w:t>Mabinogion,</w:t>
      </w:r>
      <w:r w:rsidR="000C5137">
        <w:t xml:space="preserve"> </w:t>
      </w:r>
      <w:r>
        <w:t>p.262</w:t>
      </w:r>
      <w:r w:rsidR="000C5137">
        <w:t>.</w:t>
      </w:r>
    </w:p>
  </w:footnote>
  <w:footnote w:id="32">
    <w:p w14:paraId="6113A1C7" w14:textId="6EB0F50A" w:rsidR="00991D8A" w:rsidRDefault="00991D8A">
      <w:pPr>
        <w:pStyle w:val="FootnoteText"/>
      </w:pPr>
      <w:r>
        <w:rPr>
          <w:rStyle w:val="FootnoteReference"/>
        </w:rPr>
        <w:footnoteRef/>
      </w:r>
      <w:r>
        <w:t xml:space="preserve"> </w:t>
      </w:r>
      <w:r w:rsidR="000C5137">
        <w:t xml:space="preserve">Davies (trans.), ‘Culhwch and Olwen’, </w:t>
      </w:r>
      <w:r w:rsidR="000C5137" w:rsidRPr="000C5137">
        <w:rPr>
          <w:i/>
          <w:iCs/>
        </w:rPr>
        <w:t>The Mabinogion,</w:t>
      </w:r>
      <w:r w:rsidR="000C5137">
        <w:t xml:space="preserve"> </w:t>
      </w:r>
      <w:r>
        <w:t>p.182</w:t>
      </w:r>
      <w:r w:rsidR="000C5137">
        <w:t>.</w:t>
      </w:r>
    </w:p>
  </w:footnote>
  <w:footnote w:id="33">
    <w:p w14:paraId="7BB225E3" w14:textId="1E536B2B" w:rsidR="00991D8A" w:rsidRDefault="00991D8A">
      <w:pPr>
        <w:pStyle w:val="FootnoteText"/>
      </w:pPr>
      <w:r>
        <w:rPr>
          <w:rStyle w:val="FootnoteReference"/>
        </w:rPr>
        <w:footnoteRef/>
      </w:r>
      <w:r>
        <w:t xml:space="preserve"> </w:t>
      </w:r>
      <w:r w:rsidR="000C5137">
        <w:t xml:space="preserve">Davies, </w:t>
      </w:r>
      <w:r w:rsidRPr="000C5137">
        <w:rPr>
          <w:i/>
          <w:iCs/>
        </w:rPr>
        <w:t xml:space="preserve">The </w:t>
      </w:r>
      <w:r w:rsidR="000C5137" w:rsidRPr="000C5137">
        <w:rPr>
          <w:i/>
          <w:iCs/>
        </w:rPr>
        <w:t>Mabinogion,</w:t>
      </w:r>
      <w:r>
        <w:t xml:space="preserve"> </w:t>
      </w:r>
      <w:proofErr w:type="spellStart"/>
      <w:r>
        <w:t>p.xvi</w:t>
      </w:r>
      <w:proofErr w:type="spellEnd"/>
      <w:r w:rsidR="000C5137">
        <w:t>.</w:t>
      </w:r>
    </w:p>
  </w:footnote>
  <w:footnote w:id="34">
    <w:p w14:paraId="7F515A75" w14:textId="0A60169A" w:rsidR="00991D8A" w:rsidRDefault="00991D8A">
      <w:pPr>
        <w:pStyle w:val="FootnoteText"/>
      </w:pPr>
      <w:r>
        <w:rPr>
          <w:rStyle w:val="FootnoteReference"/>
        </w:rPr>
        <w:footnoteRef/>
      </w:r>
      <w:r>
        <w:t xml:space="preserve"> </w:t>
      </w:r>
      <w:r w:rsidR="000C5137">
        <w:t xml:space="preserve">Davies (trans.), ‘Culhwch and Olwen’, </w:t>
      </w:r>
      <w:r w:rsidR="000C5137" w:rsidRPr="000C5137">
        <w:rPr>
          <w:i/>
          <w:iCs/>
        </w:rPr>
        <w:t>The Mabinogion,</w:t>
      </w:r>
      <w:r w:rsidR="000C5137">
        <w:t xml:space="preserve"> </w:t>
      </w:r>
      <w:r>
        <w:t>p.179</w:t>
      </w:r>
      <w:r w:rsidR="000C5137">
        <w:t>.</w:t>
      </w:r>
    </w:p>
  </w:footnote>
  <w:footnote w:id="35">
    <w:p w14:paraId="22271D85" w14:textId="292EE0FB" w:rsidR="00991D8A" w:rsidRDefault="00991D8A">
      <w:pPr>
        <w:pStyle w:val="FootnoteText"/>
      </w:pPr>
      <w:r>
        <w:rPr>
          <w:rStyle w:val="FootnoteReference"/>
        </w:rPr>
        <w:footnoteRef/>
      </w:r>
      <w:r>
        <w:t xml:space="preserve"> </w:t>
      </w:r>
      <w:r w:rsidR="000C5137" w:rsidRPr="000C5137">
        <w:rPr>
          <w:i/>
          <w:iCs/>
        </w:rPr>
        <w:t>i</w:t>
      </w:r>
      <w:r w:rsidRPr="000C5137">
        <w:rPr>
          <w:i/>
          <w:iCs/>
        </w:rPr>
        <w:t>bid</w:t>
      </w:r>
      <w:r w:rsidR="000C5137" w:rsidRPr="000C5137">
        <w:rPr>
          <w:i/>
          <w:iCs/>
        </w:rPr>
        <w:t>.</w:t>
      </w:r>
      <w:r>
        <w:t xml:space="preserve"> </w:t>
      </w:r>
    </w:p>
  </w:footnote>
  <w:footnote w:id="36">
    <w:p w14:paraId="7802277B" w14:textId="583E63A6" w:rsidR="00991D8A" w:rsidRDefault="00991D8A">
      <w:pPr>
        <w:pStyle w:val="FootnoteText"/>
      </w:pPr>
      <w:r>
        <w:rPr>
          <w:rStyle w:val="FootnoteReference"/>
        </w:rPr>
        <w:footnoteRef/>
      </w:r>
      <w:r>
        <w:t xml:space="preserve"> </w:t>
      </w:r>
      <w:r w:rsidR="000C5137">
        <w:t xml:space="preserve">Davies, </w:t>
      </w:r>
      <w:r w:rsidRPr="000C5137">
        <w:rPr>
          <w:i/>
          <w:iCs/>
        </w:rPr>
        <w:t xml:space="preserve">The </w:t>
      </w:r>
      <w:r w:rsidR="000C5137" w:rsidRPr="000C5137">
        <w:rPr>
          <w:i/>
          <w:iCs/>
        </w:rPr>
        <w:t>Mabinogion,</w:t>
      </w:r>
      <w:r>
        <w:t xml:space="preserve"> </w:t>
      </w:r>
      <w:proofErr w:type="spellStart"/>
      <w:r>
        <w:t>p.xxiii</w:t>
      </w:r>
      <w:proofErr w:type="spellEnd"/>
      <w:r w:rsidR="000C5137">
        <w:t>.</w:t>
      </w:r>
    </w:p>
  </w:footnote>
  <w:footnote w:id="37">
    <w:p w14:paraId="007AA056" w14:textId="5BEC6B04" w:rsidR="00991D8A" w:rsidRDefault="00991D8A">
      <w:pPr>
        <w:pStyle w:val="FootnoteText"/>
      </w:pPr>
      <w:r>
        <w:rPr>
          <w:rStyle w:val="FootnoteReference"/>
        </w:rPr>
        <w:footnoteRef/>
      </w:r>
      <w:r>
        <w:t xml:space="preserve"> </w:t>
      </w:r>
      <w:r w:rsidR="000C5137">
        <w:t xml:space="preserve">P. K. Ford, </w:t>
      </w:r>
      <w:r w:rsidR="000C5137" w:rsidRPr="000C5137">
        <w:rPr>
          <w:i/>
          <w:iCs/>
        </w:rPr>
        <w:t>The Mabinogi and Other Medieval Welsh Tales</w:t>
      </w:r>
      <w:r w:rsidR="000C5137">
        <w:t xml:space="preserve"> (California: University of California Press, 2019),</w:t>
      </w:r>
      <w:r>
        <w:t xml:space="preserve"> p.14</w:t>
      </w:r>
      <w:r w:rsidR="000C5137">
        <w:t>.</w:t>
      </w:r>
    </w:p>
  </w:footnote>
  <w:footnote w:id="38">
    <w:p w14:paraId="6D16A21B" w14:textId="2EA86562" w:rsidR="00991D8A" w:rsidRDefault="00991D8A">
      <w:pPr>
        <w:pStyle w:val="FootnoteText"/>
      </w:pPr>
      <w:r>
        <w:rPr>
          <w:rStyle w:val="FootnoteReference"/>
        </w:rPr>
        <w:footnoteRef/>
      </w:r>
      <w:r>
        <w:t xml:space="preserve"> </w:t>
      </w:r>
      <w:r w:rsidR="00650FD1">
        <w:t xml:space="preserve">Geoffrey of </w:t>
      </w:r>
      <w:r>
        <w:t>Monmouth</w:t>
      </w:r>
      <w:r w:rsidR="00650FD1">
        <w:t xml:space="preserve">, J. Bohn (ed.), </w:t>
      </w:r>
      <w:r w:rsidR="00650FD1" w:rsidRPr="00650FD1">
        <w:rPr>
          <w:i/>
          <w:iCs/>
        </w:rPr>
        <w:t xml:space="preserve">The British History of Geoffrey of Monmouth in Twelve Books </w:t>
      </w:r>
      <w:r w:rsidR="00650FD1">
        <w:t>(California: Stanford Universities Press, 1842),</w:t>
      </w:r>
      <w:r>
        <w:t xml:space="preserve"> p.22</w:t>
      </w:r>
      <w:r w:rsidR="00650FD1">
        <w:t>.</w:t>
      </w:r>
    </w:p>
  </w:footnote>
  <w:footnote w:id="39">
    <w:p w14:paraId="733EAA63" w14:textId="3148A16E" w:rsidR="00991D8A" w:rsidRDefault="00991D8A">
      <w:pPr>
        <w:pStyle w:val="FootnoteText"/>
      </w:pPr>
      <w:r>
        <w:rPr>
          <w:rStyle w:val="FootnoteReference"/>
        </w:rPr>
        <w:footnoteRef/>
      </w:r>
      <w:r>
        <w:t xml:space="preserve"> </w:t>
      </w:r>
      <w:r w:rsidR="00650FD1">
        <w:t xml:space="preserve">R. Bromwich, </w:t>
      </w:r>
      <w:proofErr w:type="spellStart"/>
      <w:r w:rsidRPr="00650FD1">
        <w:rPr>
          <w:i/>
          <w:iCs/>
        </w:rPr>
        <w:t>Tr</w:t>
      </w:r>
      <w:r w:rsidR="00650FD1" w:rsidRPr="00650FD1">
        <w:rPr>
          <w:i/>
          <w:iCs/>
        </w:rPr>
        <w:t>ioedd</w:t>
      </w:r>
      <w:proofErr w:type="spellEnd"/>
      <w:r w:rsidR="00650FD1" w:rsidRPr="00650FD1">
        <w:rPr>
          <w:i/>
          <w:iCs/>
        </w:rPr>
        <w:t xml:space="preserve"> Ynys </w:t>
      </w:r>
      <w:proofErr w:type="spellStart"/>
      <w:r w:rsidR="00650FD1" w:rsidRPr="00650FD1">
        <w:rPr>
          <w:i/>
          <w:iCs/>
        </w:rPr>
        <w:t>Prydein</w:t>
      </w:r>
      <w:proofErr w:type="spellEnd"/>
      <w:r w:rsidR="00650FD1" w:rsidRPr="00650FD1">
        <w:rPr>
          <w:i/>
          <w:iCs/>
        </w:rPr>
        <w:t>: The Triads of the Island of Britain</w:t>
      </w:r>
      <w:r w:rsidR="00650FD1">
        <w:t xml:space="preserve"> (Cardiff: University of Wales Press, 2014),</w:t>
      </w:r>
      <w:r>
        <w:t xml:space="preserve"> p.364</w:t>
      </w:r>
      <w:r w:rsidR="00650FD1">
        <w:t>.</w:t>
      </w:r>
    </w:p>
  </w:footnote>
  <w:footnote w:id="40">
    <w:p w14:paraId="513E4687" w14:textId="3EB2E21D" w:rsidR="00991D8A" w:rsidRDefault="00991D8A">
      <w:pPr>
        <w:pStyle w:val="FootnoteText"/>
      </w:pPr>
      <w:r>
        <w:rPr>
          <w:rStyle w:val="FootnoteReference"/>
        </w:rPr>
        <w:footnoteRef/>
      </w:r>
      <w:r>
        <w:t xml:space="preserve"> </w:t>
      </w:r>
      <w:r w:rsidR="00650FD1">
        <w:t xml:space="preserve">O. J. </w:t>
      </w:r>
      <w:proofErr w:type="spellStart"/>
      <w:r>
        <w:t>Padel</w:t>
      </w:r>
      <w:proofErr w:type="spellEnd"/>
      <w:r w:rsidR="00650FD1">
        <w:t xml:space="preserve">, </w:t>
      </w:r>
      <w:r w:rsidR="00650FD1" w:rsidRPr="00650FD1">
        <w:rPr>
          <w:i/>
          <w:iCs/>
        </w:rPr>
        <w:t>Arthur in Medieval Welsh Literature</w:t>
      </w:r>
      <w:r w:rsidR="00650FD1">
        <w:t xml:space="preserve"> (Cardiff: University of Wales Press, 2013),</w:t>
      </w:r>
      <w:r>
        <w:t xml:space="preserve"> </w:t>
      </w:r>
      <w:r w:rsidR="00650FD1">
        <w:t>pp. C</w:t>
      </w:r>
      <w:r>
        <w:t>hapter 8</w:t>
      </w:r>
      <w:r w:rsidR="00650FD1">
        <w:t>.</w:t>
      </w:r>
    </w:p>
  </w:footnote>
  <w:footnote w:id="41">
    <w:p w14:paraId="2C78B356" w14:textId="47879965" w:rsidR="00991D8A" w:rsidRDefault="00991D8A">
      <w:pPr>
        <w:pStyle w:val="FootnoteText"/>
      </w:pPr>
      <w:r>
        <w:rPr>
          <w:rStyle w:val="FootnoteReference"/>
        </w:rPr>
        <w:footnoteRef/>
      </w:r>
      <w:r>
        <w:t xml:space="preserve"> </w:t>
      </w:r>
      <w:r w:rsidR="00650FD1">
        <w:t xml:space="preserve">Goyne, </w:t>
      </w:r>
      <w:r w:rsidR="00650FD1" w:rsidRPr="00650FD1">
        <w:rPr>
          <w:i/>
          <w:iCs/>
        </w:rPr>
        <w:t xml:space="preserve">Arthurian </w:t>
      </w:r>
      <w:r w:rsidRPr="00650FD1">
        <w:rPr>
          <w:i/>
          <w:iCs/>
        </w:rPr>
        <w:t>Wonder women</w:t>
      </w:r>
      <w:r w:rsidR="00650FD1" w:rsidRPr="00650FD1">
        <w:rPr>
          <w:i/>
          <w:iCs/>
        </w:rPr>
        <w:t>,</w:t>
      </w:r>
      <w:r>
        <w:t xml:space="preserve"> p.7</w:t>
      </w:r>
      <w:r w:rsidR="00650FD1">
        <w:t>.</w:t>
      </w:r>
    </w:p>
  </w:footnote>
  <w:footnote w:id="42">
    <w:p w14:paraId="3D4DBAB2" w14:textId="793D31AE" w:rsidR="00991D8A" w:rsidRDefault="00991D8A">
      <w:pPr>
        <w:pStyle w:val="FootnoteText"/>
      </w:pPr>
      <w:r>
        <w:rPr>
          <w:rStyle w:val="FootnoteReference"/>
        </w:rPr>
        <w:footnoteRef/>
      </w:r>
      <w:r>
        <w:t xml:space="preserve"> </w:t>
      </w:r>
      <w:r w:rsidR="00650FD1">
        <w:t xml:space="preserve">Davies (trans.), ‘Culhwch and Olwen’, </w:t>
      </w:r>
      <w:r w:rsidR="00650FD1" w:rsidRPr="000C5137">
        <w:rPr>
          <w:i/>
          <w:iCs/>
        </w:rPr>
        <w:t>The Mabinogion,</w:t>
      </w:r>
      <w:r w:rsidR="00650FD1">
        <w:t xml:space="preserve"> </w:t>
      </w:r>
      <w:r>
        <w:t>p.192</w:t>
      </w:r>
      <w:r w:rsidR="00650FD1">
        <w:t>.</w:t>
      </w:r>
    </w:p>
  </w:footnote>
  <w:footnote w:id="43">
    <w:p w14:paraId="68DFCBCB" w14:textId="4847B386" w:rsidR="00991D8A" w:rsidRDefault="00991D8A">
      <w:pPr>
        <w:pStyle w:val="FootnoteText"/>
      </w:pPr>
      <w:r>
        <w:rPr>
          <w:rStyle w:val="FootnoteReference"/>
        </w:rPr>
        <w:footnoteRef/>
      </w:r>
      <w:r>
        <w:t xml:space="preserve"> </w:t>
      </w:r>
      <w:r w:rsidR="00650FD1">
        <w:t xml:space="preserve">Davies, </w:t>
      </w:r>
      <w:r w:rsidRPr="00650FD1">
        <w:rPr>
          <w:i/>
          <w:iCs/>
        </w:rPr>
        <w:t xml:space="preserve">The </w:t>
      </w:r>
      <w:r w:rsidR="00650FD1" w:rsidRPr="00650FD1">
        <w:rPr>
          <w:i/>
          <w:iCs/>
        </w:rPr>
        <w:t>Mabinogion</w:t>
      </w:r>
      <w:r w:rsidR="00650FD1">
        <w:t xml:space="preserve">, </w:t>
      </w:r>
      <w:proofErr w:type="spellStart"/>
      <w:r>
        <w:t>p.xxiii</w:t>
      </w:r>
      <w:proofErr w:type="spellEnd"/>
      <w:r w:rsidR="00650FD1">
        <w:t>.</w:t>
      </w:r>
    </w:p>
  </w:footnote>
  <w:footnote w:id="44">
    <w:p w14:paraId="4EFD2EAE" w14:textId="7025A3B9" w:rsidR="00991D8A" w:rsidRDefault="00991D8A">
      <w:pPr>
        <w:pStyle w:val="FootnoteText"/>
      </w:pPr>
      <w:r>
        <w:rPr>
          <w:rStyle w:val="FootnoteReference"/>
        </w:rPr>
        <w:footnoteRef/>
      </w:r>
      <w:r>
        <w:t xml:space="preserve"> </w:t>
      </w:r>
      <w:r w:rsidR="00650FD1" w:rsidRPr="00650FD1">
        <w:rPr>
          <w:i/>
          <w:iCs/>
        </w:rPr>
        <w:t>ibid.,</w:t>
      </w:r>
      <w:r>
        <w:t xml:space="preserve"> p.262</w:t>
      </w:r>
      <w:r w:rsidR="00650FD1">
        <w:t>.</w:t>
      </w:r>
    </w:p>
  </w:footnote>
  <w:footnote w:id="45">
    <w:p w14:paraId="1684346E" w14:textId="481F3FE3" w:rsidR="00991D8A" w:rsidRDefault="00991D8A">
      <w:pPr>
        <w:pStyle w:val="FootnoteText"/>
      </w:pPr>
      <w:r>
        <w:rPr>
          <w:rStyle w:val="FootnoteReference"/>
        </w:rPr>
        <w:footnoteRef/>
      </w:r>
      <w:r>
        <w:t xml:space="preserve"> </w:t>
      </w:r>
      <w:r w:rsidR="00650FD1">
        <w:t xml:space="preserve">Davies (trans.), ‘Culhwch and Olwen’, </w:t>
      </w:r>
      <w:r w:rsidR="00650FD1" w:rsidRPr="000C5137">
        <w:rPr>
          <w:i/>
          <w:iCs/>
        </w:rPr>
        <w:t>The Mabinogion,</w:t>
      </w:r>
      <w:r w:rsidR="00650FD1">
        <w:t xml:space="preserve"> </w:t>
      </w:r>
      <w:r>
        <w:t>p.185-186</w:t>
      </w:r>
      <w:r w:rsidR="00650FD1">
        <w:t>.</w:t>
      </w:r>
    </w:p>
  </w:footnote>
  <w:footnote w:id="46">
    <w:p w14:paraId="5A6641BD" w14:textId="7DAAF4F9" w:rsidR="00991D8A" w:rsidRDefault="00991D8A">
      <w:pPr>
        <w:pStyle w:val="FootnoteText"/>
      </w:pPr>
      <w:r>
        <w:rPr>
          <w:rStyle w:val="FootnoteReference"/>
        </w:rPr>
        <w:footnoteRef/>
      </w:r>
      <w:r>
        <w:t xml:space="preserve"> </w:t>
      </w:r>
      <w:r w:rsidR="00650FD1" w:rsidRPr="00650FD1">
        <w:rPr>
          <w:i/>
          <w:iCs/>
        </w:rPr>
        <w:t>i</w:t>
      </w:r>
      <w:r w:rsidRPr="00650FD1">
        <w:rPr>
          <w:i/>
          <w:iCs/>
        </w:rPr>
        <w:t>bid</w:t>
      </w:r>
      <w:r w:rsidR="00650FD1" w:rsidRPr="00650FD1">
        <w:rPr>
          <w:i/>
          <w:iCs/>
        </w:rPr>
        <w:t>.,</w:t>
      </w:r>
      <w:r w:rsidR="00650FD1">
        <w:t xml:space="preserve"> </w:t>
      </w:r>
      <w:r>
        <w:t>p.189</w:t>
      </w:r>
      <w:r w:rsidR="00650FD1">
        <w:t>.</w:t>
      </w:r>
    </w:p>
  </w:footnote>
  <w:footnote w:id="47">
    <w:p w14:paraId="5E250958" w14:textId="23816D95" w:rsidR="00991D8A" w:rsidRDefault="00991D8A" w:rsidP="00A023A2">
      <w:pPr>
        <w:pStyle w:val="FootnoteText"/>
      </w:pPr>
      <w:r>
        <w:rPr>
          <w:rStyle w:val="FootnoteReference"/>
        </w:rPr>
        <w:footnoteRef/>
      </w:r>
      <w:r>
        <w:t xml:space="preserve"> </w:t>
      </w:r>
      <w:r w:rsidR="00650FD1">
        <w:t xml:space="preserve">Goyne, </w:t>
      </w:r>
      <w:r w:rsidR="00650FD1" w:rsidRPr="00650FD1">
        <w:rPr>
          <w:i/>
          <w:iCs/>
        </w:rPr>
        <w:t xml:space="preserve">Arthurian </w:t>
      </w:r>
      <w:r w:rsidRPr="00650FD1">
        <w:rPr>
          <w:i/>
          <w:iCs/>
        </w:rPr>
        <w:t xml:space="preserve">Wonder </w:t>
      </w:r>
      <w:r w:rsidR="00650FD1">
        <w:rPr>
          <w:i/>
          <w:iCs/>
        </w:rPr>
        <w:t>W</w:t>
      </w:r>
      <w:r w:rsidRPr="00650FD1">
        <w:rPr>
          <w:i/>
          <w:iCs/>
        </w:rPr>
        <w:t>omen</w:t>
      </w:r>
      <w:r w:rsidR="00650FD1">
        <w:t>,</w:t>
      </w:r>
      <w:r>
        <w:t xml:space="preserve"> p.6</w:t>
      </w:r>
      <w:r w:rsidR="00650FD1">
        <w:t>.</w:t>
      </w:r>
    </w:p>
  </w:footnote>
  <w:footnote w:id="48">
    <w:p w14:paraId="4DE46E80" w14:textId="1EB001E8" w:rsidR="00991D8A" w:rsidRDefault="00991D8A" w:rsidP="00A023A2">
      <w:pPr>
        <w:pStyle w:val="FootnoteText"/>
      </w:pPr>
      <w:r>
        <w:rPr>
          <w:rStyle w:val="FootnoteReference"/>
        </w:rPr>
        <w:footnoteRef/>
      </w:r>
      <w:r>
        <w:t xml:space="preserve"> </w:t>
      </w:r>
      <w:r w:rsidR="00650FD1" w:rsidRPr="00650FD1">
        <w:rPr>
          <w:i/>
          <w:iCs/>
        </w:rPr>
        <w:t>i</w:t>
      </w:r>
      <w:r w:rsidRPr="00650FD1">
        <w:rPr>
          <w:i/>
          <w:iCs/>
        </w:rPr>
        <w:t>bid</w:t>
      </w:r>
      <w:r w:rsidR="00650FD1" w:rsidRPr="00650FD1">
        <w:rPr>
          <w:i/>
          <w:iCs/>
        </w:rPr>
        <w:t>.</w:t>
      </w:r>
    </w:p>
  </w:footnote>
  <w:footnote w:id="49">
    <w:p w14:paraId="2C2CB448" w14:textId="3AA72126" w:rsidR="00991D8A" w:rsidRDefault="00991D8A">
      <w:pPr>
        <w:pStyle w:val="FootnoteText"/>
      </w:pPr>
      <w:r>
        <w:rPr>
          <w:rStyle w:val="FootnoteReference"/>
        </w:rPr>
        <w:footnoteRef/>
      </w:r>
      <w:r>
        <w:t xml:space="preserve"> </w:t>
      </w:r>
      <w:r w:rsidR="00650FD1">
        <w:t xml:space="preserve">Davies (trans.), ‘Culhwch and Olwen’, </w:t>
      </w:r>
      <w:r w:rsidR="00650FD1" w:rsidRPr="000C5137">
        <w:rPr>
          <w:i/>
          <w:iCs/>
        </w:rPr>
        <w:t>The Mabinogion,</w:t>
      </w:r>
      <w:r w:rsidR="00650FD1">
        <w:t xml:space="preserve"> </w:t>
      </w:r>
      <w:r>
        <w:t>p.190</w:t>
      </w:r>
      <w:r w:rsidR="00650FD1">
        <w:t>.</w:t>
      </w:r>
    </w:p>
  </w:footnote>
  <w:footnote w:id="50">
    <w:p w14:paraId="6D5E5B4C" w14:textId="2D967D7A" w:rsidR="00991D8A" w:rsidRDefault="00991D8A">
      <w:pPr>
        <w:pStyle w:val="FootnoteText"/>
      </w:pPr>
      <w:r>
        <w:rPr>
          <w:rStyle w:val="FootnoteReference"/>
        </w:rPr>
        <w:footnoteRef/>
      </w:r>
      <w:r>
        <w:t xml:space="preserve"> </w:t>
      </w:r>
      <w:r w:rsidR="00650FD1" w:rsidRPr="00650FD1">
        <w:rPr>
          <w:i/>
          <w:iCs/>
        </w:rPr>
        <w:t>i</w:t>
      </w:r>
      <w:r w:rsidRPr="00650FD1">
        <w:rPr>
          <w:i/>
          <w:iCs/>
        </w:rPr>
        <w:t>bid</w:t>
      </w:r>
      <w:r w:rsidR="00650FD1" w:rsidRPr="00650FD1">
        <w:rPr>
          <w:i/>
          <w:iCs/>
        </w:rPr>
        <w:t>.</w:t>
      </w:r>
    </w:p>
  </w:footnote>
  <w:footnote w:id="51">
    <w:p w14:paraId="4AB90D6A" w14:textId="1BE97C59" w:rsidR="00991D8A" w:rsidRDefault="00991D8A">
      <w:pPr>
        <w:pStyle w:val="FootnoteText"/>
      </w:pPr>
      <w:r>
        <w:rPr>
          <w:rStyle w:val="FootnoteReference"/>
        </w:rPr>
        <w:footnoteRef/>
      </w:r>
      <w:r>
        <w:t xml:space="preserve"> </w:t>
      </w:r>
      <w:r w:rsidR="00650FD1">
        <w:t xml:space="preserve">Goyne, </w:t>
      </w:r>
      <w:r w:rsidR="00650FD1" w:rsidRPr="00650FD1">
        <w:rPr>
          <w:i/>
          <w:iCs/>
        </w:rPr>
        <w:t xml:space="preserve">Arthurian </w:t>
      </w:r>
      <w:r w:rsidRPr="00650FD1">
        <w:rPr>
          <w:i/>
          <w:iCs/>
        </w:rPr>
        <w:t xml:space="preserve">Wonder </w:t>
      </w:r>
      <w:r w:rsidR="00650FD1" w:rsidRPr="00650FD1">
        <w:rPr>
          <w:i/>
          <w:iCs/>
        </w:rPr>
        <w:t>Women,</w:t>
      </w:r>
      <w:r w:rsidR="00650FD1">
        <w:t xml:space="preserve"> </w:t>
      </w:r>
      <w:r>
        <w:t>p.7</w:t>
      </w:r>
      <w:r w:rsidR="00650FD1">
        <w:t>.</w:t>
      </w:r>
    </w:p>
  </w:footnote>
  <w:footnote w:id="52">
    <w:p w14:paraId="0BF2E18A" w14:textId="14D38BB6" w:rsidR="00991D8A" w:rsidRDefault="00991D8A">
      <w:pPr>
        <w:pStyle w:val="FootnoteText"/>
      </w:pPr>
      <w:r>
        <w:rPr>
          <w:rStyle w:val="FootnoteReference"/>
        </w:rPr>
        <w:footnoteRef/>
      </w:r>
      <w:r>
        <w:t xml:space="preserve"> </w:t>
      </w:r>
      <w:r w:rsidR="00650FD1" w:rsidRPr="00650FD1">
        <w:rPr>
          <w:i/>
          <w:iCs/>
        </w:rPr>
        <w:t>i</w:t>
      </w:r>
      <w:r w:rsidRPr="00650FD1">
        <w:rPr>
          <w:i/>
          <w:iCs/>
        </w:rPr>
        <w:t>bid</w:t>
      </w:r>
      <w:r w:rsidR="00650FD1" w:rsidRPr="00650FD1">
        <w:rPr>
          <w:i/>
          <w:iCs/>
        </w:rPr>
        <w:t>.,</w:t>
      </w:r>
      <w:r>
        <w:t xml:space="preserve"> p.5</w:t>
      </w:r>
      <w:r w:rsidR="00650FD1">
        <w:t>.</w:t>
      </w:r>
    </w:p>
  </w:footnote>
  <w:footnote w:id="53">
    <w:p w14:paraId="1A595425" w14:textId="23FF8654" w:rsidR="00991D8A" w:rsidRDefault="00991D8A">
      <w:pPr>
        <w:pStyle w:val="FootnoteText"/>
      </w:pPr>
      <w:r>
        <w:rPr>
          <w:rStyle w:val="FootnoteReference"/>
        </w:rPr>
        <w:footnoteRef/>
      </w:r>
      <w:r>
        <w:t xml:space="preserve"> </w:t>
      </w:r>
      <w:r w:rsidR="00650FD1" w:rsidRPr="00650FD1">
        <w:rPr>
          <w:i/>
          <w:iCs/>
        </w:rPr>
        <w:t>i</w:t>
      </w:r>
      <w:r w:rsidRPr="00650FD1">
        <w:rPr>
          <w:i/>
          <w:iCs/>
        </w:rPr>
        <w:t>bid</w:t>
      </w:r>
      <w:r w:rsidR="00650FD1" w:rsidRPr="00650FD1">
        <w:rPr>
          <w:i/>
          <w:iCs/>
        </w:rPr>
        <w:t>.,</w:t>
      </w:r>
      <w:r>
        <w:t xml:space="preserve"> p.7</w:t>
      </w:r>
      <w:r w:rsidR="00650FD1">
        <w:t>.</w:t>
      </w:r>
    </w:p>
  </w:footnote>
  <w:footnote w:id="54">
    <w:p w14:paraId="764554E6" w14:textId="2E9D6E1A" w:rsidR="00991D8A" w:rsidRDefault="00991D8A">
      <w:pPr>
        <w:pStyle w:val="FootnoteText"/>
      </w:pPr>
      <w:r>
        <w:rPr>
          <w:rStyle w:val="FootnoteReference"/>
        </w:rPr>
        <w:footnoteRef/>
      </w:r>
      <w:r>
        <w:t xml:space="preserve"> </w:t>
      </w:r>
      <w:r w:rsidR="00650FD1">
        <w:t>R</w:t>
      </w:r>
      <w:r>
        <w:t>odway</w:t>
      </w:r>
      <w:r w:rsidR="00650FD1">
        <w:t xml:space="preserve">, </w:t>
      </w:r>
      <w:r w:rsidR="00650FD1" w:rsidRPr="00650FD1">
        <w:rPr>
          <w:i/>
          <w:iCs/>
        </w:rPr>
        <w:t>Culhwch ac Olwen: Arthur in Celtic Languages,</w:t>
      </w:r>
      <w:r>
        <w:t xml:space="preserve"> p.72</w:t>
      </w:r>
      <w:r w:rsidR="00650FD1">
        <w:t>.</w:t>
      </w:r>
    </w:p>
  </w:footnote>
  <w:footnote w:id="55">
    <w:p w14:paraId="3FB69876" w14:textId="354E6D5C" w:rsidR="00991D8A" w:rsidRDefault="00991D8A" w:rsidP="00CF7C8B">
      <w:pPr>
        <w:pStyle w:val="FootnoteText"/>
      </w:pPr>
      <w:r>
        <w:rPr>
          <w:rStyle w:val="FootnoteReference"/>
        </w:rPr>
        <w:footnoteRef/>
      </w:r>
      <w:r>
        <w:t xml:space="preserve"> Bromwich</w:t>
      </w:r>
      <w:r w:rsidR="00650FD1">
        <w:t xml:space="preserve"> and Evans, </w:t>
      </w:r>
      <w:r w:rsidR="00650FD1" w:rsidRPr="00650FD1">
        <w:rPr>
          <w:i/>
          <w:iCs/>
        </w:rPr>
        <w:t>Culhwch and Olwen,</w:t>
      </w:r>
      <w:r>
        <w:t xml:space="preserve"> </w:t>
      </w:r>
      <w:proofErr w:type="spellStart"/>
      <w:r>
        <w:t>p.lxxxiv</w:t>
      </w:r>
      <w:proofErr w:type="spellEnd"/>
      <w:r w:rsidR="00650FD1">
        <w:t>.</w:t>
      </w:r>
    </w:p>
  </w:footnote>
  <w:footnote w:id="56">
    <w:p w14:paraId="55D48CAE" w14:textId="59295D31" w:rsidR="00991D8A" w:rsidRDefault="00991D8A">
      <w:pPr>
        <w:pStyle w:val="FootnoteText"/>
      </w:pPr>
      <w:r>
        <w:rPr>
          <w:rStyle w:val="FootnoteReference"/>
        </w:rPr>
        <w:footnoteRef/>
      </w:r>
      <w:r w:rsidR="00650FD1">
        <w:t xml:space="preserve"> Goyne, </w:t>
      </w:r>
      <w:r w:rsidR="00650FD1" w:rsidRPr="00650FD1">
        <w:rPr>
          <w:i/>
          <w:iCs/>
        </w:rPr>
        <w:t xml:space="preserve">Arthurian </w:t>
      </w:r>
      <w:r w:rsidRPr="00650FD1">
        <w:rPr>
          <w:i/>
          <w:iCs/>
        </w:rPr>
        <w:t xml:space="preserve">Wonder </w:t>
      </w:r>
      <w:r w:rsidR="00650FD1" w:rsidRPr="00650FD1">
        <w:rPr>
          <w:i/>
          <w:iCs/>
        </w:rPr>
        <w:t>W</w:t>
      </w:r>
      <w:r w:rsidRPr="00650FD1">
        <w:rPr>
          <w:i/>
          <w:iCs/>
        </w:rPr>
        <w:t>omen</w:t>
      </w:r>
      <w:r w:rsidR="00650FD1" w:rsidRPr="00650FD1">
        <w:rPr>
          <w:i/>
          <w:iCs/>
        </w:rPr>
        <w:t>,</w:t>
      </w:r>
      <w:r>
        <w:t xml:space="preserve"> p.5</w:t>
      </w:r>
      <w:r w:rsidR="00650FD1">
        <w:t>.</w:t>
      </w:r>
    </w:p>
  </w:footnote>
  <w:footnote w:id="57">
    <w:p w14:paraId="27083F38" w14:textId="371A3F98" w:rsidR="00991D8A" w:rsidRDefault="00991D8A">
      <w:pPr>
        <w:pStyle w:val="FootnoteText"/>
      </w:pPr>
      <w:r>
        <w:rPr>
          <w:rStyle w:val="FootnoteReference"/>
        </w:rPr>
        <w:footnoteRef/>
      </w:r>
      <w:r>
        <w:t xml:space="preserve"> </w:t>
      </w:r>
      <w:r w:rsidR="00650FD1" w:rsidRPr="00650FD1">
        <w:rPr>
          <w:i/>
          <w:iCs/>
        </w:rPr>
        <w:t>i</w:t>
      </w:r>
      <w:r w:rsidRPr="00650FD1">
        <w:rPr>
          <w:i/>
          <w:iCs/>
        </w:rPr>
        <w:t>bid</w:t>
      </w:r>
      <w:r w:rsidR="00650FD1" w:rsidRPr="00650FD1">
        <w:rPr>
          <w:i/>
          <w:iCs/>
        </w:rPr>
        <w:t>.,</w:t>
      </w:r>
      <w:r>
        <w:t xml:space="preserve"> p.7</w:t>
      </w:r>
      <w:r w:rsidR="00650FD1">
        <w:t>.</w:t>
      </w:r>
    </w:p>
  </w:footnote>
  <w:footnote w:id="58">
    <w:p w14:paraId="0F694287" w14:textId="0E9EFED3" w:rsidR="00991D8A" w:rsidRDefault="00991D8A">
      <w:pPr>
        <w:pStyle w:val="FootnoteText"/>
      </w:pPr>
      <w:r>
        <w:rPr>
          <w:rStyle w:val="FootnoteReference"/>
        </w:rPr>
        <w:footnoteRef/>
      </w:r>
      <w:r>
        <w:t xml:space="preserve"> </w:t>
      </w:r>
      <w:r w:rsidR="00650FD1" w:rsidRPr="00650FD1">
        <w:rPr>
          <w:i/>
          <w:iCs/>
        </w:rPr>
        <w:t>i</w:t>
      </w:r>
      <w:r w:rsidRPr="00650FD1">
        <w:rPr>
          <w:i/>
          <w:iCs/>
        </w:rPr>
        <w:t>bid</w:t>
      </w:r>
      <w:r w:rsidR="00650FD1" w:rsidRPr="00650FD1">
        <w:rPr>
          <w:i/>
          <w:iCs/>
        </w:rPr>
        <w:t>.</w:t>
      </w:r>
    </w:p>
  </w:footnote>
  <w:footnote w:id="59">
    <w:p w14:paraId="5E6975B5" w14:textId="2138C6B3" w:rsidR="00991D8A" w:rsidRDefault="00991D8A">
      <w:pPr>
        <w:pStyle w:val="FootnoteText"/>
      </w:pPr>
      <w:r>
        <w:rPr>
          <w:rStyle w:val="FootnoteReference"/>
        </w:rPr>
        <w:footnoteRef/>
      </w:r>
      <w:r>
        <w:t xml:space="preserve"> Rodway</w:t>
      </w:r>
      <w:r w:rsidR="00650FD1">
        <w:t xml:space="preserve">, </w:t>
      </w:r>
      <w:r w:rsidR="00650FD1" w:rsidRPr="00650FD1">
        <w:rPr>
          <w:i/>
          <w:iCs/>
        </w:rPr>
        <w:t>Culhwch ac Olwen: Arthur in Celtic Languages,</w:t>
      </w:r>
      <w:r>
        <w:t xml:space="preserve"> p.72</w:t>
      </w:r>
      <w:r w:rsidR="00650FD1">
        <w:t>.</w:t>
      </w:r>
    </w:p>
  </w:footnote>
  <w:footnote w:id="60">
    <w:p w14:paraId="6C1675F8" w14:textId="314FA9B2" w:rsidR="00991D8A" w:rsidRDefault="00991D8A">
      <w:pPr>
        <w:pStyle w:val="FootnoteText"/>
      </w:pPr>
      <w:r>
        <w:rPr>
          <w:rStyle w:val="FootnoteReference"/>
        </w:rPr>
        <w:footnoteRef/>
      </w:r>
      <w:r>
        <w:t xml:space="preserve"> </w:t>
      </w:r>
      <w:r w:rsidR="00650FD1">
        <w:t xml:space="preserve">Davies, </w:t>
      </w:r>
      <w:r w:rsidRPr="00650FD1">
        <w:rPr>
          <w:i/>
          <w:iCs/>
        </w:rPr>
        <w:t xml:space="preserve">The </w:t>
      </w:r>
      <w:r w:rsidR="00650FD1" w:rsidRPr="00650FD1">
        <w:rPr>
          <w:i/>
          <w:iCs/>
        </w:rPr>
        <w:t>Mabinogion,</w:t>
      </w:r>
      <w:r>
        <w:t xml:space="preserve"> p.268</w:t>
      </w:r>
      <w:r w:rsidR="00650FD1">
        <w:t>.</w:t>
      </w:r>
    </w:p>
  </w:footnote>
  <w:footnote w:id="61">
    <w:p w14:paraId="079B1B74" w14:textId="1FDBAC6A" w:rsidR="00991D8A" w:rsidRDefault="00991D8A">
      <w:pPr>
        <w:pStyle w:val="FootnoteText"/>
      </w:pPr>
      <w:r>
        <w:rPr>
          <w:rStyle w:val="FootnoteReference"/>
        </w:rPr>
        <w:footnoteRef/>
      </w:r>
      <w:r>
        <w:t xml:space="preserve"> </w:t>
      </w:r>
      <w:r w:rsidR="00650FD1">
        <w:t xml:space="preserve">Davies (trans.), ‘Culhwch and Olwen’, </w:t>
      </w:r>
      <w:r w:rsidR="00650FD1" w:rsidRPr="000C5137">
        <w:rPr>
          <w:i/>
          <w:iCs/>
        </w:rPr>
        <w:t>The Mabinogion,</w:t>
      </w:r>
      <w:r w:rsidR="00650FD1">
        <w:t xml:space="preserve"> </w:t>
      </w:r>
      <w:r>
        <w:t>p.193</w:t>
      </w:r>
      <w:r w:rsidR="00650FD1">
        <w:t>.</w:t>
      </w:r>
    </w:p>
  </w:footnote>
  <w:footnote w:id="62">
    <w:p w14:paraId="7D01762F" w14:textId="1F76513B" w:rsidR="00BC4D75" w:rsidRDefault="00BC4D75">
      <w:pPr>
        <w:pStyle w:val="FootnoteText"/>
      </w:pPr>
      <w:r>
        <w:rPr>
          <w:rStyle w:val="FootnoteReference"/>
        </w:rPr>
        <w:footnoteRef/>
      </w:r>
      <w:r>
        <w:t xml:space="preserve"> </w:t>
      </w:r>
      <w:r w:rsidR="00650FD1">
        <w:t xml:space="preserve">Davies, </w:t>
      </w:r>
      <w:r w:rsidRPr="00650FD1">
        <w:rPr>
          <w:i/>
          <w:iCs/>
        </w:rPr>
        <w:t xml:space="preserve">The </w:t>
      </w:r>
      <w:r w:rsidR="00650FD1" w:rsidRPr="00650FD1">
        <w:rPr>
          <w:i/>
          <w:iCs/>
        </w:rPr>
        <w:t>Mabinogion</w:t>
      </w:r>
      <w:r w:rsidR="00650FD1">
        <w:t xml:space="preserve">, </w:t>
      </w:r>
      <w:proofErr w:type="spellStart"/>
      <w:r>
        <w:t>p.xxiii</w:t>
      </w:r>
      <w:proofErr w:type="spellEnd"/>
      <w:r w:rsidR="00650FD1">
        <w:t>.</w:t>
      </w:r>
    </w:p>
  </w:footnote>
  <w:footnote w:id="63">
    <w:p w14:paraId="1655BD2A" w14:textId="70ED875B" w:rsidR="00BC4D75" w:rsidRDefault="00BC4D75">
      <w:pPr>
        <w:pStyle w:val="FootnoteText"/>
      </w:pPr>
      <w:r>
        <w:rPr>
          <w:rStyle w:val="FootnoteReference"/>
        </w:rPr>
        <w:footnoteRef/>
      </w:r>
      <w:r>
        <w:t xml:space="preserve"> </w:t>
      </w:r>
      <w:r w:rsidR="00650FD1" w:rsidRPr="00650FD1">
        <w:rPr>
          <w:i/>
          <w:iCs/>
        </w:rPr>
        <w:t>i</w:t>
      </w:r>
      <w:r w:rsidRPr="00650FD1">
        <w:rPr>
          <w:i/>
          <w:iCs/>
        </w:rPr>
        <w:t>bid</w:t>
      </w:r>
      <w:r w:rsidR="00650FD1" w:rsidRPr="00650FD1">
        <w:rPr>
          <w:i/>
          <w:iCs/>
        </w:rPr>
        <w:t>.</w:t>
      </w:r>
    </w:p>
  </w:footnote>
  <w:footnote w:id="64">
    <w:p w14:paraId="4BBF59DA" w14:textId="28670BB7" w:rsidR="00104FBD" w:rsidRDefault="00104FBD">
      <w:pPr>
        <w:pStyle w:val="FootnoteText"/>
      </w:pPr>
      <w:r>
        <w:rPr>
          <w:rStyle w:val="FootnoteReference"/>
        </w:rPr>
        <w:footnoteRef/>
      </w:r>
      <w:r>
        <w:t xml:space="preserve"> </w:t>
      </w:r>
      <w:r w:rsidR="00650FD1">
        <w:t xml:space="preserve">Bromwich, </w:t>
      </w:r>
      <w:proofErr w:type="spellStart"/>
      <w:r w:rsidR="00650FD1" w:rsidRPr="00650FD1">
        <w:rPr>
          <w:i/>
          <w:iCs/>
        </w:rPr>
        <w:t>Trioedd</w:t>
      </w:r>
      <w:proofErr w:type="spellEnd"/>
      <w:r w:rsidR="00650FD1" w:rsidRPr="00650FD1">
        <w:rPr>
          <w:i/>
          <w:iCs/>
        </w:rPr>
        <w:t xml:space="preserve"> Ynys </w:t>
      </w:r>
      <w:proofErr w:type="spellStart"/>
      <w:r w:rsidR="00650FD1" w:rsidRPr="00650FD1">
        <w:rPr>
          <w:i/>
          <w:iCs/>
        </w:rPr>
        <w:t>Prydien</w:t>
      </w:r>
      <w:proofErr w:type="spellEnd"/>
      <w:r w:rsidR="00650FD1" w:rsidRPr="00650FD1">
        <w:rPr>
          <w:i/>
          <w:iCs/>
        </w:rPr>
        <w:t>,</w:t>
      </w:r>
      <w:r>
        <w:t xml:space="preserve"> p.364</w:t>
      </w:r>
      <w:r w:rsidR="00650FD1">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912"/>
    <w:rsid w:val="00006301"/>
    <w:rsid w:val="0003581A"/>
    <w:rsid w:val="00070912"/>
    <w:rsid w:val="000C5137"/>
    <w:rsid w:val="000C706E"/>
    <w:rsid w:val="000D1A18"/>
    <w:rsid w:val="000E642F"/>
    <w:rsid w:val="00100107"/>
    <w:rsid w:val="00104FBD"/>
    <w:rsid w:val="00160939"/>
    <w:rsid w:val="001828A6"/>
    <w:rsid w:val="001F4FD6"/>
    <w:rsid w:val="00205178"/>
    <w:rsid w:val="002921E7"/>
    <w:rsid w:val="002B6375"/>
    <w:rsid w:val="002C27A4"/>
    <w:rsid w:val="002C5B49"/>
    <w:rsid w:val="002D4997"/>
    <w:rsid w:val="00366385"/>
    <w:rsid w:val="004B1C18"/>
    <w:rsid w:val="004E034F"/>
    <w:rsid w:val="004E7F46"/>
    <w:rsid w:val="00565E5C"/>
    <w:rsid w:val="005A353D"/>
    <w:rsid w:val="005B1F47"/>
    <w:rsid w:val="005C7BED"/>
    <w:rsid w:val="005F0686"/>
    <w:rsid w:val="00610BAF"/>
    <w:rsid w:val="00616962"/>
    <w:rsid w:val="00637D1C"/>
    <w:rsid w:val="00650FD1"/>
    <w:rsid w:val="006C48D7"/>
    <w:rsid w:val="007137F2"/>
    <w:rsid w:val="00715109"/>
    <w:rsid w:val="00764274"/>
    <w:rsid w:val="00847E7B"/>
    <w:rsid w:val="00854CF5"/>
    <w:rsid w:val="00890EA7"/>
    <w:rsid w:val="00897C97"/>
    <w:rsid w:val="008B2161"/>
    <w:rsid w:val="00922E53"/>
    <w:rsid w:val="00991D8A"/>
    <w:rsid w:val="009960D2"/>
    <w:rsid w:val="009F62B6"/>
    <w:rsid w:val="00A023A2"/>
    <w:rsid w:val="00A55DD7"/>
    <w:rsid w:val="00AB22F6"/>
    <w:rsid w:val="00AD62A6"/>
    <w:rsid w:val="00B8583C"/>
    <w:rsid w:val="00B9579D"/>
    <w:rsid w:val="00BC4D75"/>
    <w:rsid w:val="00BD303B"/>
    <w:rsid w:val="00BE1248"/>
    <w:rsid w:val="00C31E27"/>
    <w:rsid w:val="00C652E3"/>
    <w:rsid w:val="00CA5E3B"/>
    <w:rsid w:val="00CC4A90"/>
    <w:rsid w:val="00CF7C8B"/>
    <w:rsid w:val="00D657EF"/>
    <w:rsid w:val="00D74CE0"/>
    <w:rsid w:val="00D87BF8"/>
    <w:rsid w:val="00DB4959"/>
    <w:rsid w:val="00DD4F70"/>
    <w:rsid w:val="00E70AEA"/>
    <w:rsid w:val="00EC0538"/>
    <w:rsid w:val="00EF653B"/>
    <w:rsid w:val="00EF7259"/>
    <w:rsid w:val="00F13B0B"/>
    <w:rsid w:val="00F43729"/>
    <w:rsid w:val="00F8063A"/>
    <w:rsid w:val="00F905DF"/>
    <w:rsid w:val="00F96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761EDD"/>
  <w15:chartTrackingRefBased/>
  <w15:docId w15:val="{947F158F-33DD-42FD-9E3C-329E6C7C1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13B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3B0B"/>
    <w:rPr>
      <w:sz w:val="20"/>
      <w:szCs w:val="20"/>
    </w:rPr>
  </w:style>
  <w:style w:type="character" w:styleId="FootnoteReference">
    <w:name w:val="footnote reference"/>
    <w:basedOn w:val="DefaultParagraphFont"/>
    <w:uiPriority w:val="99"/>
    <w:semiHidden/>
    <w:unhideWhenUsed/>
    <w:rsid w:val="00F13B0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6E6283-0D2B-4702-8F94-4B74C6CB2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4449</Words>
  <Characters>25363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18</cp:revision>
  <dcterms:created xsi:type="dcterms:W3CDTF">2020-07-15T11:41:00Z</dcterms:created>
  <dcterms:modified xsi:type="dcterms:W3CDTF">2020-07-19T15:15:00Z</dcterms:modified>
</cp:coreProperties>
</file>