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0F208C" w14:textId="77777777" w:rsidR="00553E31" w:rsidRPr="00CB01D6" w:rsidRDefault="00553E31" w:rsidP="00553E31">
      <w:pPr>
        <w:spacing w:line="360" w:lineRule="auto"/>
        <w:jc w:val="center"/>
        <w:rPr>
          <w:b/>
          <w:bCs/>
          <w:sz w:val="30"/>
          <w:szCs w:val="30"/>
          <w:lang w:val="en-GB"/>
        </w:rPr>
      </w:pPr>
      <w:r w:rsidRPr="00CB01D6">
        <w:rPr>
          <w:b/>
          <w:bCs/>
          <w:noProof/>
          <w:sz w:val="30"/>
          <w:szCs w:val="30"/>
          <w:lang w:val="en-GB"/>
        </w:rPr>
        <w:drawing>
          <wp:inline distT="114300" distB="114300" distL="114300" distR="114300" wp14:anchorId="7970E290" wp14:editId="7AB09BB4">
            <wp:extent cx="3314700" cy="1228725"/>
            <wp:effectExtent l="0" t="0" r="0" b="952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8"/>
                    <a:srcRect t="18690"/>
                    <a:stretch>
                      <a:fillRect/>
                    </a:stretch>
                  </pic:blipFill>
                  <pic:spPr bwMode="auto">
                    <a:xfrm>
                      <a:off x="0" y="0"/>
                      <a:ext cx="3315677" cy="1229087"/>
                    </a:xfrm>
                    <a:prstGeom prst="rect">
                      <a:avLst/>
                    </a:prstGeom>
                    <a:ln>
                      <a:noFill/>
                    </a:ln>
                    <a:extLst>
                      <a:ext uri="{53640926-AAD7-44D8-BBD7-CCE9431645EC}">
                        <a14:shadowObscured xmlns:a14="http://schemas.microsoft.com/office/drawing/2010/main"/>
                      </a:ext>
                    </a:extLst>
                  </pic:spPr>
                </pic:pic>
              </a:graphicData>
            </a:graphic>
          </wp:inline>
        </w:drawing>
      </w:r>
    </w:p>
    <w:p w14:paraId="61607B4A" w14:textId="77777777" w:rsidR="00553E31" w:rsidRPr="00CB01D6" w:rsidRDefault="00553E31" w:rsidP="00553E31">
      <w:pPr>
        <w:spacing w:line="360" w:lineRule="auto"/>
        <w:rPr>
          <w:b/>
          <w:bCs/>
          <w:sz w:val="30"/>
          <w:szCs w:val="30"/>
          <w:lang w:val="en-GB"/>
        </w:rPr>
      </w:pPr>
    </w:p>
    <w:p w14:paraId="4D66BD51" w14:textId="77777777" w:rsidR="00553E31" w:rsidRPr="00CB01D6" w:rsidRDefault="00553E31" w:rsidP="00553E31">
      <w:pPr>
        <w:spacing w:line="360" w:lineRule="auto"/>
        <w:jc w:val="center"/>
        <w:rPr>
          <w:b/>
          <w:bCs/>
          <w:sz w:val="32"/>
          <w:szCs w:val="32"/>
          <w:lang w:val="en-GB"/>
        </w:rPr>
      </w:pPr>
      <w:r w:rsidRPr="00CB01D6">
        <w:rPr>
          <w:b/>
          <w:bCs/>
          <w:sz w:val="32"/>
          <w:szCs w:val="32"/>
          <w:lang w:val="en-GB"/>
        </w:rPr>
        <w:t>Programme: Master of Business Administration</w:t>
      </w:r>
    </w:p>
    <w:p w14:paraId="7979BACB" w14:textId="77777777" w:rsidR="00553E31" w:rsidRPr="00CB01D6" w:rsidRDefault="00553E31" w:rsidP="00553E31">
      <w:pPr>
        <w:spacing w:line="360" w:lineRule="auto"/>
        <w:jc w:val="center"/>
        <w:rPr>
          <w:b/>
          <w:bCs/>
          <w:sz w:val="32"/>
          <w:szCs w:val="32"/>
          <w:lang w:val="en-GB"/>
        </w:rPr>
      </w:pPr>
    </w:p>
    <w:p w14:paraId="4DFFECF0" w14:textId="77777777" w:rsidR="00553E31" w:rsidRPr="00CB01D6" w:rsidRDefault="00553E31" w:rsidP="00553E31">
      <w:pPr>
        <w:spacing w:line="360" w:lineRule="auto"/>
        <w:jc w:val="center"/>
        <w:rPr>
          <w:b/>
          <w:bCs/>
          <w:sz w:val="32"/>
          <w:szCs w:val="32"/>
          <w:lang w:val="en-GB"/>
        </w:rPr>
      </w:pPr>
      <w:r w:rsidRPr="00CB01D6">
        <w:rPr>
          <w:b/>
          <w:bCs/>
          <w:sz w:val="32"/>
          <w:szCs w:val="32"/>
          <w:lang w:val="en-GB"/>
        </w:rPr>
        <w:t>Module: International Marketing: Principles and Practices</w:t>
      </w:r>
    </w:p>
    <w:p w14:paraId="6E31A24E" w14:textId="77777777" w:rsidR="00553E31" w:rsidRPr="00CB01D6" w:rsidRDefault="00553E31" w:rsidP="00553E31">
      <w:pPr>
        <w:spacing w:line="360" w:lineRule="auto"/>
        <w:jc w:val="center"/>
        <w:rPr>
          <w:b/>
          <w:bCs/>
          <w:sz w:val="32"/>
          <w:szCs w:val="32"/>
          <w:lang w:val="en-GB"/>
        </w:rPr>
      </w:pPr>
      <w:r w:rsidRPr="00CB01D6">
        <w:rPr>
          <w:b/>
          <w:bCs/>
          <w:sz w:val="32"/>
          <w:szCs w:val="32"/>
          <w:lang w:val="en-GB"/>
        </w:rPr>
        <w:t>Module code: LCMB7026</w:t>
      </w:r>
    </w:p>
    <w:p w14:paraId="012C727E" w14:textId="77777777" w:rsidR="00553E31" w:rsidRPr="00CB01D6" w:rsidRDefault="00553E31" w:rsidP="00553E31">
      <w:pPr>
        <w:spacing w:line="360" w:lineRule="auto"/>
        <w:jc w:val="center"/>
        <w:rPr>
          <w:b/>
          <w:bCs/>
          <w:sz w:val="32"/>
          <w:szCs w:val="32"/>
          <w:lang w:val="en-GB"/>
        </w:rPr>
      </w:pPr>
    </w:p>
    <w:p w14:paraId="2130EB52" w14:textId="77777777" w:rsidR="00553E31" w:rsidRPr="00CB01D6" w:rsidRDefault="00553E31" w:rsidP="00553E31">
      <w:pPr>
        <w:spacing w:line="360" w:lineRule="auto"/>
        <w:jc w:val="center"/>
        <w:rPr>
          <w:b/>
          <w:bCs/>
          <w:sz w:val="32"/>
          <w:szCs w:val="32"/>
          <w:lang w:val="en-GB"/>
        </w:rPr>
      </w:pPr>
      <w:r w:rsidRPr="00CB01D6">
        <w:rPr>
          <w:b/>
          <w:bCs/>
          <w:sz w:val="32"/>
          <w:szCs w:val="32"/>
          <w:lang w:val="en-GB"/>
        </w:rPr>
        <w:t>Assignment Title: Assessment component 1</w:t>
      </w:r>
    </w:p>
    <w:p w14:paraId="6CC06E52" w14:textId="77777777" w:rsidR="00553E31" w:rsidRPr="00CB01D6" w:rsidRDefault="00553E31" w:rsidP="00553E31">
      <w:pPr>
        <w:spacing w:line="360" w:lineRule="auto"/>
        <w:jc w:val="center"/>
        <w:rPr>
          <w:b/>
          <w:bCs/>
          <w:sz w:val="32"/>
          <w:szCs w:val="32"/>
          <w:lang w:val="en-GB"/>
        </w:rPr>
      </w:pPr>
      <w:r w:rsidRPr="00CB01D6">
        <w:rPr>
          <w:b/>
          <w:bCs/>
          <w:sz w:val="32"/>
          <w:szCs w:val="32"/>
          <w:lang w:val="en-GB"/>
        </w:rPr>
        <w:t>Individual report</w:t>
      </w:r>
    </w:p>
    <w:p w14:paraId="2D553AB6" w14:textId="77777777" w:rsidR="00553E31" w:rsidRPr="00CB01D6" w:rsidRDefault="00553E31" w:rsidP="00553E31">
      <w:pPr>
        <w:spacing w:line="360" w:lineRule="auto"/>
        <w:jc w:val="center"/>
        <w:rPr>
          <w:b/>
          <w:bCs/>
          <w:sz w:val="32"/>
          <w:szCs w:val="32"/>
          <w:lang w:val="en-GB"/>
        </w:rPr>
      </w:pPr>
    </w:p>
    <w:p w14:paraId="09B7346C" w14:textId="0E0377B5" w:rsidR="00AC10B5" w:rsidRPr="00CB01D6" w:rsidRDefault="00553E31" w:rsidP="00AC10B5">
      <w:pPr>
        <w:spacing w:line="360" w:lineRule="auto"/>
        <w:jc w:val="center"/>
        <w:rPr>
          <w:b/>
          <w:bCs/>
          <w:i/>
          <w:iCs/>
          <w:sz w:val="32"/>
          <w:szCs w:val="32"/>
          <w:lang w:val="en-GB"/>
        </w:rPr>
      </w:pPr>
      <w:r w:rsidRPr="00CB01D6">
        <w:rPr>
          <w:b/>
          <w:bCs/>
          <w:i/>
          <w:iCs/>
          <w:sz w:val="32"/>
          <w:szCs w:val="32"/>
          <w:lang w:val="en-GB"/>
        </w:rPr>
        <w:t>Topic: International Market Entry Strategy and Marketing Mix of Adidas in Japan and the UK</w:t>
      </w:r>
      <w:r w:rsidR="00AC10B5">
        <w:rPr>
          <w:b/>
          <w:bCs/>
          <w:i/>
          <w:iCs/>
          <w:sz w:val="32"/>
          <w:szCs w:val="32"/>
          <w:lang w:val="en-GB"/>
        </w:rPr>
        <w:br/>
      </w:r>
    </w:p>
    <w:p w14:paraId="341EB814" w14:textId="77777777" w:rsidR="00553E31" w:rsidRPr="00CB01D6" w:rsidRDefault="00553E31" w:rsidP="00553E31">
      <w:pPr>
        <w:spacing w:line="360" w:lineRule="auto"/>
        <w:jc w:val="center"/>
        <w:rPr>
          <w:b/>
          <w:bCs/>
          <w:sz w:val="30"/>
          <w:szCs w:val="30"/>
          <w:lang w:val="en-GB"/>
        </w:rPr>
      </w:pPr>
    </w:p>
    <w:p w14:paraId="1988A053" w14:textId="13091F4B" w:rsidR="00553E31" w:rsidRPr="00CB01D6" w:rsidRDefault="00E21984" w:rsidP="00553E31">
      <w:pPr>
        <w:spacing w:line="360" w:lineRule="auto"/>
        <w:jc w:val="center"/>
        <w:rPr>
          <w:b/>
          <w:bCs/>
          <w:sz w:val="30"/>
          <w:szCs w:val="30"/>
          <w:lang w:val="en-GB"/>
        </w:rPr>
      </w:pPr>
      <w:r w:rsidRPr="00E21984">
        <w:rPr>
          <w:b/>
          <w:bCs/>
          <w:sz w:val="30"/>
          <w:szCs w:val="30"/>
          <w:lang w:val="en-GB"/>
        </w:rPr>
        <w:t>Lecture name</w:t>
      </w:r>
      <w:r w:rsidR="00AC10B5">
        <w:rPr>
          <w:b/>
          <w:bCs/>
          <w:sz w:val="30"/>
          <w:szCs w:val="30"/>
          <w:lang w:val="en-GB"/>
        </w:rPr>
        <w:t xml:space="preserve">: </w:t>
      </w:r>
      <w:r w:rsidR="00FE6A75" w:rsidRPr="00E7142E">
        <w:rPr>
          <w:rStyle w:val="Strong"/>
          <w:color w:val="1D2125"/>
          <w:sz w:val="28"/>
          <w:szCs w:val="28"/>
          <w:shd w:val="clear" w:color="auto" w:fill="FFFFFF"/>
        </w:rPr>
        <w:t>Tushara Balendran</w:t>
      </w:r>
      <w:r w:rsidR="00AC10B5">
        <w:rPr>
          <w:b/>
          <w:bCs/>
          <w:sz w:val="30"/>
          <w:szCs w:val="30"/>
          <w:lang w:val="en-GB"/>
        </w:rPr>
        <w:br/>
      </w:r>
      <w:r w:rsidR="00553E31" w:rsidRPr="00CB01D6">
        <w:rPr>
          <w:b/>
          <w:bCs/>
          <w:sz w:val="30"/>
          <w:szCs w:val="30"/>
          <w:lang w:val="en-GB"/>
        </w:rPr>
        <w:t>Name:</w:t>
      </w:r>
      <w:r w:rsidR="00AC10B5" w:rsidRPr="00AC10B5">
        <w:t xml:space="preserve"> </w:t>
      </w:r>
      <w:proofErr w:type="spellStart"/>
      <w:r w:rsidR="00AC10B5" w:rsidRPr="00AC10B5">
        <w:rPr>
          <w:b/>
          <w:bCs/>
          <w:sz w:val="30"/>
          <w:szCs w:val="30"/>
          <w:lang w:val="en-GB"/>
        </w:rPr>
        <w:t>Abhishekkumar</w:t>
      </w:r>
      <w:proofErr w:type="spellEnd"/>
      <w:r w:rsidR="00AC10B5" w:rsidRPr="00AC10B5">
        <w:rPr>
          <w:b/>
          <w:bCs/>
          <w:sz w:val="30"/>
          <w:szCs w:val="30"/>
          <w:lang w:val="en-GB"/>
        </w:rPr>
        <w:t xml:space="preserve"> </w:t>
      </w:r>
      <w:proofErr w:type="spellStart"/>
      <w:r w:rsidR="00AC10B5" w:rsidRPr="00AC10B5">
        <w:rPr>
          <w:b/>
          <w:bCs/>
          <w:sz w:val="30"/>
          <w:szCs w:val="30"/>
          <w:lang w:val="en-GB"/>
        </w:rPr>
        <w:t>Pethani</w:t>
      </w:r>
      <w:proofErr w:type="spellEnd"/>
    </w:p>
    <w:p w14:paraId="297B4773" w14:textId="59228D00" w:rsidR="00553E31" w:rsidRPr="00CB01D6" w:rsidRDefault="00553E31" w:rsidP="00553E31">
      <w:pPr>
        <w:spacing w:line="360" w:lineRule="auto"/>
        <w:jc w:val="center"/>
        <w:rPr>
          <w:b/>
          <w:bCs/>
          <w:sz w:val="30"/>
          <w:szCs w:val="30"/>
          <w:lang w:val="en-GB"/>
        </w:rPr>
      </w:pPr>
      <w:r w:rsidRPr="00CB01D6">
        <w:rPr>
          <w:b/>
          <w:bCs/>
          <w:sz w:val="30"/>
          <w:szCs w:val="30"/>
          <w:lang w:val="en-GB"/>
        </w:rPr>
        <w:t>Student ID:</w:t>
      </w:r>
      <w:r w:rsidR="00AC10B5" w:rsidRPr="00AC10B5">
        <w:t xml:space="preserve"> </w:t>
      </w:r>
      <w:r w:rsidR="00AC10B5" w:rsidRPr="00AC10B5">
        <w:rPr>
          <w:b/>
          <w:bCs/>
          <w:sz w:val="30"/>
          <w:szCs w:val="30"/>
          <w:lang w:val="en-GB"/>
        </w:rPr>
        <w:t>2525424</w:t>
      </w:r>
    </w:p>
    <w:p w14:paraId="6B51BE29" w14:textId="77777777" w:rsidR="00553E31" w:rsidRDefault="00553E31">
      <w:pPr>
        <w:spacing w:after="300"/>
        <w:rPr>
          <w:b/>
          <w:bCs/>
          <w:color w:val="1B2A4A"/>
          <w:sz w:val="32"/>
          <w:szCs w:val="32"/>
        </w:rPr>
      </w:pPr>
      <w:r>
        <w:rPr>
          <w:b/>
          <w:bCs/>
          <w:color w:val="1B2A4A"/>
          <w:sz w:val="32"/>
          <w:szCs w:val="32"/>
        </w:rPr>
        <w:br w:type="page"/>
      </w:r>
    </w:p>
    <w:p w14:paraId="04D9411F" w14:textId="650E2942" w:rsidR="00EF1A36" w:rsidRDefault="00000000">
      <w:pPr>
        <w:spacing w:after="300"/>
      </w:pPr>
      <w:r>
        <w:rPr>
          <w:b/>
          <w:bCs/>
          <w:color w:val="1B2A4A"/>
          <w:sz w:val="32"/>
          <w:szCs w:val="32"/>
        </w:rPr>
        <w:lastRenderedPageBreak/>
        <w:t>Table of Contents</w:t>
      </w:r>
    </w:p>
    <w:sdt>
      <w:sdtPr>
        <w:alias w:val="Table of Contents"/>
        <w:id w:val="-1918934472"/>
      </w:sdtPr>
      <w:sdtContent>
        <w:p w14:paraId="1E07E3F1" w14:textId="0D0C4535" w:rsidR="00553E31" w:rsidRDefault="00000000">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TOC \h \o "1-3"</w:instrText>
          </w:r>
          <w:r>
            <w:fldChar w:fldCharType="separate"/>
          </w:r>
          <w:hyperlink w:anchor="_Toc237341093" w:history="1">
            <w:r w:rsidR="00553E31" w:rsidRPr="00D83090">
              <w:rPr>
                <w:rStyle w:val="Hyperlink"/>
                <w:b/>
                <w:bCs/>
                <w:noProof/>
              </w:rPr>
              <w:t>Section 1: Report on the International Market Entry Strategy and Marketing Mix</w:t>
            </w:r>
            <w:r w:rsidR="00553E31">
              <w:rPr>
                <w:noProof/>
              </w:rPr>
              <w:tab/>
            </w:r>
            <w:r w:rsidR="00553E31">
              <w:rPr>
                <w:noProof/>
              </w:rPr>
              <w:fldChar w:fldCharType="begin"/>
            </w:r>
            <w:r w:rsidR="00553E31">
              <w:rPr>
                <w:noProof/>
              </w:rPr>
              <w:instrText xml:space="preserve"> PAGEREF _Toc237341093 \h </w:instrText>
            </w:r>
            <w:r w:rsidR="00553E31">
              <w:rPr>
                <w:noProof/>
              </w:rPr>
            </w:r>
            <w:r w:rsidR="00553E31">
              <w:rPr>
                <w:noProof/>
              </w:rPr>
              <w:fldChar w:fldCharType="separate"/>
            </w:r>
            <w:r w:rsidR="00553E31">
              <w:rPr>
                <w:noProof/>
              </w:rPr>
              <w:t>3</w:t>
            </w:r>
            <w:r w:rsidR="00553E31">
              <w:rPr>
                <w:noProof/>
              </w:rPr>
              <w:fldChar w:fldCharType="end"/>
            </w:r>
          </w:hyperlink>
        </w:p>
        <w:p w14:paraId="2FC0584A" w14:textId="4BB30BAC"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094" w:history="1">
            <w:r w:rsidRPr="00D83090">
              <w:rPr>
                <w:rStyle w:val="Hyperlink"/>
                <w:b/>
                <w:bCs/>
                <w:noProof/>
              </w:rPr>
              <w:t>1.1 Introduction</w:t>
            </w:r>
            <w:r>
              <w:rPr>
                <w:noProof/>
              </w:rPr>
              <w:tab/>
            </w:r>
            <w:r>
              <w:rPr>
                <w:noProof/>
              </w:rPr>
              <w:fldChar w:fldCharType="begin"/>
            </w:r>
            <w:r>
              <w:rPr>
                <w:noProof/>
              </w:rPr>
              <w:instrText xml:space="preserve"> PAGEREF _Toc237341094 \h </w:instrText>
            </w:r>
            <w:r>
              <w:rPr>
                <w:noProof/>
              </w:rPr>
            </w:r>
            <w:r>
              <w:rPr>
                <w:noProof/>
              </w:rPr>
              <w:fldChar w:fldCharType="separate"/>
            </w:r>
            <w:r>
              <w:rPr>
                <w:noProof/>
              </w:rPr>
              <w:t>3</w:t>
            </w:r>
            <w:r>
              <w:rPr>
                <w:noProof/>
              </w:rPr>
              <w:fldChar w:fldCharType="end"/>
            </w:r>
          </w:hyperlink>
        </w:p>
        <w:p w14:paraId="0107CA28" w14:textId="08FE3488"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095" w:history="1">
            <w:r w:rsidRPr="00D83090">
              <w:rPr>
                <w:rStyle w:val="Hyperlink"/>
                <w:b/>
                <w:bCs/>
                <w:noProof/>
              </w:rPr>
              <w:t>1.2 Company Background</w:t>
            </w:r>
            <w:r>
              <w:rPr>
                <w:noProof/>
              </w:rPr>
              <w:tab/>
            </w:r>
            <w:r>
              <w:rPr>
                <w:noProof/>
              </w:rPr>
              <w:fldChar w:fldCharType="begin"/>
            </w:r>
            <w:r>
              <w:rPr>
                <w:noProof/>
              </w:rPr>
              <w:instrText xml:space="preserve"> PAGEREF _Toc237341095 \h </w:instrText>
            </w:r>
            <w:r>
              <w:rPr>
                <w:noProof/>
              </w:rPr>
            </w:r>
            <w:r>
              <w:rPr>
                <w:noProof/>
              </w:rPr>
              <w:fldChar w:fldCharType="separate"/>
            </w:r>
            <w:r>
              <w:rPr>
                <w:noProof/>
              </w:rPr>
              <w:t>3</w:t>
            </w:r>
            <w:r>
              <w:rPr>
                <w:noProof/>
              </w:rPr>
              <w:fldChar w:fldCharType="end"/>
            </w:r>
          </w:hyperlink>
        </w:p>
        <w:p w14:paraId="22E307A5" w14:textId="69C0A9C4"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096" w:history="1">
            <w:r w:rsidRPr="00D83090">
              <w:rPr>
                <w:rStyle w:val="Hyperlink"/>
                <w:b/>
                <w:bCs/>
                <w:noProof/>
              </w:rPr>
              <w:t>1.3 A Comparative Analysis of the Market in Japan and the UK: PESTLE Application</w:t>
            </w:r>
            <w:r>
              <w:rPr>
                <w:noProof/>
              </w:rPr>
              <w:tab/>
            </w:r>
            <w:r>
              <w:rPr>
                <w:noProof/>
              </w:rPr>
              <w:fldChar w:fldCharType="begin"/>
            </w:r>
            <w:r>
              <w:rPr>
                <w:noProof/>
              </w:rPr>
              <w:instrText xml:space="preserve"> PAGEREF _Toc237341096 \h </w:instrText>
            </w:r>
            <w:r>
              <w:rPr>
                <w:noProof/>
              </w:rPr>
            </w:r>
            <w:r>
              <w:rPr>
                <w:noProof/>
              </w:rPr>
              <w:fldChar w:fldCharType="separate"/>
            </w:r>
            <w:r>
              <w:rPr>
                <w:noProof/>
              </w:rPr>
              <w:t>3</w:t>
            </w:r>
            <w:r>
              <w:rPr>
                <w:noProof/>
              </w:rPr>
              <w:fldChar w:fldCharType="end"/>
            </w:r>
          </w:hyperlink>
        </w:p>
        <w:p w14:paraId="7AA917BC" w14:textId="2006570F"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097" w:history="1">
            <w:r w:rsidRPr="00D83090">
              <w:rPr>
                <w:rStyle w:val="Hyperlink"/>
                <w:b/>
                <w:bCs/>
                <w:noProof/>
              </w:rPr>
              <w:t>Political</w:t>
            </w:r>
            <w:r>
              <w:rPr>
                <w:noProof/>
              </w:rPr>
              <w:tab/>
            </w:r>
            <w:r>
              <w:rPr>
                <w:noProof/>
              </w:rPr>
              <w:fldChar w:fldCharType="begin"/>
            </w:r>
            <w:r>
              <w:rPr>
                <w:noProof/>
              </w:rPr>
              <w:instrText xml:space="preserve"> PAGEREF _Toc237341097 \h </w:instrText>
            </w:r>
            <w:r>
              <w:rPr>
                <w:noProof/>
              </w:rPr>
            </w:r>
            <w:r>
              <w:rPr>
                <w:noProof/>
              </w:rPr>
              <w:fldChar w:fldCharType="separate"/>
            </w:r>
            <w:r>
              <w:rPr>
                <w:noProof/>
              </w:rPr>
              <w:t>3</w:t>
            </w:r>
            <w:r>
              <w:rPr>
                <w:noProof/>
              </w:rPr>
              <w:fldChar w:fldCharType="end"/>
            </w:r>
          </w:hyperlink>
        </w:p>
        <w:p w14:paraId="440087FC" w14:textId="65ADF886"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098" w:history="1">
            <w:r w:rsidRPr="00D83090">
              <w:rPr>
                <w:rStyle w:val="Hyperlink"/>
                <w:b/>
                <w:bCs/>
                <w:noProof/>
              </w:rPr>
              <w:t>Economic</w:t>
            </w:r>
            <w:r>
              <w:rPr>
                <w:noProof/>
              </w:rPr>
              <w:tab/>
            </w:r>
            <w:r>
              <w:rPr>
                <w:noProof/>
              </w:rPr>
              <w:fldChar w:fldCharType="begin"/>
            </w:r>
            <w:r>
              <w:rPr>
                <w:noProof/>
              </w:rPr>
              <w:instrText xml:space="preserve"> PAGEREF _Toc237341098 \h </w:instrText>
            </w:r>
            <w:r>
              <w:rPr>
                <w:noProof/>
              </w:rPr>
            </w:r>
            <w:r>
              <w:rPr>
                <w:noProof/>
              </w:rPr>
              <w:fldChar w:fldCharType="separate"/>
            </w:r>
            <w:r>
              <w:rPr>
                <w:noProof/>
              </w:rPr>
              <w:t>4</w:t>
            </w:r>
            <w:r>
              <w:rPr>
                <w:noProof/>
              </w:rPr>
              <w:fldChar w:fldCharType="end"/>
            </w:r>
          </w:hyperlink>
        </w:p>
        <w:p w14:paraId="636DBA5E" w14:textId="2A0C0C1B"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099" w:history="1">
            <w:r w:rsidRPr="00D83090">
              <w:rPr>
                <w:rStyle w:val="Hyperlink"/>
                <w:b/>
                <w:bCs/>
                <w:noProof/>
              </w:rPr>
              <w:t>Social</w:t>
            </w:r>
            <w:r>
              <w:rPr>
                <w:noProof/>
              </w:rPr>
              <w:tab/>
            </w:r>
            <w:r>
              <w:rPr>
                <w:noProof/>
              </w:rPr>
              <w:fldChar w:fldCharType="begin"/>
            </w:r>
            <w:r>
              <w:rPr>
                <w:noProof/>
              </w:rPr>
              <w:instrText xml:space="preserve"> PAGEREF _Toc237341099 \h </w:instrText>
            </w:r>
            <w:r>
              <w:rPr>
                <w:noProof/>
              </w:rPr>
            </w:r>
            <w:r>
              <w:rPr>
                <w:noProof/>
              </w:rPr>
              <w:fldChar w:fldCharType="separate"/>
            </w:r>
            <w:r>
              <w:rPr>
                <w:noProof/>
              </w:rPr>
              <w:t>5</w:t>
            </w:r>
            <w:r>
              <w:rPr>
                <w:noProof/>
              </w:rPr>
              <w:fldChar w:fldCharType="end"/>
            </w:r>
          </w:hyperlink>
        </w:p>
        <w:p w14:paraId="0393909A" w14:textId="4DB25952"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0" w:history="1">
            <w:r w:rsidRPr="00D83090">
              <w:rPr>
                <w:rStyle w:val="Hyperlink"/>
                <w:b/>
                <w:bCs/>
                <w:noProof/>
              </w:rPr>
              <w:t>Comparative Hofstede Cultural Analysis (6 Dimensions)</w:t>
            </w:r>
            <w:r>
              <w:rPr>
                <w:noProof/>
              </w:rPr>
              <w:tab/>
            </w:r>
            <w:r>
              <w:rPr>
                <w:noProof/>
              </w:rPr>
              <w:fldChar w:fldCharType="begin"/>
            </w:r>
            <w:r>
              <w:rPr>
                <w:noProof/>
              </w:rPr>
              <w:instrText xml:space="preserve"> PAGEREF _Toc237341100 \h </w:instrText>
            </w:r>
            <w:r>
              <w:rPr>
                <w:noProof/>
              </w:rPr>
            </w:r>
            <w:r>
              <w:rPr>
                <w:noProof/>
              </w:rPr>
              <w:fldChar w:fldCharType="separate"/>
            </w:r>
            <w:r>
              <w:rPr>
                <w:noProof/>
              </w:rPr>
              <w:t>5</w:t>
            </w:r>
            <w:r>
              <w:rPr>
                <w:noProof/>
              </w:rPr>
              <w:fldChar w:fldCharType="end"/>
            </w:r>
          </w:hyperlink>
        </w:p>
        <w:p w14:paraId="4F1F1F5D" w14:textId="458E239F"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1" w:history="1">
            <w:r w:rsidRPr="00D83090">
              <w:rPr>
                <w:rStyle w:val="Hyperlink"/>
                <w:b/>
                <w:bCs/>
                <w:noProof/>
              </w:rPr>
              <w:t>Advantages and Disadvantages of the Hofstede Model</w:t>
            </w:r>
            <w:r>
              <w:rPr>
                <w:noProof/>
              </w:rPr>
              <w:tab/>
            </w:r>
            <w:r>
              <w:rPr>
                <w:noProof/>
              </w:rPr>
              <w:fldChar w:fldCharType="begin"/>
            </w:r>
            <w:r>
              <w:rPr>
                <w:noProof/>
              </w:rPr>
              <w:instrText xml:space="preserve"> PAGEREF _Toc237341101 \h </w:instrText>
            </w:r>
            <w:r>
              <w:rPr>
                <w:noProof/>
              </w:rPr>
            </w:r>
            <w:r>
              <w:rPr>
                <w:noProof/>
              </w:rPr>
              <w:fldChar w:fldCharType="separate"/>
            </w:r>
            <w:r>
              <w:rPr>
                <w:noProof/>
              </w:rPr>
              <w:t>6</w:t>
            </w:r>
            <w:r>
              <w:rPr>
                <w:noProof/>
              </w:rPr>
              <w:fldChar w:fldCharType="end"/>
            </w:r>
          </w:hyperlink>
        </w:p>
        <w:p w14:paraId="78030E32" w14:textId="1272BB2C"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2" w:history="1">
            <w:r w:rsidRPr="00D83090">
              <w:rPr>
                <w:rStyle w:val="Hyperlink"/>
                <w:b/>
                <w:bCs/>
                <w:noProof/>
              </w:rPr>
              <w:t>Technological</w:t>
            </w:r>
            <w:r>
              <w:rPr>
                <w:noProof/>
              </w:rPr>
              <w:tab/>
            </w:r>
            <w:r>
              <w:rPr>
                <w:noProof/>
              </w:rPr>
              <w:fldChar w:fldCharType="begin"/>
            </w:r>
            <w:r>
              <w:rPr>
                <w:noProof/>
              </w:rPr>
              <w:instrText xml:space="preserve"> PAGEREF _Toc237341102 \h </w:instrText>
            </w:r>
            <w:r>
              <w:rPr>
                <w:noProof/>
              </w:rPr>
            </w:r>
            <w:r>
              <w:rPr>
                <w:noProof/>
              </w:rPr>
              <w:fldChar w:fldCharType="separate"/>
            </w:r>
            <w:r>
              <w:rPr>
                <w:noProof/>
              </w:rPr>
              <w:t>6</w:t>
            </w:r>
            <w:r>
              <w:rPr>
                <w:noProof/>
              </w:rPr>
              <w:fldChar w:fldCharType="end"/>
            </w:r>
          </w:hyperlink>
        </w:p>
        <w:p w14:paraId="28448515" w14:textId="04FEC02E"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3" w:history="1">
            <w:r w:rsidRPr="00D83090">
              <w:rPr>
                <w:rStyle w:val="Hyperlink"/>
                <w:b/>
                <w:bCs/>
                <w:noProof/>
              </w:rPr>
              <w:t>Legal</w:t>
            </w:r>
            <w:r>
              <w:rPr>
                <w:noProof/>
              </w:rPr>
              <w:tab/>
            </w:r>
            <w:r>
              <w:rPr>
                <w:noProof/>
              </w:rPr>
              <w:fldChar w:fldCharType="begin"/>
            </w:r>
            <w:r>
              <w:rPr>
                <w:noProof/>
              </w:rPr>
              <w:instrText xml:space="preserve"> PAGEREF _Toc237341103 \h </w:instrText>
            </w:r>
            <w:r>
              <w:rPr>
                <w:noProof/>
              </w:rPr>
            </w:r>
            <w:r>
              <w:rPr>
                <w:noProof/>
              </w:rPr>
              <w:fldChar w:fldCharType="separate"/>
            </w:r>
            <w:r>
              <w:rPr>
                <w:noProof/>
              </w:rPr>
              <w:t>7</w:t>
            </w:r>
            <w:r>
              <w:rPr>
                <w:noProof/>
              </w:rPr>
              <w:fldChar w:fldCharType="end"/>
            </w:r>
          </w:hyperlink>
        </w:p>
        <w:p w14:paraId="67B24647" w14:textId="18000CB3"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4" w:history="1">
            <w:r w:rsidRPr="00D83090">
              <w:rPr>
                <w:rStyle w:val="Hyperlink"/>
                <w:b/>
                <w:bCs/>
                <w:noProof/>
              </w:rPr>
              <w:t>Environmental</w:t>
            </w:r>
            <w:r>
              <w:rPr>
                <w:noProof/>
              </w:rPr>
              <w:tab/>
            </w:r>
            <w:r>
              <w:rPr>
                <w:noProof/>
              </w:rPr>
              <w:fldChar w:fldCharType="begin"/>
            </w:r>
            <w:r>
              <w:rPr>
                <w:noProof/>
              </w:rPr>
              <w:instrText xml:space="preserve"> PAGEREF _Toc237341104 \h </w:instrText>
            </w:r>
            <w:r>
              <w:rPr>
                <w:noProof/>
              </w:rPr>
            </w:r>
            <w:r>
              <w:rPr>
                <w:noProof/>
              </w:rPr>
              <w:fldChar w:fldCharType="separate"/>
            </w:r>
            <w:r>
              <w:rPr>
                <w:noProof/>
              </w:rPr>
              <w:t>7</w:t>
            </w:r>
            <w:r>
              <w:rPr>
                <w:noProof/>
              </w:rPr>
              <w:fldChar w:fldCharType="end"/>
            </w:r>
          </w:hyperlink>
        </w:p>
        <w:p w14:paraId="3D3EEEDB" w14:textId="2EB4D8F6"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5" w:history="1">
            <w:r w:rsidRPr="00D83090">
              <w:rPr>
                <w:rStyle w:val="Hyperlink"/>
                <w:b/>
                <w:bCs/>
                <w:noProof/>
              </w:rPr>
              <w:t>Similarities and Differences of the PESTLE Analysis</w:t>
            </w:r>
            <w:r>
              <w:rPr>
                <w:noProof/>
              </w:rPr>
              <w:tab/>
            </w:r>
            <w:r>
              <w:rPr>
                <w:noProof/>
              </w:rPr>
              <w:fldChar w:fldCharType="begin"/>
            </w:r>
            <w:r>
              <w:rPr>
                <w:noProof/>
              </w:rPr>
              <w:instrText xml:space="preserve"> PAGEREF _Toc237341105 \h </w:instrText>
            </w:r>
            <w:r>
              <w:rPr>
                <w:noProof/>
              </w:rPr>
            </w:r>
            <w:r>
              <w:rPr>
                <w:noProof/>
              </w:rPr>
              <w:fldChar w:fldCharType="separate"/>
            </w:r>
            <w:r>
              <w:rPr>
                <w:noProof/>
              </w:rPr>
              <w:t>8</w:t>
            </w:r>
            <w:r>
              <w:rPr>
                <w:noProof/>
              </w:rPr>
              <w:fldChar w:fldCharType="end"/>
            </w:r>
          </w:hyperlink>
        </w:p>
        <w:p w14:paraId="325E11F7" w14:textId="35704E2B"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06" w:history="1">
            <w:r w:rsidRPr="00D83090">
              <w:rPr>
                <w:rStyle w:val="Hyperlink"/>
                <w:b/>
                <w:bCs/>
                <w:noProof/>
              </w:rPr>
              <w:t>1.4 A Comparative Analysis of STP and Marketing Mix</w:t>
            </w:r>
            <w:r>
              <w:rPr>
                <w:noProof/>
              </w:rPr>
              <w:tab/>
            </w:r>
            <w:r>
              <w:rPr>
                <w:noProof/>
              </w:rPr>
              <w:fldChar w:fldCharType="begin"/>
            </w:r>
            <w:r>
              <w:rPr>
                <w:noProof/>
              </w:rPr>
              <w:instrText xml:space="preserve"> PAGEREF _Toc237341106 \h </w:instrText>
            </w:r>
            <w:r>
              <w:rPr>
                <w:noProof/>
              </w:rPr>
            </w:r>
            <w:r>
              <w:rPr>
                <w:noProof/>
              </w:rPr>
              <w:fldChar w:fldCharType="separate"/>
            </w:r>
            <w:r>
              <w:rPr>
                <w:noProof/>
              </w:rPr>
              <w:t>8</w:t>
            </w:r>
            <w:r>
              <w:rPr>
                <w:noProof/>
              </w:rPr>
              <w:fldChar w:fldCharType="end"/>
            </w:r>
          </w:hyperlink>
        </w:p>
        <w:p w14:paraId="5DE3F25E" w14:textId="5C655BCD"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7" w:history="1">
            <w:r w:rsidRPr="00D83090">
              <w:rPr>
                <w:rStyle w:val="Hyperlink"/>
                <w:b/>
                <w:bCs/>
                <w:noProof/>
              </w:rPr>
              <w:t>1.4.1 STP Analysis</w:t>
            </w:r>
            <w:r>
              <w:rPr>
                <w:noProof/>
              </w:rPr>
              <w:tab/>
            </w:r>
            <w:r>
              <w:rPr>
                <w:noProof/>
              </w:rPr>
              <w:fldChar w:fldCharType="begin"/>
            </w:r>
            <w:r>
              <w:rPr>
                <w:noProof/>
              </w:rPr>
              <w:instrText xml:space="preserve"> PAGEREF _Toc237341107 \h </w:instrText>
            </w:r>
            <w:r>
              <w:rPr>
                <w:noProof/>
              </w:rPr>
            </w:r>
            <w:r>
              <w:rPr>
                <w:noProof/>
              </w:rPr>
              <w:fldChar w:fldCharType="separate"/>
            </w:r>
            <w:r>
              <w:rPr>
                <w:noProof/>
              </w:rPr>
              <w:t>8</w:t>
            </w:r>
            <w:r>
              <w:rPr>
                <w:noProof/>
              </w:rPr>
              <w:fldChar w:fldCharType="end"/>
            </w:r>
          </w:hyperlink>
        </w:p>
        <w:p w14:paraId="0CD5DE7D" w14:textId="37144375"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8" w:history="1">
            <w:r w:rsidRPr="00D83090">
              <w:rPr>
                <w:rStyle w:val="Hyperlink"/>
                <w:b/>
                <w:bCs/>
                <w:noProof/>
              </w:rPr>
              <w:t>1.4.2 Marketing Mix (7Ps)</w:t>
            </w:r>
            <w:r>
              <w:rPr>
                <w:noProof/>
              </w:rPr>
              <w:tab/>
            </w:r>
            <w:r>
              <w:rPr>
                <w:noProof/>
              </w:rPr>
              <w:fldChar w:fldCharType="begin"/>
            </w:r>
            <w:r>
              <w:rPr>
                <w:noProof/>
              </w:rPr>
              <w:instrText xml:space="preserve"> PAGEREF _Toc237341108 \h </w:instrText>
            </w:r>
            <w:r>
              <w:rPr>
                <w:noProof/>
              </w:rPr>
            </w:r>
            <w:r>
              <w:rPr>
                <w:noProof/>
              </w:rPr>
              <w:fldChar w:fldCharType="separate"/>
            </w:r>
            <w:r>
              <w:rPr>
                <w:noProof/>
              </w:rPr>
              <w:t>10</w:t>
            </w:r>
            <w:r>
              <w:rPr>
                <w:noProof/>
              </w:rPr>
              <w:fldChar w:fldCharType="end"/>
            </w:r>
          </w:hyperlink>
        </w:p>
        <w:p w14:paraId="03C508D4" w14:textId="29B5EF24" w:rsidR="00553E31" w:rsidRDefault="00553E31">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37341109" w:history="1">
            <w:r w:rsidRPr="00D83090">
              <w:rPr>
                <w:rStyle w:val="Hyperlink"/>
                <w:b/>
                <w:bCs/>
                <w:noProof/>
              </w:rPr>
              <w:t>Similarities and Differences of the 7Ps</w:t>
            </w:r>
            <w:r>
              <w:rPr>
                <w:noProof/>
              </w:rPr>
              <w:tab/>
            </w:r>
            <w:r>
              <w:rPr>
                <w:noProof/>
              </w:rPr>
              <w:fldChar w:fldCharType="begin"/>
            </w:r>
            <w:r>
              <w:rPr>
                <w:noProof/>
              </w:rPr>
              <w:instrText xml:space="preserve"> PAGEREF _Toc237341109 \h </w:instrText>
            </w:r>
            <w:r>
              <w:rPr>
                <w:noProof/>
              </w:rPr>
            </w:r>
            <w:r>
              <w:rPr>
                <w:noProof/>
              </w:rPr>
              <w:fldChar w:fldCharType="separate"/>
            </w:r>
            <w:r>
              <w:rPr>
                <w:noProof/>
              </w:rPr>
              <w:t>18</w:t>
            </w:r>
            <w:r>
              <w:rPr>
                <w:noProof/>
              </w:rPr>
              <w:fldChar w:fldCharType="end"/>
            </w:r>
          </w:hyperlink>
        </w:p>
        <w:p w14:paraId="38F04EF5" w14:textId="06EBC615"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0" w:history="1">
            <w:r w:rsidRPr="00D83090">
              <w:rPr>
                <w:rStyle w:val="Hyperlink"/>
                <w:b/>
                <w:bCs/>
                <w:noProof/>
              </w:rPr>
              <w:t>1.5 An Analysis of the Brand's Market Entry Strategy in the UK</w:t>
            </w:r>
            <w:r>
              <w:rPr>
                <w:noProof/>
              </w:rPr>
              <w:tab/>
            </w:r>
            <w:r>
              <w:rPr>
                <w:noProof/>
              </w:rPr>
              <w:fldChar w:fldCharType="begin"/>
            </w:r>
            <w:r>
              <w:rPr>
                <w:noProof/>
              </w:rPr>
              <w:instrText xml:space="preserve"> PAGEREF _Toc237341110 \h </w:instrText>
            </w:r>
            <w:r>
              <w:rPr>
                <w:noProof/>
              </w:rPr>
            </w:r>
            <w:r>
              <w:rPr>
                <w:noProof/>
              </w:rPr>
              <w:fldChar w:fldCharType="separate"/>
            </w:r>
            <w:r>
              <w:rPr>
                <w:noProof/>
              </w:rPr>
              <w:t>18</w:t>
            </w:r>
            <w:r>
              <w:rPr>
                <w:noProof/>
              </w:rPr>
              <w:fldChar w:fldCharType="end"/>
            </w:r>
          </w:hyperlink>
        </w:p>
        <w:p w14:paraId="7611F1B4" w14:textId="061B540D"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1" w:history="1">
            <w:r w:rsidRPr="00D83090">
              <w:rPr>
                <w:rStyle w:val="Hyperlink"/>
                <w:b/>
                <w:bCs/>
                <w:noProof/>
              </w:rPr>
              <w:t>1.6 Ethical Issues Related to the Brand's Marketing Mix in Japan</w:t>
            </w:r>
            <w:r>
              <w:rPr>
                <w:noProof/>
              </w:rPr>
              <w:tab/>
            </w:r>
            <w:r>
              <w:rPr>
                <w:noProof/>
              </w:rPr>
              <w:fldChar w:fldCharType="begin"/>
            </w:r>
            <w:r>
              <w:rPr>
                <w:noProof/>
              </w:rPr>
              <w:instrText xml:space="preserve"> PAGEREF _Toc237341111 \h </w:instrText>
            </w:r>
            <w:r>
              <w:rPr>
                <w:noProof/>
              </w:rPr>
            </w:r>
            <w:r>
              <w:rPr>
                <w:noProof/>
              </w:rPr>
              <w:fldChar w:fldCharType="separate"/>
            </w:r>
            <w:r>
              <w:rPr>
                <w:noProof/>
              </w:rPr>
              <w:t>19</w:t>
            </w:r>
            <w:r>
              <w:rPr>
                <w:noProof/>
              </w:rPr>
              <w:fldChar w:fldCharType="end"/>
            </w:r>
          </w:hyperlink>
        </w:p>
        <w:p w14:paraId="29728B64" w14:textId="409AB72A"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2" w:history="1">
            <w:r w:rsidRPr="00D83090">
              <w:rPr>
                <w:rStyle w:val="Hyperlink"/>
                <w:b/>
                <w:bCs/>
                <w:noProof/>
              </w:rPr>
              <w:t>1.7 Strategic Recommendations: STP Evolution</w:t>
            </w:r>
            <w:r>
              <w:rPr>
                <w:noProof/>
              </w:rPr>
              <w:tab/>
            </w:r>
            <w:r>
              <w:rPr>
                <w:noProof/>
              </w:rPr>
              <w:fldChar w:fldCharType="begin"/>
            </w:r>
            <w:r>
              <w:rPr>
                <w:noProof/>
              </w:rPr>
              <w:instrText xml:space="preserve"> PAGEREF _Toc237341112 \h </w:instrText>
            </w:r>
            <w:r>
              <w:rPr>
                <w:noProof/>
              </w:rPr>
            </w:r>
            <w:r>
              <w:rPr>
                <w:noProof/>
              </w:rPr>
              <w:fldChar w:fldCharType="separate"/>
            </w:r>
            <w:r>
              <w:rPr>
                <w:noProof/>
              </w:rPr>
              <w:t>19</w:t>
            </w:r>
            <w:r>
              <w:rPr>
                <w:noProof/>
              </w:rPr>
              <w:fldChar w:fldCharType="end"/>
            </w:r>
          </w:hyperlink>
        </w:p>
        <w:p w14:paraId="2A5A3EB1" w14:textId="44D56838"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3" w:history="1">
            <w:r w:rsidRPr="00D83090">
              <w:rPr>
                <w:rStyle w:val="Hyperlink"/>
                <w:b/>
                <w:bCs/>
                <w:noProof/>
              </w:rPr>
              <w:t>1.8 Conclusion</w:t>
            </w:r>
            <w:r>
              <w:rPr>
                <w:noProof/>
              </w:rPr>
              <w:tab/>
            </w:r>
            <w:r>
              <w:rPr>
                <w:noProof/>
              </w:rPr>
              <w:fldChar w:fldCharType="begin"/>
            </w:r>
            <w:r>
              <w:rPr>
                <w:noProof/>
              </w:rPr>
              <w:instrText xml:space="preserve"> PAGEREF _Toc237341113 \h </w:instrText>
            </w:r>
            <w:r>
              <w:rPr>
                <w:noProof/>
              </w:rPr>
            </w:r>
            <w:r>
              <w:rPr>
                <w:noProof/>
              </w:rPr>
              <w:fldChar w:fldCharType="separate"/>
            </w:r>
            <w:r>
              <w:rPr>
                <w:noProof/>
              </w:rPr>
              <w:t>20</w:t>
            </w:r>
            <w:r>
              <w:rPr>
                <w:noProof/>
              </w:rPr>
              <w:fldChar w:fldCharType="end"/>
            </w:r>
          </w:hyperlink>
        </w:p>
        <w:p w14:paraId="6323CB17" w14:textId="49C09179" w:rsidR="00553E31" w:rsidRDefault="00553E31">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341114" w:history="1">
            <w:r w:rsidRPr="00D83090">
              <w:rPr>
                <w:rStyle w:val="Hyperlink"/>
                <w:b/>
                <w:bCs/>
                <w:noProof/>
              </w:rPr>
              <w:t>Section 2: Gibbs' Reflective Cycle</w:t>
            </w:r>
            <w:r>
              <w:rPr>
                <w:noProof/>
              </w:rPr>
              <w:tab/>
            </w:r>
            <w:r>
              <w:rPr>
                <w:noProof/>
              </w:rPr>
              <w:fldChar w:fldCharType="begin"/>
            </w:r>
            <w:r>
              <w:rPr>
                <w:noProof/>
              </w:rPr>
              <w:instrText xml:space="preserve"> PAGEREF _Toc237341114 \h </w:instrText>
            </w:r>
            <w:r>
              <w:rPr>
                <w:noProof/>
              </w:rPr>
            </w:r>
            <w:r>
              <w:rPr>
                <w:noProof/>
              </w:rPr>
              <w:fldChar w:fldCharType="separate"/>
            </w:r>
            <w:r>
              <w:rPr>
                <w:noProof/>
              </w:rPr>
              <w:t>21</w:t>
            </w:r>
            <w:r>
              <w:rPr>
                <w:noProof/>
              </w:rPr>
              <w:fldChar w:fldCharType="end"/>
            </w:r>
          </w:hyperlink>
        </w:p>
        <w:p w14:paraId="6F33136F" w14:textId="4E7AC7F9"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5" w:history="1">
            <w:r w:rsidRPr="00D83090">
              <w:rPr>
                <w:rStyle w:val="Hyperlink"/>
                <w:b/>
                <w:bCs/>
                <w:noProof/>
              </w:rPr>
              <w:t>2.1 Gibbs' Reflective Cycle: Definition</w:t>
            </w:r>
            <w:r>
              <w:rPr>
                <w:noProof/>
              </w:rPr>
              <w:tab/>
            </w:r>
            <w:r>
              <w:rPr>
                <w:noProof/>
              </w:rPr>
              <w:fldChar w:fldCharType="begin"/>
            </w:r>
            <w:r>
              <w:rPr>
                <w:noProof/>
              </w:rPr>
              <w:instrText xml:space="preserve"> PAGEREF _Toc237341115 \h </w:instrText>
            </w:r>
            <w:r>
              <w:rPr>
                <w:noProof/>
              </w:rPr>
            </w:r>
            <w:r>
              <w:rPr>
                <w:noProof/>
              </w:rPr>
              <w:fldChar w:fldCharType="separate"/>
            </w:r>
            <w:r>
              <w:rPr>
                <w:noProof/>
              </w:rPr>
              <w:t>21</w:t>
            </w:r>
            <w:r>
              <w:rPr>
                <w:noProof/>
              </w:rPr>
              <w:fldChar w:fldCharType="end"/>
            </w:r>
          </w:hyperlink>
        </w:p>
        <w:p w14:paraId="157D809D" w14:textId="2D349B62"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6" w:history="1">
            <w:r w:rsidRPr="00D83090">
              <w:rPr>
                <w:rStyle w:val="Hyperlink"/>
                <w:b/>
                <w:bCs/>
                <w:noProof/>
              </w:rPr>
              <w:t>2.2 Description: The Research Task</w:t>
            </w:r>
            <w:r>
              <w:rPr>
                <w:noProof/>
              </w:rPr>
              <w:tab/>
            </w:r>
            <w:r>
              <w:rPr>
                <w:noProof/>
              </w:rPr>
              <w:fldChar w:fldCharType="begin"/>
            </w:r>
            <w:r>
              <w:rPr>
                <w:noProof/>
              </w:rPr>
              <w:instrText xml:space="preserve"> PAGEREF _Toc237341116 \h </w:instrText>
            </w:r>
            <w:r>
              <w:rPr>
                <w:noProof/>
              </w:rPr>
            </w:r>
            <w:r>
              <w:rPr>
                <w:noProof/>
              </w:rPr>
              <w:fldChar w:fldCharType="separate"/>
            </w:r>
            <w:r>
              <w:rPr>
                <w:noProof/>
              </w:rPr>
              <w:t>21</w:t>
            </w:r>
            <w:r>
              <w:rPr>
                <w:noProof/>
              </w:rPr>
              <w:fldChar w:fldCharType="end"/>
            </w:r>
          </w:hyperlink>
        </w:p>
        <w:p w14:paraId="0ABBC11C" w14:textId="02261044"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7" w:history="1">
            <w:r w:rsidRPr="00D83090">
              <w:rPr>
                <w:rStyle w:val="Hyperlink"/>
                <w:b/>
                <w:bCs/>
                <w:noProof/>
              </w:rPr>
              <w:t>2.3 Feelings</w:t>
            </w:r>
            <w:r>
              <w:rPr>
                <w:noProof/>
              </w:rPr>
              <w:tab/>
            </w:r>
            <w:r>
              <w:rPr>
                <w:noProof/>
              </w:rPr>
              <w:fldChar w:fldCharType="begin"/>
            </w:r>
            <w:r>
              <w:rPr>
                <w:noProof/>
              </w:rPr>
              <w:instrText xml:space="preserve"> PAGEREF _Toc237341117 \h </w:instrText>
            </w:r>
            <w:r>
              <w:rPr>
                <w:noProof/>
              </w:rPr>
            </w:r>
            <w:r>
              <w:rPr>
                <w:noProof/>
              </w:rPr>
              <w:fldChar w:fldCharType="separate"/>
            </w:r>
            <w:r>
              <w:rPr>
                <w:noProof/>
              </w:rPr>
              <w:t>22</w:t>
            </w:r>
            <w:r>
              <w:rPr>
                <w:noProof/>
              </w:rPr>
              <w:fldChar w:fldCharType="end"/>
            </w:r>
          </w:hyperlink>
        </w:p>
        <w:p w14:paraId="5FEBF9E1" w14:textId="0F48B8E9"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8" w:history="1">
            <w:r w:rsidRPr="00D83090">
              <w:rPr>
                <w:rStyle w:val="Hyperlink"/>
                <w:b/>
                <w:bCs/>
                <w:noProof/>
              </w:rPr>
              <w:t>2.4 Evaluation: Strengths and Weaknesses</w:t>
            </w:r>
            <w:r>
              <w:rPr>
                <w:noProof/>
              </w:rPr>
              <w:tab/>
            </w:r>
            <w:r>
              <w:rPr>
                <w:noProof/>
              </w:rPr>
              <w:fldChar w:fldCharType="begin"/>
            </w:r>
            <w:r>
              <w:rPr>
                <w:noProof/>
              </w:rPr>
              <w:instrText xml:space="preserve"> PAGEREF _Toc237341118 \h </w:instrText>
            </w:r>
            <w:r>
              <w:rPr>
                <w:noProof/>
              </w:rPr>
            </w:r>
            <w:r>
              <w:rPr>
                <w:noProof/>
              </w:rPr>
              <w:fldChar w:fldCharType="separate"/>
            </w:r>
            <w:r>
              <w:rPr>
                <w:noProof/>
              </w:rPr>
              <w:t>22</w:t>
            </w:r>
            <w:r>
              <w:rPr>
                <w:noProof/>
              </w:rPr>
              <w:fldChar w:fldCharType="end"/>
            </w:r>
          </w:hyperlink>
        </w:p>
        <w:p w14:paraId="7ADE1B1B" w14:textId="0468DCF9"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19" w:history="1">
            <w:r w:rsidRPr="00D83090">
              <w:rPr>
                <w:rStyle w:val="Hyperlink"/>
                <w:b/>
                <w:bCs/>
                <w:noProof/>
              </w:rPr>
              <w:t>2.5 Analysis: What the Three Methods Taught Me</w:t>
            </w:r>
            <w:r>
              <w:rPr>
                <w:noProof/>
              </w:rPr>
              <w:tab/>
            </w:r>
            <w:r>
              <w:rPr>
                <w:noProof/>
              </w:rPr>
              <w:fldChar w:fldCharType="begin"/>
            </w:r>
            <w:r>
              <w:rPr>
                <w:noProof/>
              </w:rPr>
              <w:instrText xml:space="preserve"> PAGEREF _Toc237341119 \h </w:instrText>
            </w:r>
            <w:r>
              <w:rPr>
                <w:noProof/>
              </w:rPr>
            </w:r>
            <w:r>
              <w:rPr>
                <w:noProof/>
              </w:rPr>
              <w:fldChar w:fldCharType="separate"/>
            </w:r>
            <w:r>
              <w:rPr>
                <w:noProof/>
              </w:rPr>
              <w:t>22</w:t>
            </w:r>
            <w:r>
              <w:rPr>
                <w:noProof/>
              </w:rPr>
              <w:fldChar w:fldCharType="end"/>
            </w:r>
          </w:hyperlink>
        </w:p>
        <w:p w14:paraId="35C2CA01" w14:textId="6CB9BF10"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20" w:history="1">
            <w:r w:rsidRPr="00D83090">
              <w:rPr>
                <w:rStyle w:val="Hyperlink"/>
                <w:b/>
                <w:bCs/>
                <w:noProof/>
              </w:rPr>
              <w:t>2.6 Conclusion</w:t>
            </w:r>
            <w:r>
              <w:rPr>
                <w:noProof/>
              </w:rPr>
              <w:tab/>
            </w:r>
            <w:r>
              <w:rPr>
                <w:noProof/>
              </w:rPr>
              <w:fldChar w:fldCharType="begin"/>
            </w:r>
            <w:r>
              <w:rPr>
                <w:noProof/>
              </w:rPr>
              <w:instrText xml:space="preserve"> PAGEREF _Toc237341120 \h </w:instrText>
            </w:r>
            <w:r>
              <w:rPr>
                <w:noProof/>
              </w:rPr>
            </w:r>
            <w:r>
              <w:rPr>
                <w:noProof/>
              </w:rPr>
              <w:fldChar w:fldCharType="separate"/>
            </w:r>
            <w:r>
              <w:rPr>
                <w:noProof/>
              </w:rPr>
              <w:t>23</w:t>
            </w:r>
            <w:r>
              <w:rPr>
                <w:noProof/>
              </w:rPr>
              <w:fldChar w:fldCharType="end"/>
            </w:r>
          </w:hyperlink>
        </w:p>
        <w:p w14:paraId="0CCC511F" w14:textId="39477457"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21" w:history="1">
            <w:r w:rsidRPr="00D83090">
              <w:rPr>
                <w:rStyle w:val="Hyperlink"/>
                <w:b/>
                <w:bCs/>
                <w:noProof/>
              </w:rPr>
              <w:t>2.7 Overall Skills Gained</w:t>
            </w:r>
            <w:r>
              <w:rPr>
                <w:noProof/>
              </w:rPr>
              <w:tab/>
            </w:r>
            <w:r>
              <w:rPr>
                <w:noProof/>
              </w:rPr>
              <w:fldChar w:fldCharType="begin"/>
            </w:r>
            <w:r>
              <w:rPr>
                <w:noProof/>
              </w:rPr>
              <w:instrText xml:space="preserve"> PAGEREF _Toc237341121 \h </w:instrText>
            </w:r>
            <w:r>
              <w:rPr>
                <w:noProof/>
              </w:rPr>
            </w:r>
            <w:r>
              <w:rPr>
                <w:noProof/>
              </w:rPr>
              <w:fldChar w:fldCharType="separate"/>
            </w:r>
            <w:r>
              <w:rPr>
                <w:noProof/>
              </w:rPr>
              <w:t>23</w:t>
            </w:r>
            <w:r>
              <w:rPr>
                <w:noProof/>
              </w:rPr>
              <w:fldChar w:fldCharType="end"/>
            </w:r>
          </w:hyperlink>
        </w:p>
        <w:p w14:paraId="1550D40D" w14:textId="0EB3AC15" w:rsidR="00553E31" w:rsidRDefault="00553E31">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7341122" w:history="1">
            <w:r w:rsidRPr="00D83090">
              <w:rPr>
                <w:rStyle w:val="Hyperlink"/>
                <w:b/>
                <w:bCs/>
                <w:noProof/>
              </w:rPr>
              <w:t>2.8 Action Plan</w:t>
            </w:r>
            <w:r>
              <w:rPr>
                <w:noProof/>
              </w:rPr>
              <w:tab/>
            </w:r>
            <w:r>
              <w:rPr>
                <w:noProof/>
              </w:rPr>
              <w:fldChar w:fldCharType="begin"/>
            </w:r>
            <w:r>
              <w:rPr>
                <w:noProof/>
              </w:rPr>
              <w:instrText xml:space="preserve"> PAGEREF _Toc237341122 \h </w:instrText>
            </w:r>
            <w:r>
              <w:rPr>
                <w:noProof/>
              </w:rPr>
            </w:r>
            <w:r>
              <w:rPr>
                <w:noProof/>
              </w:rPr>
              <w:fldChar w:fldCharType="separate"/>
            </w:r>
            <w:r>
              <w:rPr>
                <w:noProof/>
              </w:rPr>
              <w:t>23</w:t>
            </w:r>
            <w:r>
              <w:rPr>
                <w:noProof/>
              </w:rPr>
              <w:fldChar w:fldCharType="end"/>
            </w:r>
          </w:hyperlink>
        </w:p>
        <w:p w14:paraId="58E3BCA1" w14:textId="526C7812" w:rsidR="00553E31" w:rsidRDefault="00553E31">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7341123" w:history="1">
            <w:r w:rsidRPr="00D83090">
              <w:rPr>
                <w:rStyle w:val="Hyperlink"/>
                <w:b/>
                <w:bCs/>
                <w:noProof/>
              </w:rPr>
              <w:t>Reference List</w:t>
            </w:r>
            <w:r>
              <w:rPr>
                <w:noProof/>
              </w:rPr>
              <w:tab/>
            </w:r>
            <w:r>
              <w:rPr>
                <w:noProof/>
              </w:rPr>
              <w:fldChar w:fldCharType="begin"/>
            </w:r>
            <w:r>
              <w:rPr>
                <w:noProof/>
              </w:rPr>
              <w:instrText xml:space="preserve"> PAGEREF _Toc237341123 \h </w:instrText>
            </w:r>
            <w:r>
              <w:rPr>
                <w:noProof/>
              </w:rPr>
            </w:r>
            <w:r>
              <w:rPr>
                <w:noProof/>
              </w:rPr>
              <w:fldChar w:fldCharType="separate"/>
            </w:r>
            <w:r>
              <w:rPr>
                <w:noProof/>
              </w:rPr>
              <w:t>24</w:t>
            </w:r>
            <w:r>
              <w:rPr>
                <w:noProof/>
              </w:rPr>
              <w:fldChar w:fldCharType="end"/>
            </w:r>
          </w:hyperlink>
        </w:p>
        <w:p w14:paraId="3442E191" w14:textId="33C85863" w:rsidR="00EF1A36" w:rsidRDefault="00000000">
          <w:r>
            <w:fldChar w:fldCharType="end"/>
          </w:r>
        </w:p>
      </w:sdtContent>
    </w:sdt>
    <w:p w14:paraId="04D44861" w14:textId="787B57B5" w:rsidR="00EF1A36" w:rsidRDefault="00EF1A36">
      <w:pPr>
        <w:spacing w:before="200"/>
      </w:pPr>
    </w:p>
    <w:p w14:paraId="5EE95667" w14:textId="77777777" w:rsidR="00EF1A36" w:rsidRDefault="00000000">
      <w:r>
        <w:br w:type="page"/>
      </w:r>
    </w:p>
    <w:p w14:paraId="38A48ADB" w14:textId="77777777" w:rsidR="00EF1A36" w:rsidRDefault="00000000">
      <w:pPr>
        <w:pStyle w:val="Heading1"/>
        <w:spacing w:after="240"/>
      </w:pPr>
      <w:bookmarkStart w:id="0" w:name="_Toc237341093"/>
      <w:r>
        <w:rPr>
          <w:b/>
          <w:bCs/>
          <w:color w:val="1B2A4A"/>
        </w:rPr>
        <w:lastRenderedPageBreak/>
        <w:t>Section 1: Report on the International Market Entry Strategy and Marketing Mix</w:t>
      </w:r>
      <w:bookmarkEnd w:id="0"/>
    </w:p>
    <w:p w14:paraId="1B6FBA71" w14:textId="77777777" w:rsidR="00EF1A36" w:rsidRDefault="00000000">
      <w:pPr>
        <w:pStyle w:val="Heading2"/>
        <w:spacing w:before="320" w:after="140"/>
      </w:pPr>
      <w:bookmarkStart w:id="1" w:name="_Toc237341094"/>
      <w:r>
        <w:rPr>
          <w:b/>
          <w:bCs/>
          <w:color w:val="1B2A4A"/>
          <w:sz w:val="27"/>
          <w:szCs w:val="27"/>
        </w:rPr>
        <w:t>1.1 Introduction</w:t>
      </w:r>
      <w:bookmarkEnd w:id="1"/>
    </w:p>
    <w:p w14:paraId="28505473" w14:textId="77777777" w:rsidR="00EF1A36" w:rsidRDefault="00000000">
      <w:pPr>
        <w:spacing w:after="160" w:line="300" w:lineRule="auto"/>
        <w:jc w:val="both"/>
      </w:pPr>
      <w:r>
        <w:t>This report examines the international marketing strategy of Adidas, comparing its approach in the United Kingdom (Country A) and Japan (Country B). It applies PESTLE analysis and Hofstede's cultural dimensions to the macro-environment, compares Segmentation, Targeting and Positioning (STP) and the extended 7Ps marketing mix, evaluates Adidas' UK market entry method, discusses ethical issues in Japan, and closes with country-specific recommendations for evolving the STP strategy. The analysis draws on secondary sources — academic literature, company disclosures and market-research data — and uses established international-marketing frameworks throughout so that findings for the two markets can be compared on a like-for-like basis.</w:t>
      </w:r>
    </w:p>
    <w:p w14:paraId="2CC479A0" w14:textId="77777777" w:rsidR="00EF1A36" w:rsidRDefault="00000000">
      <w:pPr>
        <w:pStyle w:val="Heading2"/>
        <w:spacing w:before="320" w:after="140"/>
      </w:pPr>
      <w:bookmarkStart w:id="2" w:name="_Toc237341095"/>
      <w:r>
        <w:rPr>
          <w:b/>
          <w:bCs/>
          <w:color w:val="1B2A4A"/>
          <w:sz w:val="27"/>
          <w:szCs w:val="27"/>
        </w:rPr>
        <w:t>1.2 Company Background</w:t>
      </w:r>
      <w:bookmarkEnd w:id="2"/>
    </w:p>
    <w:p w14:paraId="087AAB4C" w14:textId="77777777" w:rsidR="00EF1A36" w:rsidRDefault="00000000">
      <w:pPr>
        <w:spacing w:after="160" w:line="300" w:lineRule="auto"/>
        <w:jc w:val="both"/>
      </w:pPr>
      <w:r>
        <w:t xml:space="preserve">Adidas, founded in Germany in 1949 by Adolf Dassler, is one of the world's leading sportswear and lifestyle brands, built on innovation, performance and strong brand equity. It entered Japan in 1970 through local distribution operations. Adidas pursues an integrated international strategy, adapting products and marketing to local markets: the UK is a mature, competitive sportswear market with informed, sustainability- and fashion-conscious consumers, while Japan is a highly developed market where quality, technological precision and brand image drive consumer choice, alongside strong cultural expectations around retail service and design (de </w:t>
      </w:r>
      <w:proofErr w:type="spellStart"/>
      <w:r>
        <w:t>Mooij</w:t>
      </w:r>
      <w:proofErr w:type="spellEnd"/>
      <w:r>
        <w:t xml:space="preserve"> and Hofstede, 2010). These contrasts, individualistic and trend-led in the UK versus quality- and relationship-oriented in Japan, provide a strong basis for analysing international marketing adaptation. Globally, Adidas employs around 60,000–65,000 people and operates a portfolio spanning footwear, apparel, accessories and licensed categories (fourweekmba.com, 2026), giving it the scale to run parallel, locally adapted strategies in both markets without losing overall brand coherence. Adidas' vision is to be the world's leading sports brand, and its purpose statement is "Through sport, we have the power to change lives."</w:t>
      </w:r>
    </w:p>
    <w:p w14:paraId="650A309D" w14:textId="77777777" w:rsidR="00EF1A36" w:rsidRDefault="00000000">
      <w:pPr>
        <w:pStyle w:val="Heading2"/>
        <w:spacing w:before="320" w:after="140"/>
      </w:pPr>
      <w:bookmarkStart w:id="3" w:name="_Toc237341096"/>
      <w:r>
        <w:rPr>
          <w:b/>
          <w:bCs/>
          <w:color w:val="1B2A4A"/>
          <w:sz w:val="27"/>
          <w:szCs w:val="27"/>
        </w:rPr>
        <w:t>1.3 A Comparative Analysis of the Market in Japan and the UK: PESTLE Application</w:t>
      </w:r>
      <w:bookmarkEnd w:id="3"/>
    </w:p>
    <w:p w14:paraId="52F7E51B" w14:textId="77777777" w:rsidR="00EF1A36" w:rsidRDefault="00000000">
      <w:pPr>
        <w:pStyle w:val="Heading3"/>
        <w:spacing w:before="240" w:after="100"/>
      </w:pPr>
      <w:bookmarkStart w:id="4" w:name="_Toc237341097"/>
      <w:r>
        <w:rPr>
          <w:b/>
          <w:bCs/>
          <w:color w:val="2F5F8A"/>
        </w:rPr>
        <w:t>Political</w:t>
      </w:r>
      <w:bookmarkEnd w:id="4"/>
    </w:p>
    <w:p w14:paraId="0B1D1022" w14:textId="77777777" w:rsidR="00EF1A36" w:rsidRDefault="00000000">
      <w:pPr>
        <w:spacing w:after="160" w:line="300" w:lineRule="auto"/>
        <w:jc w:val="both"/>
      </w:pPr>
      <w:r>
        <w:rPr>
          <w:b/>
          <w:bCs/>
        </w:rPr>
        <w:t>UK:</w:t>
      </w:r>
      <w:r>
        <w:t xml:space="preserve"> The political climate is stable with clear, well-established trade law (Davies </w:t>
      </w:r>
      <w:r>
        <w:rPr>
          <w:i/>
          <w:iCs/>
        </w:rPr>
        <w:t>et al.</w:t>
      </w:r>
      <w:r>
        <w:t>, 2021). Post-Brexit customs requirements have added complexity, but government support for innovation, sustainability and digital trade creates opportunity.</w:t>
      </w:r>
    </w:p>
    <w:p w14:paraId="75009B3A" w14:textId="77777777" w:rsidR="00EF1A36" w:rsidRDefault="00000000">
      <w:pPr>
        <w:spacing w:after="160" w:line="300" w:lineRule="auto"/>
        <w:jc w:val="both"/>
      </w:pPr>
      <w:r>
        <w:rPr>
          <w:b/>
          <w:bCs/>
        </w:rPr>
        <w:t>Japan:</w:t>
      </w:r>
      <w:r>
        <w:t xml:space="preserve"> Japan's political and economic institutions are stable with minimal corruption (Calder, 2021), and government policy actively welcomes foreign investment and innovation.</w:t>
      </w:r>
    </w:p>
    <w:p w14:paraId="334FE6B9" w14:textId="77777777" w:rsidR="00EF1A36" w:rsidRDefault="00000000">
      <w:pPr>
        <w:spacing w:after="160" w:line="300" w:lineRule="auto"/>
        <w:jc w:val="both"/>
      </w:pPr>
      <w:r>
        <w:rPr>
          <w:b/>
          <w:bCs/>
        </w:rPr>
        <w:lastRenderedPageBreak/>
        <w:t>Comparative evaluation:</w:t>
      </w:r>
      <w:r>
        <w:t xml:space="preserve"> Both markets are politically low-risk with sound legal systems, but the UK faces more regulatory change post-Brexit while Japan offers longer-term policy stability, meaning Adidas' UK political-risk planning must be more adaptive year-to-year than its Japan planning.</w:t>
      </w:r>
    </w:p>
    <w:p w14:paraId="1B531B34" w14:textId="77777777" w:rsidR="00EF1A36" w:rsidRDefault="00000000">
      <w:pPr>
        <w:pStyle w:val="Heading3"/>
        <w:spacing w:before="240" w:after="100"/>
      </w:pPr>
      <w:bookmarkStart w:id="5" w:name="_Toc237341098"/>
      <w:r>
        <w:rPr>
          <w:b/>
          <w:bCs/>
          <w:color w:val="2F5F8A"/>
        </w:rPr>
        <w:t>Economic</w:t>
      </w:r>
      <w:bookmarkEnd w:id="5"/>
    </w:p>
    <w:p w14:paraId="5E47651E" w14:textId="77777777" w:rsidR="00EF1A36" w:rsidRDefault="00000000">
      <w:pPr>
        <w:spacing w:after="160" w:line="300" w:lineRule="auto"/>
        <w:jc w:val="both"/>
      </w:pPr>
      <w:r>
        <w:rPr>
          <w:b/>
          <w:bCs/>
        </w:rPr>
        <w:t>UK:</w:t>
      </w:r>
      <w:r>
        <w:t xml:space="preserve"> The UK offers high purchasing power and a developed retail sector. Despite inflation reaching 9% (Race, 2022), demand for premium sportswear has remained strong, aided by digital and omnichannel retailing.</w:t>
      </w:r>
    </w:p>
    <w:p w14:paraId="73FF17D2" w14:textId="77777777" w:rsidR="00EF1A36" w:rsidRDefault="00000000">
      <w:pPr>
        <w:spacing w:before="160" w:after="60"/>
        <w:jc w:val="center"/>
      </w:pPr>
      <w:r>
        <w:rPr>
          <w:noProof/>
        </w:rPr>
        <w:drawing>
          <wp:inline distT="0" distB="0" distL="0" distR="0" wp14:anchorId="2534B8D4" wp14:editId="72A35642">
            <wp:extent cx="3933825" cy="3076575"/>
            <wp:effectExtent l="0" t="0" r="0" b="0"/>
            <wp:docPr id="1521886460" name="Picture 152188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3933825" cy="3076575"/>
                    </a:xfrm>
                    <a:prstGeom prst="rect">
                      <a:avLst/>
                    </a:prstGeom>
                  </pic:spPr>
                </pic:pic>
              </a:graphicData>
            </a:graphic>
          </wp:inline>
        </w:drawing>
      </w:r>
    </w:p>
    <w:p w14:paraId="1C41D105" w14:textId="77777777" w:rsidR="00EF1A36" w:rsidRDefault="00000000">
      <w:pPr>
        <w:spacing w:after="20"/>
        <w:jc w:val="center"/>
      </w:pPr>
      <w:r>
        <w:rPr>
          <w:b/>
          <w:bCs/>
          <w:sz w:val="20"/>
          <w:szCs w:val="20"/>
        </w:rPr>
        <w:t>Figure 1: Rising inflation in the UK</w:t>
      </w:r>
    </w:p>
    <w:p w14:paraId="23FC7EB7" w14:textId="77777777" w:rsidR="00EF1A36" w:rsidRDefault="00000000">
      <w:pPr>
        <w:spacing w:after="220"/>
        <w:jc w:val="center"/>
      </w:pPr>
      <w:r>
        <w:rPr>
          <w:i/>
          <w:iCs/>
          <w:color w:val="555555"/>
          <w:sz w:val="18"/>
          <w:szCs w:val="18"/>
        </w:rPr>
        <w:t>Source: Race, 2022</w:t>
      </w:r>
    </w:p>
    <w:p w14:paraId="2895FA6A" w14:textId="77777777" w:rsidR="00EF1A36" w:rsidRDefault="00000000">
      <w:pPr>
        <w:spacing w:after="160" w:line="300" w:lineRule="auto"/>
        <w:jc w:val="both"/>
      </w:pPr>
      <w:r>
        <w:rPr>
          <w:b/>
          <w:bCs/>
        </w:rPr>
        <w:t>Japan:</w:t>
      </w:r>
      <w:r>
        <w:t xml:space="preserve"> Japan remains one of the largest global economies, with GDP growth of around 4% (McVey </w:t>
      </w:r>
      <w:r>
        <w:rPr>
          <w:i/>
          <w:iCs/>
        </w:rPr>
        <w:t>et al.</w:t>
      </w:r>
      <w:r>
        <w:t>, 2026); despite broader economic headwinds, consumers continue to pay for quality foreign brands.</w:t>
      </w:r>
    </w:p>
    <w:p w14:paraId="1CB4765F" w14:textId="77777777" w:rsidR="00EF1A36" w:rsidRDefault="00000000">
      <w:pPr>
        <w:spacing w:before="160" w:after="60"/>
        <w:jc w:val="center"/>
      </w:pPr>
      <w:r>
        <w:rPr>
          <w:noProof/>
        </w:rPr>
        <w:drawing>
          <wp:inline distT="0" distB="0" distL="0" distR="0" wp14:anchorId="7F31197C" wp14:editId="19AB9F76">
            <wp:extent cx="5486400" cy="2019300"/>
            <wp:effectExtent l="0" t="0" r="0" b="0"/>
            <wp:docPr id="797971911" name="Picture 79797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486400" cy="2019300"/>
                    </a:xfrm>
                    <a:prstGeom prst="rect">
                      <a:avLst/>
                    </a:prstGeom>
                  </pic:spPr>
                </pic:pic>
              </a:graphicData>
            </a:graphic>
          </wp:inline>
        </w:drawing>
      </w:r>
    </w:p>
    <w:p w14:paraId="522DE763" w14:textId="77777777" w:rsidR="00EF1A36" w:rsidRDefault="00000000">
      <w:pPr>
        <w:spacing w:after="20"/>
        <w:jc w:val="center"/>
      </w:pPr>
      <w:r>
        <w:rPr>
          <w:b/>
          <w:bCs/>
          <w:sz w:val="20"/>
          <w:szCs w:val="20"/>
        </w:rPr>
        <w:t>Figure 2: Japan GDP growth</w:t>
      </w:r>
    </w:p>
    <w:p w14:paraId="4612A8BE" w14:textId="77777777" w:rsidR="00EF1A36" w:rsidRDefault="00000000">
      <w:pPr>
        <w:spacing w:after="220"/>
        <w:jc w:val="center"/>
      </w:pPr>
      <w:r>
        <w:rPr>
          <w:i/>
          <w:iCs/>
          <w:color w:val="555555"/>
          <w:sz w:val="18"/>
          <w:szCs w:val="18"/>
        </w:rPr>
        <w:t>Source: McVey et al., 2026</w:t>
      </w:r>
    </w:p>
    <w:p w14:paraId="54E04A74" w14:textId="77777777" w:rsidR="00EF1A36" w:rsidRDefault="00000000">
      <w:pPr>
        <w:spacing w:after="160" w:line="300" w:lineRule="auto"/>
        <w:jc w:val="both"/>
      </w:pPr>
      <w:r>
        <w:rPr>
          <w:b/>
          <w:bCs/>
        </w:rPr>
        <w:lastRenderedPageBreak/>
        <w:t>Comparative evaluation:</w:t>
      </w:r>
      <w:r>
        <w:t xml:space="preserve"> Both economies support Adidas' premium pricing, but UK demand is more sensitive to economic downturns than Japan's.</w:t>
      </w:r>
    </w:p>
    <w:p w14:paraId="3B951E48" w14:textId="77777777" w:rsidR="00EF1A36" w:rsidRDefault="00000000">
      <w:pPr>
        <w:pStyle w:val="Heading3"/>
        <w:spacing w:before="240" w:after="100"/>
      </w:pPr>
      <w:bookmarkStart w:id="6" w:name="_Toc237341099"/>
      <w:r>
        <w:rPr>
          <w:b/>
          <w:bCs/>
          <w:color w:val="2F5F8A"/>
        </w:rPr>
        <w:t>Social</w:t>
      </w:r>
      <w:bookmarkEnd w:id="6"/>
    </w:p>
    <w:p w14:paraId="62B77756" w14:textId="77777777" w:rsidR="00EF1A36" w:rsidRDefault="00000000">
      <w:pPr>
        <w:spacing w:after="160" w:line="300" w:lineRule="auto"/>
        <w:jc w:val="both"/>
      </w:pPr>
      <w:r>
        <w:rPr>
          <w:b/>
          <w:bCs/>
        </w:rPr>
        <w:t>UK:</w:t>
      </w:r>
      <w:r>
        <w:t xml:space="preserve"> The UK is culturally diverse with high sport participation (Godfrey </w:t>
      </w:r>
      <w:r>
        <w:rPr>
          <w:i/>
          <w:iCs/>
        </w:rPr>
        <w:t>et al.</w:t>
      </w:r>
      <w:r>
        <w:t>, 2020); younger consumers prioritise sustainability, trends and digital engagement.</w:t>
      </w:r>
    </w:p>
    <w:p w14:paraId="336A0D83" w14:textId="77777777" w:rsidR="00EF1A36" w:rsidRDefault="00000000">
      <w:pPr>
        <w:spacing w:after="160" w:line="300" w:lineRule="auto"/>
        <w:jc w:val="both"/>
      </w:pPr>
      <w:r>
        <w:rPr>
          <w:b/>
          <w:bCs/>
        </w:rPr>
        <w:t>Japan:</w:t>
      </w:r>
      <w:r>
        <w:t xml:space="preserve"> Brand image, precision and functionality are central to Japanese consumers, and sportswear is closely tied to lifestyle and social identity (Sueda and Seo, 2024), producing strong brand loyalty once trust is earned.</w:t>
      </w:r>
    </w:p>
    <w:p w14:paraId="06952A51" w14:textId="77777777" w:rsidR="00EF1A36" w:rsidRDefault="00000000">
      <w:pPr>
        <w:spacing w:after="160" w:line="300" w:lineRule="auto"/>
        <w:jc w:val="both"/>
      </w:pPr>
      <w:r>
        <w:rPr>
          <w:b/>
          <w:bCs/>
        </w:rPr>
        <w:t>Comparative evaluation:</w:t>
      </w:r>
      <w:r>
        <w:t xml:space="preserve"> Interest in active lifestyles is high in both markets, but UK consumers prioritise individuality and sustainability while Japanese consumers prioritise quality, reliability and trust.</w:t>
      </w:r>
    </w:p>
    <w:p w14:paraId="23852318" w14:textId="77777777" w:rsidR="00EF1A36" w:rsidRDefault="00000000">
      <w:pPr>
        <w:pStyle w:val="Heading3"/>
        <w:spacing w:before="240" w:after="100"/>
      </w:pPr>
      <w:bookmarkStart w:id="7" w:name="_Toc237341100"/>
      <w:r>
        <w:rPr>
          <w:b/>
          <w:bCs/>
          <w:color w:val="2F5F8A"/>
        </w:rPr>
        <w:t>Comparative Hofstede Cultural Analysis (6 Dimensions)</w:t>
      </w:r>
      <w:bookmarkEnd w:id="7"/>
    </w:p>
    <w:p w14:paraId="45A01600" w14:textId="77777777" w:rsidR="00EF1A36" w:rsidRDefault="00000000">
      <w:pPr>
        <w:spacing w:after="160" w:line="300" w:lineRule="auto"/>
        <w:jc w:val="both"/>
      </w:pPr>
      <w:r>
        <w:t>Hofstede's model compares national culture across six dimensions (theculturefactor.com, 2026):</w:t>
      </w:r>
    </w:p>
    <w:p w14:paraId="2978E660" w14:textId="77777777" w:rsidR="00EF1A36" w:rsidRDefault="00000000">
      <w:pPr>
        <w:pStyle w:val="ListParagraph"/>
        <w:numPr>
          <w:ilvl w:val="0"/>
          <w:numId w:val="1"/>
        </w:numPr>
        <w:spacing w:after="100"/>
      </w:pPr>
      <w:r>
        <w:rPr>
          <w:b/>
          <w:bCs/>
        </w:rPr>
        <w:t>Power Distance:</w:t>
      </w:r>
      <w:r>
        <w:t xml:space="preserve"> Japan scores higher (54) than the UK (35), reflecting greater acceptance of hierarchy in Japanese organisations.</w:t>
      </w:r>
    </w:p>
    <w:p w14:paraId="1E2ACBB1" w14:textId="77777777" w:rsidR="00EF1A36" w:rsidRDefault="00000000">
      <w:pPr>
        <w:pStyle w:val="ListParagraph"/>
        <w:numPr>
          <w:ilvl w:val="0"/>
          <w:numId w:val="1"/>
        </w:numPr>
        <w:spacing w:after="100"/>
      </w:pPr>
      <w:r>
        <w:rPr>
          <w:b/>
          <w:bCs/>
        </w:rPr>
        <w:t>Individualism:</w:t>
      </w:r>
      <w:r>
        <w:t xml:space="preserve"> The UK (76) is markedly more individualist than Japan (62), favouring personal achievement, self-expression and distinctive style.</w:t>
      </w:r>
    </w:p>
    <w:p w14:paraId="6AD4FE78" w14:textId="77777777" w:rsidR="00EF1A36" w:rsidRDefault="00000000">
      <w:pPr>
        <w:pStyle w:val="ListParagraph"/>
        <w:numPr>
          <w:ilvl w:val="0"/>
          <w:numId w:val="1"/>
        </w:numPr>
        <w:spacing w:after="100"/>
      </w:pPr>
      <w:r>
        <w:rPr>
          <w:b/>
          <w:bCs/>
        </w:rPr>
        <w:t>Motivation Towards Success (Masculinity):</w:t>
      </w:r>
      <w:r>
        <w:t xml:space="preserve"> Japan scores very highly (95) versus the UK (66); Japanese consumers value excellence, discipline and continuous improvement, aligning well with Adidas' performance-innovation positioning.</w:t>
      </w:r>
    </w:p>
    <w:p w14:paraId="08333224" w14:textId="77777777" w:rsidR="00EF1A36" w:rsidRDefault="00000000">
      <w:pPr>
        <w:pStyle w:val="ListParagraph"/>
        <w:numPr>
          <w:ilvl w:val="0"/>
          <w:numId w:val="1"/>
        </w:numPr>
        <w:spacing w:after="100"/>
      </w:pPr>
      <w:r>
        <w:rPr>
          <w:b/>
          <w:bCs/>
        </w:rPr>
        <w:t>Uncertainty Avoidance:</w:t>
      </w:r>
      <w:r>
        <w:t xml:space="preserve"> Japan is very high (92) against the UK's low score (35), meaning detailed product information and consistent service quality matter far more to Japanese buyers.</w:t>
      </w:r>
    </w:p>
    <w:p w14:paraId="2F173BD0" w14:textId="77777777" w:rsidR="00EF1A36" w:rsidRDefault="00000000">
      <w:pPr>
        <w:pStyle w:val="ListParagraph"/>
        <w:numPr>
          <w:ilvl w:val="0"/>
          <w:numId w:val="1"/>
        </w:numPr>
        <w:spacing w:after="100"/>
      </w:pPr>
      <w:r>
        <w:rPr>
          <w:b/>
          <w:bCs/>
        </w:rPr>
        <w:t>Long-Term Orientation:</w:t>
      </w:r>
      <w:r>
        <w:t xml:space="preserve"> Japan scores near the maximum (100) versus the UK's 60, reflecting a preference for perseverance and long-term brand relationships over the UK's relatively more short/medium-term outlook.</w:t>
      </w:r>
    </w:p>
    <w:p w14:paraId="295E5EE6" w14:textId="77777777" w:rsidR="00EF1A36" w:rsidRDefault="00000000">
      <w:pPr>
        <w:pStyle w:val="ListParagraph"/>
        <w:numPr>
          <w:ilvl w:val="0"/>
          <w:numId w:val="1"/>
        </w:numPr>
        <w:spacing w:after="100"/>
      </w:pPr>
      <w:r>
        <w:rPr>
          <w:b/>
          <w:bCs/>
        </w:rPr>
        <w:t>Indulgence:</w:t>
      </w:r>
      <w:r>
        <w:t xml:space="preserve"> The UK (69) is notably more indulgent than Japan (42), indicating a stronger UK emphasis on leisure and self-reward.</w:t>
      </w:r>
    </w:p>
    <w:p w14:paraId="246B6A35" w14:textId="77777777" w:rsidR="00EF1A36" w:rsidRDefault="00000000">
      <w:pPr>
        <w:spacing w:before="160" w:after="60"/>
        <w:jc w:val="center"/>
      </w:pPr>
      <w:r>
        <w:rPr>
          <w:noProof/>
        </w:rPr>
        <w:lastRenderedPageBreak/>
        <w:drawing>
          <wp:inline distT="0" distB="0" distL="0" distR="0" wp14:anchorId="68113D9E" wp14:editId="7875C8BC">
            <wp:extent cx="5486400" cy="2895600"/>
            <wp:effectExtent l="0" t="0" r="0" b="0"/>
            <wp:docPr id="646214148" name="Picture 64621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486400" cy="2895600"/>
                    </a:xfrm>
                    <a:prstGeom prst="rect">
                      <a:avLst/>
                    </a:prstGeom>
                  </pic:spPr>
                </pic:pic>
              </a:graphicData>
            </a:graphic>
          </wp:inline>
        </w:drawing>
      </w:r>
    </w:p>
    <w:p w14:paraId="47D64620" w14:textId="77777777" w:rsidR="00EF1A36" w:rsidRDefault="00000000">
      <w:pPr>
        <w:spacing w:after="20"/>
        <w:jc w:val="center"/>
      </w:pPr>
      <w:r>
        <w:rPr>
          <w:b/>
          <w:bCs/>
          <w:sz w:val="20"/>
          <w:szCs w:val="20"/>
        </w:rPr>
        <w:t>Figure 3: Hofstede country comparison, Japan vs UK</w:t>
      </w:r>
    </w:p>
    <w:p w14:paraId="024D0F6C" w14:textId="77777777" w:rsidR="00EF1A36" w:rsidRDefault="00000000">
      <w:pPr>
        <w:spacing w:after="220"/>
        <w:jc w:val="center"/>
      </w:pPr>
      <w:r>
        <w:rPr>
          <w:i/>
          <w:iCs/>
          <w:color w:val="555555"/>
          <w:sz w:val="18"/>
          <w:szCs w:val="18"/>
        </w:rPr>
        <w:t>Source: theculturefactor.com, 2026</w:t>
      </w:r>
    </w:p>
    <w:p w14:paraId="615554E2" w14:textId="77777777" w:rsidR="00EF1A36" w:rsidRDefault="00000000">
      <w:pPr>
        <w:pStyle w:val="Heading3"/>
        <w:spacing w:before="240" w:after="100"/>
      </w:pPr>
      <w:bookmarkStart w:id="8" w:name="_Toc237341101"/>
      <w:r>
        <w:rPr>
          <w:b/>
          <w:bCs/>
          <w:color w:val="2F5F8A"/>
        </w:rPr>
        <w:t>Advantages and Disadvantages of the Hofstede Model</w:t>
      </w:r>
      <w:bookmarkEnd w:id="8"/>
    </w:p>
    <w:p w14:paraId="21A65A37" w14:textId="77777777" w:rsidR="00EF1A36" w:rsidRDefault="00000000">
      <w:pPr>
        <w:spacing w:after="160" w:line="300" w:lineRule="auto"/>
        <w:jc w:val="both"/>
      </w:pPr>
      <w:r>
        <w:t xml:space="preserve">The model's strengths are its broad country coverage, quantifiable scores that support cross-market comparison, and wide adoption in international marketing planning, making it useful here for anticipating how UK and Japanese consumers might respond differently to the same campaign. Its limitations include treating national cultures as homogeneous when real consumers vary considerably by age, region and subculture; data that is now decades old and may understate generational change (younger Japanese and British consumers show converging digital and individualist behaviours); and a risk of stereotyping that can oversimplify strategic decisions if used without supporting local research (Godfrey </w:t>
      </w:r>
      <w:r>
        <w:rPr>
          <w:i/>
          <w:iCs/>
        </w:rPr>
        <w:t>et al.</w:t>
      </w:r>
      <w:r>
        <w:t>, 2020).</w:t>
      </w:r>
    </w:p>
    <w:p w14:paraId="05DFC0FB" w14:textId="77777777" w:rsidR="00EF1A36" w:rsidRDefault="00000000">
      <w:pPr>
        <w:pStyle w:val="Heading3"/>
        <w:spacing w:before="240" w:after="100"/>
      </w:pPr>
      <w:bookmarkStart w:id="9" w:name="_Toc237341102"/>
      <w:r>
        <w:rPr>
          <w:b/>
          <w:bCs/>
          <w:color w:val="2F5F8A"/>
        </w:rPr>
        <w:t>Technological</w:t>
      </w:r>
      <w:bookmarkEnd w:id="9"/>
    </w:p>
    <w:p w14:paraId="73FB1E38" w14:textId="77777777" w:rsidR="00EF1A36" w:rsidRDefault="00000000">
      <w:pPr>
        <w:spacing w:after="160" w:line="300" w:lineRule="auto"/>
        <w:jc w:val="both"/>
      </w:pPr>
      <w:r>
        <w:rPr>
          <w:b/>
          <w:bCs/>
        </w:rPr>
        <w:t>UK:</w:t>
      </w:r>
      <w:r>
        <w:t xml:space="preserve"> Digital infrastructure and e-commerce adoption are strong (ons.gov.uk, 2024); mobile apps, data analytics and omnichannel retail improve efficiency and customer experience.</w:t>
      </w:r>
    </w:p>
    <w:p w14:paraId="03C33DAA" w14:textId="77777777" w:rsidR="00EF1A36" w:rsidRDefault="00000000">
      <w:pPr>
        <w:spacing w:before="160" w:after="60"/>
        <w:jc w:val="center"/>
      </w:pPr>
      <w:r>
        <w:rPr>
          <w:noProof/>
        </w:rPr>
        <w:drawing>
          <wp:inline distT="0" distB="0" distL="0" distR="0" wp14:anchorId="59A2DB8B" wp14:editId="57CD3817">
            <wp:extent cx="5486400" cy="2124075"/>
            <wp:effectExtent l="0" t="0" r="0" b="0"/>
            <wp:docPr id="385906108" name="Picture 385906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486400" cy="2124075"/>
                    </a:xfrm>
                    <a:prstGeom prst="rect">
                      <a:avLst/>
                    </a:prstGeom>
                  </pic:spPr>
                </pic:pic>
              </a:graphicData>
            </a:graphic>
          </wp:inline>
        </w:drawing>
      </w:r>
    </w:p>
    <w:p w14:paraId="742144D9" w14:textId="77777777" w:rsidR="00EF1A36" w:rsidRDefault="00000000">
      <w:pPr>
        <w:spacing w:after="20"/>
        <w:jc w:val="center"/>
      </w:pPr>
      <w:r>
        <w:rPr>
          <w:b/>
          <w:bCs/>
          <w:sz w:val="20"/>
          <w:szCs w:val="20"/>
        </w:rPr>
        <w:t>Figure 4: Investment in UK digital infrastructure</w:t>
      </w:r>
    </w:p>
    <w:p w14:paraId="3B5B2B79" w14:textId="77777777" w:rsidR="00EF1A36" w:rsidRDefault="00000000">
      <w:pPr>
        <w:spacing w:after="220"/>
        <w:jc w:val="center"/>
      </w:pPr>
      <w:r>
        <w:rPr>
          <w:i/>
          <w:iCs/>
          <w:color w:val="555555"/>
          <w:sz w:val="18"/>
          <w:szCs w:val="18"/>
        </w:rPr>
        <w:lastRenderedPageBreak/>
        <w:t>Source: ons.gov.uk, 2024</w:t>
      </w:r>
    </w:p>
    <w:p w14:paraId="339F975A" w14:textId="77777777" w:rsidR="00EF1A36" w:rsidRDefault="00000000">
      <w:pPr>
        <w:spacing w:after="160" w:line="300" w:lineRule="auto"/>
        <w:jc w:val="both"/>
      </w:pPr>
      <w:r>
        <w:rPr>
          <w:b/>
          <w:bCs/>
        </w:rPr>
        <w:t>Japan:</w:t>
      </w:r>
      <w:r>
        <w:t xml:space="preserve"> Japan is a global leader in technological innovation, smart retail and automation (Sugimoto, 2020), with growing digital payment adoption supporting personalised retail experiences.</w:t>
      </w:r>
    </w:p>
    <w:p w14:paraId="0C7E1BBC" w14:textId="77777777" w:rsidR="00EF1A36" w:rsidRDefault="00000000">
      <w:pPr>
        <w:spacing w:before="160" w:after="60"/>
        <w:jc w:val="center"/>
      </w:pPr>
      <w:r>
        <w:rPr>
          <w:noProof/>
        </w:rPr>
        <w:drawing>
          <wp:inline distT="0" distB="0" distL="0" distR="0" wp14:anchorId="76EDA6F7" wp14:editId="162B3F0E">
            <wp:extent cx="5029200" cy="2324100"/>
            <wp:effectExtent l="0" t="0" r="0" b="0"/>
            <wp:docPr id="1548196922" name="Picture 154819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029200" cy="2324100"/>
                    </a:xfrm>
                    <a:prstGeom prst="rect">
                      <a:avLst/>
                    </a:prstGeom>
                  </pic:spPr>
                </pic:pic>
              </a:graphicData>
            </a:graphic>
          </wp:inline>
        </w:drawing>
      </w:r>
    </w:p>
    <w:p w14:paraId="5CFAAC13" w14:textId="77777777" w:rsidR="00EF1A36" w:rsidRDefault="00000000">
      <w:pPr>
        <w:spacing w:after="20"/>
        <w:jc w:val="center"/>
      </w:pPr>
      <w:r>
        <w:rPr>
          <w:b/>
          <w:bCs/>
          <w:sz w:val="20"/>
          <w:szCs w:val="20"/>
        </w:rPr>
        <w:t>Figure 5: Growth in digital payment users in Japan</w:t>
      </w:r>
    </w:p>
    <w:p w14:paraId="17A83843" w14:textId="77777777" w:rsidR="00EF1A36" w:rsidRDefault="00000000">
      <w:pPr>
        <w:spacing w:after="220"/>
        <w:jc w:val="center"/>
      </w:pPr>
      <w:r>
        <w:rPr>
          <w:i/>
          <w:iCs/>
          <w:color w:val="555555"/>
          <w:sz w:val="18"/>
          <w:szCs w:val="18"/>
        </w:rPr>
        <w:t>Source: knowledge.antom.com, 2026</w:t>
      </w:r>
    </w:p>
    <w:p w14:paraId="2B831046" w14:textId="77777777" w:rsidR="00EF1A36" w:rsidRDefault="00000000">
      <w:pPr>
        <w:spacing w:after="160" w:line="300" w:lineRule="auto"/>
        <w:jc w:val="both"/>
      </w:pPr>
      <w:r>
        <w:rPr>
          <w:b/>
          <w:bCs/>
        </w:rPr>
        <w:t>Comparative evaluation:</w:t>
      </w:r>
      <w:r>
        <w:t xml:space="preserve"> Both markets have mature digital ecosystems, though the UK is somewhat further ahead in retail automation and online shopper interaction.</w:t>
      </w:r>
    </w:p>
    <w:p w14:paraId="5E140E2B" w14:textId="77777777" w:rsidR="00EF1A36" w:rsidRDefault="00000000">
      <w:pPr>
        <w:pStyle w:val="Heading3"/>
        <w:spacing w:before="240" w:after="100"/>
      </w:pPr>
      <w:bookmarkStart w:id="10" w:name="_Toc237341103"/>
      <w:r>
        <w:rPr>
          <w:b/>
          <w:bCs/>
          <w:color w:val="2F5F8A"/>
        </w:rPr>
        <w:t>Legal</w:t>
      </w:r>
      <w:bookmarkEnd w:id="10"/>
    </w:p>
    <w:p w14:paraId="42705F10" w14:textId="77777777" w:rsidR="00EF1A36" w:rsidRDefault="00000000">
      <w:pPr>
        <w:spacing w:after="160" w:line="300" w:lineRule="auto"/>
        <w:jc w:val="both"/>
      </w:pPr>
      <w:r>
        <w:rPr>
          <w:b/>
          <w:bCs/>
        </w:rPr>
        <w:t>UK:</w:t>
      </w:r>
      <w:r>
        <w:t xml:space="preserve"> UK law is extensive across consumer protection, labour relations, product safety, environment and advertising (Howells, 2020), requiring compliance on sustainability claims, working conditions and data privacy.</w:t>
      </w:r>
    </w:p>
    <w:p w14:paraId="6BFBC1AD" w14:textId="77777777" w:rsidR="00EF1A36" w:rsidRDefault="00000000">
      <w:pPr>
        <w:spacing w:after="160" w:line="300" w:lineRule="auto"/>
        <w:jc w:val="both"/>
      </w:pPr>
      <w:r>
        <w:rPr>
          <w:b/>
          <w:bCs/>
        </w:rPr>
        <w:t>Japan:</w:t>
      </w:r>
      <w:r>
        <w:t xml:space="preserve"> Japanese law places heavy emphasis on product quality, intellectual property, consumer safety and labour standards (Ali, Ilyas and </w:t>
      </w:r>
      <w:proofErr w:type="spellStart"/>
      <w:r>
        <w:t>Ahmadeen</w:t>
      </w:r>
      <w:proofErr w:type="spellEnd"/>
      <w:r>
        <w:t>, 2024), with rigorous pre-market quality assurance and labelling requirements.</w:t>
      </w:r>
    </w:p>
    <w:p w14:paraId="3441F406" w14:textId="77777777" w:rsidR="00EF1A36" w:rsidRDefault="00000000">
      <w:pPr>
        <w:spacing w:after="160" w:line="300" w:lineRule="auto"/>
        <w:jc w:val="both"/>
      </w:pPr>
      <w:r>
        <w:rPr>
          <w:b/>
          <w:bCs/>
        </w:rPr>
        <w:t>Comparative evaluation:</w:t>
      </w:r>
      <w:r>
        <w:t xml:space="preserve"> Both nations regulate robustly, but Japan emphasises product-quality assurance while the UK regulation is broader across consumer rights, employment and environmental responsibility.</w:t>
      </w:r>
    </w:p>
    <w:p w14:paraId="613B4C7D" w14:textId="77777777" w:rsidR="00EF1A36" w:rsidRDefault="00000000">
      <w:pPr>
        <w:pStyle w:val="Heading3"/>
        <w:spacing w:before="240" w:after="100"/>
      </w:pPr>
      <w:bookmarkStart w:id="11" w:name="_Toc237341104"/>
      <w:r>
        <w:rPr>
          <w:b/>
          <w:bCs/>
          <w:color w:val="2F5F8A"/>
        </w:rPr>
        <w:t>Environmental</w:t>
      </w:r>
      <w:bookmarkEnd w:id="11"/>
    </w:p>
    <w:p w14:paraId="3AF24E19" w14:textId="77777777" w:rsidR="00EF1A36" w:rsidRDefault="00000000">
      <w:pPr>
        <w:spacing w:after="160" w:line="300" w:lineRule="auto"/>
        <w:jc w:val="both"/>
      </w:pPr>
      <w:r>
        <w:rPr>
          <w:b/>
          <w:bCs/>
        </w:rPr>
        <w:t>UK:</w:t>
      </w:r>
      <w:r>
        <w:t xml:space="preserve"> Sustainability strongly influences UK purchasing; government policy supports carbon reduction, recycling and the circular economy, reinforcing Adidas' sustainable sourcing initiatives.</w:t>
      </w:r>
    </w:p>
    <w:p w14:paraId="7CAAE421" w14:textId="77777777" w:rsidR="00EF1A36" w:rsidRDefault="00000000">
      <w:pPr>
        <w:spacing w:after="160" w:line="300" w:lineRule="auto"/>
        <w:jc w:val="both"/>
      </w:pPr>
      <w:r>
        <w:rPr>
          <w:b/>
          <w:bCs/>
        </w:rPr>
        <w:t>Japan:</w:t>
      </w:r>
      <w:r>
        <w:t xml:space="preserve"> Japan has well-established energy-efficiency and waste-minimisation policy (</w:t>
      </w:r>
      <w:proofErr w:type="spellStart"/>
      <w:r>
        <w:t>Rezania</w:t>
      </w:r>
      <w:proofErr w:type="spellEnd"/>
      <w:r>
        <w:t xml:space="preserve"> </w:t>
      </w:r>
      <w:r>
        <w:rPr>
          <w:i/>
          <w:iCs/>
        </w:rPr>
        <w:t>et al.</w:t>
      </w:r>
      <w:r>
        <w:t>, 2023), and consumers expect visible evidence of corporate environmental responsibility.</w:t>
      </w:r>
    </w:p>
    <w:p w14:paraId="42FEB807" w14:textId="77777777" w:rsidR="00EF1A36" w:rsidRDefault="00000000">
      <w:pPr>
        <w:spacing w:after="160" w:line="300" w:lineRule="auto"/>
        <w:jc w:val="both"/>
      </w:pPr>
      <w:r>
        <w:rPr>
          <w:b/>
          <w:bCs/>
        </w:rPr>
        <w:t>Comparative evaluation:</w:t>
      </w:r>
      <w:r>
        <w:t xml:space="preserve"> Environmental sustainability is a shared priority, but Japanese consumers focus more on durability and material efficiency while UK consumers focus more on sourcing ethics and sustainability claims.</w:t>
      </w:r>
    </w:p>
    <w:p w14:paraId="40E6CFEA" w14:textId="77777777" w:rsidR="00EF1A36" w:rsidRDefault="00000000">
      <w:pPr>
        <w:pStyle w:val="Heading3"/>
        <w:spacing w:before="240" w:after="100"/>
      </w:pPr>
      <w:bookmarkStart w:id="12" w:name="_Toc237341105"/>
      <w:r>
        <w:rPr>
          <w:b/>
          <w:bCs/>
          <w:color w:val="2F5F8A"/>
        </w:rPr>
        <w:lastRenderedPageBreak/>
        <w:t>Similarities and Differences of the PESTLE Analysis</w:t>
      </w:r>
      <w:bookmarkEnd w:id="12"/>
    </w:p>
    <w:p w14:paraId="71C32902" w14:textId="77777777" w:rsidR="00EF1A36" w:rsidRDefault="00000000">
      <w:pPr>
        <w:spacing w:after="160" w:line="300" w:lineRule="auto"/>
        <w:jc w:val="both"/>
      </w:pPr>
      <w:r>
        <w:t xml:space="preserve">Across all six factors, the UK and Japan are both politically stable, economically supportive of premium pricing, legally rigorous and increasingly environmentally conscious, giving Adidas a broadly favourable operating environment in each. The key differences lie in </w:t>
      </w:r>
      <w:r>
        <w:rPr>
          <w:i/>
          <w:iCs/>
        </w:rPr>
        <w:t>emphasis</w:t>
      </w:r>
      <w:r>
        <w:t>: UK factors lean towards individual choice, regulatory change (post-Brexit) and digital convenience, whereas Japanese factors lean towards collective trust, technical precision and long-term consistency. Practically, this means Adidas can use one global product engine but must localise messaging, service standards and compliance detail for each market.</w:t>
      </w:r>
    </w:p>
    <w:p w14:paraId="67092C3B" w14:textId="77777777" w:rsidR="00EF1A36" w:rsidRDefault="00000000">
      <w:pPr>
        <w:pStyle w:val="Heading2"/>
        <w:spacing w:before="320" w:after="140"/>
      </w:pPr>
      <w:bookmarkStart w:id="13" w:name="_Toc237341106"/>
      <w:r>
        <w:rPr>
          <w:b/>
          <w:bCs/>
          <w:color w:val="1B2A4A"/>
          <w:sz w:val="27"/>
          <w:szCs w:val="27"/>
        </w:rPr>
        <w:t>1.4 A Comparative Analysis of STP and Marketing Mix</w:t>
      </w:r>
      <w:bookmarkEnd w:id="13"/>
    </w:p>
    <w:p w14:paraId="65F2D309" w14:textId="77777777" w:rsidR="00EF1A36" w:rsidRDefault="00000000">
      <w:pPr>
        <w:pStyle w:val="Heading3"/>
        <w:spacing w:before="240" w:after="100"/>
      </w:pPr>
      <w:bookmarkStart w:id="14" w:name="_Toc237341107"/>
      <w:r>
        <w:rPr>
          <w:b/>
          <w:bCs/>
          <w:color w:val="2F5F8A"/>
        </w:rPr>
        <w:t>1.4.1 STP Analysis</w:t>
      </w:r>
      <w:bookmarkEnd w:id="14"/>
    </w:p>
    <w:p w14:paraId="2F96E6EC" w14:textId="77777777" w:rsidR="00EF1A36" w:rsidRDefault="00000000">
      <w:pPr>
        <w:spacing w:after="160" w:line="300" w:lineRule="auto"/>
        <w:jc w:val="both"/>
      </w:pPr>
      <w:r>
        <w:rPr>
          <w:b/>
          <w:bCs/>
        </w:rPr>
        <w:t>Segmentation</w:t>
      </w:r>
      <w:r>
        <w:t xml:space="preserve"> is the process of dividing a broad consumer market into smaller groups of buyers with shared characteristics or needs, typically using demographic, geographic, psychographic and behavioural variables (Kotler and Armstrong, 2021).</w:t>
      </w:r>
    </w:p>
    <w:p w14:paraId="4B25BFBB" w14:textId="77777777" w:rsidR="00EF1A36" w:rsidRDefault="00000000">
      <w:pPr>
        <w:spacing w:after="160" w:line="300" w:lineRule="auto"/>
        <w:jc w:val="both"/>
      </w:pPr>
      <w:r>
        <w:rPr>
          <w:b/>
          <w:bCs/>
        </w:rPr>
        <w:t>Demographic segmentation:</w:t>
      </w:r>
      <w:r>
        <w:t xml:space="preserve"> In the UK, Adidas targets consumers aged roughly 10–24 with medium-to-high disposable income. In Japan, demographic focus centres on young adults and urban professionals with high purchasing power and strong fashion awareness (adidas.jp, 2026).</w:t>
      </w:r>
    </w:p>
    <w:p w14:paraId="0239342A" w14:textId="77777777" w:rsidR="00EF1A36" w:rsidRDefault="00000000">
      <w:pPr>
        <w:spacing w:after="160" w:line="300" w:lineRule="auto"/>
        <w:jc w:val="both"/>
      </w:pPr>
      <w:r>
        <w:rPr>
          <w:b/>
          <w:bCs/>
        </w:rPr>
        <w:t>Geographic segmentation:</w:t>
      </w:r>
      <w:r>
        <w:t xml:space="preserve"> UK segmentation spans major cities and university towns with strong retail and sporting infrastructure. Japanese geographic segmentation is more concentrated, focused on Tokyo, Osaka and Yokohama, where fashion consciousness and sports participation are highest.</w:t>
      </w:r>
    </w:p>
    <w:p w14:paraId="6792F0D1" w14:textId="77777777" w:rsidR="00EF1A36" w:rsidRDefault="00000000">
      <w:pPr>
        <w:spacing w:after="160" w:line="300" w:lineRule="auto"/>
        <w:jc w:val="both"/>
      </w:pPr>
      <w:r>
        <w:rPr>
          <w:b/>
          <w:bCs/>
        </w:rPr>
        <w:t>Psychographic segmentation:</w:t>
      </w:r>
      <w:r>
        <w:t xml:space="preserve"> UK psychographics centre on fitness, fashion, sustainability and an active lifestyle. Japanese psychographics centre on craftsmanship appreciation, technological curiosity and status-conscious quality-seeking, particularly among "style-driven" urban professionals.</w:t>
      </w:r>
    </w:p>
    <w:p w14:paraId="0B2D7FA9" w14:textId="77777777" w:rsidR="00EF1A36" w:rsidRDefault="00000000">
      <w:pPr>
        <w:spacing w:after="160" w:line="300" w:lineRule="auto"/>
        <w:jc w:val="both"/>
      </w:pPr>
      <w:r>
        <w:rPr>
          <w:b/>
          <w:bCs/>
        </w:rPr>
        <w:t>VALS of both countries:</w:t>
      </w:r>
      <w:r>
        <w:t xml:space="preserve"> The VALS framework (Mitchell, 1983) segments consumers by primary motivation (ideals, achievement, self-expression) and resources. Adidas' typical UK consumer maps most closely to </w:t>
      </w:r>
      <w:r>
        <w:rPr>
          <w:i/>
          <w:iCs/>
        </w:rPr>
        <w:t>Experiencers</w:t>
      </w:r>
      <w:r>
        <w:t xml:space="preserve"> and </w:t>
      </w:r>
      <w:r>
        <w:rPr>
          <w:i/>
          <w:iCs/>
        </w:rPr>
        <w:t>Achievers</w:t>
      </w:r>
      <w:r>
        <w:t xml:space="preserve"> — resourceful, trend-led and self-expressive. The typical Japanese consumer maps more closely to </w:t>
      </w:r>
      <w:r>
        <w:rPr>
          <w:i/>
          <w:iCs/>
        </w:rPr>
        <w:t>Thinkers</w:t>
      </w:r>
      <w:r>
        <w:t xml:space="preserve"> and </w:t>
      </w:r>
      <w:r>
        <w:rPr>
          <w:i/>
          <w:iCs/>
        </w:rPr>
        <w:t>Achievers</w:t>
      </w:r>
      <w:r>
        <w:t xml:space="preserve"> — informed, quality-driven and motivated by well-earned success rather than novelty alone.</w:t>
      </w:r>
    </w:p>
    <w:p w14:paraId="6B8738EE" w14:textId="77777777" w:rsidR="00EF1A36" w:rsidRDefault="00000000">
      <w:pPr>
        <w:spacing w:before="160" w:after="60"/>
        <w:jc w:val="center"/>
      </w:pPr>
      <w:r>
        <w:rPr>
          <w:noProof/>
        </w:rPr>
        <w:lastRenderedPageBreak/>
        <w:drawing>
          <wp:inline distT="0" distB="0" distL="0" distR="0" wp14:anchorId="141EB02A" wp14:editId="7858F7F2">
            <wp:extent cx="5486400" cy="3562350"/>
            <wp:effectExtent l="0" t="0" r="0" b="0"/>
            <wp:docPr id="362706626" name="Picture 3627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486400" cy="3562350"/>
                    </a:xfrm>
                    <a:prstGeom prst="rect">
                      <a:avLst/>
                    </a:prstGeom>
                  </pic:spPr>
                </pic:pic>
              </a:graphicData>
            </a:graphic>
          </wp:inline>
        </w:drawing>
      </w:r>
    </w:p>
    <w:p w14:paraId="3D9FE7B1" w14:textId="77777777" w:rsidR="00EF1A36" w:rsidRDefault="00000000">
      <w:pPr>
        <w:spacing w:after="20"/>
        <w:jc w:val="center"/>
      </w:pPr>
      <w:r>
        <w:rPr>
          <w:b/>
          <w:bCs/>
          <w:sz w:val="20"/>
          <w:szCs w:val="20"/>
        </w:rPr>
        <w:t>Figure 6: VALS framework applied to Adidas' UK and Japan consumers</w:t>
      </w:r>
    </w:p>
    <w:p w14:paraId="3A883410" w14:textId="77777777" w:rsidR="00EF1A36" w:rsidRDefault="00000000">
      <w:pPr>
        <w:spacing w:after="220"/>
        <w:jc w:val="center"/>
      </w:pPr>
      <w:r>
        <w:rPr>
          <w:i/>
          <w:iCs/>
          <w:color w:val="555555"/>
          <w:sz w:val="18"/>
          <w:szCs w:val="18"/>
        </w:rPr>
        <w:t>Source: adapted from Mitchell, 1983</w:t>
      </w:r>
    </w:p>
    <w:p w14:paraId="16421D96" w14:textId="77777777" w:rsidR="00EF1A36" w:rsidRDefault="00000000">
      <w:pPr>
        <w:spacing w:after="160" w:line="300" w:lineRule="auto"/>
        <w:jc w:val="both"/>
      </w:pPr>
      <w:r>
        <w:rPr>
          <w:b/>
          <w:bCs/>
        </w:rPr>
        <w:t>Behavioural segmentation</w:t>
      </w:r>
      <w:r>
        <w:t xml:space="preserve"> is also used in both markets — grouping consumers by usage rate, occasion and brand loyalty — with heavy sport participants and collectors treated as high-value repeat buyers in the UK, and loyal, low-switching long-term customers treated as the priority group in Japan.</w:t>
      </w:r>
    </w:p>
    <w:p w14:paraId="0175B9D2" w14:textId="77777777" w:rsidR="00EF1A36" w:rsidRDefault="00000000">
      <w:pPr>
        <w:spacing w:after="160" w:line="300" w:lineRule="auto"/>
        <w:jc w:val="both"/>
      </w:pPr>
      <w:r>
        <w:rPr>
          <w:b/>
          <w:bCs/>
        </w:rPr>
        <w:t>Comparative evaluation:</w:t>
      </w:r>
      <w:r>
        <w:t xml:space="preserve"> Both markets use demographic, geographic, psychographic and behavioural segmentation, but UK segmentation is organised around diversity and individuality while Japanese segmentation is organised around quality-seeking and long-term value.</w:t>
      </w:r>
    </w:p>
    <w:p w14:paraId="1C6654DB" w14:textId="77777777" w:rsidR="00EF1A36" w:rsidRDefault="00000000">
      <w:pPr>
        <w:spacing w:after="160" w:line="300" w:lineRule="auto"/>
        <w:jc w:val="both"/>
      </w:pPr>
      <w:r>
        <w:rPr>
          <w:b/>
          <w:bCs/>
        </w:rPr>
        <w:t>Targeting</w:t>
      </w:r>
      <w:r>
        <w:t xml:space="preserve"> is the evaluation and selection of one or more segments to serve with a tailored marketing offer (Kotler and Armstrong, 2021).</w:t>
      </w:r>
    </w:p>
    <w:p w14:paraId="1CD20571" w14:textId="77777777" w:rsidR="00EF1A36" w:rsidRDefault="00000000">
      <w:pPr>
        <w:spacing w:after="160" w:line="300" w:lineRule="auto"/>
        <w:jc w:val="both"/>
      </w:pPr>
      <w:r>
        <w:t xml:space="preserve">Adidas uses </w:t>
      </w:r>
      <w:r>
        <w:rPr>
          <w:b/>
          <w:bCs/>
        </w:rPr>
        <w:t>differentiated marketing</w:t>
      </w:r>
      <w:r>
        <w:t xml:space="preserve"> in the UK, developing distinct offers for multiple segments — athletes (</w:t>
      </w:r>
      <w:proofErr w:type="spellStart"/>
      <w:r>
        <w:t>Ultraboost</w:t>
      </w:r>
      <w:proofErr w:type="spellEnd"/>
      <w:r>
        <w:t xml:space="preserve">), streetwear fans (Originals) and sustainability-conscious buyers — rather than one undifferentiated approach. In Japan, targeting is more narrowly differentiated toward style-driven professionals, fitness-conscious urban adults and technology-seeking performance buyers who will pay for exclusivity (adidas.jp, 2026). A </w:t>
      </w:r>
      <w:r>
        <w:rPr>
          <w:b/>
          <w:bCs/>
        </w:rPr>
        <w:t>concentrated (concerted) marketing</w:t>
      </w:r>
      <w:r>
        <w:t xml:space="preserve"> approach is also visible in each market's flagship-store strategy: UK flagship stores concentrate marketing effort on London's high-footfall, brand-defining locations, while Japan's flagship stores in Tokyo and Osaka concentrate resources on a small number of premium, high-margin urban segments rather than spreading investment broadly.</w:t>
      </w:r>
    </w:p>
    <w:p w14:paraId="402781A7" w14:textId="77777777" w:rsidR="00EF1A36" w:rsidRDefault="00000000">
      <w:pPr>
        <w:spacing w:after="160" w:line="300" w:lineRule="auto"/>
        <w:jc w:val="both"/>
      </w:pPr>
      <w:r>
        <w:rPr>
          <w:b/>
          <w:bCs/>
        </w:rPr>
        <w:t>Comparative evaluation:</w:t>
      </w:r>
      <w:r>
        <w:t xml:space="preserve"> Targeting is more broadly differentiated in the UK (multi-segment, style-and-cause led) and more narrowly, quality-and-service led in Japan (Schlegelmilch, 2022).</w:t>
      </w:r>
    </w:p>
    <w:p w14:paraId="46A5AB56" w14:textId="77777777" w:rsidR="00EF1A36" w:rsidRDefault="00000000">
      <w:pPr>
        <w:spacing w:after="160" w:line="300" w:lineRule="auto"/>
        <w:jc w:val="both"/>
      </w:pPr>
      <w:r>
        <w:rPr>
          <w:b/>
          <w:bCs/>
        </w:rPr>
        <w:lastRenderedPageBreak/>
        <w:t>Positioning</w:t>
      </w:r>
      <w:r>
        <w:t xml:space="preserve"> is the act of designing a brand's offer and image to occupy a distinct, valued place in the target consumer's mind relative to competitors (Kotler and Armstrong, 2021).</w:t>
      </w:r>
    </w:p>
    <w:p w14:paraId="5CAAE54C" w14:textId="77777777" w:rsidR="00EF1A36" w:rsidRDefault="00000000">
      <w:pPr>
        <w:spacing w:after="160" w:line="300" w:lineRule="auto"/>
        <w:jc w:val="both"/>
      </w:pPr>
      <w:r>
        <w:t>In the UK, Adidas positions itself as a sportswear and lifestyle brand built on emotional connection with athletes, musicians and designers. In Japan, Adidas positions itself as an innovative, technically excellent brand, using limited editions and premium retail experiences to signal authenticity and craftsmanship.</w:t>
      </w:r>
    </w:p>
    <w:p w14:paraId="232B7365" w14:textId="77777777" w:rsidR="00EF1A36" w:rsidRDefault="00000000">
      <w:pPr>
        <w:spacing w:after="160" w:line="300" w:lineRule="auto"/>
        <w:jc w:val="both"/>
      </w:pPr>
      <w:r>
        <w:rPr>
          <w:b/>
          <w:bCs/>
        </w:rPr>
        <w:t>Benefit positioning</w:t>
      </w:r>
      <w:r>
        <w:t xml:space="preserve"> is evident in both markets: the UK message centres on the functional-emotional benefit of self-expression through sport and style, while the Japanese message centres on the functional benefit of engineering precision and durability. </w:t>
      </w:r>
      <w:r>
        <w:rPr>
          <w:b/>
          <w:bCs/>
        </w:rPr>
        <w:t>User positioning</w:t>
      </w:r>
      <w:r>
        <w:t xml:space="preserve"> is also present: UK campaigns feature athletes, footballers and cultural figures that reflect the aspirational UK user, while Japanese campaigns feature professional athletes and Japanese designers that reflect the discerning, craftsmanship-focused Japanese user.</w:t>
      </w:r>
    </w:p>
    <w:p w14:paraId="54F6BAEA" w14:textId="77777777" w:rsidR="00EF1A36" w:rsidRDefault="00000000">
      <w:pPr>
        <w:spacing w:after="160" w:line="300" w:lineRule="auto"/>
        <w:jc w:val="both"/>
      </w:pPr>
      <w:r>
        <w:rPr>
          <w:b/>
          <w:bCs/>
        </w:rPr>
        <w:t>Perceptual map — rivals, price and quality:</w:t>
      </w:r>
      <w:r>
        <w:t xml:space="preserve"> Positioning Adidas against Nike, Puma and New Balance in the UK, and Nike, Uniqlo and Asics in Japan, on price and quality axes shows Adidas consistently occupying the high-price, high-quality quadrant in both markets, close to Nike, but is perceived as more style-led in the UK and more craftsmanship-led in Japan (see Figure 7).</w:t>
      </w:r>
    </w:p>
    <w:p w14:paraId="186D78F4" w14:textId="77777777" w:rsidR="00EF1A36" w:rsidRDefault="00000000">
      <w:pPr>
        <w:spacing w:before="160" w:after="60"/>
        <w:jc w:val="center"/>
      </w:pPr>
      <w:r>
        <w:rPr>
          <w:noProof/>
        </w:rPr>
        <w:drawing>
          <wp:inline distT="0" distB="0" distL="0" distR="0" wp14:anchorId="082D0411" wp14:editId="4201AB1C">
            <wp:extent cx="5486400" cy="2495550"/>
            <wp:effectExtent l="0" t="0" r="0" b="0"/>
            <wp:docPr id="1246750940" name="Picture 1246750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486400" cy="2495550"/>
                    </a:xfrm>
                    <a:prstGeom prst="rect">
                      <a:avLst/>
                    </a:prstGeom>
                  </pic:spPr>
                </pic:pic>
              </a:graphicData>
            </a:graphic>
          </wp:inline>
        </w:drawing>
      </w:r>
    </w:p>
    <w:p w14:paraId="3AC5E93B" w14:textId="77777777" w:rsidR="00EF1A36" w:rsidRDefault="00000000">
      <w:pPr>
        <w:spacing w:after="20"/>
        <w:jc w:val="center"/>
      </w:pPr>
      <w:r>
        <w:rPr>
          <w:b/>
          <w:bCs/>
          <w:sz w:val="20"/>
          <w:szCs w:val="20"/>
        </w:rPr>
        <w:t>Figure 7: Perceptual map — price and quality, UK and Japan sportswear markets</w:t>
      </w:r>
    </w:p>
    <w:p w14:paraId="559145F0" w14:textId="77777777" w:rsidR="00EF1A36" w:rsidRDefault="00000000">
      <w:pPr>
        <w:spacing w:after="220"/>
        <w:jc w:val="center"/>
      </w:pPr>
      <w:r>
        <w:rPr>
          <w:i/>
          <w:iCs/>
          <w:color w:val="555555"/>
          <w:sz w:val="18"/>
          <w:szCs w:val="18"/>
        </w:rPr>
        <w:t>Source: self-developed</w:t>
      </w:r>
    </w:p>
    <w:p w14:paraId="4134E94B" w14:textId="77777777" w:rsidR="00EF1A36" w:rsidRDefault="00000000">
      <w:pPr>
        <w:spacing w:after="160" w:line="300" w:lineRule="auto"/>
        <w:jc w:val="both"/>
      </w:pPr>
      <w:r>
        <w:rPr>
          <w:b/>
          <w:bCs/>
        </w:rPr>
        <w:t>Similarities and differences of STP:</w:t>
      </w:r>
      <w:r>
        <w:t xml:space="preserve"> In both countries Adidas segments by demographic, geographic, psychographic and behavioural variables, targets multiple premium-oriented segments, and positions itself in the high-price/high-quality quadrant. The core difference is </w:t>
      </w:r>
      <w:r>
        <w:rPr>
          <w:i/>
          <w:iCs/>
        </w:rPr>
        <w:t>what earns the premium</w:t>
      </w:r>
      <w:r>
        <w:t>: individuality, style and sustainability in the UK versus technical precision, exclusivity and long-term trust in Japan.</w:t>
      </w:r>
    </w:p>
    <w:p w14:paraId="25E6CBAC" w14:textId="77777777" w:rsidR="00EF1A36" w:rsidRDefault="00000000">
      <w:pPr>
        <w:pStyle w:val="Heading3"/>
        <w:spacing w:before="240" w:after="100"/>
      </w:pPr>
      <w:bookmarkStart w:id="15" w:name="_Toc237341108"/>
      <w:r>
        <w:rPr>
          <w:b/>
          <w:bCs/>
          <w:color w:val="2F5F8A"/>
        </w:rPr>
        <w:t>1.4.2 Marketing Mix (7Ps)</w:t>
      </w:r>
      <w:bookmarkEnd w:id="15"/>
    </w:p>
    <w:p w14:paraId="22204EC4" w14:textId="77777777" w:rsidR="00EF1A36" w:rsidRDefault="00000000">
      <w:pPr>
        <w:spacing w:after="160" w:line="300" w:lineRule="auto"/>
        <w:jc w:val="both"/>
      </w:pPr>
      <w:r>
        <w:t>The marketing mix is the set of controllable tactical tools — traditionally the 4Ps, extended for services to 7Ps — that a firm blends to produce the response it wants in the target market (McCarthy, 1960; Booms and Bitner, 1981). Figure 8 summarises the 7Ps applied throughout this section.</w:t>
      </w:r>
    </w:p>
    <w:p w14:paraId="4C7A8168" w14:textId="77777777" w:rsidR="00EF1A36" w:rsidRDefault="00000000">
      <w:pPr>
        <w:spacing w:before="160" w:after="60"/>
        <w:jc w:val="center"/>
      </w:pPr>
      <w:r>
        <w:rPr>
          <w:noProof/>
        </w:rPr>
        <w:lastRenderedPageBreak/>
        <w:drawing>
          <wp:inline distT="0" distB="0" distL="0" distR="0" wp14:anchorId="550E2E15" wp14:editId="1C0ABE76">
            <wp:extent cx="3657600" cy="3657600"/>
            <wp:effectExtent l="0" t="0" r="0" b="0"/>
            <wp:docPr id="1825069037" name="Picture 182506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3657600" cy="3657600"/>
                    </a:xfrm>
                    <a:prstGeom prst="rect">
                      <a:avLst/>
                    </a:prstGeom>
                  </pic:spPr>
                </pic:pic>
              </a:graphicData>
            </a:graphic>
          </wp:inline>
        </w:drawing>
      </w:r>
    </w:p>
    <w:p w14:paraId="12C34235" w14:textId="77777777" w:rsidR="00EF1A36" w:rsidRDefault="00000000">
      <w:pPr>
        <w:spacing w:after="20"/>
        <w:jc w:val="center"/>
      </w:pPr>
      <w:r>
        <w:rPr>
          <w:b/>
          <w:bCs/>
          <w:sz w:val="20"/>
          <w:szCs w:val="20"/>
        </w:rPr>
        <w:t>Figure 8: The 7Ps Marketing Mix framework</w:t>
      </w:r>
    </w:p>
    <w:p w14:paraId="67CFB368" w14:textId="77777777" w:rsidR="00EF1A36" w:rsidRDefault="00000000">
      <w:pPr>
        <w:spacing w:after="220"/>
        <w:jc w:val="center"/>
      </w:pPr>
      <w:r>
        <w:rPr>
          <w:i/>
          <w:iCs/>
          <w:color w:val="555555"/>
          <w:sz w:val="18"/>
          <w:szCs w:val="18"/>
        </w:rPr>
        <w:t>Source: adapted from Booms and Bitner, 1981</w:t>
      </w:r>
    </w:p>
    <w:p w14:paraId="262299EA" w14:textId="77777777" w:rsidR="00EF1A36" w:rsidRDefault="00000000">
      <w:pPr>
        <w:pStyle w:val="Heading4"/>
        <w:spacing w:before="200" w:after="90"/>
      </w:pPr>
      <w:r>
        <w:rPr>
          <w:b/>
          <w:bCs/>
          <w:color w:val="3C7A9E"/>
          <w:sz w:val="23"/>
          <w:szCs w:val="23"/>
        </w:rPr>
        <w:t>Product</w:t>
      </w:r>
    </w:p>
    <w:p w14:paraId="18776686" w14:textId="77777777" w:rsidR="00EF1A36" w:rsidRDefault="00000000">
      <w:pPr>
        <w:spacing w:after="160" w:line="300" w:lineRule="auto"/>
        <w:jc w:val="both"/>
      </w:pPr>
      <w:r>
        <w:rPr>
          <w:b/>
          <w:bCs/>
        </w:rPr>
        <w:t>UK:</w:t>
      </w:r>
      <w:r>
        <w:t xml:space="preserve"> Adidas offers a wide sportswear, apparel, accessories and lifestyle range, including Originals, </w:t>
      </w:r>
      <w:proofErr w:type="spellStart"/>
      <w:r>
        <w:t>Ultraboost</w:t>
      </w:r>
      <w:proofErr w:type="spellEnd"/>
      <w:r>
        <w:t xml:space="preserve"> running shoes, football kits and recycled-material collections (adidas.co.uk, 2026), with consumers valuing variety, customisation and sustainability.</w:t>
      </w:r>
    </w:p>
    <w:p w14:paraId="37A4E538" w14:textId="77777777" w:rsidR="00EF1A36" w:rsidRDefault="00000000">
      <w:pPr>
        <w:spacing w:before="160" w:after="60"/>
        <w:jc w:val="center"/>
      </w:pPr>
      <w:r>
        <w:rPr>
          <w:noProof/>
        </w:rPr>
        <w:drawing>
          <wp:inline distT="0" distB="0" distL="0" distR="0" wp14:anchorId="63397EBF" wp14:editId="2FC042F9">
            <wp:extent cx="5486400" cy="2314575"/>
            <wp:effectExtent l="0" t="0" r="0" b="0"/>
            <wp:docPr id="1994598654" name="Picture 199459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86400" cy="2314575"/>
                    </a:xfrm>
                    <a:prstGeom prst="rect">
                      <a:avLst/>
                    </a:prstGeom>
                  </pic:spPr>
                </pic:pic>
              </a:graphicData>
            </a:graphic>
          </wp:inline>
        </w:drawing>
      </w:r>
    </w:p>
    <w:p w14:paraId="4BFA5435" w14:textId="77777777" w:rsidR="00EF1A36" w:rsidRDefault="00000000">
      <w:pPr>
        <w:spacing w:after="20"/>
        <w:jc w:val="center"/>
      </w:pPr>
      <w:r>
        <w:rPr>
          <w:b/>
          <w:bCs/>
          <w:sz w:val="20"/>
          <w:szCs w:val="20"/>
        </w:rPr>
        <w:t>Figure 9: Adidas product range, UK</w:t>
      </w:r>
    </w:p>
    <w:p w14:paraId="5D7D5E4D" w14:textId="77777777" w:rsidR="00EF1A36" w:rsidRDefault="00000000">
      <w:pPr>
        <w:spacing w:after="220"/>
        <w:jc w:val="center"/>
      </w:pPr>
      <w:r>
        <w:rPr>
          <w:i/>
          <w:iCs/>
          <w:color w:val="555555"/>
          <w:sz w:val="18"/>
          <w:szCs w:val="18"/>
        </w:rPr>
        <w:t>Source: adidas.co.uk, 2026</w:t>
      </w:r>
    </w:p>
    <w:p w14:paraId="2D97A324" w14:textId="77777777" w:rsidR="00EF1A36" w:rsidRDefault="00000000">
      <w:pPr>
        <w:spacing w:after="160" w:line="300" w:lineRule="auto"/>
        <w:jc w:val="both"/>
      </w:pPr>
      <w:r>
        <w:rPr>
          <w:b/>
          <w:bCs/>
        </w:rPr>
        <w:t>Japan:</w:t>
      </w:r>
      <w:r>
        <w:t xml:space="preserve"> The Japanese range emphasises technological innovation, craftsmanship, durability and precision engineering, with lightweight, ergonomic design prioritised by consumers.</w:t>
      </w:r>
    </w:p>
    <w:p w14:paraId="2D5A5686" w14:textId="77777777" w:rsidR="00EF1A36" w:rsidRDefault="00000000">
      <w:pPr>
        <w:spacing w:before="160" w:after="60"/>
        <w:jc w:val="center"/>
      </w:pPr>
      <w:r>
        <w:rPr>
          <w:noProof/>
        </w:rPr>
        <w:lastRenderedPageBreak/>
        <w:drawing>
          <wp:inline distT="0" distB="0" distL="0" distR="0" wp14:anchorId="7DD61F46" wp14:editId="1A7AB1F3">
            <wp:extent cx="5486400" cy="2333625"/>
            <wp:effectExtent l="0" t="0" r="0" b="0"/>
            <wp:docPr id="650859655" name="Picture 65085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86400" cy="2333625"/>
                    </a:xfrm>
                    <a:prstGeom prst="rect">
                      <a:avLst/>
                    </a:prstGeom>
                  </pic:spPr>
                </pic:pic>
              </a:graphicData>
            </a:graphic>
          </wp:inline>
        </w:drawing>
      </w:r>
    </w:p>
    <w:p w14:paraId="7DB6203A" w14:textId="77777777" w:rsidR="00EF1A36" w:rsidRDefault="00000000">
      <w:pPr>
        <w:spacing w:after="20"/>
        <w:jc w:val="center"/>
      </w:pPr>
      <w:r>
        <w:rPr>
          <w:b/>
          <w:bCs/>
          <w:sz w:val="20"/>
          <w:szCs w:val="20"/>
        </w:rPr>
        <w:t>Figure 10: Adidas product range, Japan</w:t>
      </w:r>
    </w:p>
    <w:p w14:paraId="4EFF5132" w14:textId="77777777" w:rsidR="00EF1A36" w:rsidRDefault="00000000">
      <w:pPr>
        <w:spacing w:after="220"/>
        <w:jc w:val="center"/>
      </w:pPr>
      <w:r>
        <w:rPr>
          <w:i/>
          <w:iCs/>
          <w:color w:val="555555"/>
          <w:sz w:val="18"/>
          <w:szCs w:val="18"/>
        </w:rPr>
        <w:t>Source: adidas.jp, 2026</w:t>
      </w:r>
    </w:p>
    <w:p w14:paraId="33DADC3B" w14:textId="77777777" w:rsidR="00EF1A36" w:rsidRDefault="00000000">
      <w:pPr>
        <w:spacing w:after="160" w:line="300" w:lineRule="auto"/>
        <w:jc w:val="both"/>
      </w:pPr>
      <w:r>
        <w:rPr>
          <w:i/>
          <w:iCs/>
        </w:rPr>
        <w:t>Width and depth:</w:t>
      </w:r>
      <w:r>
        <w:t xml:space="preserve"> Adidas' product </w:t>
      </w:r>
      <w:r>
        <w:rPr>
          <w:b/>
          <w:bCs/>
        </w:rPr>
        <w:t>width</w:t>
      </w:r>
      <w:r>
        <w:t xml:space="preserve"> (the number of distinct product lines — footwear, apparel, accessories, equipment) is broadly similar in both markets. A </w:t>
      </w:r>
      <w:r>
        <w:rPr>
          <w:b/>
          <w:bCs/>
        </w:rPr>
        <w:t>brand extension</w:t>
      </w:r>
      <w:r>
        <w:t xml:space="preserve"> widens this further: Adidas has extended its core sportswear width into eyewear and fragrance under licence, leveraging brand equity into adjacent categories in both countries. </w:t>
      </w:r>
      <w:r>
        <w:rPr>
          <w:b/>
          <w:bCs/>
        </w:rPr>
        <w:t>Depth</w:t>
      </w:r>
      <w:r>
        <w:t xml:space="preserve"> (the number of variants within one line) differs: the UK running-shoe line runs from entry-level </w:t>
      </w:r>
      <w:proofErr w:type="spellStart"/>
      <w:r>
        <w:t>Duramo</w:t>
      </w:r>
      <w:proofErr w:type="spellEnd"/>
      <w:r>
        <w:t xml:space="preserve"> through to flagship </w:t>
      </w:r>
      <w:proofErr w:type="spellStart"/>
      <w:r>
        <w:t>Ultraboost</w:t>
      </w:r>
      <w:proofErr w:type="spellEnd"/>
      <w:r>
        <w:t xml:space="preserve"> Light, while the Japanese line historically had a gap at the elite-performance tier. </w:t>
      </w:r>
      <w:r>
        <w:rPr>
          <w:b/>
          <w:bCs/>
        </w:rPr>
        <w:t>Line filling</w:t>
      </w:r>
      <w:r>
        <w:t xml:space="preserve"> — adding a new item to close a depth gap, illustrated in Figure 11 with the Japan-specific addition of an elite racing model — allows Adidas to capture performance buyers it would otherwise lose to Asics or Nike.</w:t>
      </w:r>
    </w:p>
    <w:p w14:paraId="6E3FA0F1" w14:textId="77777777" w:rsidR="00EF1A36" w:rsidRDefault="00000000">
      <w:pPr>
        <w:spacing w:before="160" w:after="60"/>
        <w:jc w:val="center"/>
      </w:pPr>
      <w:r>
        <w:rPr>
          <w:noProof/>
        </w:rPr>
        <w:drawing>
          <wp:inline distT="0" distB="0" distL="0" distR="0" wp14:anchorId="700971F2" wp14:editId="3565335F">
            <wp:extent cx="5486400" cy="2686050"/>
            <wp:effectExtent l="0" t="0" r="0" b="0"/>
            <wp:docPr id="565424571" name="Picture 56542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486400" cy="2686050"/>
                    </a:xfrm>
                    <a:prstGeom prst="rect">
                      <a:avLst/>
                    </a:prstGeom>
                  </pic:spPr>
                </pic:pic>
              </a:graphicData>
            </a:graphic>
          </wp:inline>
        </w:drawing>
      </w:r>
    </w:p>
    <w:p w14:paraId="1A0E31C4" w14:textId="77777777" w:rsidR="00EF1A36" w:rsidRDefault="00000000">
      <w:pPr>
        <w:spacing w:after="20"/>
        <w:jc w:val="center"/>
      </w:pPr>
      <w:r>
        <w:rPr>
          <w:b/>
          <w:bCs/>
          <w:sz w:val="20"/>
          <w:szCs w:val="20"/>
        </w:rPr>
        <w:t>Figure 11: Product depth and line-filling example, running footwear</w:t>
      </w:r>
    </w:p>
    <w:p w14:paraId="2D97FB8E" w14:textId="77777777" w:rsidR="00EF1A36" w:rsidRDefault="00000000">
      <w:pPr>
        <w:spacing w:after="220"/>
        <w:jc w:val="center"/>
      </w:pPr>
      <w:r>
        <w:rPr>
          <w:i/>
          <w:iCs/>
          <w:color w:val="555555"/>
          <w:sz w:val="18"/>
          <w:szCs w:val="18"/>
        </w:rPr>
        <w:t>Source: self-developed</w:t>
      </w:r>
    </w:p>
    <w:p w14:paraId="3A9A37C6" w14:textId="77777777" w:rsidR="00EF1A36" w:rsidRDefault="00000000">
      <w:pPr>
        <w:spacing w:after="160" w:line="300" w:lineRule="auto"/>
        <w:jc w:val="both"/>
      </w:pPr>
      <w:r>
        <w:rPr>
          <w:b/>
          <w:bCs/>
        </w:rPr>
        <w:t>Comparative evaluation:</w:t>
      </w:r>
      <w:r>
        <w:t xml:space="preserve"> Both markets receive Adidas' full product width, but UK depth leans towards style and sustainability variants while Japanese depth leans towards precision-performance variants.</w:t>
      </w:r>
    </w:p>
    <w:p w14:paraId="495A81D1" w14:textId="77777777" w:rsidR="00EF1A36" w:rsidRDefault="00000000">
      <w:pPr>
        <w:pStyle w:val="Heading4"/>
        <w:spacing w:before="200" w:after="90"/>
      </w:pPr>
      <w:r>
        <w:rPr>
          <w:b/>
          <w:bCs/>
          <w:color w:val="3C7A9E"/>
          <w:sz w:val="23"/>
          <w:szCs w:val="23"/>
        </w:rPr>
        <w:lastRenderedPageBreak/>
        <w:t>Price</w:t>
      </w:r>
    </w:p>
    <w:p w14:paraId="3033156E" w14:textId="77777777" w:rsidR="00EF1A36" w:rsidRDefault="00000000">
      <w:pPr>
        <w:spacing w:after="160" w:line="300" w:lineRule="auto"/>
        <w:jc w:val="both"/>
      </w:pPr>
      <w:r>
        <w:t>Price is the amount of money charged for a product, or the value customers exchange for the benefits of owning or using it (Kotler and Armstrong, 2021). Several factors can shift price in each market: input and labour costs, exchange-rate movements, local competitor pricing, tariffs (notably post-Brexit customs costs in the UK), and consumer willingness-to-pay for quality signalling in Japan (Lee and Winterich, 2022).</w:t>
      </w:r>
    </w:p>
    <w:p w14:paraId="32C9E305" w14:textId="77777777" w:rsidR="00EF1A36" w:rsidRDefault="00000000">
      <w:pPr>
        <w:spacing w:after="160" w:line="300" w:lineRule="auto"/>
        <w:jc w:val="both"/>
      </w:pPr>
      <w:r>
        <w:rPr>
          <w:b/>
          <w:bCs/>
        </w:rPr>
        <w:t>UK:</w:t>
      </w:r>
      <w:r>
        <w:t xml:space="preserve"> Adidas uses </w:t>
      </w:r>
      <w:r>
        <w:rPr>
          <w:b/>
          <w:bCs/>
        </w:rPr>
        <w:t>premium pricing</w:t>
      </w:r>
      <w:r>
        <w:t xml:space="preserve"> but offers tiered price points to reach different segments, balancing price against promotions to stay competitive with Nike and Puma.</w:t>
      </w:r>
    </w:p>
    <w:p w14:paraId="06170A4A" w14:textId="77777777" w:rsidR="00EF1A36" w:rsidRDefault="00000000">
      <w:pPr>
        <w:spacing w:after="160" w:line="300" w:lineRule="auto"/>
        <w:jc w:val="both"/>
      </w:pPr>
      <w:r>
        <w:rPr>
          <w:b/>
          <w:bCs/>
        </w:rPr>
        <w:t>Japan:</w:t>
      </w:r>
      <w:r>
        <w:t xml:space="preserve"> Premium pricing is also used, but Japanese consumers show lower price sensitivity, often inferring quality from price rather than the reverse.</w:t>
      </w:r>
    </w:p>
    <w:p w14:paraId="3CF279B2" w14:textId="77777777" w:rsidR="00EF1A36" w:rsidRDefault="00000000">
      <w:pPr>
        <w:spacing w:after="160" w:line="300" w:lineRule="auto"/>
        <w:jc w:val="both"/>
      </w:pPr>
      <w:r>
        <w:rPr>
          <w:b/>
          <w:bCs/>
        </w:rPr>
        <w:t>Exchange rate:</w:t>
      </w:r>
      <w:r>
        <w:t xml:space="preserve"> Because Adidas prices in local currency while sourcing and reporting in euros, sterling and yen depreciation against the euro raises landed cost and margin pressure in both markets; a weaker pound has periodically pushed UK retail prices up, while yen weakness has made Japan a relatively cheaper market for foreign tourists buying Adidas products, occasionally pressuring domestic Japanese margins.</w:t>
      </w:r>
    </w:p>
    <w:p w14:paraId="3D338013" w14:textId="77777777" w:rsidR="00EF1A36" w:rsidRDefault="00000000">
      <w:pPr>
        <w:spacing w:after="160" w:line="300" w:lineRule="auto"/>
        <w:jc w:val="both"/>
      </w:pPr>
      <w:r>
        <w:rPr>
          <w:b/>
          <w:bCs/>
        </w:rPr>
        <w:t>Comparative evaluation:</w:t>
      </w:r>
      <w:r>
        <w:t xml:space="preserve"> Both markets sustain premium pricing, but the UK relies more on discounting and promotional pricing while Japan sustains higher list-price loyalty.</w:t>
      </w:r>
    </w:p>
    <w:p w14:paraId="7BC52DA5" w14:textId="77777777" w:rsidR="00EF1A36" w:rsidRDefault="00000000">
      <w:pPr>
        <w:pStyle w:val="Heading4"/>
        <w:spacing w:before="200" w:after="90"/>
      </w:pPr>
      <w:r>
        <w:rPr>
          <w:b/>
          <w:bCs/>
          <w:color w:val="3C7A9E"/>
          <w:sz w:val="23"/>
          <w:szCs w:val="23"/>
        </w:rPr>
        <w:t>Promotion</w:t>
      </w:r>
    </w:p>
    <w:p w14:paraId="5674FD7D" w14:textId="77777777" w:rsidR="00EF1A36" w:rsidRDefault="00000000">
      <w:pPr>
        <w:spacing w:after="160" w:line="300" w:lineRule="auto"/>
        <w:jc w:val="both"/>
      </w:pPr>
      <w:r>
        <w:t>Integrated Marketing Communication (IMC) is the coordinated use of multiple promotional tools — advertising, PR, sales promotion, digital and personal selling — so that they deliver one consistent brand message (Kotler and Armstrong, 2021).</w:t>
      </w:r>
    </w:p>
    <w:p w14:paraId="612D897D" w14:textId="77777777" w:rsidR="00EF1A36" w:rsidRDefault="00000000">
      <w:pPr>
        <w:spacing w:after="160" w:line="300" w:lineRule="auto"/>
        <w:jc w:val="both"/>
      </w:pPr>
      <w:r>
        <w:rPr>
          <w:b/>
          <w:bCs/>
        </w:rPr>
        <w:t>Media usage — UK:</w:t>
      </w:r>
      <w:r>
        <w:t xml:space="preserve"> TV, digital media, football sponsorship and influencer/social media marketing dominate, supported by sustainability-themed campaigns (Navarro, 2026).</w:t>
      </w:r>
    </w:p>
    <w:p w14:paraId="2B005B86" w14:textId="77777777" w:rsidR="00EF1A36" w:rsidRDefault="00000000">
      <w:pPr>
        <w:spacing w:before="160" w:after="60"/>
        <w:jc w:val="center"/>
      </w:pPr>
      <w:r>
        <w:rPr>
          <w:noProof/>
        </w:rPr>
        <w:drawing>
          <wp:inline distT="0" distB="0" distL="0" distR="0" wp14:anchorId="067090EB" wp14:editId="27742CD6">
            <wp:extent cx="4114800" cy="3057525"/>
            <wp:effectExtent l="0" t="0" r="0" b="0"/>
            <wp:docPr id="1067048627" name="Picture 106704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14800" cy="3057525"/>
                    </a:xfrm>
                    <a:prstGeom prst="rect">
                      <a:avLst/>
                    </a:prstGeom>
                  </pic:spPr>
                </pic:pic>
              </a:graphicData>
            </a:graphic>
          </wp:inline>
        </w:drawing>
      </w:r>
    </w:p>
    <w:p w14:paraId="47C3F8B9" w14:textId="77777777" w:rsidR="00EF1A36" w:rsidRDefault="00000000">
      <w:pPr>
        <w:spacing w:after="20"/>
        <w:jc w:val="center"/>
      </w:pPr>
      <w:r>
        <w:rPr>
          <w:b/>
          <w:bCs/>
          <w:sz w:val="20"/>
          <w:szCs w:val="20"/>
        </w:rPr>
        <w:lastRenderedPageBreak/>
        <w:t>Figure 12: Adidas marketing/POS expenditure, UK</w:t>
      </w:r>
    </w:p>
    <w:p w14:paraId="4429B144" w14:textId="77777777" w:rsidR="00EF1A36" w:rsidRDefault="00000000">
      <w:pPr>
        <w:spacing w:after="220"/>
        <w:jc w:val="center"/>
      </w:pPr>
      <w:r>
        <w:rPr>
          <w:i/>
          <w:iCs/>
          <w:color w:val="555555"/>
          <w:sz w:val="18"/>
          <w:szCs w:val="18"/>
        </w:rPr>
        <w:t>Source: Navarro, 2026</w:t>
      </w:r>
    </w:p>
    <w:p w14:paraId="0E82524D" w14:textId="77777777" w:rsidR="00EF1A36" w:rsidRDefault="00000000">
      <w:pPr>
        <w:spacing w:after="160" w:line="300" w:lineRule="auto"/>
        <w:jc w:val="both"/>
      </w:pPr>
      <w:r>
        <w:rPr>
          <w:b/>
          <w:bCs/>
        </w:rPr>
        <w:t>Media usage — Japan:</w:t>
      </w:r>
      <w:r>
        <w:t xml:space="preserve"> Promotion favours product quality, technological storytelling and collaborations with Japanese designers and professional athletes, communicated through targeted digital and in-store media.</w:t>
      </w:r>
    </w:p>
    <w:p w14:paraId="389C0A39" w14:textId="77777777" w:rsidR="00EF1A36" w:rsidRDefault="00000000">
      <w:pPr>
        <w:spacing w:after="160" w:line="300" w:lineRule="auto"/>
        <w:jc w:val="both"/>
      </w:pPr>
      <w:r>
        <w:rPr>
          <w:b/>
          <w:bCs/>
        </w:rPr>
        <w:t>Promotion mix combination:</w:t>
      </w:r>
      <w:r>
        <w:t xml:space="preserve"> The UK combines advertising, sponsorship, digital/social promotion and PR heavily, weighted towards emotionally engaging, shareable content built around football and music culture; Japan combines advertising, celebrity/designer collaboration and experiential in-store promotion more heavily than mass discounting, weighted towards demonstrating technical credibility and craftsmanship.</w:t>
      </w:r>
    </w:p>
    <w:p w14:paraId="5540F3AA" w14:textId="77777777" w:rsidR="00EF1A36" w:rsidRDefault="00000000">
      <w:pPr>
        <w:spacing w:after="160" w:line="300" w:lineRule="auto"/>
        <w:jc w:val="both"/>
      </w:pPr>
      <w:r>
        <w:rPr>
          <w:b/>
          <w:bCs/>
        </w:rPr>
        <w:t>Sales promotion:</w:t>
      </w:r>
      <w:r>
        <w:t xml:space="preserve"> UK sales promotion includes seasonal discounts, loyalty app rewards and bundled offers, used relatively frequently to drive footfall. Japanese sales promotion is more limited and selective — limited-edition drops and loyalty perks rather than broad discounting — to protect the premium price image.</w:t>
      </w:r>
    </w:p>
    <w:p w14:paraId="37D09B1F" w14:textId="77777777" w:rsidR="00EF1A36" w:rsidRDefault="00000000">
      <w:pPr>
        <w:spacing w:after="160" w:line="300" w:lineRule="auto"/>
        <w:jc w:val="both"/>
      </w:pPr>
      <w:r>
        <w:rPr>
          <w:b/>
          <w:bCs/>
        </w:rPr>
        <w:t>Digital promotion:</w:t>
      </w:r>
      <w:r>
        <w:t xml:space="preserve"> Both markets use app-based personalisation, social media content and e-commerce advertising; the UK leans further into influencer-led social commerce, while Japan leans further into app-based loyalty and exclusive digital drops.</w:t>
      </w:r>
    </w:p>
    <w:p w14:paraId="58DBD059" w14:textId="77777777" w:rsidR="00EF1A36" w:rsidRDefault="00000000">
      <w:pPr>
        <w:spacing w:after="160" w:line="300" w:lineRule="auto"/>
        <w:jc w:val="both"/>
      </w:pPr>
      <w:r>
        <w:rPr>
          <w:b/>
          <w:bCs/>
        </w:rPr>
        <w:t>Comparative evaluation:</w:t>
      </w:r>
      <w:r>
        <w:t xml:space="preserve"> Both use IMC across similar channels, but UK promotion is more lifestyle/discount-oriented while Japanese promotion is more innovation/exclusivity-oriented.</w:t>
      </w:r>
    </w:p>
    <w:p w14:paraId="03D4C93E" w14:textId="77777777" w:rsidR="00EF1A36" w:rsidRDefault="00000000">
      <w:pPr>
        <w:pStyle w:val="Heading4"/>
        <w:spacing w:before="200" w:after="90"/>
      </w:pPr>
      <w:r>
        <w:rPr>
          <w:b/>
          <w:bCs/>
          <w:color w:val="3C7A9E"/>
          <w:sz w:val="23"/>
          <w:szCs w:val="23"/>
        </w:rPr>
        <w:t>Place</w:t>
      </w:r>
    </w:p>
    <w:p w14:paraId="1538FA03" w14:textId="77777777" w:rsidR="00EF1A36" w:rsidRDefault="00000000">
      <w:pPr>
        <w:spacing w:after="160" w:line="300" w:lineRule="auto"/>
        <w:jc w:val="both"/>
      </w:pPr>
      <w:r>
        <w:t>Place refers to the activities that make the product available to target consumers where and when they want it (Kotler and Armstrong, 2021).</w:t>
      </w:r>
    </w:p>
    <w:p w14:paraId="45DBF831" w14:textId="77777777" w:rsidR="00EF1A36" w:rsidRDefault="00000000">
      <w:pPr>
        <w:spacing w:after="160" w:line="300" w:lineRule="auto"/>
        <w:jc w:val="both"/>
      </w:pPr>
      <w:r>
        <w:rPr>
          <w:b/>
          <w:bCs/>
        </w:rPr>
        <w:t>Channel of distribution:</w:t>
      </w:r>
      <w:r>
        <w:t xml:space="preserve"> Adidas uses an omnichannel structure in both countries — flagship stores, factory outlets, authorised retailers, department stores and e-commerce (Figure 13 illustrates the channel structure; Figure 14 shows the global manufacturing/supply footprint feeding both markets).</w:t>
      </w:r>
    </w:p>
    <w:p w14:paraId="22CD44FF" w14:textId="77777777" w:rsidR="00EF1A36" w:rsidRDefault="00000000">
      <w:pPr>
        <w:spacing w:before="160" w:after="60"/>
        <w:jc w:val="center"/>
      </w:pPr>
      <w:r>
        <w:rPr>
          <w:noProof/>
        </w:rPr>
        <w:lastRenderedPageBreak/>
        <w:drawing>
          <wp:inline distT="0" distB="0" distL="0" distR="0" wp14:anchorId="2EE8E0B0" wp14:editId="37009CB3">
            <wp:extent cx="5486400" cy="2886075"/>
            <wp:effectExtent l="0" t="0" r="0" b="0"/>
            <wp:docPr id="649755277" name="Picture 64975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486400" cy="2886075"/>
                    </a:xfrm>
                    <a:prstGeom prst="rect">
                      <a:avLst/>
                    </a:prstGeom>
                  </pic:spPr>
                </pic:pic>
              </a:graphicData>
            </a:graphic>
          </wp:inline>
        </w:drawing>
      </w:r>
    </w:p>
    <w:p w14:paraId="37DCB245" w14:textId="77777777" w:rsidR="00EF1A36" w:rsidRDefault="00000000">
      <w:pPr>
        <w:spacing w:after="20"/>
        <w:jc w:val="center"/>
      </w:pPr>
      <w:r>
        <w:rPr>
          <w:b/>
          <w:bCs/>
          <w:sz w:val="20"/>
          <w:szCs w:val="20"/>
        </w:rPr>
        <w:t>Figure 13: Channel of distribution — UK and Japan</w:t>
      </w:r>
    </w:p>
    <w:p w14:paraId="28AFCD6C" w14:textId="77777777" w:rsidR="00EF1A36" w:rsidRDefault="00000000">
      <w:pPr>
        <w:spacing w:after="220"/>
        <w:jc w:val="center"/>
      </w:pPr>
      <w:r>
        <w:rPr>
          <w:i/>
          <w:iCs/>
          <w:color w:val="555555"/>
          <w:sz w:val="18"/>
          <w:szCs w:val="18"/>
        </w:rPr>
        <w:t>Source: self-developed</w:t>
      </w:r>
    </w:p>
    <w:p w14:paraId="7B685F3A" w14:textId="77777777" w:rsidR="00EF1A36" w:rsidRDefault="00000000">
      <w:pPr>
        <w:spacing w:before="160" w:after="60"/>
        <w:jc w:val="center"/>
      </w:pPr>
      <w:r>
        <w:rPr>
          <w:noProof/>
        </w:rPr>
        <w:drawing>
          <wp:inline distT="0" distB="0" distL="0" distR="0" wp14:anchorId="2D8853EC" wp14:editId="620856DB">
            <wp:extent cx="5486400" cy="1524000"/>
            <wp:effectExtent l="0" t="0" r="0" b="0"/>
            <wp:docPr id="1719912455" name="Picture 171991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486400" cy="1524000"/>
                    </a:xfrm>
                    <a:prstGeom prst="rect">
                      <a:avLst/>
                    </a:prstGeom>
                  </pic:spPr>
                </pic:pic>
              </a:graphicData>
            </a:graphic>
          </wp:inline>
        </w:drawing>
      </w:r>
    </w:p>
    <w:p w14:paraId="6E1A40B5" w14:textId="77777777" w:rsidR="00EF1A36" w:rsidRDefault="00000000">
      <w:pPr>
        <w:spacing w:after="20"/>
        <w:jc w:val="center"/>
      </w:pPr>
      <w:r>
        <w:rPr>
          <w:b/>
          <w:bCs/>
          <w:sz w:val="20"/>
          <w:szCs w:val="20"/>
        </w:rPr>
        <w:t>Figure 14: Global manufacturing footprint supplying Adidas' UK and Japan markets</w:t>
      </w:r>
    </w:p>
    <w:p w14:paraId="00315DB6" w14:textId="77777777" w:rsidR="00EF1A36" w:rsidRDefault="00000000">
      <w:pPr>
        <w:spacing w:after="220"/>
        <w:jc w:val="center"/>
      </w:pPr>
      <w:r>
        <w:rPr>
          <w:i/>
          <w:iCs/>
          <w:color w:val="555555"/>
          <w:sz w:val="18"/>
          <w:szCs w:val="18"/>
        </w:rPr>
        <w:t>Source: Sellersunionchina.com, 2025</w:t>
      </w:r>
    </w:p>
    <w:p w14:paraId="00E4CFA2" w14:textId="77777777" w:rsidR="00EF1A36" w:rsidRDefault="00000000">
      <w:pPr>
        <w:spacing w:after="160" w:line="300" w:lineRule="auto"/>
        <w:jc w:val="both"/>
      </w:pPr>
      <w:r>
        <w:rPr>
          <w:b/>
          <w:bCs/>
        </w:rPr>
        <w:t>Intensive vs exclusive distribution:</w:t>
      </w:r>
      <w:r>
        <w:t xml:space="preserve"> The UK leans towards </w:t>
      </w:r>
      <w:r>
        <w:rPr>
          <w:b/>
          <w:bCs/>
        </w:rPr>
        <w:t>intensive distribution</w:t>
      </w:r>
      <w:r>
        <w:t xml:space="preserve"> — broad availability across many retail formats to maximise convenience and reach. Japan leans towards </w:t>
      </w:r>
      <w:r>
        <w:rPr>
          <w:b/>
          <w:bCs/>
        </w:rPr>
        <w:t>exclusive distribution</w:t>
      </w:r>
      <w:r>
        <w:t xml:space="preserve"> — a smaller number of flagship and authorised premium stores in Tokyo and Osaka, protecting the premium brand experience (adidas.jp, 2026).</w:t>
      </w:r>
    </w:p>
    <w:p w14:paraId="64FE3C63" w14:textId="77777777" w:rsidR="00EF1A36" w:rsidRDefault="00000000">
      <w:pPr>
        <w:spacing w:after="160" w:line="300" w:lineRule="auto"/>
        <w:jc w:val="both"/>
      </w:pPr>
      <w:r>
        <w:rPr>
          <w:b/>
          <w:bCs/>
        </w:rPr>
        <w:t>Direct channel distribution:</w:t>
      </w:r>
      <w:r>
        <w:t xml:space="preserve"> Both markets sell directly via Adidas-owned e-commerce and flagship stores, giving Adidas first-party customer data and full control of brand presentation; this direct channel is comparatively more central to the UK's wholly-owned retail strategy discussed in Section 1.5.</w:t>
      </w:r>
    </w:p>
    <w:p w14:paraId="085F9592" w14:textId="77777777" w:rsidR="00EF1A36" w:rsidRDefault="00000000">
      <w:pPr>
        <w:spacing w:after="160" w:line="300" w:lineRule="auto"/>
        <w:jc w:val="both"/>
      </w:pPr>
      <w:r>
        <w:rPr>
          <w:b/>
          <w:bCs/>
        </w:rPr>
        <w:t>Comparative evaluation:</w:t>
      </w:r>
      <w:r>
        <w:t xml:space="preserve"> Distribution networks are strong in both countries, but the UK emphasises wide, convenient access while Japan emphasises a curated, premium physical and digital experience.</w:t>
      </w:r>
    </w:p>
    <w:p w14:paraId="55F9B48A" w14:textId="77777777" w:rsidR="00EF1A36" w:rsidRDefault="00000000">
      <w:pPr>
        <w:pStyle w:val="Heading4"/>
        <w:spacing w:before="200" w:after="90"/>
      </w:pPr>
      <w:r>
        <w:rPr>
          <w:b/>
          <w:bCs/>
          <w:color w:val="3C7A9E"/>
          <w:sz w:val="23"/>
          <w:szCs w:val="23"/>
        </w:rPr>
        <w:t>People</w:t>
      </w:r>
    </w:p>
    <w:p w14:paraId="678FFC4E" w14:textId="77777777" w:rsidR="00EF1A36" w:rsidRDefault="00000000">
      <w:pPr>
        <w:spacing w:after="160" w:line="300" w:lineRule="auto"/>
        <w:jc w:val="both"/>
      </w:pPr>
      <w:r>
        <w:t xml:space="preserve">Country-level headcount is not fully disclosed by Adidas, but available data provides useful approximations. Adidas Japan K.K. reports approximately </w:t>
      </w:r>
      <w:r>
        <w:rPr>
          <w:b/>
          <w:bCs/>
        </w:rPr>
        <w:t>1,256 employees</w:t>
      </w:r>
      <w:r>
        <w:t xml:space="preserve"> (Nikkei Compass, 2026), </w:t>
      </w:r>
      <w:r>
        <w:lastRenderedPageBreak/>
        <w:t xml:space="preserve">while UK corporate filings show Adidas (U.K.) Limited's directly employed headcount as </w:t>
      </w:r>
      <w:r>
        <w:rPr>
          <w:b/>
          <w:bCs/>
        </w:rPr>
        <w:t>over 250 staff</w:t>
      </w:r>
      <w:r>
        <w:t xml:space="preserve"> at a corporate level (</w:t>
      </w:r>
      <w:proofErr w:type="spellStart"/>
      <w:r>
        <w:t>Endole</w:t>
      </w:r>
      <w:proofErr w:type="spellEnd"/>
      <w:r>
        <w:t>, 2026), with total UK workforce (including retail store staff) considerably larger given its extensive store network; Adidas' global headcount was approximately 59,000–65,000 over 2019–2022 (fourweekmba.com, 2026), shown in Figure 15.</w:t>
      </w:r>
    </w:p>
    <w:p w14:paraId="19CF24F0" w14:textId="77777777" w:rsidR="00EF1A36" w:rsidRDefault="00000000">
      <w:pPr>
        <w:spacing w:before="160" w:after="60"/>
        <w:jc w:val="center"/>
      </w:pPr>
      <w:r>
        <w:rPr>
          <w:noProof/>
        </w:rPr>
        <w:drawing>
          <wp:inline distT="0" distB="0" distL="0" distR="0" wp14:anchorId="74F8EC64" wp14:editId="0C91BA8F">
            <wp:extent cx="4114800" cy="2809875"/>
            <wp:effectExtent l="0" t="0" r="0" b="0"/>
            <wp:docPr id="1769536312" name="Picture 176953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14800" cy="2809875"/>
                    </a:xfrm>
                    <a:prstGeom prst="rect">
                      <a:avLst/>
                    </a:prstGeom>
                  </pic:spPr>
                </pic:pic>
              </a:graphicData>
            </a:graphic>
          </wp:inline>
        </w:drawing>
      </w:r>
    </w:p>
    <w:p w14:paraId="3AC8D48B" w14:textId="77777777" w:rsidR="00EF1A36" w:rsidRDefault="00000000">
      <w:pPr>
        <w:spacing w:after="20"/>
        <w:jc w:val="center"/>
      </w:pPr>
      <w:r>
        <w:rPr>
          <w:b/>
          <w:bCs/>
          <w:sz w:val="20"/>
          <w:szCs w:val="20"/>
        </w:rPr>
        <w:t>Figure 15: Adidas global employee numbers, 2019–2022</w:t>
      </w:r>
    </w:p>
    <w:p w14:paraId="458EABAB" w14:textId="77777777" w:rsidR="00EF1A36" w:rsidRDefault="00000000">
      <w:pPr>
        <w:spacing w:after="220"/>
        <w:jc w:val="center"/>
      </w:pPr>
      <w:r>
        <w:rPr>
          <w:i/>
          <w:iCs/>
          <w:color w:val="555555"/>
          <w:sz w:val="18"/>
          <w:szCs w:val="18"/>
        </w:rPr>
        <w:t>Source: fourweekmba.com, 2026</w:t>
      </w:r>
    </w:p>
    <w:p w14:paraId="0D5C8A6D" w14:textId="77777777" w:rsidR="00EF1A36" w:rsidRDefault="00000000">
      <w:pPr>
        <w:spacing w:after="160" w:line="300" w:lineRule="auto"/>
        <w:jc w:val="both"/>
      </w:pPr>
      <w:r>
        <w:rPr>
          <w:b/>
          <w:bCs/>
        </w:rPr>
        <w:t>Training and motivation — UK:</w:t>
      </w:r>
      <w:r>
        <w:t xml:space="preserve"> Staff receive product, customer-service, digital-retail and sustainability training; inclusive workplace policies support motivation and customer satisfaction (Singh and Rani, 2025).</w:t>
      </w:r>
    </w:p>
    <w:p w14:paraId="32374021" w14:textId="77777777" w:rsidR="00EF1A36" w:rsidRDefault="00000000">
      <w:pPr>
        <w:spacing w:after="160" w:line="300" w:lineRule="auto"/>
        <w:jc w:val="both"/>
      </w:pPr>
      <w:r>
        <w:rPr>
          <w:b/>
          <w:bCs/>
        </w:rPr>
        <w:t>Training and motivation — Japan:</w:t>
      </w:r>
      <w:r>
        <w:t xml:space="preserve"> People management is grounded in professionalism, discipline, courtesy and respect (Rayhan, 2023), with intensive product and service-detail training supporting Japan's precision-service culture; internal progression and mastery of process are strong motivators, consistent with Japan's high Long-Term Orientation score.</w:t>
      </w:r>
    </w:p>
    <w:p w14:paraId="0CA4053D" w14:textId="77777777" w:rsidR="00EF1A36" w:rsidRDefault="00000000">
      <w:pPr>
        <w:spacing w:after="160" w:line="300" w:lineRule="auto"/>
        <w:jc w:val="both"/>
      </w:pPr>
      <w:r>
        <w:rPr>
          <w:b/>
          <w:bCs/>
        </w:rPr>
        <w:t>Comparative evaluation:</w:t>
      </w:r>
      <w:r>
        <w:t xml:space="preserve"> Both countries invest heavily in staff development, but UK motivation leans on flexibility, inclusion and informal customer rapport, while Japanese motivation leans on mastery, consistency and formal service discipline.</w:t>
      </w:r>
    </w:p>
    <w:p w14:paraId="0B69A112" w14:textId="77777777" w:rsidR="00EF1A36" w:rsidRDefault="00000000">
      <w:pPr>
        <w:pStyle w:val="Heading4"/>
        <w:spacing w:before="200" w:after="90"/>
      </w:pPr>
      <w:r>
        <w:rPr>
          <w:b/>
          <w:bCs/>
          <w:color w:val="3C7A9E"/>
          <w:sz w:val="23"/>
          <w:szCs w:val="23"/>
        </w:rPr>
        <w:t>Process</w:t>
      </w:r>
    </w:p>
    <w:p w14:paraId="6E54F3F2" w14:textId="77777777" w:rsidR="00EF1A36" w:rsidRDefault="00000000">
      <w:pPr>
        <w:spacing w:after="160" w:line="300" w:lineRule="auto"/>
        <w:jc w:val="both"/>
      </w:pPr>
      <w:r>
        <w:rPr>
          <w:b/>
          <w:bCs/>
        </w:rPr>
        <w:t>Service delivery and workflow — UK:</w:t>
      </w:r>
      <w:r>
        <w:t xml:space="preserve"> Integrated online/offline journeys, secure payment, fast delivery, click-and-collect and flexible returns are supported by AI-driven personalisation and data analytics.</w:t>
      </w:r>
    </w:p>
    <w:p w14:paraId="4C1F84E6" w14:textId="77777777" w:rsidR="00EF1A36" w:rsidRDefault="00000000">
      <w:pPr>
        <w:spacing w:after="160" w:line="300" w:lineRule="auto"/>
        <w:jc w:val="both"/>
      </w:pPr>
      <w:r>
        <w:rPr>
          <w:b/>
          <w:bCs/>
        </w:rPr>
        <w:t>Service delivery and workflow — Japan:</w:t>
      </w:r>
      <w:r>
        <w:t xml:space="preserve"> Retail processes prioritise accuracy, consistency and efficiency, with well-trained staff, ergonomic store layout and tightly controlled stock and quality assurance (Zou </w:t>
      </w:r>
      <w:r>
        <w:rPr>
          <w:i/>
          <w:iCs/>
        </w:rPr>
        <w:t>et al.</w:t>
      </w:r>
      <w:r>
        <w:t>, 2025).</w:t>
      </w:r>
    </w:p>
    <w:p w14:paraId="703A3A4D" w14:textId="77777777" w:rsidR="00EF1A36" w:rsidRDefault="00000000">
      <w:pPr>
        <w:spacing w:after="160" w:line="300" w:lineRule="auto"/>
        <w:jc w:val="both"/>
      </w:pPr>
      <w:r>
        <w:rPr>
          <w:b/>
          <w:bCs/>
        </w:rPr>
        <w:t>Customer complaint process:</w:t>
      </w:r>
      <w:r>
        <w:t xml:space="preserve"> In the UK, complaints are typically handled through multi-channel customer service (phone, email, live chat, social media), supported by a formal returns/refund policy and </w:t>
      </w:r>
      <w:r>
        <w:lastRenderedPageBreak/>
        <w:t>escalation route. In Japan, complaint handling emphasises face-to-face resolution, formal apology and swift corrective action in line with cultural expectations of service precision and harmony, with digital complaint channels used more conservatively than in the UK.</w:t>
      </w:r>
    </w:p>
    <w:p w14:paraId="04DB9882" w14:textId="77777777" w:rsidR="00EF1A36" w:rsidRDefault="00000000">
      <w:pPr>
        <w:spacing w:after="160" w:line="300" w:lineRule="auto"/>
        <w:jc w:val="both"/>
      </w:pPr>
      <w:r>
        <w:rPr>
          <w:b/>
          <w:bCs/>
        </w:rPr>
        <w:t>Comparative evaluation:</w:t>
      </w:r>
      <w:r>
        <w:t xml:space="preserve"> Both processes are efficient, but UK priorities are convenience and digital flexibility while Japanese priorities are precision, consistency and relational repair.</w:t>
      </w:r>
    </w:p>
    <w:p w14:paraId="7776625A" w14:textId="77777777" w:rsidR="00EF1A36" w:rsidRDefault="00000000">
      <w:pPr>
        <w:pStyle w:val="Heading4"/>
        <w:spacing w:before="200" w:after="90"/>
      </w:pPr>
      <w:r>
        <w:rPr>
          <w:b/>
          <w:bCs/>
          <w:color w:val="3C7A9E"/>
          <w:sz w:val="23"/>
          <w:szCs w:val="23"/>
        </w:rPr>
        <w:t>Physical Evidence</w:t>
      </w:r>
    </w:p>
    <w:p w14:paraId="13A82091" w14:textId="77777777" w:rsidR="00EF1A36" w:rsidRDefault="00000000">
      <w:pPr>
        <w:spacing w:after="160" w:line="300" w:lineRule="auto"/>
        <w:jc w:val="both"/>
      </w:pPr>
      <w:r>
        <w:rPr>
          <w:b/>
          <w:bCs/>
        </w:rPr>
        <w:t>Website:</w:t>
      </w:r>
      <w:r>
        <w:t xml:space="preserve"> Both adidas.co.uk and adidas.jp function as key physical-evidence touchpoints, reinforcing the brand through design, navigation and localisation (placeholders for current homepage screenshots are provided in Figure 16 for the student to insert).</w:t>
      </w:r>
    </w:p>
    <w:p w14:paraId="33F6168B" w14:textId="1DDB83B8" w:rsidR="00EF1A36" w:rsidRDefault="001C30C4">
      <w:pPr>
        <w:spacing w:before="160" w:after="60"/>
        <w:jc w:val="center"/>
      </w:pPr>
      <w:r>
        <w:rPr>
          <w:noProof/>
        </w:rPr>
        <w:drawing>
          <wp:inline distT="0" distB="0" distL="0" distR="0" wp14:anchorId="0958FD18" wp14:editId="19F93495">
            <wp:extent cx="5943600" cy="2912110"/>
            <wp:effectExtent l="0" t="0" r="0" b="0"/>
            <wp:docPr id="9670085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08597" name="Picture 96700859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912110"/>
                    </a:xfrm>
                    <a:prstGeom prst="rect">
                      <a:avLst/>
                    </a:prstGeom>
                  </pic:spPr>
                </pic:pic>
              </a:graphicData>
            </a:graphic>
          </wp:inline>
        </w:drawing>
      </w:r>
    </w:p>
    <w:p w14:paraId="02CBB15C" w14:textId="77777777" w:rsidR="00EF1A36" w:rsidRDefault="00000000">
      <w:pPr>
        <w:spacing w:after="20"/>
        <w:jc w:val="center"/>
      </w:pPr>
      <w:r>
        <w:rPr>
          <w:b/>
          <w:bCs/>
          <w:sz w:val="20"/>
          <w:szCs w:val="20"/>
        </w:rPr>
        <w:t>Figure 16: Website placeholders — adidas.co.uk and adidas.jp</w:t>
      </w:r>
    </w:p>
    <w:p w14:paraId="5B5FC83F" w14:textId="77777777" w:rsidR="00EF1A36" w:rsidRDefault="00000000">
      <w:pPr>
        <w:spacing w:after="220"/>
        <w:jc w:val="center"/>
      </w:pPr>
      <w:r>
        <w:rPr>
          <w:i/>
          <w:iCs/>
          <w:color w:val="555555"/>
          <w:sz w:val="18"/>
          <w:szCs w:val="18"/>
        </w:rPr>
        <w:t>Source: to be inserted by student</w:t>
      </w:r>
    </w:p>
    <w:p w14:paraId="04921114" w14:textId="77777777" w:rsidR="00EF1A36" w:rsidRDefault="00000000">
      <w:pPr>
        <w:spacing w:after="160" w:line="300" w:lineRule="auto"/>
        <w:jc w:val="both"/>
      </w:pPr>
      <w:r>
        <w:rPr>
          <w:b/>
          <w:bCs/>
        </w:rPr>
        <w:t>Packaging design:</w:t>
      </w:r>
      <w:r>
        <w:t xml:space="preserve"> UK packaging leans towards recycled-content boxes with sustainability messaging and take-back QR codes; Japanese packaging leans towards rigid, minimalist premium boxes with tissue-wrap presentation reflecting gift-giving culture (Figure 17 illustrates both concepts).</w:t>
      </w:r>
    </w:p>
    <w:p w14:paraId="72A5DDDE" w14:textId="77777777" w:rsidR="00EF1A36" w:rsidRDefault="00000000">
      <w:pPr>
        <w:spacing w:before="160" w:after="60"/>
        <w:jc w:val="center"/>
      </w:pPr>
      <w:r>
        <w:rPr>
          <w:noProof/>
        </w:rPr>
        <w:lastRenderedPageBreak/>
        <w:drawing>
          <wp:inline distT="0" distB="0" distL="0" distR="0" wp14:anchorId="3E548BBB" wp14:editId="4C8164B1">
            <wp:extent cx="5486400" cy="2800350"/>
            <wp:effectExtent l="0" t="0" r="0" b="0"/>
            <wp:docPr id="1200895009" name="Picture 120089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486400" cy="2800350"/>
                    </a:xfrm>
                    <a:prstGeom prst="rect">
                      <a:avLst/>
                    </a:prstGeom>
                  </pic:spPr>
                </pic:pic>
              </a:graphicData>
            </a:graphic>
          </wp:inline>
        </w:drawing>
      </w:r>
    </w:p>
    <w:p w14:paraId="603D70ED" w14:textId="77777777" w:rsidR="00EF1A36" w:rsidRDefault="00000000">
      <w:pPr>
        <w:spacing w:after="20"/>
        <w:jc w:val="center"/>
      </w:pPr>
      <w:r>
        <w:rPr>
          <w:b/>
          <w:bCs/>
          <w:sz w:val="20"/>
          <w:szCs w:val="20"/>
        </w:rPr>
        <w:t>Figure 17: Illustrative packaging design concepts, UK and Japan</w:t>
      </w:r>
    </w:p>
    <w:p w14:paraId="302227DD" w14:textId="77777777" w:rsidR="00EF1A36" w:rsidRDefault="00000000">
      <w:pPr>
        <w:spacing w:after="220"/>
        <w:jc w:val="center"/>
      </w:pPr>
      <w:r>
        <w:rPr>
          <w:i/>
          <w:iCs/>
          <w:color w:val="555555"/>
          <w:sz w:val="18"/>
          <w:szCs w:val="18"/>
        </w:rPr>
        <w:t>Source: self-developed</w:t>
      </w:r>
    </w:p>
    <w:p w14:paraId="2960151D" w14:textId="77777777" w:rsidR="00EF1A36" w:rsidRDefault="00000000">
      <w:pPr>
        <w:spacing w:after="160" w:line="300" w:lineRule="auto"/>
        <w:jc w:val="both"/>
      </w:pPr>
      <w:r>
        <w:rPr>
          <w:b/>
          <w:bCs/>
        </w:rPr>
        <w:t>UK stores:</w:t>
      </w:r>
      <w:r>
        <w:t xml:space="preserve"> contemporary flagship design, sustainable materials, interactive in-store technology.</w:t>
      </w:r>
    </w:p>
    <w:p w14:paraId="6616CC7B" w14:textId="77777777" w:rsidR="00EF1A36" w:rsidRDefault="00000000">
      <w:pPr>
        <w:spacing w:after="160" w:line="300" w:lineRule="auto"/>
        <w:jc w:val="both"/>
      </w:pPr>
      <w:r>
        <w:rPr>
          <w:b/>
          <w:bCs/>
        </w:rPr>
        <w:t>Japan stores:</w:t>
      </w:r>
      <w:r>
        <w:t xml:space="preserve"> cleanliness, organisation and detail-oriented visual merchandising (Stoica, 2024) reinforce a premium, sophisticated retail environment.</w:t>
      </w:r>
    </w:p>
    <w:p w14:paraId="13AF6773" w14:textId="77777777" w:rsidR="00EF1A36" w:rsidRDefault="00000000">
      <w:pPr>
        <w:spacing w:after="160" w:line="300" w:lineRule="auto"/>
        <w:jc w:val="both"/>
      </w:pPr>
      <w:r>
        <w:rPr>
          <w:b/>
          <w:bCs/>
        </w:rPr>
        <w:t>Comparative evaluation:</w:t>
      </w:r>
      <w:r>
        <w:t xml:space="preserve"> Both markets present a consistent Adidas identity adapted to local taste — innovation and shopping experience in Japan, elegance and premium presentation in the UK.</w:t>
      </w:r>
    </w:p>
    <w:p w14:paraId="4B20554F" w14:textId="77777777" w:rsidR="00EF1A36" w:rsidRDefault="00000000">
      <w:pPr>
        <w:pStyle w:val="Heading3"/>
        <w:spacing w:before="240" w:after="100"/>
      </w:pPr>
      <w:bookmarkStart w:id="16" w:name="_Toc237341109"/>
      <w:r>
        <w:rPr>
          <w:b/>
          <w:bCs/>
          <w:color w:val="2F5F8A"/>
        </w:rPr>
        <w:t>Similarities and Differences of the 7Ps</w:t>
      </w:r>
      <w:bookmarkEnd w:id="16"/>
    </w:p>
    <w:p w14:paraId="327589D2" w14:textId="77777777" w:rsidR="00EF1A36" w:rsidRDefault="00000000">
      <w:pPr>
        <w:spacing w:after="160" w:line="300" w:lineRule="auto"/>
        <w:jc w:val="both"/>
      </w:pPr>
      <w:r>
        <w:t>Across all seven elements, Adidas keeps a consistent premium, innovation-led brand core in both countries while adapting depth, price sensitivity handling, promotion style, distribution intensity and service tone to match UK individualism/convenience versus Japanese precision/exclusivity.</w:t>
      </w:r>
    </w:p>
    <w:p w14:paraId="62351A20" w14:textId="77777777" w:rsidR="00EF1A36" w:rsidRDefault="00000000">
      <w:pPr>
        <w:pStyle w:val="Heading2"/>
        <w:spacing w:before="320" w:after="140"/>
      </w:pPr>
      <w:bookmarkStart w:id="17" w:name="_Toc237341110"/>
      <w:r>
        <w:rPr>
          <w:b/>
          <w:bCs/>
          <w:color w:val="1B2A4A"/>
          <w:sz w:val="27"/>
          <w:szCs w:val="27"/>
        </w:rPr>
        <w:t>1.5 An Analysis of the Brand's Market Entry Strategy in the UK</w:t>
      </w:r>
      <w:bookmarkEnd w:id="17"/>
    </w:p>
    <w:p w14:paraId="2A38197D" w14:textId="77777777" w:rsidR="00EF1A36" w:rsidRDefault="00000000">
      <w:pPr>
        <w:spacing w:after="160" w:line="300" w:lineRule="auto"/>
        <w:jc w:val="both"/>
      </w:pPr>
      <w:r>
        <w:t xml:space="preserve">Adidas entered the UK via </w:t>
      </w:r>
      <w:r>
        <w:rPr>
          <w:b/>
          <w:bCs/>
        </w:rPr>
        <w:t>Foreign Direct Investment (FDI)</w:t>
      </w:r>
      <w:r>
        <w:t>, establishing a wholly owned subsidiary and building its own retail and distribution network (</w:t>
      </w:r>
      <w:proofErr w:type="spellStart"/>
      <w:r>
        <w:t>Holtbrügge</w:t>
      </w:r>
      <w:proofErr w:type="spellEnd"/>
      <w:r>
        <w:t xml:space="preserve"> and Schuster, 2024). This was chosen because the UK is a large, sports-friendly, digitally mature market with high purchasing power and strong demand for quality, sustainable sportswear (Storm, Jensen and Nielsen, 2024), justifying the capital investment required for full ownership.</w:t>
      </w:r>
    </w:p>
    <w:p w14:paraId="45369E69" w14:textId="77777777" w:rsidR="00EF1A36" w:rsidRDefault="00000000">
      <w:pPr>
        <w:spacing w:after="160" w:line="300" w:lineRule="auto"/>
        <w:jc w:val="both"/>
      </w:pPr>
      <w:r>
        <w:rPr>
          <w:b/>
          <w:bCs/>
        </w:rPr>
        <w:t>Advantages:</w:t>
      </w:r>
      <w:r>
        <w:t xml:space="preserve"> management independence, stronger IP protection, consistent product quality and faster decision-making (Burrell </w:t>
      </w:r>
      <w:r>
        <w:rPr>
          <w:i/>
          <w:iCs/>
        </w:rPr>
        <w:t>et al.</w:t>
      </w:r>
      <w:r>
        <w:t>, 2023); direct customer data access supports fine-tuned, customer-centric marketing and a seamless omnichannel journey; collaborations with football clubs, athletes and influencers strengthen brand recognition.</w:t>
      </w:r>
    </w:p>
    <w:p w14:paraId="5B67FF5B" w14:textId="77777777" w:rsidR="00EF1A36" w:rsidRDefault="00000000">
      <w:pPr>
        <w:spacing w:after="160" w:line="300" w:lineRule="auto"/>
        <w:jc w:val="both"/>
      </w:pPr>
      <w:r>
        <w:rPr>
          <w:b/>
          <w:bCs/>
        </w:rPr>
        <w:lastRenderedPageBreak/>
        <w:t>Disadvantages:</w:t>
      </w:r>
      <w:r>
        <w:t xml:space="preserve"> FDI requires substantial upfront capital and carries higher financial exposure than lower-commitment entry modes such as licensing or franchising; it is slower to scale than partnering with an established local retailer; and it exposes Adidas fully to UK-specific regulatory, currency and competitive risk (from Nike, Puma and Under Armour) rather than sharing that risk with a local partner. Fixed store and payroll costs are also harder to unwind quickly if UK demand weakens, which increases downside exposure compared with an asset-light franchise model.</w:t>
      </w:r>
    </w:p>
    <w:p w14:paraId="3FBC1E66" w14:textId="77777777" w:rsidR="00EF1A36" w:rsidRDefault="00000000">
      <w:pPr>
        <w:pStyle w:val="Heading2"/>
        <w:spacing w:before="320" w:after="140"/>
      </w:pPr>
      <w:bookmarkStart w:id="18" w:name="_Toc237341111"/>
      <w:r>
        <w:rPr>
          <w:b/>
          <w:bCs/>
          <w:color w:val="1B2A4A"/>
          <w:sz w:val="27"/>
          <w:szCs w:val="27"/>
        </w:rPr>
        <w:t>1.6 Ethical Issues Related to the Brand's Marketing Mix in Japan</w:t>
      </w:r>
      <w:bookmarkEnd w:id="18"/>
    </w:p>
    <w:p w14:paraId="2EE70ED0" w14:textId="77777777" w:rsidR="00EF1A36" w:rsidRDefault="00000000">
      <w:pPr>
        <w:spacing w:after="160" w:line="300" w:lineRule="auto"/>
        <w:jc w:val="both"/>
      </w:pPr>
      <w:r>
        <w:rPr>
          <w:b/>
          <w:bCs/>
        </w:rPr>
        <w:t>Ethical practices (two examples):</w:t>
      </w:r>
      <w:r>
        <w:t xml:space="preserve"> (1) Adidas has expanded its use of recycled materials and low-impact production in its Japanese product range, giving environmentally conscious consumers a genuine, traceable sustainable option (</w:t>
      </w:r>
      <w:proofErr w:type="spellStart"/>
      <w:r>
        <w:t>Almusaed</w:t>
      </w:r>
      <w:proofErr w:type="spellEnd"/>
      <w:r>
        <w:t xml:space="preserve"> </w:t>
      </w:r>
      <w:r>
        <w:rPr>
          <w:i/>
          <w:iCs/>
        </w:rPr>
        <w:t>et al.</w:t>
      </w:r>
      <w:r>
        <w:t>, 2024). (2) Adidas has strengthened compliance with Japan's data protection law, being transparent about how customer data collected through its Japanese e-commerce and loyalty platforms is used, which builds consumer trust (Howells, 2020).</w:t>
      </w:r>
    </w:p>
    <w:p w14:paraId="713020A5" w14:textId="77777777" w:rsidR="00EF1A36" w:rsidRDefault="00000000">
      <w:pPr>
        <w:spacing w:after="160" w:line="300" w:lineRule="auto"/>
        <w:jc w:val="both"/>
      </w:pPr>
      <w:r>
        <w:rPr>
          <w:b/>
          <w:bCs/>
        </w:rPr>
        <w:t>Unethical or ethically questionable practices (two examples):</w:t>
      </w:r>
      <w:r>
        <w:t xml:space="preserve"> (1) Heavy reliance on celebrity and social-media influencer endorsement in Japan can pressure younger consumers into status-driven over-consumption to conform to fashion norms (Zhao </w:t>
      </w:r>
      <w:r>
        <w:rPr>
          <w:i/>
          <w:iCs/>
        </w:rPr>
        <w:t>et al.</w:t>
      </w:r>
      <w:r>
        <w:t xml:space="preserve">, 2024). (2) Marketing the sustainable product range prominently, while it remains a small share of the total portfolio, risks </w:t>
      </w:r>
      <w:r>
        <w:rPr>
          <w:b/>
          <w:bCs/>
        </w:rPr>
        <w:t>greenwashing</w:t>
      </w:r>
      <w:r>
        <w:t xml:space="preserve"> — creating a more sustainable brand impression than the overall product range supports.</w:t>
      </w:r>
    </w:p>
    <w:p w14:paraId="5E614709" w14:textId="77777777" w:rsidR="00EF1A36" w:rsidRDefault="00000000">
      <w:pPr>
        <w:spacing w:after="160" w:line="300" w:lineRule="auto"/>
        <w:jc w:val="both"/>
      </w:pPr>
      <w:r>
        <w:t>Overall, Adidas demonstrates a genuine and improving commitment to responsible marketing in Japan, but the tension between commercial promotion and ethical restraint, particularly around influencer marketing and sustainability claims, remains an area requiring ongoing management attention (Kihara, 2024).</w:t>
      </w:r>
    </w:p>
    <w:p w14:paraId="54EF1017" w14:textId="77777777" w:rsidR="00EF1A36" w:rsidRDefault="00000000">
      <w:pPr>
        <w:pStyle w:val="Heading2"/>
        <w:spacing w:before="320" w:after="140"/>
      </w:pPr>
      <w:bookmarkStart w:id="19" w:name="_Toc237341112"/>
      <w:r>
        <w:rPr>
          <w:b/>
          <w:bCs/>
          <w:color w:val="1B2A4A"/>
          <w:sz w:val="27"/>
          <w:szCs w:val="27"/>
        </w:rPr>
        <w:t>1.7 Strategic Recommendations: STP Evolution</w:t>
      </w:r>
      <w:bookmarkEnd w:id="19"/>
    </w:p>
    <w:p w14:paraId="72492ACE" w14:textId="77777777" w:rsidR="00EF1A36" w:rsidRDefault="00000000">
      <w:pPr>
        <w:spacing w:after="160" w:line="300" w:lineRule="auto"/>
        <w:jc w:val="both"/>
      </w:pPr>
      <w:r>
        <w:rPr>
          <w:b/>
          <w:bCs/>
        </w:rPr>
        <w:t>UK recommendation:</w:t>
      </w:r>
      <w:r>
        <w:t xml:space="preserve"> Adidas should evolve its segmentation to place more weight on sustainability-driven and Gen Z digital-native segments, targeting them with differentiated, cause-linked campaigns, and reposition selected product lines around verified circularity credentials rather than broad lifestyle appeal alone, strengthening differentiation from Nike and Puma.</w:t>
      </w:r>
    </w:p>
    <w:p w14:paraId="7BFC029D" w14:textId="77777777" w:rsidR="00EF1A36" w:rsidRDefault="00000000">
      <w:pPr>
        <w:spacing w:after="160" w:line="300" w:lineRule="auto"/>
        <w:jc w:val="both"/>
      </w:pPr>
      <w:r>
        <w:rPr>
          <w:b/>
          <w:bCs/>
        </w:rPr>
        <w:t>Japan recommendation:</w:t>
      </w:r>
      <w:r>
        <w:t xml:space="preserve"> Adidas should evolve its segmentation to more explicitly capture the growing urban wellness and longevity-focused older-adult segment alongside its current youth/professional focus, target this group with a differentiated offer emphasising comfort and craftsmanship, and reposition around "trusted long-term quality" messaging that plays directly to Japan's high Long-Term Orientation and Uncertainty Avoidance scores.</w:t>
      </w:r>
    </w:p>
    <w:p w14:paraId="0DFD42E4" w14:textId="77777777" w:rsidR="00EF1A36" w:rsidRDefault="00000000">
      <w:pPr>
        <w:spacing w:after="160" w:line="300" w:lineRule="auto"/>
        <w:jc w:val="both"/>
      </w:pPr>
      <w:r>
        <w:t xml:space="preserve">Across both markets, Adidas should also continue expanding digital personalisation and omnichannel integration (Galluccio and </w:t>
      </w:r>
      <w:proofErr w:type="spellStart"/>
      <w:r>
        <w:t>Agrell</w:t>
      </w:r>
      <w:proofErr w:type="spellEnd"/>
      <w:r>
        <w:t>, 2022) and broaden accessible price points without diluting premium credibility (</w:t>
      </w:r>
      <w:proofErr w:type="spellStart"/>
      <w:r>
        <w:t>Almusaed</w:t>
      </w:r>
      <w:proofErr w:type="spellEnd"/>
      <w:r>
        <w:t xml:space="preserve"> </w:t>
      </w:r>
      <w:r>
        <w:rPr>
          <w:i/>
          <w:iCs/>
        </w:rPr>
        <w:t>et al.</w:t>
      </w:r>
      <w:r>
        <w:t>, 2024), supporting inclusivity while protecting brand equity. Evolving STP in this way — rather than holding segmentation, targeting and positioning static — allows Adidas to track shifting consumer priorities in each market and defend its premium position as competitors adapt.</w:t>
      </w:r>
    </w:p>
    <w:p w14:paraId="47FBD010" w14:textId="77777777" w:rsidR="00EF1A36" w:rsidRDefault="00000000">
      <w:pPr>
        <w:pStyle w:val="Heading2"/>
        <w:spacing w:before="320" w:after="140"/>
      </w:pPr>
      <w:bookmarkStart w:id="20" w:name="_Toc237341113"/>
      <w:r>
        <w:rPr>
          <w:b/>
          <w:bCs/>
          <w:color w:val="1B2A4A"/>
          <w:sz w:val="27"/>
          <w:szCs w:val="27"/>
        </w:rPr>
        <w:lastRenderedPageBreak/>
        <w:t>1.8 Conclusion</w:t>
      </w:r>
      <w:bookmarkEnd w:id="20"/>
    </w:p>
    <w:p w14:paraId="2269C83C" w14:textId="77777777" w:rsidR="00EF1A36" w:rsidRDefault="00000000">
      <w:pPr>
        <w:spacing w:after="160" w:line="300" w:lineRule="auto"/>
        <w:jc w:val="both"/>
      </w:pPr>
      <w:r>
        <w:t>Adidas successfully balances a consistent global brand identity with meaningful local adaptation across the UK and Japan. PESTLE and Hofstede analysis show both markets as stable and premium-price-supportive but culturally distinct; STP and the 7Ps show Adidas adjusting segmentation emphasis, product depth, pricing tolerance, promotion style, distribution intensity and service tone to match individualistic, convenience-led UK consumers versus precision- and trust-led Japanese consumers. Its UK market entry via FDI reflects a market attractive enough to justify full ownership and control. Ethical management of influencer marketing and sustainability claims in Japan, alongside continued STP evolution in both markets, will be central to sustaining Adidas' competitive position internationally.</w:t>
      </w:r>
    </w:p>
    <w:p w14:paraId="4F337824" w14:textId="77777777" w:rsidR="00EF1A36" w:rsidRDefault="00000000">
      <w:r>
        <w:br w:type="page"/>
      </w:r>
    </w:p>
    <w:p w14:paraId="0494EED3" w14:textId="77777777" w:rsidR="00EF1A36" w:rsidRDefault="00000000">
      <w:pPr>
        <w:pStyle w:val="Heading1"/>
        <w:spacing w:after="240"/>
      </w:pPr>
      <w:bookmarkStart w:id="21" w:name="_Toc237341114"/>
      <w:r>
        <w:rPr>
          <w:b/>
          <w:bCs/>
          <w:color w:val="1B2A4A"/>
        </w:rPr>
        <w:lastRenderedPageBreak/>
        <w:t>Section 2: Gibbs' Reflective Cycle</w:t>
      </w:r>
      <w:bookmarkEnd w:id="21"/>
    </w:p>
    <w:p w14:paraId="609ABDC9" w14:textId="77777777" w:rsidR="00EF1A36" w:rsidRDefault="00000000">
      <w:pPr>
        <w:pStyle w:val="Heading2"/>
        <w:spacing w:before="320" w:after="140"/>
      </w:pPr>
      <w:bookmarkStart w:id="22" w:name="_Toc237341115"/>
      <w:r>
        <w:rPr>
          <w:b/>
          <w:bCs/>
          <w:color w:val="1B2A4A"/>
          <w:sz w:val="27"/>
          <w:szCs w:val="27"/>
        </w:rPr>
        <w:t>2.1 Gibbs' Reflective Cycle: Definition</w:t>
      </w:r>
      <w:bookmarkEnd w:id="22"/>
    </w:p>
    <w:p w14:paraId="2B6FBD82" w14:textId="77777777" w:rsidR="00EF1A36" w:rsidRDefault="00000000">
      <w:pPr>
        <w:spacing w:after="160" w:line="300" w:lineRule="auto"/>
        <w:jc w:val="both"/>
      </w:pPr>
      <w:r>
        <w:t>Gibbs' Reflective Cycle (Gibbs, 1988) is a structured, six-stage model of reflective learning — Description, Feelings, Evaluation, Analysis, Conclusion and Action Plan — that guides the reflector from recounting an experience through to concrete future action. Its cyclical structure (Figure 18) means reflection does not stop at a single conclusion but feeds directly into a plan for doing things differently next time, making it well suited to reflecting on an extended research and report-writing task such as this one.</w:t>
      </w:r>
    </w:p>
    <w:p w14:paraId="78C5F6DF" w14:textId="77777777" w:rsidR="00EF1A36" w:rsidRDefault="00000000">
      <w:pPr>
        <w:spacing w:before="160" w:after="60"/>
        <w:jc w:val="center"/>
      </w:pPr>
      <w:r>
        <w:rPr>
          <w:noProof/>
        </w:rPr>
        <w:drawing>
          <wp:inline distT="0" distB="0" distL="0" distR="0" wp14:anchorId="1B00B963" wp14:editId="05D4D1B3">
            <wp:extent cx="3657600" cy="3657600"/>
            <wp:effectExtent l="0" t="0" r="0" b="0"/>
            <wp:docPr id="634725142" name="Picture 63472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3657600" cy="3657600"/>
                    </a:xfrm>
                    <a:prstGeom prst="rect">
                      <a:avLst/>
                    </a:prstGeom>
                  </pic:spPr>
                </pic:pic>
              </a:graphicData>
            </a:graphic>
          </wp:inline>
        </w:drawing>
      </w:r>
    </w:p>
    <w:p w14:paraId="5D9CB043" w14:textId="77777777" w:rsidR="00EF1A36" w:rsidRDefault="00000000">
      <w:pPr>
        <w:spacing w:after="20"/>
        <w:jc w:val="center"/>
      </w:pPr>
      <w:r>
        <w:rPr>
          <w:b/>
          <w:bCs/>
          <w:sz w:val="20"/>
          <w:szCs w:val="20"/>
        </w:rPr>
        <w:t>Figure 18: Gibbs' Reflective Cycle</w:t>
      </w:r>
    </w:p>
    <w:p w14:paraId="5F22DFB7" w14:textId="77777777" w:rsidR="00EF1A36" w:rsidRDefault="00000000">
      <w:pPr>
        <w:spacing w:after="220"/>
        <w:jc w:val="center"/>
      </w:pPr>
      <w:r>
        <w:rPr>
          <w:i/>
          <w:iCs/>
          <w:color w:val="555555"/>
          <w:sz w:val="18"/>
          <w:szCs w:val="18"/>
        </w:rPr>
        <w:t>Source: adapted from Gibbs, 1988</w:t>
      </w:r>
    </w:p>
    <w:p w14:paraId="57ED6677" w14:textId="77777777" w:rsidR="00EF1A36" w:rsidRDefault="00000000">
      <w:pPr>
        <w:pStyle w:val="Heading2"/>
        <w:spacing w:before="320" w:after="140"/>
      </w:pPr>
      <w:bookmarkStart w:id="23" w:name="_Toc237341116"/>
      <w:r>
        <w:rPr>
          <w:b/>
          <w:bCs/>
          <w:color w:val="1B2A4A"/>
          <w:sz w:val="27"/>
          <w:szCs w:val="27"/>
        </w:rPr>
        <w:t>2.2 Description: The Research Task</w:t>
      </w:r>
      <w:bookmarkEnd w:id="23"/>
    </w:p>
    <w:p w14:paraId="4980CE27" w14:textId="77777777" w:rsidR="00EF1A36" w:rsidRDefault="00000000">
      <w:pPr>
        <w:spacing w:after="160" w:line="300" w:lineRule="auto"/>
        <w:jc w:val="both"/>
      </w:pPr>
      <w:r>
        <w:t xml:space="preserve">This task required producing a 5,000-word international marketing report comparing Adidas' strategy in the UK and Japan, covering PESTLE, Hofstede's cultural dimensions, STP, the 7Ps marketing mix, market entry strategy, ethical marketing issues and strategic recommendations. The work involved sourcing and synthesising academic literature, market data and company disclosures, applying multiple theoretical frameworks consistently across two very different markets, and presenting findings within a fixed structure and word count. I began by mapping the full assignment brief into a section-by-section outline, then researched each framework in turn, gathering UK and Japan evidence in parallel so that comparative points could be drawn directly rather than added retrospectively. Building and interpreting the supporting diagrams — the perceptual maps, the distribution-channel diagram and the product-depth diagram in </w:t>
      </w:r>
      <w:r>
        <w:lastRenderedPageBreak/>
        <w:t>particular — was a substantial part of the research task in its own right, since each required me to translate written analysis into a visual argument.</w:t>
      </w:r>
    </w:p>
    <w:p w14:paraId="6D718FB9" w14:textId="77777777" w:rsidR="00EF1A36" w:rsidRDefault="00000000">
      <w:pPr>
        <w:pStyle w:val="Heading2"/>
        <w:spacing w:before="320" w:after="140"/>
      </w:pPr>
      <w:bookmarkStart w:id="24" w:name="_Toc237341117"/>
      <w:r>
        <w:rPr>
          <w:b/>
          <w:bCs/>
          <w:color w:val="1B2A4A"/>
          <w:sz w:val="27"/>
          <w:szCs w:val="27"/>
        </w:rPr>
        <w:t>2.3 Feelings</w:t>
      </w:r>
      <w:bookmarkEnd w:id="24"/>
    </w:p>
    <w:p w14:paraId="38A39914" w14:textId="77777777" w:rsidR="00EF1A36" w:rsidRDefault="00000000">
      <w:pPr>
        <w:spacing w:after="160" w:line="300" w:lineRule="auto"/>
        <w:jc w:val="both"/>
      </w:pPr>
      <w:r>
        <w:rPr>
          <w:b/>
          <w:bCs/>
        </w:rPr>
        <w:t>Before:</w:t>
      </w:r>
      <w:r>
        <w:t xml:space="preserve"> At the outset I felt confident about the marketing theory itself but apprehensive about the volume of research required to compare two markets credibly, and uncertain whether I could keep the word count under control while covering every required framework in adequate depth.</w:t>
      </w:r>
    </w:p>
    <w:p w14:paraId="77346B41" w14:textId="77777777" w:rsidR="00EF1A36" w:rsidRDefault="00000000">
      <w:pPr>
        <w:spacing w:after="160" w:line="300" w:lineRule="auto"/>
        <w:jc w:val="both"/>
      </w:pPr>
      <w:r>
        <w:rPr>
          <w:b/>
          <w:bCs/>
        </w:rPr>
        <w:t>After:</w:t>
      </w:r>
      <w:r>
        <w:t xml:space="preserve"> Having completed the report, I feel a stronger sense of accomplishment and genuine improvement in my ability to apply multiple frameworks to the same case without treating them as isolated exercises. Some frustration remained around finding precise, citable country-level data (for example, exact UK employee headcount), which was less available than expected.</w:t>
      </w:r>
    </w:p>
    <w:p w14:paraId="31039865" w14:textId="77777777" w:rsidR="00EF1A36" w:rsidRDefault="00000000">
      <w:pPr>
        <w:pStyle w:val="Heading2"/>
        <w:spacing w:before="320" w:after="140"/>
      </w:pPr>
      <w:bookmarkStart w:id="25" w:name="_Toc237341118"/>
      <w:r>
        <w:rPr>
          <w:b/>
          <w:bCs/>
          <w:color w:val="1B2A4A"/>
          <w:sz w:val="27"/>
          <w:szCs w:val="27"/>
        </w:rPr>
        <w:t>2.4 Evaluation: Strengths and Weaknesses</w:t>
      </w:r>
      <w:bookmarkEnd w:id="25"/>
    </w:p>
    <w:p w14:paraId="71FA373A" w14:textId="77777777" w:rsidR="00EF1A36" w:rsidRDefault="00000000">
      <w:pPr>
        <w:spacing w:after="160" w:line="300" w:lineRule="auto"/>
        <w:jc w:val="both"/>
      </w:pPr>
      <w:r>
        <w:rPr>
          <w:b/>
          <w:bCs/>
        </w:rPr>
        <w:t>Strengths:</w:t>
      </w:r>
      <w:r>
        <w:t xml:space="preserve"> I structured the report systematically, moved logically from macro-environment through STP to the operational 7Ps, and maintained a consistent UK/Japan comparative format throughout, which made the analysis easier to follow and cross-check against the module's assessment criteria.</w:t>
      </w:r>
    </w:p>
    <w:p w14:paraId="2725926D" w14:textId="77777777" w:rsidR="00EF1A36" w:rsidRDefault="00000000">
      <w:pPr>
        <w:spacing w:after="160" w:line="300" w:lineRule="auto"/>
        <w:jc w:val="both"/>
      </w:pPr>
      <w:r>
        <w:rPr>
          <w:b/>
          <w:bCs/>
        </w:rPr>
        <w:t>Weaknesses:</w:t>
      </w:r>
      <w:r>
        <w:t xml:space="preserve"> My early drafting under-used quantitative evidence, relying too heavily on narrative comparison rather than citing specific figures; some sections were also initially written in isolation from one another, creating minor repetition between the PESTLE and STP comparative-evaluation paragraphs that required later editing to remove. I also found country-level operational data (such as UK-specific employee headcount) harder to source reliably than company-wide figures, which meant some claims needed to be framed with appropriate caveats rather than stated as precise facts — a useful lesson in academic honesty when primary data is genuinely unavailable.</w:t>
      </w:r>
    </w:p>
    <w:p w14:paraId="676F17B8" w14:textId="77777777" w:rsidR="00EF1A36" w:rsidRDefault="00000000">
      <w:pPr>
        <w:pStyle w:val="Heading2"/>
        <w:spacing w:before="320" w:after="140"/>
      </w:pPr>
      <w:bookmarkStart w:id="26" w:name="_Toc237341119"/>
      <w:r>
        <w:rPr>
          <w:b/>
          <w:bCs/>
          <w:color w:val="1B2A4A"/>
          <w:sz w:val="27"/>
          <w:szCs w:val="27"/>
        </w:rPr>
        <w:t>2.5 Analysis: What the Three Methods Taught Me</w:t>
      </w:r>
      <w:bookmarkEnd w:id="26"/>
    </w:p>
    <w:p w14:paraId="2BEDC98F" w14:textId="77777777" w:rsidR="00EF1A36" w:rsidRDefault="00000000">
      <w:pPr>
        <w:spacing w:after="160" w:line="300" w:lineRule="auto"/>
        <w:jc w:val="both"/>
      </w:pPr>
      <w:r>
        <w:rPr>
          <w:b/>
          <w:bCs/>
        </w:rPr>
        <w:t>Hofstede's model</w:t>
      </w:r>
      <w:r>
        <w:t xml:space="preserve"> taught me that quantified cultural comparison is powerful for anticipating broad behavioural differences (for example, Japan's high Uncertainty Avoidance explaining its demand for detailed product information) but risks oversimplifying real consumer diversity if treated as the whole picture rather than one input among several.</w:t>
      </w:r>
    </w:p>
    <w:p w14:paraId="5C5A3303" w14:textId="77777777" w:rsidR="00EF1A36" w:rsidRDefault="00000000">
      <w:pPr>
        <w:spacing w:after="160" w:line="300" w:lineRule="auto"/>
        <w:jc w:val="both"/>
      </w:pPr>
      <w:r>
        <w:rPr>
          <w:b/>
          <w:bCs/>
        </w:rPr>
        <w:t>STP</w:t>
      </w:r>
      <w:r>
        <w:t xml:space="preserve"> taught me that segmentation, targeting and positioning must be read together, not separately — Adidas' positioning only makes sense once its targeting choices are understood, and its targeting choices only make sense once its segmentation logic is clear. Applying this chain consistently across two markets improved my ability to build a coherent strategic argument rather than a list of disconnected facts.</w:t>
      </w:r>
    </w:p>
    <w:p w14:paraId="0B63DF8C" w14:textId="77777777" w:rsidR="00EF1A36" w:rsidRDefault="00000000">
      <w:pPr>
        <w:spacing w:after="160" w:line="300" w:lineRule="auto"/>
        <w:jc w:val="both"/>
      </w:pPr>
      <w:r>
        <w:rPr>
          <w:b/>
          <w:bCs/>
        </w:rPr>
        <w:t>The 7Ps</w:t>
      </w:r>
      <w:r>
        <w:t xml:space="preserve"> taught me that a marketing mix is genuinely interdependent: Japan's exclusive distribution choice, higher price tolerance and precision-service culture are not separate decisions but reinforce one shared positioning, which deepened my understanding of marketing mix coherence beyond simply listing each P in turn.</w:t>
      </w:r>
    </w:p>
    <w:p w14:paraId="1183AF17" w14:textId="77777777" w:rsidR="00EF1A36" w:rsidRDefault="00000000">
      <w:pPr>
        <w:spacing w:after="160" w:line="300" w:lineRule="auto"/>
        <w:jc w:val="both"/>
      </w:pPr>
      <w:r>
        <w:lastRenderedPageBreak/>
        <w:t xml:space="preserve">Together, these three methods showed me that international marketing analysis is strongest when frameworks are used to build one integrated argument about </w:t>
      </w:r>
      <w:r>
        <w:rPr>
          <w:i/>
          <w:iCs/>
        </w:rPr>
        <w:t>why</w:t>
      </w:r>
      <w:r>
        <w:t xml:space="preserve"> a company adapts as it does, rather than as independent checklists.</w:t>
      </w:r>
    </w:p>
    <w:p w14:paraId="03E0C5CC" w14:textId="77777777" w:rsidR="00EF1A36" w:rsidRDefault="00000000">
      <w:pPr>
        <w:pStyle w:val="Heading2"/>
        <w:spacing w:before="320" w:after="140"/>
      </w:pPr>
      <w:bookmarkStart w:id="27" w:name="_Toc237341120"/>
      <w:r>
        <w:rPr>
          <w:b/>
          <w:bCs/>
          <w:color w:val="1B2A4A"/>
          <w:sz w:val="27"/>
          <w:szCs w:val="27"/>
        </w:rPr>
        <w:t>2.6 Conclusion</w:t>
      </w:r>
      <w:bookmarkEnd w:id="27"/>
    </w:p>
    <w:p w14:paraId="6110DEAD" w14:textId="77777777" w:rsidR="00EF1A36" w:rsidRDefault="00000000">
      <w:pPr>
        <w:spacing w:after="160" w:line="300" w:lineRule="auto"/>
        <w:jc w:val="both"/>
      </w:pPr>
      <w:r>
        <w:t>Overall, this task improved both my theoretical understanding and my ability to communicate structured comparative analysis under a strict word limit. If I were to repeat it, I would gather quantitative data earlier in the process, draft the comparative-evaluation summaries after all country-specific content was finished (to reduce repetition), and allocate word count more deliberately across sections from the start rather than adjusting after most sections were already drafted.</w:t>
      </w:r>
    </w:p>
    <w:p w14:paraId="5F3B7C32" w14:textId="77777777" w:rsidR="00EF1A36" w:rsidRDefault="00000000">
      <w:pPr>
        <w:pStyle w:val="Heading2"/>
        <w:spacing w:before="320" w:after="140"/>
      </w:pPr>
      <w:bookmarkStart w:id="28" w:name="_Toc237341121"/>
      <w:r>
        <w:rPr>
          <w:b/>
          <w:bCs/>
          <w:color w:val="1B2A4A"/>
          <w:sz w:val="27"/>
          <w:szCs w:val="27"/>
        </w:rPr>
        <w:t>2.7 Overall Skills Gained</w:t>
      </w:r>
      <w:bookmarkEnd w:id="28"/>
    </w:p>
    <w:p w14:paraId="081872D8" w14:textId="77777777" w:rsidR="00EF1A36" w:rsidRDefault="00000000">
      <w:pPr>
        <w:spacing w:after="160" w:line="300" w:lineRule="auto"/>
        <w:jc w:val="both"/>
      </w:pPr>
      <w:r>
        <w:t>This task developed my research and source-evaluation skills, my ability to apply and integrate multiple marketing frameworks, my academic writing and referencing discipline, and my capacity to write concisely under a fixed word limit without losing analytical depth.</w:t>
      </w:r>
    </w:p>
    <w:p w14:paraId="2CFA726E" w14:textId="77777777" w:rsidR="00EF1A36" w:rsidRDefault="00000000">
      <w:pPr>
        <w:pStyle w:val="Heading2"/>
        <w:spacing w:before="320" w:after="140"/>
      </w:pPr>
      <w:bookmarkStart w:id="29" w:name="_Toc237341122"/>
      <w:r>
        <w:rPr>
          <w:b/>
          <w:bCs/>
          <w:color w:val="1B2A4A"/>
          <w:sz w:val="27"/>
          <w:szCs w:val="27"/>
        </w:rPr>
        <w:t>2.8 Action Plan</w:t>
      </w:r>
      <w:bookmarkEnd w:id="29"/>
    </w:p>
    <w:p w14:paraId="1F04B503" w14:textId="77777777" w:rsidR="00EF1A36" w:rsidRDefault="00000000">
      <w:pPr>
        <w:spacing w:after="160" w:line="300" w:lineRule="auto"/>
        <w:jc w:val="both"/>
      </w:pPr>
      <w:r>
        <w:rPr>
          <w:b/>
          <w:bCs/>
        </w:rPr>
        <w:t>Time management:</w:t>
      </w:r>
      <w:r>
        <w:t xml:space="preserve"> I will build a section-by-section word-count and deadline plan before drafting future reports, rather than after, using interim checkpoints to catch scope creep early instead of cutting content under time pressure near the deadline.</w:t>
      </w:r>
    </w:p>
    <w:p w14:paraId="12A0FFC5" w14:textId="77777777" w:rsidR="00EF1A36" w:rsidRDefault="00000000">
      <w:pPr>
        <w:spacing w:after="160" w:line="300" w:lineRule="auto"/>
        <w:jc w:val="both"/>
      </w:pPr>
      <w:r>
        <w:rPr>
          <w:b/>
          <w:bCs/>
        </w:rPr>
        <w:t>Numerical analysis:</w:t>
      </w:r>
      <w:r>
        <w:t xml:space="preserve"> I will strengthen my ability to locate, interpret and correctly cite quantitative data (financial figures, survey statistics, index scores) earlier in the research process, and practise presenting such data visually (as in the charts and diagrams used throughout this report) so that future analysis is evidenced numerically rather than narratively by default.</w:t>
      </w:r>
    </w:p>
    <w:p w14:paraId="4580ED93" w14:textId="77777777" w:rsidR="00EF1A36" w:rsidRDefault="00000000">
      <w:pPr>
        <w:spacing w:after="160" w:line="300" w:lineRule="auto"/>
        <w:jc w:val="both"/>
      </w:pPr>
      <w:r>
        <w:t>Applying both commitments consistently should reduce late-stage rewriting and produce more evidence-based, better-paced work in future assignments.</w:t>
      </w:r>
    </w:p>
    <w:p w14:paraId="7E270567" w14:textId="77777777" w:rsidR="00EF1A36" w:rsidRDefault="00000000">
      <w:r>
        <w:br w:type="page"/>
      </w:r>
    </w:p>
    <w:p w14:paraId="3A073AED" w14:textId="77777777" w:rsidR="00EF1A36" w:rsidRDefault="00000000">
      <w:pPr>
        <w:pStyle w:val="Heading1"/>
        <w:spacing w:after="260"/>
      </w:pPr>
      <w:bookmarkStart w:id="30" w:name="_Toc237341123"/>
      <w:r>
        <w:rPr>
          <w:b/>
          <w:bCs/>
          <w:color w:val="1B2A4A"/>
        </w:rPr>
        <w:lastRenderedPageBreak/>
        <w:t>Reference List</w:t>
      </w:r>
      <w:bookmarkEnd w:id="30"/>
    </w:p>
    <w:p w14:paraId="40E96CAF" w14:textId="66404297" w:rsidR="001C30C4" w:rsidRDefault="001C30C4" w:rsidP="001C30C4">
      <w:pPr>
        <w:spacing w:after="160" w:line="276" w:lineRule="auto"/>
        <w:ind w:left="576" w:hanging="576"/>
      </w:pPr>
      <w:r>
        <w:rPr>
          <w:sz w:val="21"/>
          <w:szCs w:val="21"/>
        </w:rPr>
        <w:t xml:space="preserve">adidas.co.uk (2026) READY TO MAKE HISTORY. Available at: </w:t>
      </w:r>
      <w:hyperlink r:id="rId27" w:history="1">
        <w:r>
          <w:rPr>
            <w:color w:val="1155CC"/>
            <w:sz w:val="21"/>
            <w:szCs w:val="21"/>
            <w:u w:val="single"/>
          </w:rPr>
          <w:t>https://www.adidas.co.uk/</w:t>
        </w:r>
      </w:hyperlink>
      <w:r>
        <w:rPr>
          <w:sz w:val="21"/>
          <w:szCs w:val="21"/>
        </w:rPr>
        <w:t xml:space="preserve"> </w:t>
      </w:r>
    </w:p>
    <w:p w14:paraId="55FB430D" w14:textId="4A47876D" w:rsidR="001C30C4" w:rsidRDefault="001C30C4" w:rsidP="001C30C4">
      <w:pPr>
        <w:spacing w:after="160" w:line="276" w:lineRule="auto"/>
        <w:ind w:left="576" w:hanging="576"/>
      </w:pPr>
      <w:r>
        <w:rPr>
          <w:sz w:val="21"/>
          <w:szCs w:val="21"/>
        </w:rPr>
        <w:t xml:space="preserve">adidas.jp (2026) Available at: </w:t>
      </w:r>
      <w:hyperlink r:id="rId28" w:history="1">
        <w:r>
          <w:rPr>
            <w:color w:val="1155CC"/>
            <w:sz w:val="21"/>
            <w:szCs w:val="21"/>
            <w:u w:val="single"/>
          </w:rPr>
          <w:t>https://www.adidas.jp/</w:t>
        </w:r>
      </w:hyperlink>
      <w:r>
        <w:rPr>
          <w:sz w:val="21"/>
          <w:szCs w:val="21"/>
        </w:rPr>
        <w:t xml:space="preserve"> </w:t>
      </w:r>
    </w:p>
    <w:p w14:paraId="23481C85" w14:textId="77777777" w:rsidR="001C30C4" w:rsidRDefault="001C30C4" w:rsidP="001C30C4">
      <w:pPr>
        <w:spacing w:after="160" w:line="276" w:lineRule="auto"/>
        <w:ind w:left="576" w:hanging="576"/>
      </w:pPr>
      <w:r>
        <w:rPr>
          <w:sz w:val="21"/>
          <w:szCs w:val="21"/>
        </w:rPr>
        <w:t xml:space="preserve">Ali, F., Ilyas, A. and </w:t>
      </w:r>
      <w:proofErr w:type="spellStart"/>
      <w:r>
        <w:rPr>
          <w:sz w:val="21"/>
          <w:szCs w:val="21"/>
        </w:rPr>
        <w:t>Ahmadeen</w:t>
      </w:r>
      <w:proofErr w:type="spellEnd"/>
      <w:r>
        <w:rPr>
          <w:sz w:val="21"/>
          <w:szCs w:val="21"/>
        </w:rPr>
        <w:t xml:space="preserve">, S. (2024) 'Regulations in Japan', in Global Regulations of Medicinal, Pharmaceutical, and Food Products. CRC Press, pp. 153–167. Available at: </w:t>
      </w:r>
      <w:hyperlink r:id="rId29" w:history="1">
        <w:r>
          <w:rPr>
            <w:color w:val="1155CC"/>
            <w:sz w:val="21"/>
            <w:szCs w:val="21"/>
            <w:u w:val="single"/>
          </w:rPr>
          <w:t>https://www.researchgate.net/profile/Faraat-Ali/publication/380324325_Regulations_in_Japan</w:t>
        </w:r>
      </w:hyperlink>
    </w:p>
    <w:p w14:paraId="207AE925" w14:textId="77777777" w:rsidR="001C30C4" w:rsidRDefault="001C30C4" w:rsidP="001C30C4">
      <w:pPr>
        <w:spacing w:after="160" w:line="276" w:lineRule="auto"/>
        <w:ind w:left="576" w:hanging="576"/>
      </w:pPr>
      <w:proofErr w:type="spellStart"/>
      <w:r>
        <w:rPr>
          <w:sz w:val="21"/>
          <w:szCs w:val="21"/>
        </w:rPr>
        <w:t>Almusaed</w:t>
      </w:r>
      <w:proofErr w:type="spellEnd"/>
      <w:r>
        <w:rPr>
          <w:sz w:val="21"/>
          <w:szCs w:val="21"/>
        </w:rPr>
        <w:t xml:space="preserve">, A., </w:t>
      </w:r>
      <w:proofErr w:type="spellStart"/>
      <w:r>
        <w:rPr>
          <w:sz w:val="21"/>
          <w:szCs w:val="21"/>
        </w:rPr>
        <w:t>Yitmen</w:t>
      </w:r>
      <w:proofErr w:type="spellEnd"/>
      <w:r>
        <w:rPr>
          <w:sz w:val="21"/>
          <w:szCs w:val="21"/>
        </w:rPr>
        <w:t xml:space="preserve">, I., Myhren, J.A. and </w:t>
      </w:r>
      <w:proofErr w:type="spellStart"/>
      <w:r>
        <w:rPr>
          <w:sz w:val="21"/>
          <w:szCs w:val="21"/>
        </w:rPr>
        <w:t>Almssad</w:t>
      </w:r>
      <w:proofErr w:type="spellEnd"/>
      <w:r>
        <w:rPr>
          <w:sz w:val="21"/>
          <w:szCs w:val="21"/>
        </w:rPr>
        <w:t xml:space="preserve">, A. (2024) 'Assessing the impact of recycled building materials on environmental sustainability and energy efficiency', Buildings, 14(6), p.1566. Available at: </w:t>
      </w:r>
      <w:hyperlink r:id="rId30" w:history="1">
        <w:r>
          <w:rPr>
            <w:color w:val="1155CC"/>
            <w:sz w:val="21"/>
            <w:szCs w:val="21"/>
            <w:u w:val="single"/>
          </w:rPr>
          <w:t>https://www.mdpi.com/2075-5309/14/6/1566</w:t>
        </w:r>
      </w:hyperlink>
    </w:p>
    <w:p w14:paraId="264EE737" w14:textId="77777777" w:rsidR="001C30C4" w:rsidRDefault="001C30C4" w:rsidP="001C30C4">
      <w:pPr>
        <w:spacing w:after="160" w:line="276" w:lineRule="auto"/>
        <w:ind w:left="576" w:hanging="576"/>
      </w:pPr>
      <w:r>
        <w:rPr>
          <w:sz w:val="21"/>
          <w:szCs w:val="21"/>
        </w:rPr>
        <w:t xml:space="preserve">Booms, B.H. and Bitner, M.J. (1981) 'Marketing strategies and organization structures for service firms', in Donnelly, J.H. and George, W.R. (eds.) Marketing of Services. Chicago: American Marketing Association, pp. 47–51. Available at: </w:t>
      </w:r>
      <w:hyperlink r:id="rId31" w:history="1">
        <w:r>
          <w:rPr>
            <w:color w:val="1155CC"/>
            <w:sz w:val="21"/>
            <w:szCs w:val="21"/>
            <w:u w:val="single"/>
          </w:rPr>
          <w:t>https://www.scirp.org/reference/referencespapers?referenceid=2530717</w:t>
        </w:r>
      </w:hyperlink>
    </w:p>
    <w:p w14:paraId="3C08FA5A" w14:textId="77777777" w:rsidR="001C30C4" w:rsidRDefault="001C30C4" w:rsidP="001C30C4">
      <w:pPr>
        <w:spacing w:after="160" w:line="276" w:lineRule="auto"/>
        <w:ind w:left="576" w:hanging="576"/>
      </w:pPr>
      <w:r>
        <w:rPr>
          <w:sz w:val="21"/>
          <w:szCs w:val="21"/>
        </w:rPr>
        <w:t xml:space="preserve">Burrell, R., Jee, S.J., </w:t>
      </w:r>
      <w:proofErr w:type="spellStart"/>
      <w:r>
        <w:rPr>
          <w:sz w:val="21"/>
          <w:szCs w:val="21"/>
        </w:rPr>
        <w:t>Hötte</w:t>
      </w:r>
      <w:proofErr w:type="spellEnd"/>
      <w:r>
        <w:rPr>
          <w:sz w:val="21"/>
          <w:szCs w:val="21"/>
        </w:rPr>
        <w:t xml:space="preserve">, K. and Ring, C. (2023) 'Intellectual property rights, climate technology transfer and innovation in developing countries', INET Oxford Working Paper. Available at: </w:t>
      </w:r>
      <w:hyperlink r:id="rId32" w:history="1">
        <w:r>
          <w:rPr>
            <w:color w:val="1155CC"/>
            <w:sz w:val="21"/>
            <w:szCs w:val="21"/>
            <w:u w:val="single"/>
          </w:rPr>
          <w:t>https://oms-inet.files.svdcdn.com/staging/files/intellectual-property-rights-2023-14.pdf</w:t>
        </w:r>
      </w:hyperlink>
    </w:p>
    <w:p w14:paraId="3F793293" w14:textId="77777777" w:rsidR="001C30C4" w:rsidRDefault="001C30C4" w:rsidP="001C30C4">
      <w:pPr>
        <w:spacing w:after="160" w:line="276" w:lineRule="auto"/>
        <w:ind w:left="576" w:hanging="576"/>
      </w:pPr>
      <w:r>
        <w:rPr>
          <w:sz w:val="21"/>
          <w:szCs w:val="21"/>
        </w:rPr>
        <w:t xml:space="preserve">Calder, K.E. (2021) Crisis and Compensation: Public Policy and Political Stability in Japan. Princeton: Princeton University Press. Available at: </w:t>
      </w:r>
      <w:hyperlink r:id="rId33" w:history="1">
        <w:r>
          <w:rPr>
            <w:color w:val="1155CC"/>
            <w:sz w:val="21"/>
            <w:szCs w:val="21"/>
            <w:u w:val="single"/>
          </w:rPr>
          <w:t>https://books.google.com/books?id=LuUXEAAAQBAJ</w:t>
        </w:r>
      </w:hyperlink>
    </w:p>
    <w:p w14:paraId="2796101D" w14:textId="77777777" w:rsidR="001C30C4" w:rsidRDefault="001C30C4" w:rsidP="001C30C4">
      <w:pPr>
        <w:spacing w:after="160" w:line="276" w:lineRule="auto"/>
        <w:ind w:left="576" w:hanging="576"/>
      </w:pPr>
      <w:r>
        <w:rPr>
          <w:sz w:val="21"/>
          <w:szCs w:val="21"/>
        </w:rPr>
        <w:t xml:space="preserve">Davies, B., Lalot, F., Peitz, L., Heering, M.S., </w:t>
      </w:r>
      <w:proofErr w:type="spellStart"/>
      <w:r>
        <w:rPr>
          <w:sz w:val="21"/>
          <w:szCs w:val="21"/>
        </w:rPr>
        <w:t>Ozkececi</w:t>
      </w:r>
      <w:proofErr w:type="spellEnd"/>
      <w:r>
        <w:rPr>
          <w:sz w:val="21"/>
          <w:szCs w:val="21"/>
        </w:rPr>
        <w:t xml:space="preserve">, H., Babaian, J., Davies Hayon, K., Broadwood, J. and Abrams, D. (2021) 'Changes in political trust in Britain during the COVID-19 pandemic in 2020', Humanities and Social Sciences Communications, 8(1). Available at: </w:t>
      </w:r>
      <w:hyperlink r:id="rId34" w:history="1">
        <w:r>
          <w:rPr>
            <w:color w:val="1155CC"/>
            <w:sz w:val="21"/>
            <w:szCs w:val="21"/>
            <w:u w:val="single"/>
          </w:rPr>
          <w:t>https://www.nature.com/articles/s41599-021-00850-6.pdf</w:t>
        </w:r>
      </w:hyperlink>
    </w:p>
    <w:p w14:paraId="42F4F2CA" w14:textId="77777777" w:rsidR="001C30C4" w:rsidRDefault="001C30C4" w:rsidP="001C30C4">
      <w:pPr>
        <w:spacing w:after="160" w:line="276" w:lineRule="auto"/>
        <w:ind w:left="576" w:hanging="576"/>
      </w:pPr>
      <w:r>
        <w:rPr>
          <w:sz w:val="21"/>
          <w:szCs w:val="21"/>
        </w:rPr>
        <w:t xml:space="preserve">de </w:t>
      </w:r>
      <w:proofErr w:type="spellStart"/>
      <w:r>
        <w:rPr>
          <w:sz w:val="21"/>
          <w:szCs w:val="21"/>
        </w:rPr>
        <w:t>Mooij</w:t>
      </w:r>
      <w:proofErr w:type="spellEnd"/>
      <w:r>
        <w:rPr>
          <w:sz w:val="21"/>
          <w:szCs w:val="21"/>
        </w:rPr>
        <w:t xml:space="preserve">, M. and Hofstede, G. (2010) 'The Hofstede model: Applications to global branding and advertising strategy and research', International Journal of Advertising, 29(1), pp. 85–110. Available at: </w:t>
      </w:r>
      <w:hyperlink r:id="rId35" w:history="1">
        <w:r>
          <w:rPr>
            <w:color w:val="1155CC"/>
            <w:sz w:val="21"/>
            <w:szCs w:val="21"/>
            <w:u w:val="single"/>
          </w:rPr>
          <w:t>https://www.tandfonline.com/doi/abs/10.2501/S026504870920104X</w:t>
        </w:r>
      </w:hyperlink>
    </w:p>
    <w:p w14:paraId="4A130972" w14:textId="24A7FF4D" w:rsidR="001C30C4" w:rsidRDefault="001C30C4" w:rsidP="001C30C4">
      <w:pPr>
        <w:spacing w:after="160" w:line="276" w:lineRule="auto"/>
        <w:ind w:left="576" w:hanging="576"/>
      </w:pPr>
      <w:proofErr w:type="spellStart"/>
      <w:r>
        <w:rPr>
          <w:sz w:val="21"/>
          <w:szCs w:val="21"/>
        </w:rPr>
        <w:t>Endole</w:t>
      </w:r>
      <w:proofErr w:type="spellEnd"/>
      <w:r>
        <w:rPr>
          <w:sz w:val="21"/>
          <w:szCs w:val="21"/>
        </w:rPr>
        <w:t xml:space="preserve"> (2026) Adidas (U.K.) Limited – Company information. Available at: </w:t>
      </w:r>
      <w:hyperlink r:id="rId36" w:history="1">
        <w:r>
          <w:rPr>
            <w:color w:val="1155CC"/>
            <w:sz w:val="21"/>
            <w:szCs w:val="21"/>
            <w:u w:val="single"/>
          </w:rPr>
          <w:t>https://open.endole.co.uk/insight/company/01075951-adidas-u-k-limited</w:t>
        </w:r>
      </w:hyperlink>
    </w:p>
    <w:p w14:paraId="575E40FD" w14:textId="5BF9E5C4" w:rsidR="001C30C4" w:rsidRDefault="001C30C4" w:rsidP="001C30C4">
      <w:pPr>
        <w:spacing w:after="160" w:line="276" w:lineRule="auto"/>
        <w:ind w:left="576" w:hanging="576"/>
      </w:pPr>
      <w:r>
        <w:rPr>
          <w:sz w:val="21"/>
          <w:szCs w:val="21"/>
        </w:rPr>
        <w:t xml:space="preserve">fourweekmba.com (2026) Adidas Employees, </w:t>
      </w:r>
      <w:proofErr w:type="spellStart"/>
      <w:r>
        <w:rPr>
          <w:sz w:val="21"/>
          <w:szCs w:val="21"/>
        </w:rPr>
        <w:t>FourWeekMBA</w:t>
      </w:r>
      <w:proofErr w:type="spellEnd"/>
      <w:r>
        <w:rPr>
          <w:sz w:val="21"/>
          <w:szCs w:val="21"/>
        </w:rPr>
        <w:t xml:space="preserve">. Available at: </w:t>
      </w:r>
      <w:hyperlink r:id="rId37" w:history="1">
        <w:r>
          <w:rPr>
            <w:color w:val="1155CC"/>
            <w:sz w:val="21"/>
            <w:szCs w:val="21"/>
            <w:u w:val="single"/>
          </w:rPr>
          <w:t>https://fourweekmba.com/adidas-employees/</w:t>
        </w:r>
      </w:hyperlink>
      <w:r>
        <w:rPr>
          <w:sz w:val="21"/>
          <w:szCs w:val="21"/>
        </w:rPr>
        <w:t xml:space="preserve"> </w:t>
      </w:r>
    </w:p>
    <w:p w14:paraId="55F01D4C" w14:textId="77777777" w:rsidR="001C30C4" w:rsidRDefault="001C30C4" w:rsidP="001C30C4">
      <w:pPr>
        <w:spacing w:after="160" w:line="276" w:lineRule="auto"/>
        <w:ind w:left="576" w:hanging="576"/>
      </w:pPr>
      <w:r>
        <w:rPr>
          <w:sz w:val="21"/>
          <w:szCs w:val="21"/>
        </w:rPr>
        <w:t xml:space="preserve">Galluccio, A. and </w:t>
      </w:r>
      <w:proofErr w:type="spellStart"/>
      <w:r>
        <w:rPr>
          <w:sz w:val="21"/>
          <w:szCs w:val="21"/>
        </w:rPr>
        <w:t>Agrell</w:t>
      </w:r>
      <w:proofErr w:type="spellEnd"/>
      <w:r>
        <w:rPr>
          <w:sz w:val="21"/>
          <w:szCs w:val="21"/>
        </w:rPr>
        <w:t xml:space="preserve">, P.J. (2022) 'Industry 4.0 in focus: The adidas </w:t>
      </w:r>
      <w:proofErr w:type="spellStart"/>
      <w:r>
        <w:rPr>
          <w:sz w:val="21"/>
          <w:szCs w:val="21"/>
        </w:rPr>
        <w:t>speedfactory</w:t>
      </w:r>
      <w:proofErr w:type="spellEnd"/>
      <w:r>
        <w:rPr>
          <w:sz w:val="21"/>
          <w:szCs w:val="21"/>
        </w:rPr>
        <w:t xml:space="preserve">', Université catholique de Louvain, pp. 21–32. Available at: </w:t>
      </w:r>
      <w:hyperlink r:id="rId38" w:history="1">
        <w:r>
          <w:rPr>
            <w:color w:val="1155CC"/>
            <w:sz w:val="21"/>
            <w:szCs w:val="21"/>
            <w:u w:val="single"/>
          </w:rPr>
          <w:t>https://thesis.dial.uclouvain.be/bitstreams/8d8f2a06-1cff-4b7f-8713-c65a86fdbe02/download</w:t>
        </w:r>
      </w:hyperlink>
    </w:p>
    <w:p w14:paraId="77A0E252" w14:textId="77777777" w:rsidR="001C30C4" w:rsidRDefault="001C30C4" w:rsidP="001C30C4">
      <w:pPr>
        <w:spacing w:after="160" w:line="276" w:lineRule="auto"/>
        <w:ind w:left="576" w:hanging="576"/>
      </w:pPr>
      <w:r>
        <w:rPr>
          <w:sz w:val="21"/>
          <w:szCs w:val="21"/>
        </w:rPr>
        <w:t xml:space="preserve">Gibbs, G. (1988) Learning by Doing: A Guide to Teaching and Learning Methods. Oxford: Further Education Unit, Oxford Polytechnic. Summary available at: </w:t>
      </w:r>
      <w:hyperlink r:id="rId39" w:history="1">
        <w:r>
          <w:rPr>
            <w:color w:val="1155CC"/>
            <w:sz w:val="21"/>
            <w:szCs w:val="21"/>
            <w:u w:val="single"/>
          </w:rPr>
          <w:t>https://www.ed.ac.uk/reflection/reflectors-toolkit/reflecting-on-experience/gibbs-reflective-cycle</w:t>
        </w:r>
      </w:hyperlink>
    </w:p>
    <w:p w14:paraId="72174B56" w14:textId="77777777" w:rsidR="001C30C4" w:rsidRDefault="001C30C4" w:rsidP="001C30C4">
      <w:pPr>
        <w:spacing w:after="160" w:line="276" w:lineRule="auto"/>
        <w:ind w:left="576" w:hanging="576"/>
      </w:pPr>
      <w:r>
        <w:rPr>
          <w:sz w:val="21"/>
          <w:szCs w:val="21"/>
        </w:rPr>
        <w:t xml:space="preserve">Godfrey, M., Kim, J., </w:t>
      </w:r>
      <w:proofErr w:type="spellStart"/>
      <w:r>
        <w:rPr>
          <w:sz w:val="21"/>
          <w:szCs w:val="21"/>
        </w:rPr>
        <w:t>Eluère</w:t>
      </w:r>
      <w:proofErr w:type="spellEnd"/>
      <w:r>
        <w:rPr>
          <w:sz w:val="21"/>
          <w:szCs w:val="21"/>
        </w:rPr>
        <w:t xml:space="preserve">, M. and Eys, M. (2020) 'Diversity in cultural diversity research: A scoping review', International Review of Sport and Exercise Psychology, 13(1), pp. 128–146. Available at: </w:t>
      </w:r>
      <w:hyperlink r:id="rId40" w:history="1">
        <w:r>
          <w:rPr>
            <w:color w:val="1155CC"/>
            <w:sz w:val="21"/>
            <w:szCs w:val="21"/>
            <w:u w:val="single"/>
          </w:rPr>
          <w:t>https://www.researchgate.net/profile/Manon-Eluere/publication/333225410_Diversity_in_cultural_diversity_research_a_scoping_review</w:t>
        </w:r>
      </w:hyperlink>
    </w:p>
    <w:p w14:paraId="02B2237F" w14:textId="77777777" w:rsidR="001C30C4" w:rsidRDefault="001C30C4" w:rsidP="001C30C4">
      <w:pPr>
        <w:spacing w:after="160" w:line="276" w:lineRule="auto"/>
        <w:ind w:left="576" w:hanging="576"/>
      </w:pPr>
      <w:proofErr w:type="spellStart"/>
      <w:r>
        <w:rPr>
          <w:sz w:val="21"/>
          <w:szCs w:val="21"/>
        </w:rPr>
        <w:t>Holtbrügge</w:t>
      </w:r>
      <w:proofErr w:type="spellEnd"/>
      <w:r>
        <w:rPr>
          <w:sz w:val="21"/>
          <w:szCs w:val="21"/>
        </w:rPr>
        <w:t xml:space="preserve">, D. and Schuster, T. (2024) 'The Internationalization Strategy of adidas', in The Internationalization of Firms. Nomos </w:t>
      </w:r>
      <w:proofErr w:type="spellStart"/>
      <w:r>
        <w:rPr>
          <w:sz w:val="21"/>
          <w:szCs w:val="21"/>
        </w:rPr>
        <w:t>Verlagsgesellschaft</w:t>
      </w:r>
      <w:proofErr w:type="spellEnd"/>
      <w:r>
        <w:rPr>
          <w:sz w:val="21"/>
          <w:szCs w:val="21"/>
        </w:rPr>
        <w:t xml:space="preserve">, pp. 21–44. Available at: </w:t>
      </w:r>
      <w:hyperlink r:id="rId41" w:history="1">
        <w:r>
          <w:rPr>
            <w:color w:val="1155CC"/>
            <w:sz w:val="21"/>
            <w:szCs w:val="21"/>
            <w:u w:val="single"/>
          </w:rPr>
          <w:t>https://balleis.de/wp-content/uploads/2025/06/Case-Studies-from-the-NA%C2%BCrnberg-Metropolitan-Area_3rd-edition.pdf</w:t>
        </w:r>
      </w:hyperlink>
    </w:p>
    <w:p w14:paraId="07087F5B" w14:textId="77777777" w:rsidR="001C30C4" w:rsidRDefault="001C30C4" w:rsidP="001C30C4">
      <w:pPr>
        <w:spacing w:after="160" w:line="276" w:lineRule="auto"/>
        <w:ind w:left="576" w:hanging="576"/>
      </w:pPr>
      <w:r>
        <w:rPr>
          <w:sz w:val="21"/>
          <w:szCs w:val="21"/>
        </w:rPr>
        <w:t xml:space="preserve">Howells, G. (2020) 'Protecting consumer protection values in the fourth industrial revolution', Journal of Consumer Policy, 43(1), pp. 145–175. Available at: </w:t>
      </w:r>
      <w:hyperlink r:id="rId42" w:history="1">
        <w:r>
          <w:rPr>
            <w:color w:val="1155CC"/>
            <w:sz w:val="21"/>
            <w:szCs w:val="21"/>
            <w:u w:val="single"/>
          </w:rPr>
          <w:t>https://link.springer.com/content/pdf/10.1007/s10603-019-09430-3.pdf</w:t>
        </w:r>
      </w:hyperlink>
    </w:p>
    <w:p w14:paraId="6C0A6CB9" w14:textId="77777777" w:rsidR="001C30C4" w:rsidRDefault="001C30C4" w:rsidP="001C30C4">
      <w:pPr>
        <w:spacing w:after="160" w:line="276" w:lineRule="auto"/>
        <w:ind w:left="576" w:hanging="576"/>
      </w:pPr>
      <w:r>
        <w:rPr>
          <w:sz w:val="21"/>
          <w:szCs w:val="21"/>
        </w:rPr>
        <w:t xml:space="preserve">Kihara, J.W. (2024) 'The long-term impact of abandoning ethical standards on organizational success and profitability', African Journal of Emerging Issues, 6(4), pp. 46–59. Available at: </w:t>
      </w:r>
      <w:hyperlink r:id="rId43" w:history="1">
        <w:r>
          <w:rPr>
            <w:color w:val="1155CC"/>
            <w:sz w:val="21"/>
            <w:szCs w:val="21"/>
            <w:u w:val="single"/>
          </w:rPr>
          <w:t>https://ajoeijournal.org/sys/index.php/ajoei/article/download/556/670</w:t>
        </w:r>
      </w:hyperlink>
    </w:p>
    <w:p w14:paraId="66F9DB8C" w14:textId="1CF08445" w:rsidR="001C30C4" w:rsidRDefault="001C30C4" w:rsidP="001C30C4">
      <w:pPr>
        <w:spacing w:after="160" w:line="276" w:lineRule="auto"/>
        <w:ind w:left="576" w:hanging="576"/>
      </w:pPr>
      <w:r>
        <w:rPr>
          <w:sz w:val="21"/>
          <w:szCs w:val="21"/>
        </w:rPr>
        <w:t xml:space="preserve">knowledge.antom.com (2026) Selling to consumers in Japan? Here's what you need to know, </w:t>
      </w:r>
      <w:proofErr w:type="spellStart"/>
      <w:r>
        <w:rPr>
          <w:sz w:val="21"/>
          <w:szCs w:val="21"/>
        </w:rPr>
        <w:t>Antom</w:t>
      </w:r>
      <w:proofErr w:type="spellEnd"/>
      <w:r>
        <w:rPr>
          <w:sz w:val="21"/>
          <w:szCs w:val="21"/>
        </w:rPr>
        <w:t xml:space="preserve">. Available at: </w:t>
      </w:r>
      <w:hyperlink r:id="rId44" w:history="1">
        <w:r>
          <w:rPr>
            <w:color w:val="1155CC"/>
            <w:sz w:val="21"/>
            <w:szCs w:val="21"/>
            <w:u w:val="single"/>
          </w:rPr>
          <w:t>https://knowledge.antom.com/selling-to-consumers-in-japan-heres-what-you-need-to-know</w:t>
        </w:r>
      </w:hyperlink>
      <w:r>
        <w:rPr>
          <w:sz w:val="21"/>
          <w:szCs w:val="21"/>
        </w:rPr>
        <w:t xml:space="preserve"> </w:t>
      </w:r>
    </w:p>
    <w:p w14:paraId="1A687F6D" w14:textId="77777777" w:rsidR="001C30C4" w:rsidRDefault="001C30C4" w:rsidP="001C30C4">
      <w:pPr>
        <w:spacing w:after="160" w:line="276" w:lineRule="auto"/>
        <w:ind w:left="576" w:hanging="576"/>
      </w:pPr>
      <w:r>
        <w:rPr>
          <w:sz w:val="21"/>
          <w:szCs w:val="21"/>
        </w:rPr>
        <w:t xml:space="preserve">Kotler, P. and Armstrong, G. (2021) Principles of Marketing. 18th </w:t>
      </w:r>
      <w:proofErr w:type="spellStart"/>
      <w:r>
        <w:rPr>
          <w:sz w:val="21"/>
          <w:szCs w:val="21"/>
        </w:rPr>
        <w:t>edn</w:t>
      </w:r>
      <w:proofErr w:type="spellEnd"/>
      <w:r>
        <w:rPr>
          <w:sz w:val="21"/>
          <w:szCs w:val="21"/>
        </w:rPr>
        <w:t xml:space="preserve">. Harlow: Pearson Education. Available at: </w:t>
      </w:r>
      <w:hyperlink r:id="rId45" w:history="1">
        <w:r>
          <w:rPr>
            <w:color w:val="1155CC"/>
            <w:sz w:val="21"/>
            <w:szCs w:val="21"/>
            <w:u w:val="single"/>
          </w:rPr>
          <w:t>https://www.pearson.com/en-us/subject-catalog/p/principles-of-marketing/P200000005954/9780135766361</w:t>
        </w:r>
      </w:hyperlink>
    </w:p>
    <w:p w14:paraId="35ED2BD9" w14:textId="77777777" w:rsidR="001C30C4" w:rsidRDefault="001C30C4" w:rsidP="001C30C4">
      <w:pPr>
        <w:spacing w:after="160" w:line="276" w:lineRule="auto"/>
        <w:ind w:left="576" w:hanging="576"/>
      </w:pPr>
      <w:r>
        <w:rPr>
          <w:sz w:val="21"/>
          <w:szCs w:val="21"/>
        </w:rPr>
        <w:t xml:space="preserve">Lee, S. and Winterich, K.P. (2022) 'The price entitlement effect', Journal of Marketing Research, 59(6), pp. 1141–1160. Available at: </w:t>
      </w:r>
      <w:hyperlink r:id="rId46" w:history="1">
        <w:r>
          <w:rPr>
            <w:color w:val="1155CC"/>
            <w:sz w:val="21"/>
            <w:szCs w:val="21"/>
            <w:u w:val="single"/>
          </w:rPr>
          <w:t>https://journals.sagepub.com/doi/pdf/10.1177/00222437221094301</w:t>
        </w:r>
      </w:hyperlink>
    </w:p>
    <w:p w14:paraId="66B806F6" w14:textId="77777777" w:rsidR="001C30C4" w:rsidRDefault="001C30C4" w:rsidP="001C30C4">
      <w:pPr>
        <w:spacing w:after="160" w:line="276" w:lineRule="auto"/>
        <w:ind w:left="576" w:hanging="576"/>
      </w:pPr>
      <w:r>
        <w:rPr>
          <w:sz w:val="21"/>
          <w:szCs w:val="21"/>
        </w:rPr>
        <w:t xml:space="preserve">McCarthy, E.J. (1960) Basic Marketing: A Managerial Approach. Homewood, IL: Richard D. Irwin. Available at: </w:t>
      </w:r>
      <w:hyperlink r:id="rId47" w:history="1">
        <w:r>
          <w:rPr>
            <w:color w:val="1155CC"/>
            <w:sz w:val="21"/>
            <w:szCs w:val="21"/>
            <w:u w:val="single"/>
          </w:rPr>
          <w:t>https://archive.org/details/basicmarketingma0000ejer</w:t>
        </w:r>
      </w:hyperlink>
    </w:p>
    <w:p w14:paraId="3CEFF11F" w14:textId="520F0C67" w:rsidR="001C30C4" w:rsidRDefault="001C30C4" w:rsidP="001C30C4">
      <w:pPr>
        <w:spacing w:after="160" w:line="276" w:lineRule="auto"/>
        <w:ind w:left="576" w:hanging="576"/>
      </w:pPr>
      <w:r>
        <w:rPr>
          <w:sz w:val="21"/>
          <w:szCs w:val="21"/>
        </w:rPr>
        <w:t xml:space="preserve">McVey, H.H., Corcoran, A.T., Hua, C. and Liu, A. (2026) Thoughts from the Road: Japan March 2026. KKR. Available at: </w:t>
      </w:r>
      <w:hyperlink r:id="rId48" w:history="1">
        <w:r>
          <w:rPr>
            <w:color w:val="1155CC"/>
            <w:sz w:val="21"/>
            <w:szCs w:val="21"/>
            <w:u w:val="single"/>
          </w:rPr>
          <w:t>https://www.kkr.com/insights/2026-japan-thoughts-from-the-road</w:t>
        </w:r>
      </w:hyperlink>
      <w:r>
        <w:rPr>
          <w:sz w:val="21"/>
          <w:szCs w:val="21"/>
        </w:rPr>
        <w:t xml:space="preserve"> </w:t>
      </w:r>
    </w:p>
    <w:p w14:paraId="5C01FF5D" w14:textId="77777777" w:rsidR="001C30C4" w:rsidRDefault="001C30C4" w:rsidP="001C30C4">
      <w:pPr>
        <w:spacing w:after="160" w:line="276" w:lineRule="auto"/>
        <w:ind w:left="576" w:hanging="576"/>
      </w:pPr>
      <w:r>
        <w:rPr>
          <w:sz w:val="21"/>
          <w:szCs w:val="21"/>
        </w:rPr>
        <w:t xml:space="preserve">Mitchell, A. (1983) The Nine American Lifestyles: Who We Are and Where We're Going. New York: Macmillan. Available at: </w:t>
      </w:r>
      <w:hyperlink r:id="rId49" w:history="1">
        <w:r>
          <w:rPr>
            <w:color w:val="1155CC"/>
            <w:sz w:val="21"/>
            <w:szCs w:val="21"/>
            <w:u w:val="single"/>
          </w:rPr>
          <w:t>https://books.google.com/books/about/The_Nine_American_Lifestyles.html?id=R67ZAAAAMAAJ</w:t>
        </w:r>
      </w:hyperlink>
    </w:p>
    <w:p w14:paraId="53AE691A" w14:textId="265BB43F" w:rsidR="001C30C4" w:rsidRDefault="001C30C4" w:rsidP="001C30C4">
      <w:pPr>
        <w:spacing w:after="160" w:line="276" w:lineRule="auto"/>
        <w:ind w:left="576" w:hanging="576"/>
      </w:pPr>
      <w:r>
        <w:rPr>
          <w:sz w:val="21"/>
          <w:szCs w:val="21"/>
        </w:rPr>
        <w:t xml:space="preserve">Navarro, J.G. (2026) adidas Group: marketing &amp; POS spend 2015-2025, Statista. Available at: </w:t>
      </w:r>
      <w:hyperlink r:id="rId50" w:history="1">
        <w:r>
          <w:rPr>
            <w:color w:val="1155CC"/>
            <w:sz w:val="21"/>
            <w:szCs w:val="21"/>
            <w:u w:val="single"/>
          </w:rPr>
          <w:t>https://www.statista.com/statistics/540836/adidas-marketing-spend/</w:t>
        </w:r>
      </w:hyperlink>
      <w:r>
        <w:rPr>
          <w:sz w:val="21"/>
          <w:szCs w:val="21"/>
        </w:rPr>
        <w:t xml:space="preserve"> </w:t>
      </w:r>
    </w:p>
    <w:p w14:paraId="6502EDE0" w14:textId="271E8CC9" w:rsidR="001C30C4" w:rsidRDefault="001C30C4" w:rsidP="001C30C4">
      <w:pPr>
        <w:spacing w:after="160" w:line="276" w:lineRule="auto"/>
        <w:ind w:left="576" w:hanging="576"/>
      </w:pPr>
      <w:r>
        <w:rPr>
          <w:sz w:val="21"/>
          <w:szCs w:val="21"/>
        </w:rPr>
        <w:t xml:space="preserve">Nikkei Compass (2026) Adidas Japan K.K. – Company information. Available at: </w:t>
      </w:r>
      <w:hyperlink r:id="rId51" w:history="1">
        <w:r>
          <w:rPr>
            <w:color w:val="1155CC"/>
            <w:sz w:val="21"/>
            <w:szCs w:val="21"/>
            <w:u w:val="single"/>
          </w:rPr>
          <w:t>https://www.nikkei.com/compass/company/hFMsJ5iimg4MfHUa3GD53L</w:t>
        </w:r>
      </w:hyperlink>
      <w:r>
        <w:rPr>
          <w:sz w:val="21"/>
          <w:szCs w:val="21"/>
        </w:rPr>
        <w:t xml:space="preserve"> </w:t>
      </w:r>
    </w:p>
    <w:p w14:paraId="3C6C85A3" w14:textId="5A0BC1D3" w:rsidR="001C30C4" w:rsidRDefault="001C30C4" w:rsidP="001C30C4">
      <w:pPr>
        <w:spacing w:after="160" w:line="276" w:lineRule="auto"/>
        <w:ind w:left="576" w:hanging="576"/>
      </w:pPr>
      <w:r>
        <w:rPr>
          <w:sz w:val="21"/>
          <w:szCs w:val="21"/>
        </w:rPr>
        <w:t xml:space="preserve">ons.gov.uk (2024) Redefining investment in digital infrastructure in the UK. Office for National Statistics. Available at: </w:t>
      </w:r>
      <w:hyperlink r:id="rId52" w:history="1">
        <w:r>
          <w:rPr>
            <w:color w:val="1155CC"/>
            <w:sz w:val="21"/>
            <w:szCs w:val="21"/>
            <w:u w:val="single"/>
          </w:rPr>
          <w:t>https://www.ons.gov.uk/economy/economicoutputandproductivity/productivitymeasures/articles/redefininginvestmentindigitalinfrastructureintheuk/2024-07-31</w:t>
        </w:r>
      </w:hyperlink>
      <w:r>
        <w:rPr>
          <w:sz w:val="21"/>
          <w:szCs w:val="21"/>
        </w:rPr>
        <w:t xml:space="preserve"> </w:t>
      </w:r>
    </w:p>
    <w:p w14:paraId="2A4FA132" w14:textId="48381D83" w:rsidR="001C30C4" w:rsidRDefault="001C30C4" w:rsidP="001C30C4">
      <w:pPr>
        <w:spacing w:after="160" w:line="276" w:lineRule="auto"/>
        <w:ind w:left="576" w:hanging="576"/>
      </w:pPr>
      <w:r>
        <w:rPr>
          <w:sz w:val="21"/>
          <w:szCs w:val="21"/>
        </w:rPr>
        <w:t xml:space="preserve">Race, M. (2022) UK inflation hits 40-year high of 9% as energy bills soar, BBC News. Available at: </w:t>
      </w:r>
      <w:hyperlink r:id="rId53" w:history="1">
        <w:r>
          <w:rPr>
            <w:color w:val="1155CC"/>
            <w:sz w:val="21"/>
            <w:szCs w:val="21"/>
            <w:u w:val="single"/>
          </w:rPr>
          <w:t>https://www.bbc.com/news/business-61483175</w:t>
        </w:r>
      </w:hyperlink>
      <w:r>
        <w:rPr>
          <w:sz w:val="21"/>
          <w:szCs w:val="21"/>
        </w:rPr>
        <w:t xml:space="preserve"> </w:t>
      </w:r>
    </w:p>
    <w:p w14:paraId="4BE7D2FB" w14:textId="77777777" w:rsidR="001C30C4" w:rsidRDefault="001C30C4" w:rsidP="001C30C4">
      <w:pPr>
        <w:spacing w:after="160" w:line="276" w:lineRule="auto"/>
        <w:ind w:left="576" w:hanging="576"/>
      </w:pPr>
      <w:r>
        <w:rPr>
          <w:sz w:val="21"/>
          <w:szCs w:val="21"/>
        </w:rPr>
        <w:lastRenderedPageBreak/>
        <w:t xml:space="preserve">Rayhan, A. (2023) 'Living with </w:t>
      </w:r>
      <w:proofErr w:type="spellStart"/>
      <w:r>
        <w:rPr>
          <w:sz w:val="21"/>
          <w:szCs w:val="21"/>
        </w:rPr>
        <w:t>honor</w:t>
      </w:r>
      <w:proofErr w:type="spellEnd"/>
      <w:r>
        <w:rPr>
          <w:sz w:val="21"/>
          <w:szCs w:val="21"/>
        </w:rPr>
        <w:t xml:space="preserve">: Exploring the ethical values of Japanese society and education', ResearchGate. Available at: </w:t>
      </w:r>
      <w:hyperlink r:id="rId54" w:history="1">
        <w:r>
          <w:rPr>
            <w:color w:val="1155CC"/>
            <w:sz w:val="21"/>
            <w:szCs w:val="21"/>
            <w:u w:val="single"/>
          </w:rPr>
          <w:t>https://www.researchgate.net/profile/Abu-Rayhan-11/publication/373328817_LIVING_WITH_HONOR_EXPLORING_THE_ETHICAL_VALUES_OF_JAPANESE_SOCIETY_AND_EDUCATION</w:t>
        </w:r>
      </w:hyperlink>
    </w:p>
    <w:p w14:paraId="1795BC88" w14:textId="77777777" w:rsidR="001C30C4" w:rsidRDefault="001C30C4" w:rsidP="001C30C4">
      <w:pPr>
        <w:spacing w:after="160" w:line="276" w:lineRule="auto"/>
        <w:ind w:left="576" w:hanging="576"/>
      </w:pPr>
      <w:r>
        <w:rPr>
          <w:sz w:val="21"/>
          <w:szCs w:val="21"/>
        </w:rPr>
        <w:t xml:space="preserve">Rezania, S., </w:t>
      </w:r>
      <w:proofErr w:type="spellStart"/>
      <w:r>
        <w:rPr>
          <w:sz w:val="21"/>
          <w:szCs w:val="21"/>
        </w:rPr>
        <w:t>Oryani</w:t>
      </w:r>
      <w:proofErr w:type="spellEnd"/>
      <w:r>
        <w:rPr>
          <w:sz w:val="21"/>
          <w:szCs w:val="21"/>
        </w:rPr>
        <w:t xml:space="preserve">, B., Nasrollahi, V.R., Darajeh, N., Lotfi Ghahroud, M. and Mehranzamir, K. (2023) 'Review on waste-to-energy approaches toward a circular economy in developed and developing countries', Processes, 11(9), p.2566. Available at: </w:t>
      </w:r>
      <w:hyperlink r:id="rId55" w:history="1">
        <w:r>
          <w:rPr>
            <w:color w:val="1155CC"/>
            <w:sz w:val="21"/>
            <w:szCs w:val="21"/>
            <w:u w:val="single"/>
          </w:rPr>
          <w:t>https://www.mdpi.com/2227-9717/11/9/2566</w:t>
        </w:r>
      </w:hyperlink>
    </w:p>
    <w:p w14:paraId="666E5C9C" w14:textId="77777777" w:rsidR="001C30C4" w:rsidRDefault="001C30C4" w:rsidP="001C30C4">
      <w:pPr>
        <w:spacing w:after="160" w:line="276" w:lineRule="auto"/>
        <w:ind w:left="576" w:hanging="576"/>
      </w:pPr>
      <w:r>
        <w:rPr>
          <w:sz w:val="21"/>
          <w:szCs w:val="21"/>
        </w:rPr>
        <w:t xml:space="preserve">Schlegelmilch, B.B. (2022) 'Segmenting targeting and positioning in global markets', in Global Marketing Strategy: An Executive Digest. Cham: Springer, pp. 129–159. Available at: </w:t>
      </w:r>
      <w:hyperlink r:id="rId56" w:history="1">
        <w:r>
          <w:rPr>
            <w:color w:val="1155CC"/>
            <w:sz w:val="21"/>
            <w:szCs w:val="21"/>
            <w:u w:val="single"/>
          </w:rPr>
          <w:t>https://link.springer.com/chapter/10.1007/978-3-030-90665-8_6</w:t>
        </w:r>
      </w:hyperlink>
    </w:p>
    <w:p w14:paraId="32E3B725" w14:textId="2BD0FC90" w:rsidR="001C30C4" w:rsidRDefault="001C30C4" w:rsidP="001C30C4">
      <w:pPr>
        <w:spacing w:after="160" w:line="276" w:lineRule="auto"/>
        <w:ind w:left="576" w:hanging="576"/>
      </w:pPr>
      <w:r>
        <w:rPr>
          <w:sz w:val="21"/>
          <w:szCs w:val="21"/>
        </w:rPr>
        <w:t xml:space="preserve">Sellersunionchina.com (2025) Where are Adidas shoes made? Available at: </w:t>
      </w:r>
      <w:hyperlink r:id="rId57" w:history="1">
        <w:r>
          <w:rPr>
            <w:color w:val="1155CC"/>
            <w:sz w:val="21"/>
            <w:szCs w:val="21"/>
            <w:u w:val="single"/>
          </w:rPr>
          <w:t>https://sellersunionchina.com/where-are-adidas-shoes-made/</w:t>
        </w:r>
      </w:hyperlink>
      <w:r>
        <w:rPr>
          <w:sz w:val="21"/>
          <w:szCs w:val="21"/>
        </w:rPr>
        <w:t xml:space="preserve"> </w:t>
      </w:r>
    </w:p>
    <w:p w14:paraId="64F5E48D" w14:textId="77777777" w:rsidR="001C30C4" w:rsidRDefault="001C30C4" w:rsidP="001C30C4">
      <w:pPr>
        <w:spacing w:after="160" w:line="276" w:lineRule="auto"/>
        <w:ind w:left="576" w:hanging="576"/>
      </w:pPr>
      <w:r>
        <w:rPr>
          <w:sz w:val="21"/>
          <w:szCs w:val="21"/>
        </w:rPr>
        <w:t xml:space="preserve">Singh, N. and Rani, J. (2025) 'Experimental retail: Conceptualizing immersive and memorable shopping journeys', in Retail Innovations in Business Models. IGI Global, pp. 31–50. Available at: </w:t>
      </w:r>
      <w:hyperlink r:id="rId58" w:history="1">
        <w:r>
          <w:rPr>
            <w:color w:val="1155CC"/>
            <w:sz w:val="21"/>
            <w:szCs w:val="21"/>
            <w:u w:val="single"/>
          </w:rPr>
          <w:t>https://www.researchgate.net/profile/Namrata_Kishnani2/publication/393898326_igi_global_book_retail_innovations</w:t>
        </w:r>
      </w:hyperlink>
    </w:p>
    <w:p w14:paraId="484DD475" w14:textId="77777777" w:rsidR="001C30C4" w:rsidRDefault="001C30C4" w:rsidP="001C30C4">
      <w:pPr>
        <w:spacing w:after="160" w:line="276" w:lineRule="auto"/>
        <w:ind w:left="576" w:hanging="576"/>
      </w:pPr>
      <w:r>
        <w:rPr>
          <w:sz w:val="21"/>
          <w:szCs w:val="21"/>
        </w:rPr>
        <w:t xml:space="preserve">Stoica, M. (2024) 'Visual merchandising across cultures', in Modern Paradigms in the Development of the National and World Economy, pp. 82–89. Available at: </w:t>
      </w:r>
      <w:hyperlink r:id="rId59" w:history="1">
        <w:r>
          <w:rPr>
            <w:color w:val="1155CC"/>
            <w:sz w:val="21"/>
            <w:szCs w:val="21"/>
            <w:u w:val="single"/>
          </w:rPr>
          <w:t>https://ibn.idsi.md/sites/default/files/imag_file/p-82-89_1.pdf</w:t>
        </w:r>
      </w:hyperlink>
    </w:p>
    <w:p w14:paraId="6CDC612C" w14:textId="77777777" w:rsidR="001C30C4" w:rsidRDefault="001C30C4" w:rsidP="001C30C4">
      <w:pPr>
        <w:spacing w:after="160" w:line="276" w:lineRule="auto"/>
        <w:ind w:left="576" w:hanging="576"/>
      </w:pPr>
      <w:r>
        <w:rPr>
          <w:sz w:val="21"/>
          <w:szCs w:val="21"/>
        </w:rPr>
        <w:t xml:space="preserve">Storm, R.K., Jensen, T.K. and Nielsen, K. (2024) 'Swedish elite sport: External evaluation', </w:t>
      </w:r>
      <w:proofErr w:type="spellStart"/>
      <w:r>
        <w:rPr>
          <w:sz w:val="21"/>
          <w:szCs w:val="21"/>
        </w:rPr>
        <w:t>Idrættens</w:t>
      </w:r>
      <w:proofErr w:type="spellEnd"/>
      <w:r>
        <w:rPr>
          <w:sz w:val="21"/>
          <w:szCs w:val="21"/>
        </w:rPr>
        <w:t xml:space="preserve"> Analyseinstitut. Available at: </w:t>
      </w:r>
      <w:hyperlink r:id="rId60" w:history="1">
        <w:r>
          <w:rPr>
            <w:color w:val="1155CC"/>
            <w:sz w:val="21"/>
            <w:szCs w:val="21"/>
            <w:u w:val="single"/>
          </w:rPr>
          <w:t>https://www.idan.dk/media/y20nottr/swedish-elite-sport.pdf</w:t>
        </w:r>
      </w:hyperlink>
    </w:p>
    <w:p w14:paraId="5D88B890" w14:textId="77777777" w:rsidR="001C30C4" w:rsidRDefault="001C30C4" w:rsidP="001C30C4">
      <w:pPr>
        <w:spacing w:after="160" w:line="276" w:lineRule="auto"/>
        <w:ind w:left="576" w:hanging="576"/>
      </w:pPr>
      <w:r>
        <w:rPr>
          <w:sz w:val="21"/>
          <w:szCs w:val="21"/>
        </w:rPr>
        <w:t xml:space="preserve">Sueda, R. and Seo, Y. (2024) 'Understanding consumer perception of sustainable fashion in Japan', Sustainability, 16(23), p.10223. Available at: </w:t>
      </w:r>
      <w:hyperlink r:id="rId61" w:history="1">
        <w:r>
          <w:rPr>
            <w:color w:val="1155CC"/>
            <w:sz w:val="21"/>
            <w:szCs w:val="21"/>
            <w:u w:val="single"/>
          </w:rPr>
          <w:t>https://www.mdpi.com/2071-1050/16/23/10223</w:t>
        </w:r>
      </w:hyperlink>
    </w:p>
    <w:p w14:paraId="611D5596" w14:textId="77777777" w:rsidR="001C30C4" w:rsidRDefault="001C30C4" w:rsidP="001C30C4">
      <w:pPr>
        <w:spacing w:after="160" w:line="276" w:lineRule="auto"/>
        <w:ind w:left="576" w:hanging="576"/>
      </w:pPr>
      <w:r>
        <w:rPr>
          <w:sz w:val="21"/>
          <w:szCs w:val="21"/>
        </w:rPr>
        <w:t xml:space="preserve">Sugimoto, Y. (2020) An Introduction to Japanese Society. Cambridge: Cambridge University Press. Available at: </w:t>
      </w:r>
      <w:hyperlink r:id="rId62" w:history="1">
        <w:r>
          <w:rPr>
            <w:color w:val="1155CC"/>
            <w:sz w:val="21"/>
            <w:szCs w:val="21"/>
            <w:u w:val="single"/>
          </w:rPr>
          <w:t>https://www.cambridge.org/highereducation/books/an-introduction-to-japanese-society/BDDBED76B55D3280F44210E8D6B78298</w:t>
        </w:r>
      </w:hyperlink>
    </w:p>
    <w:p w14:paraId="3D693D33" w14:textId="0B75EF37" w:rsidR="001C30C4" w:rsidRDefault="001C30C4" w:rsidP="001C30C4">
      <w:pPr>
        <w:spacing w:after="160" w:line="276" w:lineRule="auto"/>
        <w:ind w:left="576" w:hanging="576"/>
      </w:pPr>
      <w:r>
        <w:rPr>
          <w:sz w:val="21"/>
          <w:szCs w:val="21"/>
        </w:rPr>
        <w:t xml:space="preserve">theculturefactor.com (2026) Country comparison tool. Available at: </w:t>
      </w:r>
      <w:hyperlink r:id="rId63" w:history="1">
        <w:r>
          <w:rPr>
            <w:color w:val="1155CC"/>
            <w:sz w:val="21"/>
            <w:szCs w:val="21"/>
            <w:u w:val="single"/>
          </w:rPr>
          <w:t>https://www.theculturefactor.com/country-comparison-tool?countries=japan%2Cunited%2Bkingdom</w:t>
        </w:r>
      </w:hyperlink>
      <w:r>
        <w:rPr>
          <w:sz w:val="21"/>
          <w:szCs w:val="21"/>
        </w:rPr>
        <w:t xml:space="preserve"> </w:t>
      </w:r>
    </w:p>
    <w:p w14:paraId="095DA1FA" w14:textId="77777777" w:rsidR="001C30C4" w:rsidRDefault="001C30C4" w:rsidP="001C30C4">
      <w:pPr>
        <w:spacing w:after="160" w:line="276" w:lineRule="auto"/>
        <w:ind w:left="576" w:hanging="576"/>
      </w:pPr>
      <w:r>
        <w:rPr>
          <w:sz w:val="21"/>
          <w:szCs w:val="21"/>
        </w:rPr>
        <w:t xml:space="preserve">Zhao, A.L., Dermody, J., Koenig-Lewis, N. and Hanmer-Lloyd, S. (2024) 'Cultivating sustainable consumption', Journal of Consumer Behaviour, 23(2), pp. 1014–1031. Available at: </w:t>
      </w:r>
      <w:hyperlink r:id="rId64" w:history="1">
        <w:r>
          <w:rPr>
            <w:color w:val="1155CC"/>
            <w:sz w:val="21"/>
            <w:szCs w:val="21"/>
            <w:u w:val="single"/>
          </w:rPr>
          <w:t>https://onlinelibrary.wiley.com/doi/pdfdirect/10.1002/cb.2261</w:t>
        </w:r>
      </w:hyperlink>
    </w:p>
    <w:p w14:paraId="681B9C21" w14:textId="77777777" w:rsidR="001C30C4" w:rsidRDefault="001C30C4" w:rsidP="001C30C4">
      <w:pPr>
        <w:spacing w:after="160" w:line="276" w:lineRule="auto"/>
        <w:ind w:left="576" w:hanging="576"/>
      </w:pPr>
      <w:r>
        <w:rPr>
          <w:sz w:val="21"/>
          <w:szCs w:val="21"/>
        </w:rPr>
        <w:t xml:space="preserve">Zou, Y., Zhao, C., Childs, P., Luh, D. and Tang, X. (2025) 'User Experience Design for Online Sports Shoe Retail Platforms', </w:t>
      </w:r>
      <w:proofErr w:type="spellStart"/>
      <w:r>
        <w:rPr>
          <w:sz w:val="21"/>
          <w:szCs w:val="21"/>
        </w:rPr>
        <w:t>Behavioral</w:t>
      </w:r>
      <w:proofErr w:type="spellEnd"/>
      <w:r>
        <w:rPr>
          <w:sz w:val="21"/>
          <w:szCs w:val="21"/>
        </w:rPr>
        <w:t xml:space="preserve"> Sciences, 15(3), p.311. Available at: </w:t>
      </w:r>
      <w:hyperlink r:id="rId65" w:history="1">
        <w:r>
          <w:rPr>
            <w:color w:val="1155CC"/>
            <w:sz w:val="21"/>
            <w:szCs w:val="21"/>
            <w:u w:val="single"/>
          </w:rPr>
          <w:t>https://www.mdpi.com/2076-328X/15/3/311</w:t>
        </w:r>
      </w:hyperlink>
    </w:p>
    <w:p w14:paraId="6C4A769B" w14:textId="0D884C72" w:rsidR="00EF1A36" w:rsidRDefault="00EF1A36" w:rsidP="001C30C4">
      <w:pPr>
        <w:spacing w:after="160" w:line="276" w:lineRule="auto"/>
        <w:ind w:left="576" w:hanging="576"/>
      </w:pPr>
    </w:p>
    <w:sectPr w:rsidR="00EF1A36">
      <w:headerReference w:type="default" r:id="rId66"/>
      <w:footerReference w:type="default" r:id="rId67"/>
      <w:headerReference w:type="first" r:id="rId68"/>
      <w:footerReference w:type="first" r:id="rId69"/>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0AAF9C" w14:textId="77777777" w:rsidR="00024EF0" w:rsidRDefault="00024EF0">
      <w:r>
        <w:separator/>
      </w:r>
    </w:p>
  </w:endnote>
  <w:endnote w:type="continuationSeparator" w:id="0">
    <w:p w14:paraId="23BAFDE9" w14:textId="77777777" w:rsidR="00024EF0" w:rsidRDefault="00024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BE29EF" w14:textId="77777777" w:rsidR="00EF1A36" w:rsidRDefault="00000000">
    <w:pPr>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553E31">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553E31">
      <w:rPr>
        <w:noProof/>
        <w:color w:val="555555"/>
        <w:sz w:val="18"/>
        <w:szCs w:val="18"/>
      </w:rPr>
      <w:t>1</w:t>
    </w:r>
    <w:r>
      <w:rPr>
        <w:color w:val="555555"/>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DC1051" w14:textId="77777777" w:rsidR="00EF1A36" w:rsidRDefault="00EF1A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E3308A" w14:textId="77777777" w:rsidR="00024EF0" w:rsidRDefault="00024EF0">
      <w:r>
        <w:separator/>
      </w:r>
    </w:p>
  </w:footnote>
  <w:footnote w:type="continuationSeparator" w:id="0">
    <w:p w14:paraId="4C24B7B7" w14:textId="77777777" w:rsidR="00024EF0" w:rsidRDefault="00024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63C4EA" w14:textId="77777777" w:rsidR="00EF1A36" w:rsidRDefault="00000000">
    <w:pPr>
      <w:jc w:val="right"/>
    </w:pPr>
    <w:r>
      <w:rPr>
        <w:color w:val="999999"/>
        <w:sz w:val="16"/>
        <w:szCs w:val="16"/>
      </w:rPr>
      <w:t>International Principles &amp; Management – Adidas UK &amp; Japan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4EDD1F" w14:textId="77777777" w:rsidR="00EF1A36" w:rsidRDefault="00EF1A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FD2749F"/>
    <w:multiLevelType w:val="hybridMultilevel"/>
    <w:tmpl w:val="99F6F758"/>
    <w:lvl w:ilvl="0" w:tplc="AA947BD8">
      <w:start w:val="1"/>
      <w:numFmt w:val="bullet"/>
      <w:lvlText w:val="●"/>
      <w:lvlJc w:val="left"/>
      <w:pPr>
        <w:ind w:left="720" w:hanging="360"/>
      </w:pPr>
    </w:lvl>
    <w:lvl w:ilvl="1" w:tplc="A81478B2">
      <w:start w:val="1"/>
      <w:numFmt w:val="bullet"/>
      <w:lvlText w:val="○"/>
      <w:lvlJc w:val="left"/>
      <w:pPr>
        <w:ind w:left="1440" w:hanging="360"/>
      </w:pPr>
    </w:lvl>
    <w:lvl w:ilvl="2" w:tplc="C57000EA">
      <w:start w:val="1"/>
      <w:numFmt w:val="bullet"/>
      <w:lvlText w:val="■"/>
      <w:lvlJc w:val="left"/>
      <w:pPr>
        <w:ind w:left="2160" w:hanging="360"/>
      </w:pPr>
    </w:lvl>
    <w:lvl w:ilvl="3" w:tplc="643E24D0">
      <w:start w:val="1"/>
      <w:numFmt w:val="bullet"/>
      <w:lvlText w:val="●"/>
      <w:lvlJc w:val="left"/>
      <w:pPr>
        <w:ind w:left="2880" w:hanging="360"/>
      </w:pPr>
    </w:lvl>
    <w:lvl w:ilvl="4" w:tplc="AB2AF3D8">
      <w:start w:val="1"/>
      <w:numFmt w:val="bullet"/>
      <w:lvlText w:val="○"/>
      <w:lvlJc w:val="left"/>
      <w:pPr>
        <w:ind w:left="3600" w:hanging="360"/>
      </w:pPr>
    </w:lvl>
    <w:lvl w:ilvl="5" w:tplc="3FCA7FDC">
      <w:start w:val="1"/>
      <w:numFmt w:val="bullet"/>
      <w:lvlText w:val="■"/>
      <w:lvlJc w:val="left"/>
      <w:pPr>
        <w:ind w:left="4320" w:hanging="360"/>
      </w:pPr>
    </w:lvl>
    <w:lvl w:ilvl="6" w:tplc="845AF3FA">
      <w:start w:val="1"/>
      <w:numFmt w:val="bullet"/>
      <w:lvlText w:val="●"/>
      <w:lvlJc w:val="left"/>
      <w:pPr>
        <w:ind w:left="5040" w:hanging="360"/>
      </w:pPr>
    </w:lvl>
    <w:lvl w:ilvl="7" w:tplc="77489EFE">
      <w:start w:val="1"/>
      <w:numFmt w:val="bullet"/>
      <w:lvlText w:val="●"/>
      <w:lvlJc w:val="left"/>
      <w:pPr>
        <w:ind w:left="5760" w:hanging="360"/>
      </w:pPr>
    </w:lvl>
    <w:lvl w:ilvl="8" w:tplc="EE445594">
      <w:start w:val="1"/>
      <w:numFmt w:val="bullet"/>
      <w:lvlText w:val="●"/>
      <w:lvlJc w:val="left"/>
      <w:pPr>
        <w:ind w:left="6480" w:hanging="360"/>
      </w:pPr>
    </w:lvl>
  </w:abstractNum>
  <w:num w:numId="1" w16cid:durableId="977799851">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A36"/>
    <w:rsid w:val="000071B8"/>
    <w:rsid w:val="00024EF0"/>
    <w:rsid w:val="001C30C4"/>
    <w:rsid w:val="00321215"/>
    <w:rsid w:val="004022BC"/>
    <w:rsid w:val="00553E31"/>
    <w:rsid w:val="00817A30"/>
    <w:rsid w:val="00AC10B5"/>
    <w:rsid w:val="00AF6C86"/>
    <w:rsid w:val="00E21984"/>
    <w:rsid w:val="00E7142E"/>
    <w:rsid w:val="00EF1A36"/>
    <w:rsid w:val="00FE6A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2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553E31"/>
    <w:pPr>
      <w:spacing w:after="100"/>
    </w:pPr>
  </w:style>
  <w:style w:type="paragraph" w:styleId="TOC2">
    <w:name w:val="toc 2"/>
    <w:basedOn w:val="Normal"/>
    <w:next w:val="Normal"/>
    <w:autoRedefine/>
    <w:uiPriority w:val="39"/>
    <w:unhideWhenUsed/>
    <w:rsid w:val="00553E31"/>
    <w:pPr>
      <w:spacing w:after="100"/>
      <w:ind w:left="220"/>
    </w:pPr>
  </w:style>
  <w:style w:type="paragraph" w:styleId="TOC3">
    <w:name w:val="toc 3"/>
    <w:basedOn w:val="Normal"/>
    <w:next w:val="Normal"/>
    <w:autoRedefine/>
    <w:uiPriority w:val="39"/>
    <w:unhideWhenUsed/>
    <w:rsid w:val="00553E31"/>
    <w:pPr>
      <w:spacing w:after="100"/>
      <w:ind w:left="440"/>
    </w:pPr>
  </w:style>
  <w:style w:type="character" w:styleId="FollowedHyperlink">
    <w:name w:val="FollowedHyperlink"/>
    <w:basedOn w:val="DefaultParagraphFont"/>
    <w:uiPriority w:val="99"/>
    <w:semiHidden/>
    <w:unhideWhenUsed/>
    <w:rsid w:val="00553E31"/>
    <w:rPr>
      <w:color w:val="96607D" w:themeColor="followedHyperlink"/>
      <w:u w:val="single"/>
    </w:rPr>
  </w:style>
  <w:style w:type="character" w:styleId="Strong">
    <w:name w:val="Strong"/>
    <w:basedOn w:val="DefaultParagraphFont"/>
    <w:uiPriority w:val="22"/>
    <w:qFormat/>
    <w:rsid w:val="00FE6A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link.springer.com/content/pdf/10.1007/s10603-019-09430-3.pdf" TargetMode="External"/><Relationship Id="rId47" Type="http://schemas.openxmlformats.org/officeDocument/2006/relationships/hyperlink" Target="https://archive.org/details/basicmarketingma0000ejer" TargetMode="External"/><Relationship Id="rId63" Type="http://schemas.openxmlformats.org/officeDocument/2006/relationships/hyperlink" Target="https://www.theculturefactor.com/country-comparison-tool?countries=japan%2Cunited%2Bkingdom"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rofile/Faraat-Ali/publication/380324325_Regulations_in_Japan"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oms-inet.files.svdcdn.com/staging/files/intellectual-property-rights-2023-14.pdf" TargetMode="External"/><Relationship Id="rId37" Type="http://schemas.openxmlformats.org/officeDocument/2006/relationships/hyperlink" Target="https://fourweekmba.com/adidas-employees/" TargetMode="External"/><Relationship Id="rId40" Type="http://schemas.openxmlformats.org/officeDocument/2006/relationships/hyperlink" Target="https://www.researchgate.net/profile/Manon-Eluere/publication/333225410_Diversity_in_cultural_diversity_research_a_scoping_review" TargetMode="External"/><Relationship Id="rId45" Type="http://schemas.openxmlformats.org/officeDocument/2006/relationships/hyperlink" Target="https://www.pearson.com/en-us/subject-catalog/p/principles-of-marketing/P200000005954/9780135766361" TargetMode="External"/><Relationship Id="rId53" Type="http://schemas.openxmlformats.org/officeDocument/2006/relationships/hyperlink" Target="https://www.bbc.com/news/business-61483175" TargetMode="External"/><Relationship Id="rId58" Type="http://schemas.openxmlformats.org/officeDocument/2006/relationships/hyperlink" Target="https://www.researchgate.net/profile/Namrata_Kishnani2/publication/393898326_igi_global_book_retail_innovations"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mdpi.com/2071-1050/16/23/10223"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didas.co.uk/" TargetMode="External"/><Relationship Id="rId30" Type="http://schemas.openxmlformats.org/officeDocument/2006/relationships/hyperlink" Target="https://www.mdpi.com/2075-5309/14/6/1566" TargetMode="External"/><Relationship Id="rId35" Type="http://schemas.openxmlformats.org/officeDocument/2006/relationships/hyperlink" Target="https://www.tandfonline.com/doi/abs/10.2501/S026504870920104X" TargetMode="External"/><Relationship Id="rId43" Type="http://schemas.openxmlformats.org/officeDocument/2006/relationships/hyperlink" Target="https://ajoeijournal.org/sys/index.php/ajoei/article/download/556/670" TargetMode="External"/><Relationship Id="rId48" Type="http://schemas.openxmlformats.org/officeDocument/2006/relationships/hyperlink" Target="https://www.kkr.com/insights/2026-japan-thoughts-from-the-road" TargetMode="External"/><Relationship Id="rId56" Type="http://schemas.openxmlformats.org/officeDocument/2006/relationships/hyperlink" Target="https://link.springer.com/chapter/10.1007/978-3-030-90665-8_6" TargetMode="External"/><Relationship Id="rId64" Type="http://schemas.openxmlformats.org/officeDocument/2006/relationships/hyperlink" Target="https://onlinelibrary.wiley.com/doi/pdfdirect/10.1002/cb.2261"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nikkei.com/compass/company/hFMsJ5iimg4MfHUa3GD53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books.google.com/books?id=LuUXEAAAQBAJ" TargetMode="External"/><Relationship Id="rId38" Type="http://schemas.openxmlformats.org/officeDocument/2006/relationships/hyperlink" Target="https://thesis.dial.uclouvain.be/bitstreams/8d8f2a06-1cff-4b7f-8713-c65a86fdbe02/download" TargetMode="External"/><Relationship Id="rId46" Type="http://schemas.openxmlformats.org/officeDocument/2006/relationships/hyperlink" Target="https://journals.sagepub.com/doi/pdf/10.1177/00222437221094301" TargetMode="External"/><Relationship Id="rId59" Type="http://schemas.openxmlformats.org/officeDocument/2006/relationships/hyperlink" Target="https://ibn.idsi.md/sites/default/files/imag_file/p-82-89_1.pdf" TargetMode="External"/><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balleis.de/wp-content/uploads/2025/06/Case-Studies-from-the-NA%C2%BCrnberg-Metropolitan-Area_3rd-edition.pdf" TargetMode="External"/><Relationship Id="rId54" Type="http://schemas.openxmlformats.org/officeDocument/2006/relationships/hyperlink" Target="https://www.researchgate.net/profile/Abu-Rayhan-11/publication/373328817_LIVING_WITH_HONOR_EXPLORING_THE_ETHICAL_VALUES_OF_JAPANESE_SOCIETY_AND_EDUCATION" TargetMode="External"/><Relationship Id="rId62" Type="http://schemas.openxmlformats.org/officeDocument/2006/relationships/hyperlink" Target="https://www.cambridge.org/highereducation/books/an-introduction-to-japanese-society/BDDBED76B55D3280F44210E8D6B78298"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adidas.jp/" TargetMode="External"/><Relationship Id="rId36" Type="http://schemas.openxmlformats.org/officeDocument/2006/relationships/hyperlink" Target="https://open.endole.co.uk/insight/company/01075951-adidas-u-k-limited" TargetMode="External"/><Relationship Id="rId49" Type="http://schemas.openxmlformats.org/officeDocument/2006/relationships/hyperlink" Target="https://books.google.com/books/about/The_Nine_American_Lifestyles.html?id=R67ZAAAAMAAJ" TargetMode="External"/><Relationship Id="rId57" Type="http://schemas.openxmlformats.org/officeDocument/2006/relationships/hyperlink" Target="https://sellersunionchina.com/where-are-adidas-shoes-made/" TargetMode="External"/><Relationship Id="rId10" Type="http://schemas.openxmlformats.org/officeDocument/2006/relationships/image" Target="media/image3.png"/><Relationship Id="rId31" Type="http://schemas.openxmlformats.org/officeDocument/2006/relationships/hyperlink" Target="https://www.scirp.org/reference/referencespapers?referenceid=2530717" TargetMode="External"/><Relationship Id="rId44" Type="http://schemas.openxmlformats.org/officeDocument/2006/relationships/hyperlink" Target="https://knowledge.antom.com/selling-to-consumers-in-japan-heres-what-you-need-to-know" TargetMode="External"/><Relationship Id="rId52" Type="http://schemas.openxmlformats.org/officeDocument/2006/relationships/hyperlink" Target="https://www.ons.gov.uk/economy/economicoutputandproductivity/productivitymeasures/articles/redefininginvestmentindigitalinfrastructureintheuk/2024-07-31" TargetMode="External"/><Relationship Id="rId60" Type="http://schemas.openxmlformats.org/officeDocument/2006/relationships/hyperlink" Target="https://www.idan.dk/media/y20nottr/swedish-elite-sport.pdf" TargetMode="External"/><Relationship Id="rId65" Type="http://schemas.openxmlformats.org/officeDocument/2006/relationships/hyperlink" Target="https://www.mdpi.com/2076-328X/15/3/31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www.nature.com/articles/s41599-021-00850-6.pdf" TargetMode="External"/><Relationship Id="rId50" Type="http://schemas.openxmlformats.org/officeDocument/2006/relationships/hyperlink" Target="https://www.statista.com/statistics/540836/adidas-marketing-spend/" TargetMode="External"/><Relationship Id="rId55" Type="http://schemas.openxmlformats.org/officeDocument/2006/relationships/hyperlink" Target="https://www.mdpi.com/2227-9717/11/9/25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6379C-8342-4140-BD1E-76988312B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7724</Words>
  <Characters>44033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International Principles &amp; Management – Adidas UK &amp; Japan</vt:lpstr>
    </vt:vector>
  </TitlesOfParts>
  <Company/>
  <LinksUpToDate>false</LinksUpToDate>
  <CharactersWithSpaces>51654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Principles &amp; Management – Adidas UK &amp; Japan</dc:title>
  <dc:creator/>
  <cp:lastModifiedBy/>
  <cp:revision>1</cp:revision>
  <dcterms:created xsi:type="dcterms:W3CDTF">2026-08-11T10:40:00Z</dcterms:created>
  <dcterms:modified xsi:type="dcterms:W3CDTF">2026-08-13T00:23:00Z</dcterms:modified>
</cp:coreProperties>
</file>