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8"/>
      </w:tblGrid>
      <w:tr w:rsidR="00F927A1" w:rsidRPr="005D3F07" w14:paraId="68CAA39D" w14:textId="77777777" w:rsidTr="00A55F4F">
        <w:tc>
          <w:tcPr>
            <w:tcW w:w="10768" w:type="dxa"/>
          </w:tcPr>
          <w:p w14:paraId="02F8EE88" w14:textId="74D1A0C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55F4F">
              <w:rPr>
                <w:rFonts w:ascii="Times New Roman" w:hAnsi="Times New Roman" w:cs="Times New Roman"/>
                <w:b/>
                <w:color w:val="auto"/>
                <w:sz w:val="48"/>
              </w:rPr>
              <w:t>Holly Richards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A1997D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w:t>
            </w:r>
            <w:proofErr w:type="gramStart"/>
            <w:r>
              <w:rPr>
                <w:rFonts w:ascii="Times New Roman" w:hAnsi="Times New Roman" w:cs="Times New Roman"/>
                <w:b/>
                <w:color w:val="auto"/>
                <w:sz w:val="48"/>
              </w:rPr>
              <w:t>address:</w:t>
            </w:r>
            <w:r w:rsidR="00A55F4F">
              <w:rPr>
                <w:rFonts w:ascii="Times New Roman" w:hAnsi="Times New Roman" w:cs="Times New Roman"/>
                <w:b/>
                <w:color w:val="auto"/>
                <w:sz w:val="48"/>
              </w:rPr>
              <w:t>Holly.Richards2@ceredigion.gov.uk</w:t>
            </w:r>
            <w:proofErr w:type="gram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E52F2AD"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A55F4F">
              <w:rPr>
                <w:rFonts w:ascii="Times New Roman" w:hAnsi="Times New Roman" w:cs="Times New Roman"/>
                <w:b/>
                <w:color w:val="auto"/>
                <w:sz w:val="48"/>
              </w:rPr>
              <w:t xml:space="preserve"> 2419442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1A5B8DFC" w14:textId="77777777" w:rsidR="00F80567" w:rsidRDefault="00F80567">
            <w:pPr>
              <w:jc w:val="both"/>
              <w:rPr>
                <w:sz w:val="24"/>
                <w:szCs w:val="24"/>
              </w:rPr>
            </w:pPr>
          </w:p>
          <w:p w14:paraId="3A893FA4" w14:textId="77777777" w:rsidR="00F80567" w:rsidRDefault="00F80567" w:rsidP="00F80567">
            <w:pPr>
              <w:jc w:val="both"/>
              <w:rPr>
                <w:sz w:val="24"/>
                <w:szCs w:val="24"/>
              </w:rPr>
            </w:pPr>
            <w:r w:rsidRPr="00F80567">
              <w:rPr>
                <w:sz w:val="24"/>
                <w:szCs w:val="24"/>
              </w:rPr>
              <w:t>Adult safeguarding attempts to ensure people have the right to live safely, attempting to eliminate experiences of abuse and neglect. Safeguarding is a fundamental principle of social work. Safeguarding legislation is derived from international and national legislation with principles including the right to be protected from harm and the person’s right to privacy, equality and choice (The British Association of Social Work, 2019). However, giving equal weight to a person’s right can be challenging within social work and Safeguarding policies, procedures and process (Brammer, 2020). The below will set the scene of a case involving Safeguarding intervention, consideration and directive to the intervention a discussion will follow critically reflecting on the intervention and the implication and integration of analytical assessing, working collaboratively, professional judgement and the use of relevant theories.</w:t>
            </w:r>
          </w:p>
          <w:p w14:paraId="3DC8782D" w14:textId="77777777" w:rsidR="00BE71B7" w:rsidRPr="00F80567" w:rsidRDefault="00BE71B7" w:rsidP="00F80567">
            <w:pPr>
              <w:jc w:val="both"/>
              <w:rPr>
                <w:sz w:val="24"/>
                <w:szCs w:val="24"/>
              </w:rPr>
            </w:pPr>
          </w:p>
          <w:p w14:paraId="3E5B45A1" w14:textId="77777777" w:rsidR="00F80567" w:rsidRDefault="00F80567" w:rsidP="00F80567">
            <w:pPr>
              <w:jc w:val="both"/>
              <w:rPr>
                <w:sz w:val="24"/>
                <w:szCs w:val="24"/>
              </w:rPr>
            </w:pPr>
            <w:r w:rsidRPr="00F80567">
              <w:rPr>
                <w:sz w:val="24"/>
                <w:szCs w:val="24"/>
              </w:rPr>
              <w:t xml:space="preserve">1 is a 78-year-old lady who is the alleged victim of domestic abuse (physical), the alleged perpetrator is 1’s 67-year-old partner who will be identified as 2. The couple moved to a remote area some three years ago to a renovated old building. At the time of the move both were happy and healthy. 1 had some underlying health conditions, however these did not impact on their independence. However, 1’s health soon declined following a stroke that caused some left sided weakness impacting on their mobility and independence, this caused 2 to become a carer for their partner 1. The newly bought home had now become difficult to navigate due to steep stairs and 1’s reduced mobility. They jointly made a referral for Occupational therapy support to facilitate downstairs living. The outcome being that there was adequate space in the downstairs living area to facilitate a bed and that a grant/funding would not be appropriate in this instance for further adaptations. Increasing pressure was growing between 1 and 2 due to the sudden change in circumstances and navigating systems and agencies for support. Under the Social Service and Well-being Act Wales 2014 [Hereafter SSWBA 2014], part 3, section21 states the Local Authority must complete assessments for </w:t>
            </w:r>
            <w:r w:rsidRPr="00F80567">
              <w:rPr>
                <w:sz w:val="24"/>
                <w:szCs w:val="24"/>
              </w:rPr>
              <w:lastRenderedPageBreak/>
              <w:t>people who may need care and support, for older people this includes assessing their needs for services and other forms of support.</w:t>
            </w:r>
          </w:p>
          <w:p w14:paraId="3183F2C4" w14:textId="77777777" w:rsidR="007078D2" w:rsidRPr="00F80567" w:rsidRDefault="007078D2" w:rsidP="00F80567">
            <w:pPr>
              <w:jc w:val="both"/>
              <w:rPr>
                <w:sz w:val="24"/>
                <w:szCs w:val="24"/>
              </w:rPr>
            </w:pPr>
          </w:p>
          <w:p w14:paraId="4E8AFD2A" w14:textId="77777777" w:rsidR="00F80567" w:rsidRDefault="00F80567" w:rsidP="00F80567">
            <w:pPr>
              <w:jc w:val="both"/>
              <w:rPr>
                <w:sz w:val="24"/>
                <w:szCs w:val="24"/>
              </w:rPr>
            </w:pPr>
            <w:r w:rsidRPr="00F80567">
              <w:rPr>
                <w:sz w:val="24"/>
                <w:szCs w:val="24"/>
              </w:rPr>
              <w:t>I the social worker became involved with 1 and 2 when the police requested support as they were due to arrest 2 on suspicion of domestic violence that 1 had disclosed to a support worker. The purpose of my role was to ensure 1’s care and support needs, as in accordance with SSWBA 2014 part 3, would be met in the absence of 2 and if needed to request the support services identified urgently. Therefore, this safeguarding case considers both the risk of domestic abuse and self – neglect in the absence of 2 due to their arrest.</w:t>
            </w:r>
          </w:p>
          <w:p w14:paraId="12F952E2" w14:textId="77777777" w:rsidR="007078D2" w:rsidRPr="00F80567" w:rsidRDefault="007078D2" w:rsidP="00F80567">
            <w:pPr>
              <w:jc w:val="both"/>
              <w:rPr>
                <w:sz w:val="24"/>
                <w:szCs w:val="24"/>
              </w:rPr>
            </w:pPr>
          </w:p>
          <w:p w14:paraId="451F1FA1" w14:textId="77777777" w:rsidR="00F80567" w:rsidRDefault="00F80567" w:rsidP="00F80567">
            <w:pPr>
              <w:jc w:val="both"/>
              <w:rPr>
                <w:sz w:val="24"/>
                <w:szCs w:val="24"/>
              </w:rPr>
            </w:pPr>
            <w:r w:rsidRPr="00F80567">
              <w:rPr>
                <w:sz w:val="24"/>
                <w:szCs w:val="24"/>
              </w:rPr>
              <w:t xml:space="preserve">Following 2’s arrest, interim care was offered as in accordance with SSWBA 2014, Part 3, section 24,to 1 in the form of a package of care initially one care call daily, as it was identified from conversation that their main struggles would be managing their morning routine they also agreed that they would sleep in the downstairs living area in the interim. However, 1 declined this support as they were unsure what the outcome of 2’s arrest would be. It was therefor agreed by </w:t>
            </w:r>
            <w:proofErr w:type="gramStart"/>
            <w:r w:rsidRPr="00F80567">
              <w:rPr>
                <w:sz w:val="24"/>
                <w:szCs w:val="24"/>
              </w:rPr>
              <w:t>myself</w:t>
            </w:r>
            <w:proofErr w:type="gramEnd"/>
            <w:r w:rsidRPr="00F80567">
              <w:rPr>
                <w:sz w:val="24"/>
                <w:szCs w:val="24"/>
              </w:rPr>
              <w:t xml:space="preserve"> and 1 to maintain telephone contact in the interim and 1 would sleep in the downstairs living area to minimise risk of falls and support their independence.</w:t>
            </w:r>
          </w:p>
          <w:p w14:paraId="0A40CA0B" w14:textId="77777777" w:rsidR="007078D2" w:rsidRPr="00F80567" w:rsidRDefault="007078D2" w:rsidP="00F80567">
            <w:pPr>
              <w:jc w:val="both"/>
              <w:rPr>
                <w:sz w:val="24"/>
                <w:szCs w:val="24"/>
              </w:rPr>
            </w:pPr>
          </w:p>
          <w:p w14:paraId="560D487E" w14:textId="77777777" w:rsidR="00F80567" w:rsidRDefault="00F80567" w:rsidP="00F80567">
            <w:pPr>
              <w:jc w:val="both"/>
              <w:rPr>
                <w:sz w:val="24"/>
                <w:szCs w:val="24"/>
              </w:rPr>
            </w:pPr>
            <w:r w:rsidRPr="00F80567">
              <w:rPr>
                <w:sz w:val="24"/>
                <w:szCs w:val="24"/>
              </w:rPr>
              <w:t xml:space="preserve">The outcome of 2’s arrest was that they would be bailed pending further enquires with their bail conditions set as, they were not to contact or visit the property of 1. This caused great distress to 1 and regular phone contact between </w:t>
            </w:r>
            <w:proofErr w:type="gramStart"/>
            <w:r w:rsidRPr="00F80567">
              <w:rPr>
                <w:sz w:val="24"/>
                <w:szCs w:val="24"/>
              </w:rPr>
              <w:t>myself</w:t>
            </w:r>
            <w:proofErr w:type="gramEnd"/>
            <w:r w:rsidRPr="00F80567">
              <w:rPr>
                <w:sz w:val="24"/>
                <w:szCs w:val="24"/>
              </w:rPr>
              <w:t xml:space="preserve"> and 1 was maintained for approximately 1 month when the bail conditions were lifted as no evidence of a crime was found by the police. Therefor, 2 returned home. However, following a Multi-agency risk assessment conference [Hereafter MARAC] meeting it was agreed that both 1 and 2 would be assessed by social workers (myself to assess 1 and a social worker to be known by 3 to assess 2) of their care and support needs to minimise carer pressure and strain in their relationship and to build trusting relationships with agencies (Trevithick, 2012).  The MARAC meeting was convened in line with section 47 of the SSWBA 2014 which places responsibility on the Local Authority to protect an Adult at risk. Another key piece of legislation is the Violence against Women, Domestic Abuse and Sexual Violence (Wales) Act 2015 [ Hereafter VAWDASV 2015] it places statuary duties on the Local Authority to apply local strategies sin line with the national strategy. The act stipulates the need for a multi- agency approach including local authorities, health boards, specialist services who must coordinate and collaborate to the prevention and response to VAWDASV 2015 </w:t>
            </w:r>
          </w:p>
          <w:p w14:paraId="2A7A6361" w14:textId="77777777" w:rsidR="007078D2" w:rsidRPr="00F80567" w:rsidRDefault="007078D2" w:rsidP="00F80567">
            <w:pPr>
              <w:jc w:val="both"/>
              <w:rPr>
                <w:sz w:val="24"/>
                <w:szCs w:val="24"/>
              </w:rPr>
            </w:pPr>
          </w:p>
          <w:p w14:paraId="56A2DDEB" w14:textId="7C15655A" w:rsidR="00F80567" w:rsidRDefault="007078D2" w:rsidP="00F80567">
            <w:pPr>
              <w:jc w:val="both"/>
              <w:rPr>
                <w:sz w:val="24"/>
                <w:szCs w:val="24"/>
              </w:rPr>
            </w:pPr>
            <w:r w:rsidRPr="00F80567">
              <w:rPr>
                <w:sz w:val="24"/>
                <w:szCs w:val="24"/>
              </w:rPr>
              <w:t>Therefore</w:t>
            </w:r>
            <w:r w:rsidR="00F80567" w:rsidRPr="00F80567">
              <w:rPr>
                <w:sz w:val="24"/>
                <w:szCs w:val="24"/>
              </w:rPr>
              <w:t xml:space="preserve">, as in accordance with the SSWBA 2014-part 7 Safeguarding is a fundamental principle for all practitioner in agencies in local authorities or agencies local authorities have appointed to carry out functions on the local authority’s behalf. For this case it included the Safeguarding team, Police force, Social care and support team and domestic abuse support agencies with information and communication with local health agencies, as part of the multi-agency response and from previous interventions by the collaborating agencies which had been exhausted it was agreed a social care and support needs assessment would be beneficial to both 1 and 2. The decision to complete a social care and support needs assessment was made at a MARAC, which as stated by The Welsh Government (2019) it is convened to assess risk and ensure a multi-agency response in agreeing actions to safeguard the adult at risk under section 47 of the SSWBA 2014. However, the decision to complete an </w:t>
            </w:r>
            <w:r w:rsidR="00F80567" w:rsidRPr="00F80567">
              <w:rPr>
                <w:sz w:val="24"/>
                <w:szCs w:val="24"/>
              </w:rPr>
              <w:lastRenderedPageBreak/>
              <w:t>assessment of need for 1 and 2 was made during a MARAC meeting that myself or 3 were not present or invited to.</w:t>
            </w:r>
          </w:p>
          <w:p w14:paraId="761ABC4C" w14:textId="77777777" w:rsidR="007078D2" w:rsidRPr="00F80567" w:rsidRDefault="007078D2" w:rsidP="00F80567">
            <w:pPr>
              <w:jc w:val="both"/>
              <w:rPr>
                <w:sz w:val="24"/>
                <w:szCs w:val="24"/>
              </w:rPr>
            </w:pPr>
          </w:p>
          <w:p w14:paraId="41285989" w14:textId="03153C0A" w:rsidR="00F80567" w:rsidRPr="00F80567" w:rsidRDefault="007078D2" w:rsidP="00F80567">
            <w:pPr>
              <w:jc w:val="both"/>
              <w:rPr>
                <w:sz w:val="24"/>
                <w:szCs w:val="24"/>
              </w:rPr>
            </w:pPr>
            <w:r w:rsidRPr="00F80567">
              <w:rPr>
                <w:sz w:val="24"/>
                <w:szCs w:val="24"/>
              </w:rPr>
              <w:t>Therefore</w:t>
            </w:r>
            <w:r w:rsidR="00F80567" w:rsidRPr="00F80567">
              <w:rPr>
                <w:sz w:val="24"/>
                <w:szCs w:val="24"/>
              </w:rPr>
              <w:t>, a visit to assess was arranged in line with Part 2 of the SSWBA 2014 that stipulates any person carrying out duties under the SSWBA 2014 must have the intention of promoting the wellbeing of those in need of care and support as well as carers who require support. The acts eight common definitions of wellbeing include the protection from abuse and neglect.</w:t>
            </w:r>
          </w:p>
          <w:p w14:paraId="43FFBC74" w14:textId="77777777" w:rsidR="00F80567" w:rsidRDefault="00F80567" w:rsidP="00F80567">
            <w:pPr>
              <w:jc w:val="both"/>
              <w:rPr>
                <w:sz w:val="24"/>
                <w:szCs w:val="24"/>
              </w:rPr>
            </w:pPr>
            <w:r w:rsidRPr="00F80567">
              <w:rPr>
                <w:sz w:val="24"/>
                <w:szCs w:val="24"/>
              </w:rPr>
              <w:t xml:space="preserve">The SSWBA 2014 emphasizes the responsibility of agencies and local authorities to uphold international legislation, including the United Nations Principles for Older Persons, the United Nations Convention on the Rights of Persons with Disabilities, and the European Convention on Human Rights (Williams, 2017). These international frameworks promote values such as dignity, respect for individual beliefs and needs, privacy, autonomy in decision-making regarding care and quality of life, protection from inhuman or degrading treatment, and the right to liberty and security (United Nations, 1991). Various sections of the SSWBA 2014 highlight the importance of preventing abuse, neglect, and harm (Part 2), the duty to assess if someone may be at risk (Part 3), the obligation to meet needs when necessary to ensure protection (Part 4), collaboration between agencies to safeguard individuals (Part 8), and the role of safeguarding boards in conducting research (Part 11). In relation to the case discussed, the above legislation national and international underpins 1’s rights and guides the social work intervention and safeguarding. The interlinked legislation promotes dignity, independence, respect and protection from harm. These values are fundamental to social work practice as outlined in the Code of practice and National Occupational standard (Social Care Wales,2022). </w:t>
            </w:r>
          </w:p>
          <w:p w14:paraId="68C93B13" w14:textId="77777777" w:rsidR="007078D2" w:rsidRPr="00F80567" w:rsidRDefault="007078D2" w:rsidP="00F80567">
            <w:pPr>
              <w:jc w:val="both"/>
              <w:rPr>
                <w:sz w:val="24"/>
                <w:szCs w:val="24"/>
              </w:rPr>
            </w:pPr>
          </w:p>
          <w:p w14:paraId="44ED8642" w14:textId="77777777" w:rsidR="00F80567" w:rsidRDefault="00F80567" w:rsidP="00F80567">
            <w:pPr>
              <w:jc w:val="both"/>
              <w:rPr>
                <w:sz w:val="24"/>
                <w:szCs w:val="24"/>
              </w:rPr>
            </w:pPr>
            <w:r w:rsidRPr="00F80567">
              <w:rPr>
                <w:sz w:val="24"/>
                <w:szCs w:val="24"/>
              </w:rPr>
              <w:t xml:space="preserve">In Wales, safeguarding boards are tasked with protecting the welfare and safety of children and adults who may be at risk of abuse, harm, or neglect (Welsh Government, 2019). Their responsibilities are defined by the SSWBA 2014. All safeguarding boards across Wales follow the Wales Safeguarding Procedures 2019 [ Hereafter WSP 2019], which aim to ensure a consistent approach to safeguarding across all agencies (Welsh Government, 2019). The Working Together to Safeguard People guidance provides legal direction to all organizations involved in safeguarding—whether they are public bodies, voluntary groups, or private sector services (Welsh Government, 2019). </w:t>
            </w:r>
          </w:p>
          <w:p w14:paraId="248311E6" w14:textId="77777777" w:rsidR="007078D2" w:rsidRPr="00F80567" w:rsidRDefault="007078D2" w:rsidP="00F80567">
            <w:pPr>
              <w:jc w:val="both"/>
              <w:rPr>
                <w:sz w:val="24"/>
                <w:szCs w:val="24"/>
              </w:rPr>
            </w:pPr>
          </w:p>
          <w:p w14:paraId="67445CD4" w14:textId="77777777" w:rsidR="00F80567" w:rsidRDefault="00F80567" w:rsidP="00F80567">
            <w:pPr>
              <w:jc w:val="both"/>
              <w:rPr>
                <w:sz w:val="24"/>
                <w:szCs w:val="24"/>
              </w:rPr>
            </w:pPr>
            <w:r w:rsidRPr="00F80567">
              <w:rPr>
                <w:sz w:val="24"/>
                <w:szCs w:val="24"/>
              </w:rPr>
              <w:t>Although, the intention of SSWBA 2014, WSP 2019 and the implementation of safeguarding boards are to provide consistent joint working it does have criticisms such as the lack of definition and responsibilities particularly in relation to the terminology used ‘at risk’ or ‘wellbeing (Clements, 2018). Theres also criticism drawn to the lack of guaranteed additional funding provided to local authorities and agencies to fund the required resources needed to implement the legislation (Williams, 2017).</w:t>
            </w:r>
          </w:p>
          <w:p w14:paraId="1AC2A8AA" w14:textId="77777777" w:rsidR="007078D2" w:rsidRPr="00F80567" w:rsidRDefault="007078D2" w:rsidP="00F80567">
            <w:pPr>
              <w:jc w:val="both"/>
              <w:rPr>
                <w:sz w:val="24"/>
                <w:szCs w:val="24"/>
              </w:rPr>
            </w:pPr>
          </w:p>
          <w:p w14:paraId="44AA1C76" w14:textId="77777777" w:rsidR="00F80567" w:rsidRDefault="00F80567" w:rsidP="00F80567">
            <w:pPr>
              <w:jc w:val="both"/>
              <w:rPr>
                <w:sz w:val="24"/>
                <w:szCs w:val="24"/>
              </w:rPr>
            </w:pPr>
            <w:r w:rsidRPr="00F80567">
              <w:rPr>
                <w:sz w:val="24"/>
                <w:szCs w:val="24"/>
              </w:rPr>
              <w:t xml:space="preserve">In the case being considered, the police acted appropriately by reporting their reasonable belief or suspicion that an adult was at risk, in accordance with Section 128 of the SSWBA 2014, and by sharing this information with the relevant agencies. </w:t>
            </w:r>
          </w:p>
          <w:p w14:paraId="360F72FC" w14:textId="77777777" w:rsidR="007078D2" w:rsidRPr="00F80567" w:rsidRDefault="007078D2" w:rsidP="00F80567">
            <w:pPr>
              <w:jc w:val="both"/>
              <w:rPr>
                <w:sz w:val="24"/>
                <w:szCs w:val="24"/>
              </w:rPr>
            </w:pPr>
          </w:p>
          <w:p w14:paraId="4D12C6D7" w14:textId="77777777" w:rsidR="00F80567" w:rsidRDefault="00F80567" w:rsidP="00F80567">
            <w:pPr>
              <w:jc w:val="both"/>
              <w:rPr>
                <w:sz w:val="24"/>
                <w:szCs w:val="24"/>
              </w:rPr>
            </w:pPr>
            <w:r w:rsidRPr="00F80567">
              <w:rPr>
                <w:sz w:val="24"/>
                <w:szCs w:val="24"/>
              </w:rPr>
              <w:t xml:space="preserve">After receiving the police referral and their request for support, I reviewed historical information held by the local authority to better understand the context and background of individuals 1 </w:t>
            </w:r>
            <w:r w:rsidRPr="00F80567">
              <w:rPr>
                <w:sz w:val="24"/>
                <w:szCs w:val="24"/>
              </w:rPr>
              <w:lastRenderedPageBreak/>
              <w:t>and 2. This was essential in helping me form a clearer picture of their current situation and guide my assessment and involvement (Thomson, 2000). It supported me to identify cultural and language preferences of 1. Although, The Active offer was not implemented in this case following information gathering and background research, it was considered. The Active offer places duty on health services, social care and services through the More than just words Framework to provide services in Welsh without the person accessing services to request their service through the Welsh language (Welsh Government, 2012). According to Social Care Wales (2022) it promotes dignity, respect, equality and supports better outcomes for people accessing services. Gathering and researching collateral and historic information of 1’s interaction with services, gave the opportunity to consider their Mental Capacity as they had suffered a stroke. The Mental capacity Act 2005 [Hereafter MCA 2005] and The Mental Capacity code of Practice 2013 promotes a person’s empowerment and protection if they are unable to make decisions due to a cognitive impairment. The principles support the presumption of capacity, support to make decision, the right to make unwise decisions, consider best interest and the least restrictive option (Brammer, 2020).  However, upon visiting 1 it was evident that I had no reasonable cause to doubt their capacity, therefore The MCA 2005 was not applicable in this case.</w:t>
            </w:r>
          </w:p>
          <w:p w14:paraId="64319400" w14:textId="77777777" w:rsidR="007078D2" w:rsidRPr="00F80567" w:rsidRDefault="007078D2" w:rsidP="00F80567">
            <w:pPr>
              <w:jc w:val="both"/>
              <w:rPr>
                <w:sz w:val="24"/>
                <w:szCs w:val="24"/>
              </w:rPr>
            </w:pPr>
          </w:p>
          <w:p w14:paraId="6462F621" w14:textId="09C51E53" w:rsidR="00F80567" w:rsidRDefault="00F80567" w:rsidP="00F80567">
            <w:pPr>
              <w:jc w:val="both"/>
              <w:rPr>
                <w:sz w:val="24"/>
                <w:szCs w:val="24"/>
              </w:rPr>
            </w:pPr>
            <w:r w:rsidRPr="00F80567">
              <w:rPr>
                <w:sz w:val="24"/>
                <w:szCs w:val="24"/>
              </w:rPr>
              <w:t>At that point, applying systems theory (</w:t>
            </w:r>
            <w:proofErr w:type="spellStart"/>
            <w:r w:rsidRPr="00F80567">
              <w:rPr>
                <w:sz w:val="24"/>
                <w:szCs w:val="24"/>
              </w:rPr>
              <w:t>Kihlstorm</w:t>
            </w:r>
            <w:proofErr w:type="spellEnd"/>
            <w:r w:rsidRPr="00F80567">
              <w:rPr>
                <w:sz w:val="24"/>
                <w:szCs w:val="24"/>
              </w:rPr>
              <w:t xml:space="preserve">, 2012) was useful in examining what changes had occurred, how they evolved, and which support systems had been lost or introduced. It also helped identify the agencies involved in the couple’s lives, the roles they played, and the nature of their interactions with 1 and 2. This approach provided insight into how 1 engaged with services. However, it is important to recognize that relying on past records can sometimes lead to biased or judgmental perspectives, influenced by prior service involvement (Doel, 2012). Moreover, written records do not always convey the full reality of a situation; the language used by previous professionals may be interpreted differently by readers, and the records may lack the emotional nuance or atmosphere of the original interactions (Trevithick, 2012) Although importantly information recorded and stored are in line with the Data Protection Act 2018M [Hereafter DPA 2018] and The General Data Protection Regulations 2018 [ Hereafter GDPR 2018] state that data minimisation must be followed with information stored being adequate, relevant and limited (UK Government, 2018). </w:t>
            </w:r>
            <w:r w:rsidR="007078D2" w:rsidRPr="00F80567">
              <w:rPr>
                <w:sz w:val="24"/>
                <w:szCs w:val="24"/>
              </w:rPr>
              <w:t>Therefore</w:t>
            </w:r>
            <w:r w:rsidRPr="00F80567">
              <w:rPr>
                <w:sz w:val="24"/>
                <w:szCs w:val="24"/>
              </w:rPr>
              <w:t>, it is reasonable to consider whether all collateral information stored in relation to 1 was limited at this point and gave a true reflection of their circumstances and interactions with services.</w:t>
            </w:r>
          </w:p>
          <w:p w14:paraId="449C8910" w14:textId="77777777" w:rsidR="007078D2" w:rsidRPr="00F80567" w:rsidRDefault="007078D2" w:rsidP="00F80567">
            <w:pPr>
              <w:jc w:val="both"/>
              <w:rPr>
                <w:sz w:val="24"/>
                <w:szCs w:val="24"/>
              </w:rPr>
            </w:pPr>
          </w:p>
          <w:p w14:paraId="43892987" w14:textId="77777777" w:rsidR="00F80567" w:rsidRPr="00F80567" w:rsidRDefault="00F80567" w:rsidP="00F80567">
            <w:pPr>
              <w:jc w:val="both"/>
              <w:rPr>
                <w:sz w:val="24"/>
                <w:szCs w:val="24"/>
              </w:rPr>
            </w:pPr>
            <w:r w:rsidRPr="00F80567">
              <w:rPr>
                <w:sz w:val="24"/>
                <w:szCs w:val="24"/>
              </w:rPr>
              <w:t xml:space="preserve">The arranged joint visit with the police to arrest 2 was unknown to both 1 and 2, which I considered may cause a barrier to my engagement with 1. The use of crisis intervention theory (Lindsay, 2013) was reasonable in this instance as the sudden change in circumstance would trigger emotional and psychological distress. The purpose being to stabilise the situation, reducing distress and restore a sense of safety and control to 1, this supporting them to regain their usual level of functioning and engagement in longer term support (Teater, 2010). To support 1 to de-escalate following the arrest of 2, a sensitive approach was taken, ensuring active listening and a sympathetic approach (Doel,2012) This allowed for conversation based on a strength-based approach (Teater, 2010) identifying a support network and exploring areas where 1 may need support to allow the stabilisation of the situation on that day. </w:t>
            </w:r>
          </w:p>
          <w:p w14:paraId="000AFC36" w14:textId="77777777" w:rsidR="00F80567" w:rsidRDefault="00F80567" w:rsidP="00F80567">
            <w:pPr>
              <w:jc w:val="both"/>
              <w:rPr>
                <w:sz w:val="24"/>
                <w:szCs w:val="24"/>
              </w:rPr>
            </w:pPr>
            <w:r w:rsidRPr="00F80567">
              <w:rPr>
                <w:sz w:val="24"/>
                <w:szCs w:val="24"/>
              </w:rPr>
              <w:lastRenderedPageBreak/>
              <w:t>Although Crisis intervention theory (Teater, 2010) aims to reduce the immediate issues or distress caused by the crisis,  it may not fully resolve the deeper, underlying problems that are contributing to the situation (</w:t>
            </w:r>
            <w:proofErr w:type="spellStart"/>
            <w:r w:rsidRPr="00F80567">
              <w:rPr>
                <w:sz w:val="24"/>
                <w:szCs w:val="24"/>
              </w:rPr>
              <w:t>Kihlstorm</w:t>
            </w:r>
            <w:proofErr w:type="spellEnd"/>
            <w:r w:rsidRPr="00F80567">
              <w:rPr>
                <w:sz w:val="24"/>
                <w:szCs w:val="24"/>
              </w:rPr>
              <w:t xml:space="preserve">, 2012) However, as part of the initial crisis intervention a follow up plan was made, agreed and implemented where 1 would maintain phone contact, this would support the building of a positive relationship to allow for further exploration and assessment of the underlying unresolved difficulties. </w:t>
            </w:r>
          </w:p>
          <w:p w14:paraId="5BB159D8" w14:textId="77777777" w:rsidR="007078D2" w:rsidRPr="00F80567" w:rsidRDefault="007078D2" w:rsidP="00F80567">
            <w:pPr>
              <w:jc w:val="both"/>
              <w:rPr>
                <w:sz w:val="24"/>
                <w:szCs w:val="24"/>
              </w:rPr>
            </w:pPr>
          </w:p>
          <w:p w14:paraId="407A40C4" w14:textId="77777777" w:rsidR="00F80567" w:rsidRDefault="00F80567" w:rsidP="00F80567">
            <w:pPr>
              <w:jc w:val="both"/>
              <w:rPr>
                <w:sz w:val="24"/>
                <w:szCs w:val="24"/>
              </w:rPr>
            </w:pPr>
            <w:r w:rsidRPr="00F80567">
              <w:rPr>
                <w:sz w:val="24"/>
                <w:szCs w:val="24"/>
              </w:rPr>
              <w:t>Upon reflection of my initial crisis intervention, which took place alongside police officers, several key aspects of practice, assessment, and decision-making became evident. This intervention involved a sensitive situation in which person 1 had experienced a significant emotional event, leading to complex safeguarding and support needs. A decision was made alongside 1 to ensure their wishes, views and feelings were reflected in the decision, in accordance with SSWBA 2014 part 3. It was identified the significant risk of domestic violence had been removed. However, the risk of self-neglect was the more prominent safeguarding risk. The decision was made to maintain phone contact between 1 and myself was made jointly, it was evident that 1 had a support network, although limited they were able to contact them for support.</w:t>
            </w:r>
          </w:p>
          <w:p w14:paraId="086497DC" w14:textId="77777777" w:rsidR="007078D2" w:rsidRPr="00F80567" w:rsidRDefault="007078D2" w:rsidP="00F80567">
            <w:pPr>
              <w:jc w:val="both"/>
              <w:rPr>
                <w:sz w:val="24"/>
                <w:szCs w:val="24"/>
              </w:rPr>
            </w:pPr>
          </w:p>
          <w:p w14:paraId="2D136BEF" w14:textId="77777777" w:rsidR="00F80567" w:rsidRDefault="00F80567" w:rsidP="00F80567">
            <w:pPr>
              <w:jc w:val="both"/>
              <w:rPr>
                <w:sz w:val="24"/>
                <w:szCs w:val="24"/>
              </w:rPr>
            </w:pPr>
            <w:r w:rsidRPr="00F80567">
              <w:rPr>
                <w:sz w:val="24"/>
                <w:szCs w:val="24"/>
              </w:rPr>
              <w:t xml:space="preserve">A primary focus during the intervention was listening carefully to person 1’s views, wishes, and feelings (Doel, 2012). They were able to communicate these clearly and expressed that they were not </w:t>
            </w:r>
            <w:proofErr w:type="gramStart"/>
            <w:r w:rsidRPr="00F80567">
              <w:rPr>
                <w:sz w:val="24"/>
                <w:szCs w:val="24"/>
              </w:rPr>
              <w:t>in a position</w:t>
            </w:r>
            <w:proofErr w:type="gramEnd"/>
            <w:r w:rsidRPr="00F80567">
              <w:rPr>
                <w:sz w:val="24"/>
                <w:szCs w:val="24"/>
              </w:rPr>
              <w:t xml:space="preserve"> to make decisions regarding formal support, specifically, the introduction of carers due to the emotional distress caused by the arrest of their primary carer. This highlighted the importance of acknowledging emotional trauma as a barrier to engaging with support services, as well as the need to approach such situations with empathy and patience (Mantell, 2009). According to </w:t>
            </w:r>
            <w:proofErr w:type="spellStart"/>
            <w:r w:rsidRPr="00F80567">
              <w:rPr>
                <w:sz w:val="24"/>
                <w:szCs w:val="24"/>
              </w:rPr>
              <w:t>Wydall</w:t>
            </w:r>
            <w:proofErr w:type="spellEnd"/>
            <w:r w:rsidRPr="00F80567">
              <w:rPr>
                <w:sz w:val="24"/>
                <w:szCs w:val="24"/>
              </w:rPr>
              <w:t xml:space="preserve"> and </w:t>
            </w:r>
            <w:proofErr w:type="spellStart"/>
            <w:r w:rsidRPr="00F80567">
              <w:rPr>
                <w:sz w:val="24"/>
                <w:szCs w:val="24"/>
              </w:rPr>
              <w:t>Zerk</w:t>
            </w:r>
            <w:proofErr w:type="spellEnd"/>
            <w:r w:rsidRPr="00F80567">
              <w:rPr>
                <w:sz w:val="24"/>
                <w:szCs w:val="24"/>
              </w:rPr>
              <w:t xml:space="preserve"> (2017) other barriers for older victims of domestic abuse when accessing support could be related to age related bias for services and a sense of loyalty and connection to their home and support networks. This may have been a contributing factor to 1’s decision making at the time; </w:t>
            </w:r>
            <w:proofErr w:type="gramStart"/>
            <w:r w:rsidRPr="00F80567">
              <w:rPr>
                <w:sz w:val="24"/>
                <w:szCs w:val="24"/>
              </w:rPr>
              <w:t>however</w:t>
            </w:r>
            <w:proofErr w:type="gramEnd"/>
            <w:r w:rsidRPr="00F80567">
              <w:rPr>
                <w:sz w:val="24"/>
                <w:szCs w:val="24"/>
              </w:rPr>
              <w:t xml:space="preserve"> it has only been identified as a potential barrier from writing this reflective assignment.</w:t>
            </w:r>
          </w:p>
          <w:p w14:paraId="4873473B" w14:textId="77777777" w:rsidR="007078D2" w:rsidRPr="00F80567" w:rsidRDefault="007078D2" w:rsidP="00F80567">
            <w:pPr>
              <w:jc w:val="both"/>
              <w:rPr>
                <w:sz w:val="24"/>
                <w:szCs w:val="24"/>
              </w:rPr>
            </w:pPr>
          </w:p>
          <w:p w14:paraId="5D2070EF" w14:textId="77777777" w:rsidR="00F80567" w:rsidRDefault="00F80567" w:rsidP="00F80567">
            <w:pPr>
              <w:jc w:val="both"/>
              <w:rPr>
                <w:sz w:val="24"/>
                <w:szCs w:val="24"/>
              </w:rPr>
            </w:pPr>
            <w:r w:rsidRPr="00F80567">
              <w:rPr>
                <w:sz w:val="24"/>
                <w:szCs w:val="24"/>
              </w:rPr>
              <w:t>While the immediate risk of domestic abuse had been alleviated by the intervention, this led to a new safeguarding concern. In the absence of their carer, person 1’s care and support needs were not being met. Hoppe (2020) states A complicating factor of domestic violence circumstances concerning older victims is that they are supported by the abuser to meet their care and support needs. This created a risk of self-neglect, a form of harm that, while recognised in practice, is not specifically defined within SSWBA 2014. This gap in legal definition presented a challenge in determining how best to proceed while ensuring person 1’s well-being and safety. According to Clements (2018) The Care Act (England) 2014 [Hereafter CA 2014] provides a more comprehensive definition of forms of abuse such as the inclusion of self-neglect. Williams (2017) writes the SSWBA allows professional to assess the facts to identify abuse or neglect and does not contain detail as written within the CA 2014. This can be conflicting to a newly qualified social worker who are developing their skills to confidently manage risk of various forms of abuse and to safeguard the person (Clements, 2018).</w:t>
            </w:r>
          </w:p>
          <w:p w14:paraId="2220B01C" w14:textId="77777777" w:rsidR="007078D2" w:rsidRPr="00F80567" w:rsidRDefault="007078D2" w:rsidP="00F80567">
            <w:pPr>
              <w:jc w:val="both"/>
              <w:rPr>
                <w:sz w:val="24"/>
                <w:szCs w:val="24"/>
              </w:rPr>
            </w:pPr>
          </w:p>
          <w:p w14:paraId="40997B1C" w14:textId="77777777" w:rsidR="00F80567" w:rsidRDefault="00F80567" w:rsidP="00F80567">
            <w:pPr>
              <w:jc w:val="both"/>
              <w:rPr>
                <w:sz w:val="24"/>
                <w:szCs w:val="24"/>
              </w:rPr>
            </w:pPr>
            <w:r w:rsidRPr="00F80567">
              <w:rPr>
                <w:sz w:val="24"/>
                <w:szCs w:val="24"/>
              </w:rPr>
              <w:lastRenderedPageBreak/>
              <w:t>To support my professional judgement and apply a sound analytical approach, it was necessary to distinguish between the temporary absence of care and the potential for long-term unmet needs. This decision-making process involved weighing two key considerations: the short-term risks associated with unmet care and support needs, and the need for a more comprehensive, ongoing assessment. Balancing these elements required a proportionate and sensitive approach (Lindsay, 2013). It became clear that building trust through calm, reassuring communication with person 1 was essential to facilitating informed choice and future engagement with services (</w:t>
            </w:r>
            <w:proofErr w:type="spellStart"/>
            <w:r w:rsidRPr="00F80567">
              <w:rPr>
                <w:sz w:val="24"/>
                <w:szCs w:val="24"/>
              </w:rPr>
              <w:t>Coulshed</w:t>
            </w:r>
            <w:proofErr w:type="spellEnd"/>
            <w:r w:rsidRPr="00F80567">
              <w:rPr>
                <w:sz w:val="24"/>
                <w:szCs w:val="24"/>
              </w:rPr>
              <w:t xml:space="preserve"> and Orme, 2012).</w:t>
            </w:r>
          </w:p>
          <w:p w14:paraId="34CEFA34" w14:textId="77777777" w:rsidR="007078D2" w:rsidRPr="00F80567" w:rsidRDefault="007078D2" w:rsidP="00F80567">
            <w:pPr>
              <w:jc w:val="both"/>
              <w:rPr>
                <w:sz w:val="24"/>
                <w:szCs w:val="24"/>
              </w:rPr>
            </w:pPr>
          </w:p>
          <w:p w14:paraId="5B14A56E" w14:textId="77777777" w:rsidR="00F80567" w:rsidRDefault="00F80567" w:rsidP="00F80567">
            <w:pPr>
              <w:jc w:val="both"/>
              <w:rPr>
                <w:sz w:val="24"/>
                <w:szCs w:val="24"/>
              </w:rPr>
            </w:pPr>
            <w:r w:rsidRPr="00F80567">
              <w:rPr>
                <w:sz w:val="24"/>
                <w:szCs w:val="24"/>
              </w:rPr>
              <w:t xml:space="preserve">This intervention reinforced the complexity of safeguarding practice when individuals are emotionally distressed and unable to fully participate in decision-making. It also highlighted the importance of reflective practice, proportionate responses, and the application of professional judgement in navigating both immediate risk and longer-term planning. The experience underscored the need for trauma-informed approaches and the value of clear, compassionate communication in supporting individuals during crisis. </w:t>
            </w:r>
          </w:p>
          <w:p w14:paraId="4C1AA0DB" w14:textId="77777777" w:rsidR="007078D2" w:rsidRPr="00F80567" w:rsidRDefault="007078D2" w:rsidP="00F80567">
            <w:pPr>
              <w:jc w:val="both"/>
              <w:rPr>
                <w:sz w:val="24"/>
                <w:szCs w:val="24"/>
              </w:rPr>
            </w:pPr>
          </w:p>
          <w:p w14:paraId="421B5902" w14:textId="77777777" w:rsidR="00F80567" w:rsidRDefault="00F80567" w:rsidP="00F80567">
            <w:pPr>
              <w:jc w:val="both"/>
              <w:rPr>
                <w:sz w:val="24"/>
                <w:szCs w:val="24"/>
              </w:rPr>
            </w:pPr>
            <w:r w:rsidRPr="00F80567">
              <w:rPr>
                <w:sz w:val="24"/>
                <w:szCs w:val="24"/>
              </w:rPr>
              <w:t xml:space="preserve">Following the initial assessment and the police arrest, there was minimal information shared with me, as the allocated </w:t>
            </w:r>
            <w:proofErr w:type="gramStart"/>
            <w:r w:rsidRPr="00F80567">
              <w:rPr>
                <w:sz w:val="24"/>
                <w:szCs w:val="24"/>
              </w:rPr>
              <w:t>Social</w:t>
            </w:r>
            <w:proofErr w:type="gramEnd"/>
            <w:r w:rsidRPr="00F80567">
              <w:rPr>
                <w:sz w:val="24"/>
                <w:szCs w:val="24"/>
              </w:rPr>
              <w:t xml:space="preserve"> worker, from other involved agencies such as the police and the social care safeguarding team. This lack of communication made it challenging to develop a long-term support plan for person 1, who was struggling to make decisions regarding their care needs </w:t>
            </w:r>
            <w:proofErr w:type="gramStart"/>
            <w:r w:rsidRPr="00F80567">
              <w:rPr>
                <w:sz w:val="24"/>
                <w:szCs w:val="24"/>
              </w:rPr>
              <w:t>due to the fact that</w:t>
            </w:r>
            <w:proofErr w:type="gramEnd"/>
            <w:r w:rsidRPr="00F80567">
              <w:rPr>
                <w:sz w:val="24"/>
                <w:szCs w:val="24"/>
              </w:rPr>
              <w:t xml:space="preserve"> person 2 had been released on bail with conditions prohibiting contact with them. This situation caused ongoing distress for person 1, although regular phone contact was maintained to support communication. Subsequently, a MARAC was convened, attended by </w:t>
            </w:r>
            <w:proofErr w:type="gramStart"/>
            <w:r w:rsidRPr="00F80567">
              <w:rPr>
                <w:sz w:val="24"/>
                <w:szCs w:val="24"/>
              </w:rPr>
              <w:t>myself</w:t>
            </w:r>
            <w:proofErr w:type="gramEnd"/>
            <w:r w:rsidRPr="00F80567">
              <w:rPr>
                <w:sz w:val="24"/>
                <w:szCs w:val="24"/>
              </w:rPr>
              <w:t xml:space="preserve"> and person 3. During this meeting, it was concluded that no criminal offence could be pursued due to insufficient evidence, but it was agreed that a further care and support needs assessment for both person 1 and person 2 would be beneficial to reduce tension in their relationship as cared-for and carer.</w:t>
            </w:r>
          </w:p>
          <w:p w14:paraId="0D08639E" w14:textId="77777777" w:rsidR="007078D2" w:rsidRPr="00F80567" w:rsidRDefault="007078D2" w:rsidP="00F80567">
            <w:pPr>
              <w:jc w:val="both"/>
              <w:rPr>
                <w:sz w:val="24"/>
                <w:szCs w:val="24"/>
              </w:rPr>
            </w:pPr>
          </w:p>
          <w:p w14:paraId="2E3278B8" w14:textId="77777777" w:rsidR="00F80567" w:rsidRDefault="00F80567" w:rsidP="00F80567">
            <w:pPr>
              <w:jc w:val="both"/>
              <w:rPr>
                <w:sz w:val="24"/>
                <w:szCs w:val="24"/>
              </w:rPr>
            </w:pPr>
            <w:r w:rsidRPr="00F80567">
              <w:rPr>
                <w:sz w:val="24"/>
                <w:szCs w:val="24"/>
              </w:rPr>
              <w:t>Mantell (2009) highlights that effective collaborative working depends on clear communication, teamwork, and a shared understanding of each professional’s roles and responsibilities. At that time, it felt that these elements were lacking due to poor communication between agencies. However, upon reflection, I recognize that this perception may have stemmed from my own limited understanding of the roles and responsibilities of other professionals involved in the case. According to (Orr et al, 2025) a lack of understanding in each other’s roles professionals within the safeguarding process continues to be a barrier and affects lack of information sharing.</w:t>
            </w:r>
          </w:p>
          <w:p w14:paraId="25217744" w14:textId="77777777" w:rsidR="007078D2" w:rsidRPr="00F80567" w:rsidRDefault="007078D2" w:rsidP="00F80567">
            <w:pPr>
              <w:jc w:val="both"/>
              <w:rPr>
                <w:sz w:val="24"/>
                <w:szCs w:val="24"/>
              </w:rPr>
            </w:pPr>
          </w:p>
          <w:p w14:paraId="614E0043" w14:textId="77777777" w:rsidR="00F80567" w:rsidRDefault="00F80567" w:rsidP="00F80567">
            <w:pPr>
              <w:jc w:val="both"/>
              <w:rPr>
                <w:sz w:val="24"/>
                <w:szCs w:val="24"/>
              </w:rPr>
            </w:pPr>
            <w:r w:rsidRPr="00F80567">
              <w:rPr>
                <w:sz w:val="24"/>
                <w:szCs w:val="24"/>
              </w:rPr>
              <w:t>Although it would be reasonable to appreciate the GDPR 2018 legislation relating to confidentiality and the Common law duty of confidentiality, as well as my own lack of knowledge of agencies roles and responsibilities. As stated within the WSP 2019 information sharing between agencies is imperative in relation to suspected abuse or adult at risk. However, the information should be proportionate for the purpose it is being shared, the information should only be disclosed to those who need to know and must be stored securely (Brammer,2020).</w:t>
            </w:r>
          </w:p>
          <w:p w14:paraId="02BEDB71" w14:textId="77777777" w:rsidR="007078D2" w:rsidRPr="00F80567" w:rsidRDefault="007078D2" w:rsidP="00F80567">
            <w:pPr>
              <w:jc w:val="both"/>
              <w:rPr>
                <w:sz w:val="24"/>
                <w:szCs w:val="24"/>
              </w:rPr>
            </w:pPr>
          </w:p>
          <w:p w14:paraId="086CE6E1" w14:textId="77777777" w:rsidR="00F80567" w:rsidRDefault="00F80567" w:rsidP="00F80567">
            <w:pPr>
              <w:jc w:val="both"/>
              <w:rPr>
                <w:sz w:val="24"/>
                <w:szCs w:val="24"/>
              </w:rPr>
            </w:pPr>
            <w:r w:rsidRPr="00F80567">
              <w:rPr>
                <w:sz w:val="24"/>
                <w:szCs w:val="24"/>
              </w:rPr>
              <w:lastRenderedPageBreak/>
              <w:t>However, this approach of minimal information sharing between professionals, may have helped in building trust with person 1, as they often asked for updates that I was unable to provide due to being unaware, rather than simply being restricted by duty to withhold information.</w:t>
            </w:r>
          </w:p>
          <w:p w14:paraId="5FB6A24C" w14:textId="77777777" w:rsidR="007078D2" w:rsidRPr="00F80567" w:rsidRDefault="007078D2" w:rsidP="00F80567">
            <w:pPr>
              <w:jc w:val="both"/>
              <w:rPr>
                <w:sz w:val="24"/>
                <w:szCs w:val="24"/>
              </w:rPr>
            </w:pPr>
          </w:p>
          <w:p w14:paraId="54E205BA" w14:textId="77777777" w:rsidR="00F80567" w:rsidRDefault="00F80567" w:rsidP="00F80567">
            <w:pPr>
              <w:jc w:val="both"/>
              <w:rPr>
                <w:sz w:val="24"/>
                <w:szCs w:val="24"/>
              </w:rPr>
            </w:pPr>
            <w:r w:rsidRPr="00F80567">
              <w:rPr>
                <w:sz w:val="24"/>
                <w:szCs w:val="24"/>
              </w:rPr>
              <w:t>According to The British Association of Social Workers (</w:t>
            </w:r>
            <w:proofErr w:type="spellStart"/>
            <w:proofErr w:type="gramStart"/>
            <w:r w:rsidRPr="00F80567">
              <w:rPr>
                <w:sz w:val="24"/>
                <w:szCs w:val="24"/>
              </w:rPr>
              <w:t>BASW,n</w:t>
            </w:r>
            <w:proofErr w:type="gramEnd"/>
            <w:r w:rsidRPr="00F80567">
              <w:rPr>
                <w:sz w:val="24"/>
                <w:szCs w:val="24"/>
              </w:rPr>
              <w:t>.d</w:t>
            </w:r>
            <w:proofErr w:type="spellEnd"/>
            <w:r w:rsidRPr="00F80567">
              <w:rPr>
                <w:sz w:val="24"/>
                <w:szCs w:val="24"/>
              </w:rPr>
              <w:t>) social work encompasses a broad and complex understanding of the dynamic relationships between individuals, their life situations, and the environments in which they live. Its core aim is to safeguard those who may be at risk while also supporting individuals to achieve their full potential. Social workers play a collaborative role in addressing challenges and facilitating change, working alongside individuals, families, and other professionals (Trevithick, 2012). In doing so, their influence extends beyond direct practice to shaping wider social and civic structures, thereby contributing to both personal and societal transformation (Doel, 2012).</w:t>
            </w:r>
          </w:p>
          <w:p w14:paraId="66BFBF86" w14:textId="77777777" w:rsidR="007078D2" w:rsidRPr="00F80567" w:rsidRDefault="007078D2" w:rsidP="00F80567">
            <w:pPr>
              <w:jc w:val="both"/>
              <w:rPr>
                <w:sz w:val="24"/>
                <w:szCs w:val="24"/>
              </w:rPr>
            </w:pPr>
          </w:p>
          <w:p w14:paraId="7E028F0D" w14:textId="77777777" w:rsidR="00F80567" w:rsidRDefault="00F80567" w:rsidP="00F80567">
            <w:pPr>
              <w:jc w:val="both"/>
              <w:rPr>
                <w:sz w:val="24"/>
                <w:szCs w:val="24"/>
              </w:rPr>
            </w:pPr>
            <w:r w:rsidRPr="00F80567">
              <w:rPr>
                <w:sz w:val="24"/>
                <w:szCs w:val="24"/>
              </w:rPr>
              <w:t>A joint assessment involving myself and 3 was arranged to assess both 1 as the person being cared for and 2 as the carer, following MARAC involvement and any related criminal investigations. In previous discussions with 1, I had been open and transparent about my role, and I supported them in understanding the distinct responsibilities of the various professionals involved in their care. This was reiterated during the joint assessment. Opportunities were also provided for both individuals to be spoken to separately, allowing for a better understanding of their individual perspectives as well as those of the professionals supporting them (Thomson, 2000). As part of this process, I ensured that 1 was aware of my duty to share and report information if I had concerns that an adult may be at risk, in accordance with the Social Care Wales Code of Professional Practice and the WSP 2019 (Social Care Wales,2022). According to Mantell (2009) Assessment is an ongoing process involving the active participation of the individual and/or their carer. Its purpose is to develop an understanding of the person in relation to their environment. This understanding forms the basis for planning what actions are needed to maintain, improve, or bring about positive change in the individual’s circumstances, their environment, or both.</w:t>
            </w:r>
          </w:p>
          <w:p w14:paraId="1A4E06B6" w14:textId="77777777" w:rsidR="007078D2" w:rsidRPr="00F80567" w:rsidRDefault="007078D2" w:rsidP="00F80567">
            <w:pPr>
              <w:jc w:val="both"/>
              <w:rPr>
                <w:sz w:val="24"/>
                <w:szCs w:val="24"/>
              </w:rPr>
            </w:pPr>
          </w:p>
          <w:p w14:paraId="4336E7CC" w14:textId="77777777" w:rsidR="00F80567" w:rsidRDefault="00F80567" w:rsidP="00F80567">
            <w:pPr>
              <w:jc w:val="both"/>
              <w:rPr>
                <w:sz w:val="24"/>
                <w:szCs w:val="24"/>
              </w:rPr>
            </w:pPr>
            <w:r w:rsidRPr="00F80567">
              <w:rPr>
                <w:sz w:val="24"/>
                <w:szCs w:val="24"/>
              </w:rPr>
              <w:t>During this part of the assessment the Feminist theory (Teater, 2010) can be utilized to support 1 to recognise the gender typical roles that are often based on established roles and norms that have influenced their views since childhood and by society often known as the gender schema roles (Dominelli, 2002). In relation to the Gender schema theory the relational cultural model was considered it is a psychological and therapeutic framework and places a strong emphasis on the value of interpersonal connections, human connection, and empathy in fostering psychological development and overall wellbeing (Payne, 2014). As part of the main principles of the relational cultural model disconnection from a source of suffering can occur when relationships lack empathy and mutual respect (Dominelli, 2002).</w:t>
            </w:r>
          </w:p>
          <w:p w14:paraId="24697738" w14:textId="77777777" w:rsidR="007078D2" w:rsidRPr="00F80567" w:rsidRDefault="007078D2" w:rsidP="00F80567">
            <w:pPr>
              <w:jc w:val="both"/>
              <w:rPr>
                <w:sz w:val="24"/>
                <w:szCs w:val="24"/>
              </w:rPr>
            </w:pPr>
          </w:p>
          <w:p w14:paraId="2C67638A" w14:textId="77777777" w:rsidR="00F80567" w:rsidRDefault="00F80567" w:rsidP="00F80567">
            <w:pPr>
              <w:jc w:val="both"/>
              <w:rPr>
                <w:sz w:val="24"/>
                <w:szCs w:val="24"/>
              </w:rPr>
            </w:pPr>
            <w:r w:rsidRPr="00F80567">
              <w:rPr>
                <w:sz w:val="24"/>
                <w:szCs w:val="24"/>
              </w:rPr>
              <w:t xml:space="preserve">Alongside the above, the historical context that led to 1 and 2’s current circumstances were considered and how that impacted on their relationship. The move to a rural location and converted church building was exciting at the current time. However, when 1’s health deteriorated that impacted on their abilities to be independent, 2’s role also changed possibly causing lack of empathy and mutual respect in their relationship and causing a change in gender roles. I utilised this theory and method during assessment with 1 to explore her feelings </w:t>
            </w:r>
            <w:r w:rsidRPr="00F80567">
              <w:rPr>
                <w:sz w:val="24"/>
                <w:szCs w:val="24"/>
              </w:rPr>
              <w:lastRenderedPageBreak/>
              <w:t>and perspective, but ultimately to give them a sense of empowerment and allowing them the opportunity to make their voice heard (Teater,2010). Due to the rural location and increasing appointments and treatments in relation to 1’s health, they became dependent on 2 to support them to appointments. According to (</w:t>
            </w:r>
            <w:proofErr w:type="spellStart"/>
            <w:r w:rsidRPr="00F80567">
              <w:rPr>
                <w:sz w:val="24"/>
                <w:szCs w:val="24"/>
              </w:rPr>
              <w:t>Varbes</w:t>
            </w:r>
            <w:proofErr w:type="spellEnd"/>
            <w:r w:rsidRPr="00F80567">
              <w:rPr>
                <w:sz w:val="24"/>
                <w:szCs w:val="24"/>
              </w:rPr>
              <w:t xml:space="preserve">, 2024) the many sparse populations in Wales cause barriers to health care as services are centrally located due to economics but also places specialist treatments further afield due to lack of provision in rural areas. </w:t>
            </w:r>
            <w:proofErr w:type="spellStart"/>
            <w:r w:rsidRPr="00F80567">
              <w:rPr>
                <w:sz w:val="24"/>
                <w:szCs w:val="24"/>
              </w:rPr>
              <w:t>Varbes</w:t>
            </w:r>
            <w:proofErr w:type="spellEnd"/>
            <w:r w:rsidRPr="00F80567">
              <w:rPr>
                <w:sz w:val="24"/>
                <w:szCs w:val="24"/>
              </w:rPr>
              <w:t xml:space="preserve"> (2024) states that a large portion of the local Authority are aging placing pressure on service including health and social care, causing difficulty for individuals to access health care in relation to long term health conditions and community care. However, the Local authority does have a high percentage of GP surgeries per individual in the area (</w:t>
            </w:r>
            <w:proofErr w:type="spellStart"/>
            <w:r w:rsidRPr="00F80567">
              <w:rPr>
                <w:sz w:val="24"/>
                <w:szCs w:val="24"/>
              </w:rPr>
              <w:t>Varbes</w:t>
            </w:r>
            <w:proofErr w:type="spellEnd"/>
            <w:r w:rsidRPr="00F80567">
              <w:rPr>
                <w:sz w:val="24"/>
                <w:szCs w:val="24"/>
              </w:rPr>
              <w:t>, 2024). During my involvement this was considered as an additional stressor in their relationship.</w:t>
            </w:r>
          </w:p>
          <w:p w14:paraId="528F7570" w14:textId="77777777" w:rsidR="007078D2" w:rsidRPr="00F80567" w:rsidRDefault="007078D2" w:rsidP="00F80567">
            <w:pPr>
              <w:jc w:val="both"/>
              <w:rPr>
                <w:sz w:val="24"/>
                <w:szCs w:val="24"/>
              </w:rPr>
            </w:pPr>
          </w:p>
          <w:p w14:paraId="1562643A" w14:textId="77777777" w:rsidR="00F80567" w:rsidRDefault="00F80567" w:rsidP="00F80567">
            <w:pPr>
              <w:jc w:val="both"/>
              <w:rPr>
                <w:sz w:val="24"/>
                <w:szCs w:val="24"/>
              </w:rPr>
            </w:pPr>
            <w:r w:rsidRPr="00F80567">
              <w:rPr>
                <w:sz w:val="24"/>
                <w:szCs w:val="24"/>
              </w:rPr>
              <w:t xml:space="preserve">By implementing motivational interviewing during the assessment, it supported 1 to identify strains in their relationship. They were able to identify stressors in their relationship and how they would like to overcome these. According to Teater (2010) motivational interviewing is driven by viewing the person as the expert in their circumstances and places value on their viewpoints and experiences. However, the social worker should be aware and careful to set aside their own cultural views intrude on their work with the person (Trevithick,2012). On reflecting on the assessment, I identified that I may have underestimated the importance of some tasks expected 2 to complete and perhaps deemed this as not important due to my own perspective. Although, I did acknowledge these perhaps I did not place these to a high regard due to my own underestimation of their importance. During reflective supervision, it supported me to consider how perhaps difference of cultural importance on household and daily tasks had placed strain on 1 and 2’s relationship. </w:t>
            </w:r>
          </w:p>
          <w:p w14:paraId="65A3994B" w14:textId="77777777" w:rsidR="007078D2" w:rsidRPr="00F80567" w:rsidRDefault="007078D2" w:rsidP="00F80567">
            <w:pPr>
              <w:jc w:val="both"/>
              <w:rPr>
                <w:sz w:val="24"/>
                <w:szCs w:val="24"/>
              </w:rPr>
            </w:pPr>
          </w:p>
          <w:p w14:paraId="7AABB64C" w14:textId="77777777" w:rsidR="00F80567" w:rsidRPr="00F80567" w:rsidRDefault="00F80567" w:rsidP="00F80567">
            <w:pPr>
              <w:jc w:val="both"/>
              <w:rPr>
                <w:sz w:val="24"/>
                <w:szCs w:val="24"/>
              </w:rPr>
            </w:pPr>
            <w:r w:rsidRPr="00F80567">
              <w:rPr>
                <w:sz w:val="24"/>
                <w:szCs w:val="24"/>
              </w:rPr>
              <w:t>Many points of reflection have been identified throughout this assignment. A significant skill in my future practice has been identified in the form of writing the critically reflective piece. The process of reflective writing has supported me to identify areas that I could improve my practice. According to Rolfe and Jasper and Freshwater (2011), reflective writing supports the practitioner to identify their own learning styles and needs, there is no right or wrong in what the learner has identified, and the method is personal to the learner. A future skill I would like to develop, and implement is reflective writing, setting a side time during working hours to write reflectively on cases will support my development, good practice with people and prepare for supervision. It will allow me to identify areas of good practice and weakness; I can bring these to supervision to discuss and develop plans to improve my practice.</w:t>
            </w:r>
          </w:p>
          <w:p w14:paraId="287D686A" w14:textId="77777777" w:rsidR="00F80567" w:rsidRDefault="00F80567" w:rsidP="00F80567">
            <w:pPr>
              <w:jc w:val="both"/>
              <w:rPr>
                <w:sz w:val="24"/>
                <w:szCs w:val="24"/>
              </w:rPr>
            </w:pPr>
            <w:r w:rsidRPr="00F80567">
              <w:rPr>
                <w:sz w:val="24"/>
                <w:szCs w:val="24"/>
              </w:rPr>
              <w:t xml:space="preserve">According to </w:t>
            </w:r>
            <w:proofErr w:type="spellStart"/>
            <w:r w:rsidRPr="00F80567">
              <w:rPr>
                <w:sz w:val="24"/>
                <w:szCs w:val="24"/>
              </w:rPr>
              <w:t>Coulshed</w:t>
            </w:r>
            <w:proofErr w:type="spellEnd"/>
            <w:r w:rsidRPr="00F80567">
              <w:rPr>
                <w:sz w:val="24"/>
                <w:szCs w:val="24"/>
              </w:rPr>
              <w:t xml:space="preserve"> and Orme (2012) Social work involves anxiety burdened decision making and supervision provides vital support and professional development. I will continue to utilise supervision to discuss complex cases and support my decision making which will be reflective of managing risk, following legislation, policies and procedures whilst also maintaining a person-centred approach.</w:t>
            </w:r>
          </w:p>
          <w:p w14:paraId="6E94ADBB" w14:textId="77777777" w:rsidR="00F80567" w:rsidRDefault="00F80567" w:rsidP="00F80567">
            <w:pPr>
              <w:jc w:val="both"/>
              <w:rPr>
                <w:sz w:val="24"/>
                <w:szCs w:val="24"/>
              </w:rPr>
            </w:pPr>
          </w:p>
          <w:p w14:paraId="38D958E5" w14:textId="2723D5D6" w:rsidR="00F80567" w:rsidRPr="00F80567" w:rsidRDefault="00F80567" w:rsidP="00F80567">
            <w:pPr>
              <w:jc w:val="both"/>
              <w:rPr>
                <w:sz w:val="24"/>
                <w:szCs w:val="24"/>
              </w:rPr>
            </w:pPr>
            <w:r>
              <w:rPr>
                <w:sz w:val="24"/>
                <w:szCs w:val="24"/>
              </w:rPr>
              <w:t>Word Count: 42</w:t>
            </w:r>
            <w:r w:rsidR="00BE71B7">
              <w:rPr>
                <w:sz w:val="24"/>
                <w:szCs w:val="24"/>
              </w:rPr>
              <w:t>14</w:t>
            </w:r>
          </w:p>
          <w:p w14:paraId="6E1B6613" w14:textId="77777777" w:rsidR="00F80567" w:rsidRPr="00F80567" w:rsidRDefault="00F80567" w:rsidP="00F80567">
            <w:pPr>
              <w:jc w:val="both"/>
              <w:rPr>
                <w:sz w:val="24"/>
                <w:szCs w:val="24"/>
              </w:rPr>
            </w:pPr>
          </w:p>
          <w:p w14:paraId="2C27D041" w14:textId="77777777" w:rsidR="00F80567" w:rsidRPr="00F80567" w:rsidRDefault="00F80567" w:rsidP="00F80567">
            <w:pPr>
              <w:jc w:val="both"/>
              <w:rPr>
                <w:sz w:val="24"/>
                <w:szCs w:val="24"/>
              </w:rPr>
            </w:pPr>
          </w:p>
          <w:p w14:paraId="79C1FCEA" w14:textId="77777777" w:rsidR="00F80567" w:rsidRPr="00706BB5" w:rsidRDefault="00F80567">
            <w:pPr>
              <w:jc w:val="both"/>
              <w:rPr>
                <w:sz w:val="24"/>
                <w:szCs w:val="24"/>
              </w:rPr>
            </w:pP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078D2"/>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1931"/>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5F4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71B7"/>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0567"/>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4421</Words>
  <Characters>24166</Characters>
  <Application>Microsoft Office Word</Application>
  <DocSecurity>0</DocSecurity>
  <Lines>201</Lines>
  <Paragraphs>57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Holly Richards</cp:lastModifiedBy>
  <cp:revision>2</cp:revision>
  <cp:lastPrinted>2020-02-11T19:20:00Z</cp:lastPrinted>
  <dcterms:created xsi:type="dcterms:W3CDTF">2025-10-07T15:23:00Z</dcterms:created>
  <dcterms:modified xsi:type="dcterms:W3CDTF">2025-10-07T15:23:00Z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