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253CFB" w14:textId="77777777" w:rsidR="00ED1049" w:rsidRPr="00074402" w:rsidRDefault="00ED1049" w:rsidP="00D94AE0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575E68C0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C41D1D">
        <w:rPr>
          <w:rFonts w:ascii="Arial" w:hAnsi="Arial" w:cs="Arial"/>
          <w:sz w:val="28"/>
          <w:szCs w:val="28"/>
          <w:lang w:val="nl-NL"/>
        </w:rPr>
        <w:t xml:space="preserve"> </w:t>
      </w:r>
      <w:r w:rsidR="009060D6">
        <w:rPr>
          <w:rFonts w:ascii="Arial" w:hAnsi="Arial" w:cs="Arial"/>
          <w:sz w:val="28"/>
          <w:szCs w:val="28"/>
          <w:lang w:val="nl-NL"/>
        </w:rPr>
        <w:t>Agyeiwaa B. Menssah</w:t>
      </w:r>
    </w:p>
    <w:p w14:paraId="00429E76" w14:textId="2D0CE511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9060D6">
        <w:rPr>
          <w:rFonts w:ascii="Arial" w:hAnsi="Arial" w:cs="Arial"/>
          <w:sz w:val="28"/>
          <w:szCs w:val="28"/>
          <w:lang w:val="nl-NL"/>
        </w:rPr>
        <w:t xml:space="preserve"> 222823</w:t>
      </w:r>
      <w:r w:rsidR="00BE2C86">
        <w:rPr>
          <w:rFonts w:ascii="Arial" w:hAnsi="Arial" w:cs="Arial"/>
          <w:sz w:val="28"/>
          <w:szCs w:val="28"/>
          <w:lang w:val="nl-NL"/>
        </w:rPr>
        <w:t>1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02BFB616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9060D6">
        <w:rPr>
          <w:rFonts w:ascii="Arial" w:hAnsi="Arial" w:cs="Arial"/>
          <w:sz w:val="28"/>
          <w:szCs w:val="28"/>
          <w:lang w:val="nl-NL"/>
        </w:rPr>
        <w:t>Independent project</w:t>
      </w:r>
    </w:p>
    <w:p w14:paraId="12CBB668" w14:textId="77D74E35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BE2C86">
        <w:rPr>
          <w:rFonts w:ascii="Arial" w:hAnsi="Arial" w:cs="Arial"/>
          <w:sz w:val="28"/>
          <w:szCs w:val="28"/>
        </w:rPr>
        <w:t xml:space="preserve"> </w:t>
      </w:r>
      <w:r w:rsidR="00BE2C86" w:rsidRPr="00BE2C86">
        <w:rPr>
          <w:rFonts w:ascii="Arial" w:eastAsia="Times New Roman" w:hAnsi="Arial" w:cs="Arial"/>
          <w:szCs w:val="24"/>
        </w:rPr>
        <w:t>BMHP6020</w:t>
      </w:r>
    </w:p>
    <w:p w14:paraId="2C2175CB" w14:textId="2C5DFF03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BE2C86">
        <w:rPr>
          <w:rFonts w:ascii="Arial" w:hAnsi="Arial" w:cs="Arial"/>
          <w:sz w:val="28"/>
          <w:szCs w:val="28"/>
        </w:rPr>
        <w:t xml:space="preserve"> </w:t>
      </w:r>
      <w:r w:rsidR="00BE2C86" w:rsidRPr="00BE2C86">
        <w:rPr>
          <w:rFonts w:ascii="Arial" w:hAnsi="Arial" w:cs="Arial"/>
          <w:b/>
          <w:bCs/>
          <w:sz w:val="28"/>
          <w:szCs w:val="28"/>
        </w:rPr>
        <w:t>Jolly Nwankwo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E46DA6">
        <w:trPr>
          <w:trHeight w:val="2393"/>
          <w:jc w:val="center"/>
        </w:trPr>
        <w:tc>
          <w:tcPr>
            <w:tcW w:w="4534" w:type="dxa"/>
            <w:shd w:val="clear" w:color="auto" w:fill="DEEAF6" w:themeFill="accent5" w:themeFillTint="33"/>
          </w:tcPr>
          <w:p w14:paraId="505098AA" w14:textId="77777777" w:rsidR="00EB6F36" w:rsidRDefault="00EB6F36" w:rsidP="00B67824">
            <w:pPr>
              <w:rPr>
                <w:rFonts w:ascii="Arial" w:hAnsi="Arial" w:cs="Arial"/>
                <w:noProof/>
              </w:rPr>
            </w:pPr>
          </w:p>
          <w:p w14:paraId="43AACB79" w14:textId="69EFCA29" w:rsidR="002322EA" w:rsidRPr="00CC09D3" w:rsidRDefault="00CC09D3" w:rsidP="00CC09D3">
            <w:pPr>
              <w:rPr>
                <w:rFonts w:ascii="Arial" w:hAnsi="Arial" w:cs="Arial"/>
                <w:noProof/>
              </w:rPr>
            </w:pPr>
            <w:r w:rsidRPr="00CC09D3">
              <w:rPr>
                <w:rFonts w:ascii="Arial" w:hAnsi="Arial" w:cs="Arial"/>
                <w:noProof/>
              </w:rPr>
              <w:drawing>
                <wp:inline distT="0" distB="0" distL="0" distR="0" wp14:anchorId="2CBC4821" wp14:editId="4E27ECA2">
                  <wp:extent cx="2647950" cy="2349500"/>
                  <wp:effectExtent l="76200" t="76200" r="133350" b="127000"/>
                  <wp:docPr id="76789871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67898712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47950" cy="2349500"/>
                          </a:xfrm>
                          <a:prstGeom prst="rect">
                            <a:avLst/>
                          </a:prstGeom>
                          <a:ln w="38100" cap="sq">
                            <a:solidFill>
                              <a:srgbClr val="000000"/>
                            </a:solidFill>
                            <a:prstDash val="solid"/>
                            <a:miter lim="800000"/>
                          </a:ln>
                          <a:effectLst>
                            <a:outerShdw blurRad="50800" dist="38100" dir="2700000" algn="tl" rotWithShape="0">
                              <a:srgbClr val="000000">
                                <a:alpha val="43000"/>
                              </a:srgbClr>
                            </a:outerShdw>
                          </a:effectLst>
                        </pic:spPr>
                      </pic:pic>
                    </a:graphicData>
                  </a:graphic>
                </wp:inline>
              </w:drawing>
            </w:r>
          </w:p>
          <w:p w14:paraId="449AB549" w14:textId="44A0FA6B" w:rsidR="00346FFA" w:rsidRDefault="002322EA" w:rsidP="002322EA">
            <w:pPr>
              <w:pStyle w:val="Caption"/>
              <w:jc w:val="center"/>
              <w:rPr>
                <w:rFonts w:ascii="Arial" w:hAnsi="Arial" w:cs="Arial"/>
                <w:i w:val="0"/>
                <w:iCs w:val="0"/>
                <w:color w:val="auto"/>
              </w:rPr>
            </w:pPr>
            <w:r w:rsidRPr="00145DA5">
              <w:rPr>
                <w:rFonts w:ascii="Arial" w:hAnsi="Arial" w:cs="Arial"/>
                <w:i w:val="0"/>
                <w:iCs w:val="0"/>
                <w:color w:val="auto"/>
              </w:rPr>
              <w:t xml:space="preserve">Figure </w:t>
            </w:r>
            <w:r w:rsidRPr="00145DA5">
              <w:rPr>
                <w:rFonts w:ascii="Arial" w:hAnsi="Arial" w:cs="Arial"/>
                <w:i w:val="0"/>
                <w:iCs w:val="0"/>
                <w:color w:val="auto"/>
              </w:rPr>
              <w:fldChar w:fldCharType="begin"/>
            </w:r>
            <w:r w:rsidRPr="00145DA5">
              <w:rPr>
                <w:rFonts w:ascii="Arial" w:hAnsi="Arial" w:cs="Arial"/>
                <w:i w:val="0"/>
                <w:iCs w:val="0"/>
                <w:color w:val="auto"/>
              </w:rPr>
              <w:instrText xml:space="preserve"> SEQ Figure \* ARABIC </w:instrText>
            </w:r>
            <w:r w:rsidRPr="00145DA5">
              <w:rPr>
                <w:rFonts w:ascii="Arial" w:hAnsi="Arial" w:cs="Arial"/>
                <w:i w:val="0"/>
                <w:iCs w:val="0"/>
                <w:color w:val="auto"/>
              </w:rPr>
              <w:fldChar w:fldCharType="separate"/>
            </w:r>
            <w:r w:rsidR="00332530">
              <w:rPr>
                <w:rFonts w:ascii="Arial" w:hAnsi="Arial" w:cs="Arial"/>
                <w:i w:val="0"/>
                <w:iCs w:val="0"/>
                <w:noProof/>
                <w:color w:val="auto"/>
              </w:rPr>
              <w:t>1</w:t>
            </w:r>
            <w:r w:rsidRPr="00145DA5">
              <w:rPr>
                <w:rFonts w:ascii="Arial" w:hAnsi="Arial" w:cs="Arial"/>
                <w:i w:val="0"/>
                <w:iCs w:val="0"/>
                <w:color w:val="auto"/>
              </w:rPr>
              <w:fldChar w:fldCharType="end"/>
            </w:r>
            <w:r w:rsidRPr="00145DA5">
              <w:rPr>
                <w:rFonts w:ascii="Arial" w:hAnsi="Arial" w:cs="Arial"/>
                <w:i w:val="0"/>
                <w:iCs w:val="0"/>
                <w:color w:val="auto"/>
              </w:rPr>
              <w:t xml:space="preserve">: </w:t>
            </w:r>
            <w:r w:rsidR="00CC09D3">
              <w:rPr>
                <w:rFonts w:ascii="Arial" w:hAnsi="Arial" w:cs="Arial"/>
                <w:i w:val="0"/>
                <w:iCs w:val="0"/>
                <w:color w:val="auto"/>
              </w:rPr>
              <w:t>Relationship between Mental Health and Loneliness</w:t>
            </w:r>
          </w:p>
          <w:p w14:paraId="7C84B224" w14:textId="6917BCBA" w:rsidR="00CC09D3" w:rsidRPr="009C0869" w:rsidRDefault="00CC09D3" w:rsidP="009C0869">
            <w:pPr>
              <w:tabs>
                <w:tab w:val="left" w:pos="3550"/>
              </w:tabs>
              <w:jc w:val="center"/>
              <w:rPr>
                <w:rFonts w:ascii="Arial" w:hAnsi="Arial" w:cs="Arial"/>
                <w:color w:val="F4B083" w:themeColor="accent2" w:themeTint="99"/>
              </w:rPr>
            </w:pPr>
            <w:r w:rsidRPr="009C0869">
              <w:rPr>
                <w:rFonts w:ascii="Arial" w:hAnsi="Arial" w:cs="Arial"/>
                <w:sz w:val="18"/>
                <w:szCs w:val="18"/>
              </w:rPr>
              <w:t>Source: Gov.UK (2022)</w:t>
            </w:r>
          </w:p>
        </w:tc>
        <w:tc>
          <w:tcPr>
            <w:tcW w:w="416" w:type="dxa"/>
            <w:vMerge w:val="restart"/>
            <w:shd w:val="clear" w:color="auto" w:fill="9CC2E5" w:themeFill="accent5" w:themeFillTint="99"/>
          </w:tcPr>
          <w:p w14:paraId="09B2FC2D" w14:textId="77777777" w:rsidR="00346FFA" w:rsidRPr="00BD14A7" w:rsidRDefault="00346FFA" w:rsidP="00B67824">
            <w:pPr>
              <w:rPr>
                <w:rFonts w:ascii="Arial" w:hAnsi="Arial" w:cs="Arial"/>
                <w:noProof/>
                <w:color w:val="F4B083" w:themeColor="accent2" w:themeTint="99"/>
              </w:rPr>
            </w:pPr>
          </w:p>
        </w:tc>
        <w:tc>
          <w:tcPr>
            <w:tcW w:w="4500" w:type="dxa"/>
            <w:vMerge w:val="restart"/>
            <w:shd w:val="clear" w:color="auto" w:fill="DEEAF6" w:themeFill="accent5" w:themeFillTint="33"/>
          </w:tcPr>
          <w:p w14:paraId="32810FCF" w14:textId="24FB2290" w:rsidR="00B67824" w:rsidRDefault="00711BB0" w:rsidP="00F37523">
            <w:pPr>
              <w:pStyle w:val="Heading1"/>
              <w:rPr>
                <w:rFonts w:ascii="Arial" w:hAnsi="Arial" w:cs="Arial"/>
              </w:rPr>
            </w:pPr>
            <w:r w:rsidRPr="00711BB0">
              <w:rPr>
                <w:rFonts w:ascii="Arial" w:hAnsi="Arial" w:cs="Arial"/>
              </w:rPr>
              <w:t>Loneliness and Mental Health of Older Adults in Residential Care Homes</w:t>
            </w:r>
          </w:p>
          <w:p w14:paraId="1C1F7D5D" w14:textId="22DFE22D" w:rsidR="00DC5402" w:rsidRPr="0062337C" w:rsidRDefault="00DC5402" w:rsidP="00DC5402">
            <w:pPr>
              <w:rPr>
                <w:rFonts w:ascii="Arial" w:hAnsi="Arial" w:cs="Arial"/>
                <w:b/>
                <w:bCs/>
                <w:color w:val="44546A" w:themeColor="text2"/>
              </w:rPr>
            </w:pPr>
            <w:r w:rsidRPr="0062337C">
              <w:rPr>
                <w:rFonts w:ascii="Arial" w:hAnsi="Arial" w:cs="Arial"/>
                <w:b/>
                <w:bCs/>
                <w:color w:val="44546A" w:themeColor="text2"/>
              </w:rPr>
              <w:t>Aim</w:t>
            </w:r>
          </w:p>
          <w:p w14:paraId="0FB6A40F" w14:textId="1ABCA8AA" w:rsidR="00711BB0" w:rsidRDefault="00711BB0" w:rsidP="00B630DD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D94AE0">
              <w:rPr>
                <w:rFonts w:ascii="Arial" w:hAnsi="Arial" w:cs="Arial"/>
              </w:rPr>
              <w:t>The purpose of the study is to determine how th</w:t>
            </w:r>
            <w:r w:rsidR="009F1F5C">
              <w:rPr>
                <w:rFonts w:ascii="Arial" w:hAnsi="Arial" w:cs="Arial"/>
              </w:rPr>
              <w:t>e</w:t>
            </w:r>
            <w:r w:rsidRPr="00D94AE0">
              <w:rPr>
                <w:rFonts w:ascii="Arial" w:hAnsi="Arial" w:cs="Arial"/>
              </w:rPr>
              <w:t xml:space="preserve"> influx of loneliness affects the mental health of residential care residents in the UK </w:t>
            </w:r>
          </w:p>
          <w:p w14:paraId="1DF85714" w14:textId="1E5DD134" w:rsidR="00DC5402" w:rsidRPr="0062337C" w:rsidRDefault="008E5953" w:rsidP="00DC5402">
            <w:pPr>
              <w:jc w:val="both"/>
              <w:rPr>
                <w:rFonts w:ascii="Arial" w:hAnsi="Arial" w:cs="Arial"/>
                <w:b/>
                <w:bCs/>
                <w:color w:val="44546A" w:themeColor="text2"/>
              </w:rPr>
            </w:pPr>
            <w:r w:rsidRPr="0062337C">
              <w:rPr>
                <w:rFonts w:ascii="Arial" w:hAnsi="Arial" w:cs="Arial"/>
                <w:b/>
                <w:bCs/>
                <w:color w:val="44546A" w:themeColor="text2"/>
              </w:rPr>
              <w:t>Data Collection and Analysis</w:t>
            </w:r>
          </w:p>
          <w:p w14:paraId="291BEA15" w14:textId="69CEAFA2" w:rsidR="00D94AE0" w:rsidRPr="00D94AE0" w:rsidRDefault="00711BB0" w:rsidP="00B630DD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D94AE0">
              <w:rPr>
                <w:rFonts w:ascii="Arial" w:hAnsi="Arial" w:cs="Arial"/>
              </w:rPr>
              <w:t xml:space="preserve">The methodology used in the research was the systematic literature review method according </w:t>
            </w:r>
            <w:r w:rsidR="00C41D1D">
              <w:rPr>
                <w:rFonts w:ascii="Arial" w:hAnsi="Arial" w:cs="Arial"/>
              </w:rPr>
              <w:t>t</w:t>
            </w:r>
            <w:r w:rsidRPr="00D94AE0">
              <w:rPr>
                <w:rFonts w:ascii="Arial" w:hAnsi="Arial" w:cs="Arial"/>
              </w:rPr>
              <w:t>o Lame (2019).</w:t>
            </w:r>
          </w:p>
          <w:p w14:paraId="59D9AD01" w14:textId="77777777" w:rsidR="00D94AE0" w:rsidRPr="00D94AE0" w:rsidRDefault="00D94AE0" w:rsidP="00B630DD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D94AE0">
              <w:rPr>
                <w:rFonts w:ascii="Arial" w:hAnsi="Arial" w:cs="Arial"/>
              </w:rPr>
              <w:t>D</w:t>
            </w:r>
            <w:r w:rsidR="00711BB0" w:rsidRPr="00D94AE0">
              <w:rPr>
                <w:rFonts w:ascii="Arial" w:hAnsi="Arial" w:cs="Arial"/>
              </w:rPr>
              <w:t>atabases</w:t>
            </w:r>
            <w:r w:rsidRPr="00D94AE0">
              <w:rPr>
                <w:rFonts w:ascii="Arial" w:hAnsi="Arial" w:cs="Arial"/>
              </w:rPr>
              <w:t xml:space="preserve"> such</w:t>
            </w:r>
            <w:r w:rsidR="00711BB0" w:rsidRPr="00D94AE0">
              <w:rPr>
                <w:rFonts w:ascii="Arial" w:hAnsi="Arial" w:cs="Arial"/>
              </w:rPr>
              <w:t xml:space="preserve"> as PubMed, ProQuest, Google Scholar, or University of Wales Trinity Saint David Library</w:t>
            </w:r>
            <w:r w:rsidRPr="00D94AE0">
              <w:rPr>
                <w:rFonts w:ascii="Arial" w:hAnsi="Arial" w:cs="Arial"/>
              </w:rPr>
              <w:t xml:space="preserve"> were used</w:t>
            </w:r>
            <w:r w:rsidR="00711BB0" w:rsidRPr="00D94AE0">
              <w:rPr>
                <w:rFonts w:ascii="Arial" w:hAnsi="Arial" w:cs="Arial"/>
              </w:rPr>
              <w:t>.</w:t>
            </w:r>
          </w:p>
          <w:p w14:paraId="1511555E" w14:textId="77777777" w:rsidR="00DC5402" w:rsidRPr="00DC5402" w:rsidRDefault="00711BB0" w:rsidP="00B630DD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DC5402">
              <w:rPr>
                <w:rFonts w:ascii="Arial" w:hAnsi="Arial" w:cs="Arial"/>
              </w:rPr>
              <w:t>Boolean operators and select</w:t>
            </w:r>
            <w:r w:rsidR="00DC5402" w:rsidRPr="00DC5402">
              <w:rPr>
                <w:rFonts w:ascii="Arial" w:hAnsi="Arial" w:cs="Arial"/>
              </w:rPr>
              <w:t>ed</w:t>
            </w:r>
            <w:r w:rsidRPr="00DC5402">
              <w:rPr>
                <w:rFonts w:ascii="Arial" w:hAnsi="Arial" w:cs="Arial"/>
              </w:rPr>
              <w:t xml:space="preserve"> keywords such as “residential care homes”, “experiences”, “mental health”, “loneliness”, and “older adults”</w:t>
            </w:r>
            <w:r w:rsidR="00DC5402" w:rsidRPr="00DC5402">
              <w:rPr>
                <w:rFonts w:ascii="Arial" w:hAnsi="Arial" w:cs="Arial"/>
              </w:rPr>
              <w:t xml:space="preserve"> were used</w:t>
            </w:r>
            <w:r w:rsidRPr="00DC5402">
              <w:rPr>
                <w:rFonts w:ascii="Arial" w:hAnsi="Arial" w:cs="Arial"/>
              </w:rPr>
              <w:t xml:space="preserve">. </w:t>
            </w:r>
          </w:p>
          <w:p w14:paraId="3B282E01" w14:textId="77777777" w:rsidR="00DC5402" w:rsidRPr="00DC5402" w:rsidRDefault="00711BB0" w:rsidP="00B630DD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DC5402">
              <w:rPr>
                <w:rFonts w:ascii="Arial" w:hAnsi="Arial" w:cs="Arial"/>
              </w:rPr>
              <w:t>The Critical Appraisal Skills Program</w:t>
            </w:r>
            <w:r w:rsidR="00DC5402" w:rsidRPr="00DC5402">
              <w:rPr>
                <w:rFonts w:ascii="Arial" w:hAnsi="Arial" w:cs="Arial"/>
              </w:rPr>
              <w:t xml:space="preserve"> (CASP) </w:t>
            </w:r>
            <w:r w:rsidRPr="00DC5402">
              <w:rPr>
                <w:rFonts w:ascii="Arial" w:hAnsi="Arial" w:cs="Arial"/>
              </w:rPr>
              <w:t xml:space="preserve">was used to evaluate the quality and ethical trustworthiness of the chosen studies. </w:t>
            </w:r>
          </w:p>
          <w:p w14:paraId="646D5584" w14:textId="0466C216" w:rsidR="00EB6F36" w:rsidRPr="00DC5402" w:rsidRDefault="00F47736" w:rsidP="00B630DD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Eight</w:t>
            </w:r>
            <w:r w:rsidR="00711BB0" w:rsidRPr="00DC5402">
              <w:rPr>
                <w:rFonts w:ascii="Arial" w:hAnsi="Arial" w:cs="Arial"/>
              </w:rPr>
              <w:t xml:space="preserve"> peer-reviewed qualitative studies published within the English language were</w:t>
            </w:r>
            <w:r w:rsidR="00DC5402">
              <w:rPr>
                <w:rFonts w:ascii="Arial" w:hAnsi="Arial" w:cs="Arial"/>
              </w:rPr>
              <w:t xml:space="preserve"> used for synthesis</w:t>
            </w:r>
            <w:r w:rsidR="00711BB0" w:rsidRPr="00DC5402">
              <w:rPr>
                <w:rFonts w:ascii="Arial" w:hAnsi="Arial" w:cs="Arial"/>
              </w:rPr>
              <w:t>.</w:t>
            </w:r>
          </w:p>
        </w:tc>
        <w:tc>
          <w:tcPr>
            <w:tcW w:w="360" w:type="dxa"/>
            <w:vMerge w:val="restart"/>
            <w:shd w:val="clear" w:color="auto" w:fill="9CC2E5" w:themeFill="accent5" w:themeFillTint="99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shd w:val="clear" w:color="auto" w:fill="DEEAF6" w:themeFill="accent5" w:themeFillTint="33"/>
            <w:vAlign w:val="center"/>
          </w:tcPr>
          <w:p w14:paraId="55BF94EB" w14:textId="77777777" w:rsidR="00D45F64" w:rsidRDefault="00D45F64" w:rsidP="00D45F64">
            <w:pPr>
              <w:keepNext/>
            </w:pPr>
            <w:r w:rsidRPr="000A0C4E">
              <w:rPr>
                <w:noProof/>
              </w:rPr>
              <w:drawing>
                <wp:inline distT="0" distB="0" distL="0" distR="0" wp14:anchorId="580BAA3C" wp14:editId="64812EF0">
                  <wp:extent cx="2616200" cy="2387600"/>
                  <wp:effectExtent l="76200" t="76200" r="127000" b="127000"/>
                  <wp:docPr id="157062787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70627877" name=""/>
                          <pic:cNvPicPr/>
                        </pic:nvPicPr>
                        <pic:blipFill rotWithShape="1">
                          <a:blip r:embed="rId14"/>
                          <a:srcRect b="7356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16342" cy="2387730"/>
                          </a:xfrm>
                          <a:prstGeom prst="rect">
                            <a:avLst/>
                          </a:prstGeom>
                          <a:ln w="38100" cap="sq" cmpd="sng" algn="ctr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 type="none" w="med" len="med"/>
                            <a:tailEnd type="none" w="med" len="med"/>
                            <a:extLst>
                              <a:ext uri="{C807C97D-BFC1-408E-A445-0C87EB9F89A2}">
                                <ask:lineSketchStyleProps xmlns:ask="http://schemas.microsoft.com/office/drawing/2018/sketchyshapes" sd="0"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0" b="0"/>
                                    <a:pathLst/>
                                  </a:custGeom>
                                  <ask:type/>
                                </ask:lineSketchStyleProps>
                              </a:ext>
                            </a:extLst>
                          </a:ln>
                          <a:effectLst>
                            <a:outerShdw blurRad="50800" dist="38100" dir="2700000" algn="tl" rotWithShape="0">
                              <a:srgbClr val="000000">
                                <a:alpha val="43000"/>
                              </a:srgbClr>
                            </a:outerShdw>
                          </a:effectLst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4BB7AF2D" w14:textId="5C0E61F0" w:rsidR="00346FFA" w:rsidRDefault="00D45F64" w:rsidP="00D45F64">
            <w:pPr>
              <w:pStyle w:val="Caption"/>
              <w:jc w:val="center"/>
              <w:rPr>
                <w:rFonts w:ascii="Arial" w:hAnsi="Arial" w:cs="Arial"/>
                <w:i w:val="0"/>
                <w:iCs w:val="0"/>
                <w:color w:val="auto"/>
              </w:rPr>
            </w:pPr>
            <w:r w:rsidRPr="00D45F64">
              <w:rPr>
                <w:rFonts w:ascii="Arial" w:hAnsi="Arial" w:cs="Arial"/>
                <w:i w:val="0"/>
                <w:iCs w:val="0"/>
                <w:color w:val="auto"/>
              </w:rPr>
              <w:t xml:space="preserve">Figure </w:t>
            </w:r>
            <w:r w:rsidRPr="00D45F64">
              <w:rPr>
                <w:rFonts w:ascii="Arial" w:hAnsi="Arial" w:cs="Arial"/>
                <w:i w:val="0"/>
                <w:iCs w:val="0"/>
                <w:color w:val="auto"/>
              </w:rPr>
              <w:fldChar w:fldCharType="begin"/>
            </w:r>
            <w:r w:rsidRPr="00D45F64">
              <w:rPr>
                <w:rFonts w:ascii="Arial" w:hAnsi="Arial" w:cs="Arial"/>
                <w:i w:val="0"/>
                <w:iCs w:val="0"/>
                <w:color w:val="auto"/>
              </w:rPr>
              <w:instrText xml:space="preserve"> SEQ Figure \* ARABIC </w:instrText>
            </w:r>
            <w:r w:rsidRPr="00D45F64">
              <w:rPr>
                <w:rFonts w:ascii="Arial" w:hAnsi="Arial" w:cs="Arial"/>
                <w:i w:val="0"/>
                <w:iCs w:val="0"/>
                <w:color w:val="auto"/>
              </w:rPr>
              <w:fldChar w:fldCharType="separate"/>
            </w:r>
            <w:r w:rsidR="00332530">
              <w:rPr>
                <w:rFonts w:ascii="Arial" w:hAnsi="Arial" w:cs="Arial"/>
                <w:i w:val="0"/>
                <w:iCs w:val="0"/>
                <w:noProof/>
                <w:color w:val="auto"/>
              </w:rPr>
              <w:t>2</w:t>
            </w:r>
            <w:r w:rsidRPr="00D45F64">
              <w:rPr>
                <w:rFonts w:ascii="Arial" w:hAnsi="Arial" w:cs="Arial"/>
                <w:i w:val="0"/>
                <w:iCs w:val="0"/>
                <w:color w:val="auto"/>
              </w:rPr>
              <w:fldChar w:fldCharType="end"/>
            </w:r>
            <w:r w:rsidRPr="00D45F64">
              <w:rPr>
                <w:rFonts w:ascii="Arial" w:hAnsi="Arial" w:cs="Arial"/>
                <w:i w:val="0"/>
                <w:iCs w:val="0"/>
                <w:color w:val="auto"/>
              </w:rPr>
              <w:t>: Braun and Clar</w:t>
            </w:r>
            <w:r>
              <w:rPr>
                <w:rFonts w:ascii="Arial" w:hAnsi="Arial" w:cs="Arial"/>
                <w:i w:val="0"/>
                <w:iCs w:val="0"/>
                <w:color w:val="auto"/>
              </w:rPr>
              <w:t>k</w:t>
            </w:r>
            <w:r w:rsidRPr="00D45F64">
              <w:rPr>
                <w:rFonts w:ascii="Arial" w:hAnsi="Arial" w:cs="Arial"/>
                <w:i w:val="0"/>
                <w:iCs w:val="0"/>
                <w:color w:val="auto"/>
              </w:rPr>
              <w:t>e Framework</w:t>
            </w:r>
          </w:p>
          <w:p w14:paraId="4EBA66EC" w14:textId="21ECB98F" w:rsidR="008B19F5" w:rsidRPr="008B19F5" w:rsidRDefault="008B19F5" w:rsidP="008B19F5">
            <w:pPr>
              <w:jc w:val="center"/>
              <w:rPr>
                <w:rFonts w:ascii="Arial" w:hAnsi="Arial" w:cs="Arial"/>
              </w:rPr>
            </w:pPr>
            <w:r w:rsidRPr="008B19F5">
              <w:rPr>
                <w:rFonts w:ascii="Arial" w:hAnsi="Arial" w:cs="Arial"/>
                <w:sz w:val="18"/>
                <w:szCs w:val="18"/>
              </w:rPr>
              <w:t>Source: Chong and Salmi (2020</w:t>
            </w:r>
            <w:r>
              <w:rPr>
                <w:rFonts w:ascii="Arial" w:hAnsi="Arial" w:cs="Arial"/>
                <w:sz w:val="18"/>
                <w:szCs w:val="18"/>
              </w:rPr>
              <w:t>)</w:t>
            </w:r>
          </w:p>
        </w:tc>
      </w:tr>
      <w:tr w:rsidR="00346FFA" w:rsidRPr="00EB6F36" w14:paraId="6595EC5A" w14:textId="77777777" w:rsidTr="00E46DA6">
        <w:trPr>
          <w:trHeight w:val="272"/>
          <w:jc w:val="center"/>
        </w:trPr>
        <w:tc>
          <w:tcPr>
            <w:tcW w:w="4534" w:type="dxa"/>
            <w:shd w:val="clear" w:color="auto" w:fill="9CC2E5" w:themeFill="accent5" w:themeFillTint="99"/>
          </w:tcPr>
          <w:p w14:paraId="29C6DD9B" w14:textId="77777777" w:rsidR="00346FFA" w:rsidRPr="00EB6F36" w:rsidRDefault="00346FFA" w:rsidP="00E46DA6">
            <w:pPr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  <w:shd w:val="clear" w:color="auto" w:fill="9CC2E5" w:themeFill="accent5" w:themeFillTint="99"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shd w:val="clear" w:color="auto" w:fill="DEEAF6" w:themeFill="accent5" w:themeFillTint="33"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  <w:shd w:val="clear" w:color="auto" w:fill="9CC2E5" w:themeFill="accent5" w:themeFillTint="99"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shd w:val="clear" w:color="auto" w:fill="9CC2E5" w:themeFill="accent5" w:themeFillTint="99"/>
          </w:tcPr>
          <w:p w14:paraId="777BDB3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E46DA6">
        <w:trPr>
          <w:trHeight w:val="473"/>
          <w:jc w:val="center"/>
        </w:trPr>
        <w:tc>
          <w:tcPr>
            <w:tcW w:w="4534" w:type="dxa"/>
            <w:vMerge w:val="restart"/>
            <w:shd w:val="clear" w:color="auto" w:fill="DEEAF6" w:themeFill="accent5" w:themeFillTint="33"/>
          </w:tcPr>
          <w:p w14:paraId="43992006" w14:textId="29F7BAF3" w:rsidR="00B67824" w:rsidRDefault="002024B8" w:rsidP="00F37523">
            <w:pPr>
              <w:pStyle w:val="Heading1"/>
              <w:rPr>
                <w:rFonts w:ascii="Arial" w:hAnsi="Arial" w:cs="Arial"/>
              </w:rPr>
            </w:pPr>
            <w:r w:rsidRPr="002024B8">
              <w:rPr>
                <w:rFonts w:ascii="Arial" w:hAnsi="Arial" w:cs="Arial"/>
              </w:rPr>
              <w:t>Methodology</w:t>
            </w:r>
          </w:p>
          <w:p w14:paraId="2BD2F15E" w14:textId="6381D5B1" w:rsidR="00291DE0" w:rsidRPr="00291DE0" w:rsidRDefault="00291DE0" w:rsidP="00291DE0">
            <w:pPr>
              <w:rPr>
                <w:rFonts w:ascii="Arial" w:hAnsi="Arial" w:cs="Arial"/>
                <w:b/>
                <w:bCs/>
                <w:color w:val="44546A" w:themeColor="text2"/>
              </w:rPr>
            </w:pPr>
            <w:r w:rsidRPr="00291DE0">
              <w:rPr>
                <w:rFonts w:ascii="Arial" w:hAnsi="Arial" w:cs="Arial"/>
                <w:b/>
                <w:bCs/>
                <w:color w:val="44546A" w:themeColor="text2"/>
              </w:rPr>
              <w:t>Search Strategy</w:t>
            </w:r>
          </w:p>
          <w:p w14:paraId="1C4E20E0" w14:textId="2D47E352" w:rsidR="00796A11" w:rsidRDefault="002024B8" w:rsidP="00796A11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830532">
              <w:rPr>
                <w:rFonts w:ascii="Arial" w:hAnsi="Arial" w:cs="Arial"/>
              </w:rPr>
              <w:t xml:space="preserve">The </w:t>
            </w:r>
            <w:r w:rsidR="00830532" w:rsidRPr="00830532">
              <w:rPr>
                <w:rFonts w:ascii="Arial" w:hAnsi="Arial" w:cs="Arial"/>
              </w:rPr>
              <w:t xml:space="preserve">methodology used </w:t>
            </w:r>
            <w:r w:rsidRPr="00830532">
              <w:rPr>
                <w:rFonts w:ascii="Arial" w:hAnsi="Arial" w:cs="Arial"/>
              </w:rPr>
              <w:t xml:space="preserve">qualitative secondary design </w:t>
            </w:r>
            <w:r w:rsidR="00830532" w:rsidRPr="00830532">
              <w:rPr>
                <w:rFonts w:ascii="Arial" w:hAnsi="Arial" w:cs="Arial"/>
              </w:rPr>
              <w:t xml:space="preserve">in </w:t>
            </w:r>
            <w:r w:rsidRPr="00830532">
              <w:rPr>
                <w:rFonts w:ascii="Arial" w:hAnsi="Arial" w:cs="Arial"/>
              </w:rPr>
              <w:t xml:space="preserve">this research. </w:t>
            </w:r>
          </w:p>
          <w:p w14:paraId="07ADA708" w14:textId="48A02A79" w:rsidR="005F15FB" w:rsidRPr="00291DE0" w:rsidRDefault="005F15FB" w:rsidP="00291DE0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Boolean operators and relevant Keywords are used</w:t>
            </w:r>
            <w:r w:rsidRPr="00830532">
              <w:rPr>
                <w:rFonts w:ascii="Arial" w:hAnsi="Arial" w:cs="Arial"/>
              </w:rPr>
              <w:t xml:space="preserve"> to draw a narrow synthesis of the results</w:t>
            </w:r>
            <w:r>
              <w:rPr>
                <w:rFonts w:ascii="Arial" w:hAnsi="Arial" w:cs="Arial"/>
              </w:rPr>
              <w:t>.</w:t>
            </w:r>
          </w:p>
          <w:p w14:paraId="577D6AE5" w14:textId="12544DC4" w:rsidR="00C742DA" w:rsidRDefault="00C742DA" w:rsidP="00C742DA">
            <w:pPr>
              <w:spacing w:after="0" w:line="360" w:lineRule="auto"/>
              <w:jc w:val="both"/>
              <w:rPr>
                <w:rFonts w:ascii="Arial" w:hAnsi="Arial" w:cs="Arial"/>
                <w:b/>
                <w:bCs/>
                <w:color w:val="44546A" w:themeColor="text2"/>
              </w:rPr>
            </w:pPr>
            <w:r w:rsidRPr="00F253E3">
              <w:rPr>
                <w:noProof/>
              </w:rPr>
              <w:lastRenderedPageBreak/>
              <w:drawing>
                <wp:inline distT="0" distB="0" distL="0" distR="0" wp14:anchorId="47380097" wp14:editId="4A7B7706">
                  <wp:extent cx="2616200" cy="2070100"/>
                  <wp:effectExtent l="76200" t="76200" r="127000" b="139700"/>
                  <wp:docPr id="206386116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63861169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16339" cy="2070210"/>
                          </a:xfrm>
                          <a:prstGeom prst="rect">
                            <a:avLst/>
                          </a:prstGeom>
                          <a:ln w="38100" cap="sq">
                            <a:solidFill>
                              <a:srgbClr val="000000"/>
                            </a:solidFill>
                            <a:prstDash val="solid"/>
                            <a:miter lim="800000"/>
                          </a:ln>
                          <a:effectLst>
                            <a:outerShdw blurRad="50800" dist="38100" dir="2700000" algn="tl" rotWithShape="0">
                              <a:srgbClr val="000000">
                                <a:alpha val="43000"/>
                              </a:srgbClr>
                            </a:outerShdw>
                          </a:effectLst>
                        </pic:spPr>
                      </pic:pic>
                    </a:graphicData>
                  </a:graphic>
                </wp:inline>
              </w:drawing>
            </w:r>
          </w:p>
          <w:p w14:paraId="5D6BF9A0" w14:textId="340647DD" w:rsidR="00C742DA" w:rsidRPr="00C742DA" w:rsidRDefault="00C742DA" w:rsidP="00C742DA">
            <w:pPr>
              <w:pStyle w:val="Caption"/>
              <w:spacing w:line="360" w:lineRule="auto"/>
              <w:jc w:val="center"/>
              <w:rPr>
                <w:rFonts w:ascii="Arial" w:hAnsi="Arial" w:cs="Arial"/>
                <w:i w:val="0"/>
                <w:iCs w:val="0"/>
              </w:rPr>
            </w:pPr>
            <w:r w:rsidRPr="00332530">
              <w:rPr>
                <w:rFonts w:ascii="Arial" w:hAnsi="Arial" w:cs="Arial"/>
                <w:i w:val="0"/>
                <w:iCs w:val="0"/>
              </w:rPr>
              <w:t xml:space="preserve">Figure </w:t>
            </w:r>
            <w:r w:rsidRPr="00332530">
              <w:rPr>
                <w:rFonts w:ascii="Arial" w:hAnsi="Arial" w:cs="Arial"/>
                <w:i w:val="0"/>
                <w:iCs w:val="0"/>
              </w:rPr>
              <w:fldChar w:fldCharType="begin"/>
            </w:r>
            <w:r w:rsidRPr="00332530">
              <w:rPr>
                <w:rFonts w:ascii="Arial" w:hAnsi="Arial" w:cs="Arial"/>
                <w:i w:val="0"/>
                <w:iCs w:val="0"/>
              </w:rPr>
              <w:instrText xml:space="preserve"> SEQ Figure \* ARABIC </w:instrText>
            </w:r>
            <w:r w:rsidRPr="00332530">
              <w:rPr>
                <w:rFonts w:ascii="Arial" w:hAnsi="Arial" w:cs="Arial"/>
                <w:i w:val="0"/>
                <w:iCs w:val="0"/>
              </w:rPr>
              <w:fldChar w:fldCharType="separate"/>
            </w:r>
            <w:r w:rsidRPr="00332530">
              <w:rPr>
                <w:rFonts w:ascii="Arial" w:hAnsi="Arial" w:cs="Arial"/>
                <w:i w:val="0"/>
                <w:iCs w:val="0"/>
                <w:noProof/>
              </w:rPr>
              <w:t>3</w:t>
            </w:r>
            <w:r w:rsidRPr="00332530">
              <w:rPr>
                <w:rFonts w:ascii="Arial" w:hAnsi="Arial" w:cs="Arial"/>
                <w:i w:val="0"/>
                <w:iCs w:val="0"/>
              </w:rPr>
              <w:fldChar w:fldCharType="end"/>
            </w:r>
            <w:r w:rsidRPr="00332530">
              <w:rPr>
                <w:rFonts w:ascii="Arial" w:hAnsi="Arial" w:cs="Arial"/>
                <w:i w:val="0"/>
                <w:iCs w:val="0"/>
              </w:rPr>
              <w:t>: Used of Boolean Operators in the Study</w:t>
            </w:r>
          </w:p>
          <w:p w14:paraId="5737ADAE" w14:textId="017AC1DD" w:rsidR="00902FFF" w:rsidRPr="00902FFF" w:rsidRDefault="00902FFF" w:rsidP="00902FFF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44546A" w:themeColor="text2"/>
              </w:rPr>
            </w:pPr>
            <w:r w:rsidRPr="00902FFF">
              <w:rPr>
                <w:rFonts w:ascii="Arial" w:hAnsi="Arial" w:cs="Arial"/>
                <w:b/>
                <w:bCs/>
                <w:color w:val="44546A" w:themeColor="text2"/>
              </w:rPr>
              <w:t>Inclusion and Exclusion Criteria</w:t>
            </w:r>
          </w:p>
          <w:p w14:paraId="47355688" w14:textId="68F9EE4B" w:rsidR="00830532" w:rsidRPr="00902FFF" w:rsidRDefault="00830532" w:rsidP="00902FFF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902FFF">
              <w:rPr>
                <w:rFonts w:ascii="Arial" w:hAnsi="Arial" w:cs="Arial"/>
              </w:rPr>
              <w:t>M</w:t>
            </w:r>
            <w:r w:rsidR="002024B8" w:rsidRPr="00902FFF">
              <w:rPr>
                <w:rFonts w:ascii="Arial" w:hAnsi="Arial" w:cs="Arial"/>
              </w:rPr>
              <w:t>ost relevant literature through systematic inclusion and exclusion criteria</w:t>
            </w:r>
            <w:r w:rsidRPr="00902FFF">
              <w:rPr>
                <w:rFonts w:ascii="Arial" w:hAnsi="Arial" w:cs="Arial"/>
              </w:rPr>
              <w:t xml:space="preserve"> was selected to limit the results</w:t>
            </w:r>
            <w:r w:rsidR="002024B8" w:rsidRPr="00902FFF">
              <w:rPr>
                <w:rFonts w:ascii="Arial" w:hAnsi="Arial" w:cs="Arial"/>
              </w:rPr>
              <w:t>.</w:t>
            </w:r>
          </w:p>
          <w:p w14:paraId="76A181D1" w14:textId="77777777" w:rsidR="00830532" w:rsidRDefault="002024B8" w:rsidP="00B630DD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830532">
              <w:rPr>
                <w:rFonts w:ascii="Arial" w:hAnsi="Arial" w:cs="Arial"/>
              </w:rPr>
              <w:t>It included</w:t>
            </w:r>
            <w:r w:rsidR="00830532" w:rsidRPr="00830532">
              <w:rPr>
                <w:rFonts w:ascii="Arial" w:hAnsi="Arial" w:cs="Arial"/>
              </w:rPr>
              <w:t xml:space="preserve"> qualitative and peer-reviewed</w:t>
            </w:r>
            <w:r w:rsidRPr="00830532">
              <w:rPr>
                <w:rFonts w:ascii="Arial" w:hAnsi="Arial" w:cs="Arial"/>
              </w:rPr>
              <w:t xml:space="preserve"> studies that investigated residents in care facilities</w:t>
            </w:r>
            <w:r w:rsidR="00830532" w:rsidRPr="00830532">
              <w:rPr>
                <w:rFonts w:ascii="Arial" w:hAnsi="Arial" w:cs="Arial"/>
              </w:rPr>
              <w:t>.</w:t>
            </w:r>
          </w:p>
          <w:p w14:paraId="0C8D582D" w14:textId="6CC5D16D" w:rsidR="00CC09D3" w:rsidRPr="00C742DA" w:rsidRDefault="005F15FB" w:rsidP="00CC09D3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peer-reviewed literature</w:t>
            </w:r>
            <w:r w:rsidR="008F0544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with availability of full-text was included in the qualitative analysis.</w:t>
            </w:r>
          </w:p>
          <w:p w14:paraId="766CB3C2" w14:textId="5EB307F8" w:rsidR="00EB6F36" w:rsidRPr="00EB6F36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shd w:val="clear" w:color="auto" w:fill="9CC2E5" w:themeFill="accent5" w:themeFillTint="99"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shd w:val="clear" w:color="auto" w:fill="DEEAF6" w:themeFill="accent5" w:themeFillTint="33"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shd w:val="clear" w:color="auto" w:fill="9CC2E5" w:themeFill="accent5" w:themeFillTint="99"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  <w:shd w:val="clear" w:color="auto" w:fill="DEEAF6" w:themeFill="accent5" w:themeFillTint="33"/>
          </w:tcPr>
          <w:p w14:paraId="7C994393" w14:textId="5FAE3F69" w:rsidR="00B67824" w:rsidRPr="00EB6F36" w:rsidRDefault="009A76E2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 w:rsidRPr="009A76E2">
              <w:rPr>
                <w:rFonts w:ascii="Arial" w:hAnsi="Arial" w:cs="Arial"/>
              </w:rPr>
              <w:t>Data Analysis Method</w:t>
            </w:r>
          </w:p>
          <w:p w14:paraId="074770EF" w14:textId="77777777" w:rsidR="00E20641" w:rsidRPr="004373C5" w:rsidRDefault="009A76E2" w:rsidP="00B630DD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4373C5">
              <w:rPr>
                <w:rFonts w:ascii="Arial" w:hAnsi="Arial" w:cs="Arial"/>
              </w:rPr>
              <w:t xml:space="preserve">Thematic analysis postulated by Braun and Clarke (2006, 2023) was employed to </w:t>
            </w:r>
            <w:proofErr w:type="spellStart"/>
            <w:r w:rsidRPr="004373C5">
              <w:rPr>
                <w:rFonts w:ascii="Arial" w:hAnsi="Arial" w:cs="Arial"/>
              </w:rPr>
              <w:t>analy</w:t>
            </w:r>
            <w:r w:rsidR="00E20641" w:rsidRPr="004373C5">
              <w:rPr>
                <w:rFonts w:ascii="Arial" w:hAnsi="Arial" w:cs="Arial"/>
              </w:rPr>
              <w:t>s</w:t>
            </w:r>
            <w:r w:rsidRPr="004373C5">
              <w:rPr>
                <w:rFonts w:ascii="Arial" w:hAnsi="Arial" w:cs="Arial"/>
              </w:rPr>
              <w:t>e</w:t>
            </w:r>
            <w:proofErr w:type="spellEnd"/>
            <w:r w:rsidRPr="004373C5">
              <w:rPr>
                <w:rFonts w:ascii="Arial" w:hAnsi="Arial" w:cs="Arial"/>
              </w:rPr>
              <w:t xml:space="preserve"> the sampled literature. </w:t>
            </w:r>
          </w:p>
          <w:p w14:paraId="3353C871" w14:textId="59263BA5" w:rsidR="00E20641" w:rsidRPr="004373C5" w:rsidRDefault="009A76E2" w:rsidP="00B630DD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4373C5">
              <w:rPr>
                <w:rFonts w:ascii="Arial" w:hAnsi="Arial" w:cs="Arial"/>
              </w:rPr>
              <w:t xml:space="preserve">The procedure involved 6 </w:t>
            </w:r>
            <w:proofErr w:type="gramStart"/>
            <w:r w:rsidR="00E20641" w:rsidRPr="004373C5">
              <w:rPr>
                <w:rFonts w:ascii="Arial" w:hAnsi="Arial" w:cs="Arial"/>
              </w:rPr>
              <w:t>stages;</w:t>
            </w:r>
            <w:proofErr w:type="gramEnd"/>
          </w:p>
          <w:p w14:paraId="4B220C96" w14:textId="77777777" w:rsidR="00E20641" w:rsidRPr="004373C5" w:rsidRDefault="00E20641" w:rsidP="00B630DD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</w:rPr>
            </w:pPr>
            <w:proofErr w:type="spellStart"/>
            <w:r w:rsidRPr="004373C5">
              <w:rPr>
                <w:rFonts w:ascii="Arial" w:hAnsi="Arial" w:cs="Arial"/>
              </w:rPr>
              <w:t>F</w:t>
            </w:r>
            <w:r w:rsidR="009A76E2" w:rsidRPr="004373C5">
              <w:rPr>
                <w:rFonts w:ascii="Arial" w:hAnsi="Arial" w:cs="Arial"/>
              </w:rPr>
              <w:t>amiliarised</w:t>
            </w:r>
            <w:proofErr w:type="spellEnd"/>
            <w:r w:rsidR="009A76E2" w:rsidRPr="004373C5">
              <w:rPr>
                <w:rFonts w:ascii="Arial" w:hAnsi="Arial" w:cs="Arial"/>
              </w:rPr>
              <w:t xml:space="preserve"> with the data </w:t>
            </w:r>
          </w:p>
          <w:p w14:paraId="6A842B0A" w14:textId="7BC72382" w:rsidR="00E20641" w:rsidRPr="004373C5" w:rsidRDefault="00B6330E" w:rsidP="00B630DD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4373C5">
              <w:rPr>
                <w:rFonts w:ascii="Arial" w:hAnsi="Arial" w:cs="Arial"/>
              </w:rPr>
              <w:t>Generating</w:t>
            </w:r>
            <w:r w:rsidR="009A76E2" w:rsidRPr="004373C5">
              <w:rPr>
                <w:rFonts w:ascii="Arial" w:hAnsi="Arial" w:cs="Arial"/>
              </w:rPr>
              <w:t xml:space="preserve"> primar</w:t>
            </w:r>
            <w:r w:rsidRPr="004373C5">
              <w:rPr>
                <w:rFonts w:ascii="Arial" w:hAnsi="Arial" w:cs="Arial"/>
              </w:rPr>
              <w:t xml:space="preserve">y/initial </w:t>
            </w:r>
            <w:r w:rsidR="009A76E2" w:rsidRPr="004373C5">
              <w:rPr>
                <w:rFonts w:ascii="Arial" w:hAnsi="Arial" w:cs="Arial"/>
              </w:rPr>
              <w:t xml:space="preserve">codes </w:t>
            </w:r>
          </w:p>
          <w:p w14:paraId="6C2AAA00" w14:textId="3A32657C" w:rsidR="00E20641" w:rsidRPr="004373C5" w:rsidRDefault="00E20641" w:rsidP="00B630DD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4373C5">
              <w:rPr>
                <w:rFonts w:ascii="Arial" w:hAnsi="Arial" w:cs="Arial"/>
              </w:rPr>
              <w:t>T</w:t>
            </w:r>
            <w:r w:rsidR="009A76E2" w:rsidRPr="004373C5">
              <w:rPr>
                <w:rFonts w:ascii="Arial" w:hAnsi="Arial" w:cs="Arial"/>
              </w:rPr>
              <w:t>heme se</w:t>
            </w:r>
            <w:r w:rsidR="00B6330E" w:rsidRPr="004373C5">
              <w:rPr>
                <w:rFonts w:ascii="Arial" w:hAnsi="Arial" w:cs="Arial"/>
              </w:rPr>
              <w:t>arching</w:t>
            </w:r>
            <w:r w:rsidR="009A76E2" w:rsidRPr="004373C5">
              <w:rPr>
                <w:rFonts w:ascii="Arial" w:hAnsi="Arial" w:cs="Arial"/>
              </w:rPr>
              <w:t xml:space="preserve"> </w:t>
            </w:r>
          </w:p>
          <w:p w14:paraId="09396BF1" w14:textId="77777777" w:rsidR="00E20641" w:rsidRPr="004373C5" w:rsidRDefault="00E20641" w:rsidP="00B630DD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4373C5">
              <w:rPr>
                <w:rFonts w:ascii="Arial" w:hAnsi="Arial" w:cs="Arial"/>
              </w:rPr>
              <w:lastRenderedPageBreak/>
              <w:t>T</w:t>
            </w:r>
            <w:r w:rsidR="009A76E2" w:rsidRPr="004373C5">
              <w:rPr>
                <w:rFonts w:ascii="Arial" w:hAnsi="Arial" w:cs="Arial"/>
              </w:rPr>
              <w:t>heme reviewing</w:t>
            </w:r>
          </w:p>
          <w:p w14:paraId="0A6BDED4" w14:textId="77777777" w:rsidR="00E20641" w:rsidRPr="004373C5" w:rsidRDefault="00E20641" w:rsidP="00B630DD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4373C5">
              <w:rPr>
                <w:rFonts w:ascii="Arial" w:hAnsi="Arial" w:cs="Arial"/>
              </w:rPr>
              <w:t>T</w:t>
            </w:r>
            <w:r w:rsidR="009A76E2" w:rsidRPr="004373C5">
              <w:rPr>
                <w:rFonts w:ascii="Arial" w:hAnsi="Arial" w:cs="Arial"/>
              </w:rPr>
              <w:t>heme defining and naming</w:t>
            </w:r>
          </w:p>
          <w:p w14:paraId="569639EE" w14:textId="77777777" w:rsidR="00E20641" w:rsidRPr="004373C5" w:rsidRDefault="009A76E2" w:rsidP="00B630DD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4373C5">
              <w:rPr>
                <w:rFonts w:ascii="Arial" w:hAnsi="Arial" w:cs="Arial"/>
              </w:rPr>
              <w:t xml:space="preserve"> </w:t>
            </w:r>
            <w:r w:rsidR="00E20641" w:rsidRPr="004373C5">
              <w:rPr>
                <w:rFonts w:ascii="Arial" w:hAnsi="Arial" w:cs="Arial"/>
              </w:rPr>
              <w:t>A</w:t>
            </w:r>
            <w:r w:rsidRPr="004373C5">
              <w:rPr>
                <w:rFonts w:ascii="Arial" w:hAnsi="Arial" w:cs="Arial"/>
              </w:rPr>
              <w:t>rriving at the final report</w:t>
            </w:r>
            <w:r w:rsidR="00B65539" w:rsidRPr="004373C5">
              <w:rPr>
                <w:rFonts w:ascii="Arial" w:hAnsi="Arial" w:cs="Arial"/>
              </w:rPr>
              <w:t xml:space="preserve"> (Braun and Clarke, 2023)</w:t>
            </w:r>
            <w:r w:rsidRPr="004373C5">
              <w:rPr>
                <w:rFonts w:ascii="Arial" w:hAnsi="Arial" w:cs="Arial"/>
              </w:rPr>
              <w:t xml:space="preserve">. </w:t>
            </w:r>
          </w:p>
          <w:p w14:paraId="1B50BC69" w14:textId="56A7C161" w:rsidR="00E20641" w:rsidRPr="004373C5" w:rsidRDefault="00E20641" w:rsidP="00B630DD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4373C5">
              <w:rPr>
                <w:rFonts w:ascii="Arial" w:hAnsi="Arial" w:cs="Arial"/>
              </w:rPr>
              <w:t>C</w:t>
            </w:r>
            <w:r w:rsidR="009A76E2" w:rsidRPr="004373C5">
              <w:rPr>
                <w:rFonts w:ascii="Arial" w:hAnsi="Arial" w:cs="Arial"/>
              </w:rPr>
              <w:t>ommon trends</w:t>
            </w:r>
            <w:r w:rsidR="00393008">
              <w:rPr>
                <w:rFonts w:ascii="Arial" w:hAnsi="Arial" w:cs="Arial"/>
              </w:rPr>
              <w:t xml:space="preserve"> and gaps</w:t>
            </w:r>
            <w:r w:rsidR="009A76E2" w:rsidRPr="004373C5">
              <w:rPr>
                <w:rFonts w:ascii="Arial" w:hAnsi="Arial" w:cs="Arial"/>
              </w:rPr>
              <w:t xml:space="preserve"> in the studies </w:t>
            </w:r>
            <w:r w:rsidRPr="004373C5">
              <w:rPr>
                <w:rFonts w:ascii="Arial" w:hAnsi="Arial" w:cs="Arial"/>
              </w:rPr>
              <w:t>were identified easily using this approach.</w:t>
            </w:r>
          </w:p>
          <w:p w14:paraId="03AADF4C" w14:textId="72726977" w:rsidR="00B67824" w:rsidRPr="00EB6F36" w:rsidRDefault="009A76E2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 w:rsidRPr="009A76E2">
              <w:rPr>
                <w:rFonts w:ascii="Arial" w:hAnsi="Arial" w:cs="Arial"/>
              </w:rPr>
              <w:t>Ethical Considerations</w:t>
            </w:r>
          </w:p>
          <w:p w14:paraId="062DAF4C" w14:textId="77777777" w:rsidR="00B630DD" w:rsidRPr="00B630DD" w:rsidRDefault="00DD7C34" w:rsidP="00B630DD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B630DD">
              <w:rPr>
                <w:rFonts w:ascii="Arial" w:hAnsi="Arial" w:cs="Arial"/>
              </w:rPr>
              <w:t xml:space="preserve">Proper ethics were observed during the research process. </w:t>
            </w:r>
          </w:p>
          <w:p w14:paraId="01D5758C" w14:textId="77777777" w:rsidR="00B630DD" w:rsidRDefault="00B630DD" w:rsidP="00B630DD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Using</w:t>
            </w:r>
            <w:r w:rsidR="00DD7C34" w:rsidRPr="00B630DD">
              <w:rPr>
                <w:rFonts w:ascii="Arial" w:hAnsi="Arial" w:cs="Arial"/>
              </w:rPr>
              <w:t xml:space="preserve"> CASP tool</w:t>
            </w:r>
            <w:r>
              <w:rPr>
                <w:rFonts w:ascii="Arial" w:hAnsi="Arial" w:cs="Arial"/>
              </w:rPr>
              <w:t xml:space="preserve">, only </w:t>
            </w:r>
            <w:r w:rsidR="00DD7C34" w:rsidRPr="00B630DD">
              <w:rPr>
                <w:rFonts w:ascii="Arial" w:hAnsi="Arial" w:cs="Arial"/>
              </w:rPr>
              <w:t>reliable and ethically sound research</w:t>
            </w:r>
            <w:r>
              <w:rPr>
                <w:rFonts w:ascii="Arial" w:hAnsi="Arial" w:cs="Arial"/>
              </w:rPr>
              <w:t xml:space="preserve"> studies were included</w:t>
            </w:r>
            <w:r w:rsidR="0063539C" w:rsidRPr="00B630DD">
              <w:rPr>
                <w:rFonts w:ascii="Arial" w:hAnsi="Arial" w:cs="Arial"/>
              </w:rPr>
              <w:t xml:space="preserve"> (Long et al., 2020)</w:t>
            </w:r>
            <w:r w:rsidR="00DD7C34" w:rsidRPr="00B630DD">
              <w:rPr>
                <w:rFonts w:ascii="Arial" w:hAnsi="Arial" w:cs="Arial"/>
              </w:rPr>
              <w:t xml:space="preserve">. </w:t>
            </w:r>
          </w:p>
          <w:p w14:paraId="4D4507A7" w14:textId="7791A141" w:rsidR="00B630DD" w:rsidRPr="00B630DD" w:rsidRDefault="00B630DD" w:rsidP="00B630DD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B630DD">
              <w:rPr>
                <w:rFonts w:ascii="Arial" w:hAnsi="Arial" w:cs="Arial"/>
              </w:rPr>
              <w:t>Approval for this study was obtained from the University of Wales Trinity Saint David (UWSTD) and the research supervisor.</w:t>
            </w:r>
          </w:p>
        </w:tc>
      </w:tr>
      <w:tr w:rsidR="004642F0" w:rsidRPr="00EB6F36" w14:paraId="7D852EB3" w14:textId="77777777" w:rsidTr="00E46DA6">
        <w:trPr>
          <w:trHeight w:val="60"/>
          <w:jc w:val="center"/>
        </w:trPr>
        <w:tc>
          <w:tcPr>
            <w:tcW w:w="4534" w:type="dxa"/>
            <w:vMerge/>
            <w:shd w:val="clear" w:color="auto" w:fill="DEEAF6" w:themeFill="accent5" w:themeFillTint="33"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  <w:shd w:val="clear" w:color="auto" w:fill="9CC2E5" w:themeFill="accent5" w:themeFillTint="99"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shd w:val="clear" w:color="auto" w:fill="9CC2E5" w:themeFill="accent5" w:themeFillTint="99"/>
          </w:tcPr>
          <w:p w14:paraId="02715FD6" w14:textId="77777777" w:rsidR="004642F0" w:rsidRPr="00EB6F36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shd w:val="clear" w:color="auto" w:fill="9CC2E5" w:themeFill="accent5" w:themeFillTint="99"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  <w:shd w:val="clear" w:color="auto" w:fill="DEEAF6" w:themeFill="accent5" w:themeFillTint="33"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E46DA6">
        <w:trPr>
          <w:trHeight w:val="6431"/>
          <w:jc w:val="center"/>
        </w:trPr>
        <w:tc>
          <w:tcPr>
            <w:tcW w:w="4534" w:type="dxa"/>
            <w:vMerge/>
            <w:shd w:val="clear" w:color="auto" w:fill="DEEAF6" w:themeFill="accent5" w:themeFillTint="33"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  <w:shd w:val="clear" w:color="auto" w:fill="9CC2E5" w:themeFill="accent5" w:themeFillTint="99"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shd w:val="clear" w:color="auto" w:fill="DEEAF6" w:themeFill="accent5" w:themeFillTint="33"/>
          </w:tcPr>
          <w:p w14:paraId="1F9B8F03" w14:textId="72F1D652" w:rsidR="00EB6F36" w:rsidRPr="00EB6F36" w:rsidRDefault="0009499F" w:rsidP="00EB6F36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 w:rsidRPr="0009499F">
              <w:rPr>
                <w:rFonts w:ascii="Arial" w:hAnsi="Arial" w:cs="Arial"/>
              </w:rPr>
              <w:t>Data Collection Method</w:t>
            </w:r>
          </w:p>
          <w:p w14:paraId="3FC90385" w14:textId="77777777" w:rsidR="00D03253" w:rsidRDefault="0009499F" w:rsidP="00B630DD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D03253">
              <w:rPr>
                <w:rFonts w:ascii="Arial" w:hAnsi="Arial" w:cs="Arial"/>
              </w:rPr>
              <w:t xml:space="preserve">The data collection </w:t>
            </w:r>
            <w:r w:rsidR="00D03253" w:rsidRPr="00D03253">
              <w:rPr>
                <w:rFonts w:ascii="Arial" w:hAnsi="Arial" w:cs="Arial"/>
              </w:rPr>
              <w:t>involved</w:t>
            </w:r>
            <w:r w:rsidRPr="00D03253">
              <w:rPr>
                <w:rFonts w:ascii="Arial" w:hAnsi="Arial" w:cs="Arial"/>
              </w:rPr>
              <w:t xml:space="preserve"> systematic multi-steps. </w:t>
            </w:r>
          </w:p>
          <w:p w14:paraId="3961B23E" w14:textId="463D4075" w:rsidR="00B6330E" w:rsidRDefault="0009499F" w:rsidP="00B630DD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D03253">
              <w:rPr>
                <w:rFonts w:ascii="Arial" w:hAnsi="Arial" w:cs="Arial"/>
              </w:rPr>
              <w:t>The predetermined inclusion and exclusion criteria were first applied to search results using predetermined inclusion and exclusion criteria.</w:t>
            </w:r>
          </w:p>
          <w:p w14:paraId="64959EE6" w14:textId="001E4254" w:rsidR="00B6330E" w:rsidRPr="00B630DD" w:rsidRDefault="0009499F" w:rsidP="00B630DD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B6330E">
              <w:rPr>
                <w:rFonts w:ascii="Arial" w:hAnsi="Arial" w:cs="Arial"/>
              </w:rPr>
              <w:t xml:space="preserve">Relevance of title and abstracts was subsequently checked. </w:t>
            </w:r>
          </w:p>
          <w:p w14:paraId="1BA4BEDE" w14:textId="7545BCA2" w:rsidR="00B6330E" w:rsidRDefault="00D72B56" w:rsidP="00B630DD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Eight</w:t>
            </w:r>
            <w:r w:rsidR="0009499F" w:rsidRPr="00B6330E">
              <w:rPr>
                <w:rFonts w:ascii="Arial" w:hAnsi="Arial" w:cs="Arial"/>
              </w:rPr>
              <w:t xml:space="preserve"> appropriate studies have been chosen to be </w:t>
            </w:r>
            <w:proofErr w:type="spellStart"/>
            <w:r w:rsidR="0009499F" w:rsidRPr="00B6330E">
              <w:rPr>
                <w:rFonts w:ascii="Arial" w:hAnsi="Arial" w:cs="Arial"/>
              </w:rPr>
              <w:t>analysed</w:t>
            </w:r>
            <w:proofErr w:type="spellEnd"/>
            <w:r w:rsidR="0009499F" w:rsidRPr="00B6330E">
              <w:rPr>
                <w:rFonts w:ascii="Arial" w:hAnsi="Arial" w:cs="Arial"/>
              </w:rPr>
              <w:t xml:space="preserve">. </w:t>
            </w:r>
          </w:p>
          <w:p w14:paraId="2DCA1991" w14:textId="12C7F23D" w:rsidR="00EB6F36" w:rsidRPr="00B6330E" w:rsidRDefault="0009499F" w:rsidP="00B630DD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B6330E">
              <w:rPr>
                <w:rFonts w:ascii="Arial" w:hAnsi="Arial" w:cs="Arial"/>
              </w:rPr>
              <w:t xml:space="preserve">The study </w:t>
            </w:r>
            <w:proofErr w:type="spellStart"/>
            <w:r w:rsidRPr="00B6330E">
              <w:rPr>
                <w:rFonts w:ascii="Arial" w:hAnsi="Arial" w:cs="Arial"/>
              </w:rPr>
              <w:t>materialised</w:t>
            </w:r>
            <w:proofErr w:type="spellEnd"/>
            <w:r w:rsidRPr="00B6330E">
              <w:rPr>
                <w:rFonts w:ascii="Arial" w:hAnsi="Arial" w:cs="Arial"/>
              </w:rPr>
              <w:t xml:space="preserve"> all the significant findings, research means, and existing studies as pertaining to loneliness and mental wellbeing in residential care homes.</w:t>
            </w:r>
          </w:p>
          <w:p w14:paraId="6C24B37D" w14:textId="77777777" w:rsidR="00EB6F36" w:rsidRPr="00EB6F36" w:rsidRDefault="00EB6F36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shd w:val="clear" w:color="auto" w:fill="9CC2E5" w:themeFill="accent5" w:themeFillTint="99"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  <w:shd w:val="clear" w:color="auto" w:fill="DEEAF6" w:themeFill="accent5" w:themeFillTint="33"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084BC1F" w:rsidR="00C00CF1" w:rsidRDefault="00C00CF1" w:rsidP="00C46111"/>
    <w:p w14:paraId="2F31D3DE" w14:textId="77777777" w:rsidR="00C00CF1" w:rsidRDefault="00C00CF1">
      <w:r>
        <w:br w:type="page"/>
      </w:r>
    </w:p>
    <w:p w14:paraId="0E6269E2" w14:textId="77777777" w:rsidR="00B67824" w:rsidRDefault="00B67824" w:rsidP="00C46111"/>
    <w:p w14:paraId="35BEFA2A" w14:textId="2D3F8BF6" w:rsidR="00CF6C20" w:rsidRPr="0084431B" w:rsidRDefault="00ED1049" w:rsidP="00CF6C20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7A8FE3B0" w14:textId="77777777" w:rsidR="00CF6C20" w:rsidRDefault="00CF6C20" w:rsidP="00B77BB2">
      <w:pPr>
        <w:ind w:left="720" w:hanging="720"/>
      </w:pPr>
      <w:r w:rsidRPr="00344BE5">
        <w:t xml:space="preserve">Braun, V. and Clarke, V., 2023. Toward good practice in thematic analysis: Avoiding common problems and be (com) </w:t>
      </w:r>
      <w:proofErr w:type="spellStart"/>
      <w:r w:rsidRPr="00344BE5">
        <w:t>ing</w:t>
      </w:r>
      <w:proofErr w:type="spellEnd"/>
      <w:r w:rsidRPr="00344BE5">
        <w:t xml:space="preserve"> a knowing researcher. </w:t>
      </w:r>
      <w:r w:rsidRPr="00344BE5">
        <w:rPr>
          <w:i/>
          <w:iCs/>
        </w:rPr>
        <w:t>International journal of transgender health</w:t>
      </w:r>
      <w:r w:rsidRPr="00344BE5">
        <w:t>, </w:t>
      </w:r>
      <w:r w:rsidRPr="00344BE5">
        <w:rPr>
          <w:i/>
          <w:iCs/>
        </w:rPr>
        <w:t>24</w:t>
      </w:r>
      <w:r w:rsidRPr="00344BE5">
        <w:t>(1), pp.1-6.</w:t>
      </w:r>
      <w:r>
        <w:t xml:space="preserve"> </w:t>
      </w:r>
      <w:hyperlink r:id="rId16" w:history="1">
        <w:r w:rsidRPr="007B121E">
          <w:rPr>
            <w:rStyle w:val="Hyperlink"/>
          </w:rPr>
          <w:t>https://www.tandfonline.com/doi/pdf/10.1080/26895269.2022.2129597</w:t>
        </w:r>
      </w:hyperlink>
    </w:p>
    <w:p w14:paraId="7D1ECD3F" w14:textId="77777777" w:rsidR="00CF6C20" w:rsidRPr="00702C0C" w:rsidRDefault="00CF6C20" w:rsidP="007E1907">
      <w:pPr>
        <w:ind w:left="720" w:hanging="720"/>
      </w:pPr>
      <w:r w:rsidRPr="00531C6A">
        <w:t xml:space="preserve">Chong, C.K. and Salmi, M.I., 2020. Akemi In Communicate </w:t>
      </w:r>
      <w:proofErr w:type="gramStart"/>
      <w:r w:rsidRPr="00531C6A">
        <w:t>To</w:t>
      </w:r>
      <w:proofErr w:type="gramEnd"/>
      <w:r w:rsidRPr="00531C6A">
        <w:t xml:space="preserve"> Win Big. </w:t>
      </w:r>
      <w:r w:rsidRPr="00531C6A">
        <w:rPr>
          <w:i/>
          <w:iCs/>
        </w:rPr>
        <w:t xml:space="preserve">European Proceedings of Social and </w:t>
      </w:r>
      <w:proofErr w:type="spellStart"/>
      <w:r w:rsidRPr="00531C6A">
        <w:rPr>
          <w:i/>
          <w:iCs/>
        </w:rPr>
        <w:t>Behavioural</w:t>
      </w:r>
      <w:proofErr w:type="spellEnd"/>
      <w:r w:rsidRPr="00531C6A">
        <w:rPr>
          <w:i/>
          <w:iCs/>
        </w:rPr>
        <w:t xml:space="preserve"> Sciences</w:t>
      </w:r>
      <w:r w:rsidRPr="00531C6A">
        <w:t>.</w:t>
      </w:r>
      <w:r>
        <w:t xml:space="preserve"> </w:t>
      </w:r>
      <w:hyperlink r:id="rId17" w:history="1">
        <w:r w:rsidRPr="007B121E">
          <w:rPr>
            <w:rStyle w:val="Hyperlink"/>
          </w:rPr>
          <w:t>https://www.europeanproceedings.com/article/10.15405/epsbs.2020.03.03.24</w:t>
        </w:r>
      </w:hyperlink>
      <w:r>
        <w:t xml:space="preserve"> </w:t>
      </w:r>
    </w:p>
    <w:p w14:paraId="21B4E2E6" w14:textId="77777777" w:rsidR="00CF6C20" w:rsidRDefault="00CF6C20" w:rsidP="00C00CF1">
      <w:pPr>
        <w:ind w:left="720" w:hanging="720"/>
      </w:pPr>
      <w:r w:rsidRPr="00702C0C">
        <w:t>Lame, G., 2019, July. Systematic literature reviews: An introduction. In </w:t>
      </w:r>
      <w:r w:rsidRPr="00702C0C">
        <w:rPr>
          <w:i/>
          <w:iCs/>
        </w:rPr>
        <w:t>Proceedings of the design society: international conference on engineering design</w:t>
      </w:r>
      <w:r w:rsidRPr="00702C0C">
        <w:t> (Vol. 1, No. 1, pp. 1633-1642). Cambridge University Press.</w:t>
      </w:r>
      <w:r>
        <w:t xml:space="preserve"> </w:t>
      </w:r>
      <w:hyperlink r:id="rId18" w:history="1">
        <w:r w:rsidRPr="007B121E">
          <w:rPr>
            <w:rStyle w:val="Hyperlink"/>
          </w:rPr>
          <w:t>https://www.cambridge.org/core/services/aop-cambridge-core/content/view/40D4CEA7A7CC3FB6ED6233E79A0A2A1F/S2220434219001690a.pdf/systematic-literature-reviews-an-introduction.pdf</w:t>
        </w:r>
      </w:hyperlink>
    </w:p>
    <w:p w14:paraId="33715285" w14:textId="77777777" w:rsidR="00CF6C20" w:rsidRDefault="00CF6C20" w:rsidP="00C00CF1">
      <w:pPr>
        <w:ind w:left="720" w:hanging="720"/>
      </w:pPr>
      <w:r w:rsidRPr="00C017C0">
        <w:t xml:space="preserve">Long, H.A., French, D.P. and Brooks, J.M., 2020. </w:t>
      </w:r>
      <w:proofErr w:type="spellStart"/>
      <w:r w:rsidRPr="00C017C0">
        <w:t>Optimising</w:t>
      </w:r>
      <w:proofErr w:type="spellEnd"/>
      <w:r w:rsidRPr="00C017C0">
        <w:t xml:space="preserve"> the value of the critical appraisal skills </w:t>
      </w:r>
      <w:proofErr w:type="spellStart"/>
      <w:r w:rsidRPr="00C017C0">
        <w:t>programme</w:t>
      </w:r>
      <w:proofErr w:type="spellEnd"/>
      <w:r w:rsidRPr="00C017C0">
        <w:t xml:space="preserve"> (CASP) tool for quality appraisal in qualitative evidence synthesis. </w:t>
      </w:r>
      <w:r w:rsidRPr="00C017C0">
        <w:rPr>
          <w:i/>
          <w:iCs/>
        </w:rPr>
        <w:t>Research Methods in Medicine &amp; Health Sciences</w:t>
      </w:r>
      <w:r w:rsidRPr="00C017C0">
        <w:t>, </w:t>
      </w:r>
      <w:r w:rsidRPr="00C017C0">
        <w:rPr>
          <w:i/>
          <w:iCs/>
        </w:rPr>
        <w:t>1</w:t>
      </w:r>
      <w:r w:rsidRPr="00C017C0">
        <w:t>(1), pp.31-42.</w:t>
      </w:r>
      <w:r>
        <w:t xml:space="preserve"> </w:t>
      </w:r>
      <w:hyperlink r:id="rId19" w:history="1">
        <w:r w:rsidRPr="007B121E">
          <w:rPr>
            <w:rStyle w:val="Hyperlink"/>
          </w:rPr>
          <w:t>https://journals.sagepub.com/doi/pdf/10.1177/2632084320947559</w:t>
        </w:r>
      </w:hyperlink>
      <w:r>
        <w:t xml:space="preserve"> </w:t>
      </w:r>
    </w:p>
    <w:p w14:paraId="4557D7C3" w14:textId="3F48717D" w:rsidR="00804421" w:rsidRPr="00804421" w:rsidRDefault="00804421" w:rsidP="00804421">
      <w:pPr>
        <w:ind w:left="720" w:hanging="720"/>
        <w:rPr>
          <w:rFonts w:ascii="Arial" w:hAnsi="Arial" w:cs="Arial"/>
          <w:b/>
          <w:bCs/>
          <w:sz w:val="28"/>
          <w:szCs w:val="28"/>
        </w:rPr>
      </w:pPr>
      <w:r w:rsidRPr="00804421">
        <w:rPr>
          <w:rFonts w:ascii="Arial" w:hAnsi="Arial" w:cs="Arial"/>
        </w:rPr>
        <w:t xml:space="preserve">Gov.UK (2022). </w:t>
      </w:r>
      <w:r w:rsidRPr="00804421">
        <w:rPr>
          <w:rFonts w:ascii="Arial" w:hAnsi="Arial" w:cs="Arial"/>
          <w:i/>
          <w:iCs/>
        </w:rPr>
        <w:t>Mental H</w:t>
      </w:r>
      <w:r w:rsidR="00850C86">
        <w:rPr>
          <w:rFonts w:ascii="Arial" w:hAnsi="Arial" w:cs="Arial"/>
          <w:i/>
          <w:iCs/>
        </w:rPr>
        <w:t>e</w:t>
      </w:r>
      <w:r w:rsidRPr="00804421">
        <w:rPr>
          <w:rFonts w:ascii="Arial" w:hAnsi="Arial" w:cs="Arial"/>
          <w:i/>
          <w:iCs/>
        </w:rPr>
        <w:t>alth and loneliness: the Relationship across Life Stages</w:t>
      </w:r>
      <w:r w:rsidRPr="00804421">
        <w:rPr>
          <w:rFonts w:ascii="Arial" w:hAnsi="Arial" w:cs="Arial"/>
        </w:rPr>
        <w:t xml:space="preserve">. [online] GOV.UK. Available at: </w:t>
      </w:r>
      <w:hyperlink r:id="rId20" w:history="1">
        <w:r w:rsidRPr="00804421">
          <w:rPr>
            <w:rStyle w:val="Hyperlink"/>
            <w:rFonts w:ascii="Arial" w:hAnsi="Arial" w:cs="Arial"/>
          </w:rPr>
          <w:t>https://www.gov.uk/government/publications/mental-health-and-loneliness-the-relationship-across-life-stages/mental-health-and-loneliness-the-relationship-across-life-stages</w:t>
        </w:r>
      </w:hyperlink>
    </w:p>
    <w:p w14:paraId="21B78D90" w14:textId="77777777" w:rsidR="00C00CF1" w:rsidRPr="00C00CF1" w:rsidRDefault="00C00CF1" w:rsidP="00C00CF1">
      <w:pPr>
        <w:ind w:left="720" w:hanging="720"/>
        <w:rPr>
          <w:rFonts w:ascii="Arial" w:hAnsi="Arial" w:cs="Arial"/>
          <w:b/>
          <w:bCs/>
          <w:sz w:val="28"/>
          <w:szCs w:val="28"/>
        </w:rPr>
      </w:pP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21"/>
      <w:headerReference w:type="first" r:id="rId22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52CABC" w14:textId="77777777" w:rsidR="00234F27" w:rsidRDefault="00234F27" w:rsidP="00D210FA">
      <w:pPr>
        <w:spacing w:after="0"/>
      </w:pPr>
      <w:r>
        <w:separator/>
      </w:r>
    </w:p>
  </w:endnote>
  <w:endnote w:type="continuationSeparator" w:id="0">
    <w:p w14:paraId="4F4AC089" w14:textId="77777777" w:rsidR="00234F27" w:rsidRDefault="00234F27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4D6111" w14:textId="77777777" w:rsidR="00234F27" w:rsidRDefault="00234F27" w:rsidP="00D210FA">
      <w:pPr>
        <w:spacing w:after="0"/>
      </w:pPr>
      <w:r>
        <w:separator/>
      </w:r>
    </w:p>
  </w:footnote>
  <w:footnote w:type="continuationSeparator" w:id="0">
    <w:p w14:paraId="10D0E37A" w14:textId="77777777" w:rsidR="00234F27" w:rsidRDefault="00234F27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ED7D81"/>
    <w:multiLevelType w:val="hybridMultilevel"/>
    <w:tmpl w:val="E578CD1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8262CDC"/>
    <w:multiLevelType w:val="hybridMultilevel"/>
    <w:tmpl w:val="7B1A0BB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8B1CC2"/>
    <w:multiLevelType w:val="hybridMultilevel"/>
    <w:tmpl w:val="F4D2BC7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59961621"/>
    <w:multiLevelType w:val="hybridMultilevel"/>
    <w:tmpl w:val="2C9E28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5CA44B7E"/>
    <w:multiLevelType w:val="hybridMultilevel"/>
    <w:tmpl w:val="144057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5414C3E"/>
    <w:multiLevelType w:val="hybridMultilevel"/>
    <w:tmpl w:val="0AD0070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00F2DBB"/>
    <w:multiLevelType w:val="hybridMultilevel"/>
    <w:tmpl w:val="730053C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3"/>
  </w:num>
  <w:num w:numId="2" w16cid:durableId="66732129">
    <w:abstractNumId w:val="1"/>
  </w:num>
  <w:num w:numId="3" w16cid:durableId="1791968620">
    <w:abstractNumId w:val="12"/>
  </w:num>
  <w:num w:numId="4" w16cid:durableId="67852329">
    <w:abstractNumId w:val="13"/>
  </w:num>
  <w:num w:numId="5" w16cid:durableId="825783799">
    <w:abstractNumId w:val="5"/>
  </w:num>
  <w:num w:numId="6" w16cid:durableId="1203637911">
    <w:abstractNumId w:val="4"/>
  </w:num>
  <w:num w:numId="7" w16cid:durableId="1393117886">
    <w:abstractNumId w:val="9"/>
  </w:num>
  <w:num w:numId="8" w16cid:durableId="780220498">
    <w:abstractNumId w:val="11"/>
  </w:num>
  <w:num w:numId="9" w16cid:durableId="1596786169">
    <w:abstractNumId w:val="8"/>
  </w:num>
  <w:num w:numId="10" w16cid:durableId="275722608">
    <w:abstractNumId w:val="7"/>
  </w:num>
  <w:num w:numId="11" w16cid:durableId="1467509322">
    <w:abstractNumId w:val="10"/>
  </w:num>
  <w:num w:numId="12" w16cid:durableId="851606007">
    <w:abstractNumId w:val="6"/>
  </w:num>
  <w:num w:numId="13" w16cid:durableId="1611159344">
    <w:abstractNumId w:val="2"/>
  </w:num>
  <w:num w:numId="14" w16cid:durableId="8194251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20E9"/>
    <w:rsid w:val="00023293"/>
    <w:rsid w:val="00061977"/>
    <w:rsid w:val="0008782A"/>
    <w:rsid w:val="0009499F"/>
    <w:rsid w:val="000A065A"/>
    <w:rsid w:val="00106FC5"/>
    <w:rsid w:val="00120DEC"/>
    <w:rsid w:val="00122B5A"/>
    <w:rsid w:val="00123C19"/>
    <w:rsid w:val="00137D6B"/>
    <w:rsid w:val="00145DA5"/>
    <w:rsid w:val="001C55B6"/>
    <w:rsid w:val="001C58D5"/>
    <w:rsid w:val="001D5815"/>
    <w:rsid w:val="001D6CC4"/>
    <w:rsid w:val="002024B8"/>
    <w:rsid w:val="00206405"/>
    <w:rsid w:val="002322EA"/>
    <w:rsid w:val="00234F27"/>
    <w:rsid w:val="00253267"/>
    <w:rsid w:val="002823CD"/>
    <w:rsid w:val="00287787"/>
    <w:rsid w:val="00291685"/>
    <w:rsid w:val="00291DE0"/>
    <w:rsid w:val="002B0A3D"/>
    <w:rsid w:val="002C03C1"/>
    <w:rsid w:val="003007A7"/>
    <w:rsid w:val="003172E7"/>
    <w:rsid w:val="003257E1"/>
    <w:rsid w:val="00325DEC"/>
    <w:rsid w:val="00332530"/>
    <w:rsid w:val="00346FFA"/>
    <w:rsid w:val="003761A5"/>
    <w:rsid w:val="00393008"/>
    <w:rsid w:val="003A3069"/>
    <w:rsid w:val="003C20B5"/>
    <w:rsid w:val="003E545F"/>
    <w:rsid w:val="003F03D2"/>
    <w:rsid w:val="003F1E1A"/>
    <w:rsid w:val="004045E5"/>
    <w:rsid w:val="00414C37"/>
    <w:rsid w:val="00421496"/>
    <w:rsid w:val="00422C27"/>
    <w:rsid w:val="004373C5"/>
    <w:rsid w:val="0044367C"/>
    <w:rsid w:val="004642F0"/>
    <w:rsid w:val="004B37CF"/>
    <w:rsid w:val="004C1D05"/>
    <w:rsid w:val="00500564"/>
    <w:rsid w:val="0051102B"/>
    <w:rsid w:val="0055260B"/>
    <w:rsid w:val="00572E6E"/>
    <w:rsid w:val="005838BC"/>
    <w:rsid w:val="005B57E1"/>
    <w:rsid w:val="005E61E0"/>
    <w:rsid w:val="005F0F31"/>
    <w:rsid w:val="005F15FB"/>
    <w:rsid w:val="006024ED"/>
    <w:rsid w:val="006177B2"/>
    <w:rsid w:val="0061793F"/>
    <w:rsid w:val="0062123A"/>
    <w:rsid w:val="0062337C"/>
    <w:rsid w:val="00631FEA"/>
    <w:rsid w:val="0063539C"/>
    <w:rsid w:val="006605F8"/>
    <w:rsid w:val="006676A1"/>
    <w:rsid w:val="00673825"/>
    <w:rsid w:val="006833BD"/>
    <w:rsid w:val="006D2642"/>
    <w:rsid w:val="006E2D42"/>
    <w:rsid w:val="007074B3"/>
    <w:rsid w:val="00711BB0"/>
    <w:rsid w:val="00720FEE"/>
    <w:rsid w:val="00764B6F"/>
    <w:rsid w:val="007675B4"/>
    <w:rsid w:val="00796A11"/>
    <w:rsid w:val="007C72CA"/>
    <w:rsid w:val="007C7319"/>
    <w:rsid w:val="007D22E3"/>
    <w:rsid w:val="007D43B3"/>
    <w:rsid w:val="007E1907"/>
    <w:rsid w:val="007F20B4"/>
    <w:rsid w:val="007F525E"/>
    <w:rsid w:val="00804421"/>
    <w:rsid w:val="0082695D"/>
    <w:rsid w:val="0083044C"/>
    <w:rsid w:val="00830532"/>
    <w:rsid w:val="0084431B"/>
    <w:rsid w:val="00850C86"/>
    <w:rsid w:val="0085182D"/>
    <w:rsid w:val="0086367A"/>
    <w:rsid w:val="00867E5F"/>
    <w:rsid w:val="008709F5"/>
    <w:rsid w:val="00875B10"/>
    <w:rsid w:val="00877A91"/>
    <w:rsid w:val="00884E86"/>
    <w:rsid w:val="008927FF"/>
    <w:rsid w:val="008B0F18"/>
    <w:rsid w:val="008B19F5"/>
    <w:rsid w:val="008E3921"/>
    <w:rsid w:val="008E5953"/>
    <w:rsid w:val="008F0544"/>
    <w:rsid w:val="008F5D2E"/>
    <w:rsid w:val="0090027B"/>
    <w:rsid w:val="00902FFF"/>
    <w:rsid w:val="00905238"/>
    <w:rsid w:val="009060D6"/>
    <w:rsid w:val="0094702A"/>
    <w:rsid w:val="00967DAB"/>
    <w:rsid w:val="00972FB8"/>
    <w:rsid w:val="00990E76"/>
    <w:rsid w:val="00991A53"/>
    <w:rsid w:val="00996F4E"/>
    <w:rsid w:val="009A76E2"/>
    <w:rsid w:val="009C0869"/>
    <w:rsid w:val="009F1F5C"/>
    <w:rsid w:val="009F71FE"/>
    <w:rsid w:val="00A31F33"/>
    <w:rsid w:val="00A70A62"/>
    <w:rsid w:val="00A71DA8"/>
    <w:rsid w:val="00AB1210"/>
    <w:rsid w:val="00AB770D"/>
    <w:rsid w:val="00AD3D83"/>
    <w:rsid w:val="00AE151F"/>
    <w:rsid w:val="00AF14DC"/>
    <w:rsid w:val="00AF2088"/>
    <w:rsid w:val="00AF5FB0"/>
    <w:rsid w:val="00B0080A"/>
    <w:rsid w:val="00B0538C"/>
    <w:rsid w:val="00B37AB8"/>
    <w:rsid w:val="00B418DE"/>
    <w:rsid w:val="00B47FE7"/>
    <w:rsid w:val="00B630DD"/>
    <w:rsid w:val="00B6330E"/>
    <w:rsid w:val="00B65539"/>
    <w:rsid w:val="00B67824"/>
    <w:rsid w:val="00B77BB2"/>
    <w:rsid w:val="00BA3F72"/>
    <w:rsid w:val="00BA5045"/>
    <w:rsid w:val="00BB289F"/>
    <w:rsid w:val="00BD14A7"/>
    <w:rsid w:val="00BE15BA"/>
    <w:rsid w:val="00BE2C86"/>
    <w:rsid w:val="00C00CF1"/>
    <w:rsid w:val="00C20ED0"/>
    <w:rsid w:val="00C348A8"/>
    <w:rsid w:val="00C41D1D"/>
    <w:rsid w:val="00C46111"/>
    <w:rsid w:val="00C54087"/>
    <w:rsid w:val="00C742DA"/>
    <w:rsid w:val="00C83332"/>
    <w:rsid w:val="00C95E04"/>
    <w:rsid w:val="00CB3C6E"/>
    <w:rsid w:val="00CC09D3"/>
    <w:rsid w:val="00CC0A8F"/>
    <w:rsid w:val="00CC24B6"/>
    <w:rsid w:val="00CD06AB"/>
    <w:rsid w:val="00CD3A64"/>
    <w:rsid w:val="00CE08CD"/>
    <w:rsid w:val="00CF6075"/>
    <w:rsid w:val="00CF6C20"/>
    <w:rsid w:val="00D03253"/>
    <w:rsid w:val="00D0664A"/>
    <w:rsid w:val="00D210FA"/>
    <w:rsid w:val="00D263A5"/>
    <w:rsid w:val="00D30F1D"/>
    <w:rsid w:val="00D33594"/>
    <w:rsid w:val="00D45F64"/>
    <w:rsid w:val="00D57231"/>
    <w:rsid w:val="00D72B56"/>
    <w:rsid w:val="00D879DE"/>
    <w:rsid w:val="00D87B48"/>
    <w:rsid w:val="00D91203"/>
    <w:rsid w:val="00D94AE0"/>
    <w:rsid w:val="00D94FD1"/>
    <w:rsid w:val="00DC5402"/>
    <w:rsid w:val="00DD7C34"/>
    <w:rsid w:val="00DF0A0D"/>
    <w:rsid w:val="00E20641"/>
    <w:rsid w:val="00E41692"/>
    <w:rsid w:val="00E46DA6"/>
    <w:rsid w:val="00E55D74"/>
    <w:rsid w:val="00E81234"/>
    <w:rsid w:val="00E9037E"/>
    <w:rsid w:val="00E90DBB"/>
    <w:rsid w:val="00EA120D"/>
    <w:rsid w:val="00EA49C3"/>
    <w:rsid w:val="00EB5E14"/>
    <w:rsid w:val="00EB6F36"/>
    <w:rsid w:val="00EC3BF7"/>
    <w:rsid w:val="00ED1049"/>
    <w:rsid w:val="00ED5396"/>
    <w:rsid w:val="00EE19D9"/>
    <w:rsid w:val="00EE63D8"/>
    <w:rsid w:val="00EF26FC"/>
    <w:rsid w:val="00F37523"/>
    <w:rsid w:val="00F47736"/>
    <w:rsid w:val="00F50168"/>
    <w:rsid w:val="00F50D34"/>
    <w:rsid w:val="00F61360"/>
    <w:rsid w:val="00FC538A"/>
    <w:rsid w:val="00FE2B9F"/>
    <w:rsid w:val="00FF3CF0"/>
    <w:rsid w:val="00FF79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C00CF1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D45F64"/>
    <w:pPr>
      <w:spacing w:after="200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yperlink" Target="https://www.cambridge.org/core/services/aop-cambridge-core/content/view/40D4CEA7A7CC3FB6ED6233E79A0A2A1F/S2220434219001690a.pdf/systematic-literature-reviews-an-introduction.pdf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www.europeanproceedings.com/article/10.15405/epsbs.2020.03.03.24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tandfonline.com/doi/pdf/10.1080/26895269.2022.2129597" TargetMode="External"/><Relationship Id="rId20" Type="http://schemas.openxmlformats.org/officeDocument/2006/relationships/hyperlink" Target="https://www.gov.uk/government/publications/mental-health-and-loneliness-the-relationship-across-life-stages/mental-health-and-loneliness-the-relationship-across-life-stage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journals.sagepub.com/doi/pdf/10.1177/2632084320947559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4</Pages>
  <Words>772</Words>
  <Characters>4402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2025-10-13T10:58:00Z</dcterms:created>
  <dcterms:modified xsi:type="dcterms:W3CDTF">2025-10-13T11:13:00Z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