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D00B0" w14:textId="77777777" w:rsidR="009751B1" w:rsidRDefault="009751B1" w:rsidP="009751B1">
      <w:pPr>
        <w:jc w:val="center"/>
        <w:rPr>
          <w:rFonts w:ascii="Times New Roman" w:hAnsi="Times New Roman" w:cs="Times New Roman"/>
          <w:sz w:val="36"/>
          <w:szCs w:val="36"/>
          <w:u w:val="single"/>
          <w:lang w:val="en-US"/>
        </w:rPr>
      </w:pPr>
      <w:r w:rsidRPr="003931A1">
        <w:rPr>
          <w:rFonts w:ascii="Times New Roman" w:hAnsi="Times New Roman" w:cs="Times New Roman"/>
          <w:sz w:val="36"/>
          <w:szCs w:val="36"/>
          <w:u w:val="single"/>
          <w:lang w:val="en-US"/>
        </w:rPr>
        <w:t>What was the importance of gift giving in Pederastic courtship in classical Greece?</w:t>
      </w:r>
    </w:p>
    <w:p w14:paraId="20005AAC" w14:textId="77777777" w:rsidR="009751B1" w:rsidRDefault="009751B1" w:rsidP="009751B1">
      <w:pPr>
        <w:rPr>
          <w:rFonts w:ascii="Arial" w:hAnsi="Arial" w:cs="Arial"/>
          <w:color w:val="000000"/>
          <w:sz w:val="20"/>
          <w:szCs w:val="20"/>
          <w:shd w:val="clear" w:color="auto" w:fill="FFFFFF"/>
        </w:rPr>
      </w:pPr>
    </w:p>
    <w:p w14:paraId="48A34057" w14:textId="4D00E9D1" w:rsidR="009751B1" w:rsidRPr="009751B1" w:rsidRDefault="009751B1" w:rsidP="009751B1">
      <w:pPr>
        <w:rPr>
          <w:rFonts w:ascii="Times New Roman" w:hAnsi="Times New Roman" w:cs="Times New Roman"/>
          <w:color w:val="000000"/>
          <w:sz w:val="28"/>
          <w:szCs w:val="28"/>
          <w:shd w:val="clear" w:color="auto" w:fill="FFFFFF"/>
        </w:rPr>
      </w:pPr>
      <w:r w:rsidRPr="009751B1">
        <w:rPr>
          <w:rFonts w:ascii="Times New Roman" w:hAnsi="Times New Roman" w:cs="Times New Roman"/>
          <w:color w:val="000000"/>
          <w:sz w:val="28"/>
          <w:szCs w:val="28"/>
          <w:shd w:val="clear" w:color="auto" w:fill="FFFFFF"/>
        </w:rPr>
        <w:t>To understand the importance of gift giving in a pederastic courtship we must first understand what exactly pederasty entailed in classical Greece. ““Pederasty” is the word that the Greeks themselves used to refer to the sexual pursuit of “boys” (</w:t>
      </w:r>
      <w:r w:rsidRPr="009751B1">
        <w:rPr>
          <w:rFonts w:ascii="Times New Roman" w:hAnsi="Times New Roman" w:cs="Times New Roman"/>
          <w:i/>
          <w:iCs/>
          <w:color w:val="000000"/>
          <w:sz w:val="28"/>
          <w:szCs w:val="28"/>
          <w:shd w:val="clear" w:color="auto" w:fill="FFFFFF"/>
        </w:rPr>
        <w:t>paides</w:t>
      </w:r>
      <w:r w:rsidRPr="009751B1">
        <w:rPr>
          <w:rFonts w:ascii="Times New Roman" w:hAnsi="Times New Roman" w:cs="Times New Roman"/>
          <w:color w:val="000000"/>
          <w:sz w:val="28"/>
          <w:szCs w:val="28"/>
          <w:shd w:val="clear" w:color="auto" w:fill="FFFFFF"/>
        </w:rPr>
        <w:t> or </w:t>
      </w:r>
      <w:r w:rsidRPr="009751B1">
        <w:rPr>
          <w:rFonts w:ascii="Times New Roman" w:hAnsi="Times New Roman" w:cs="Times New Roman"/>
          <w:i/>
          <w:iCs/>
          <w:color w:val="000000"/>
          <w:sz w:val="28"/>
          <w:szCs w:val="28"/>
          <w:shd w:val="clear" w:color="auto" w:fill="FFFFFF"/>
        </w:rPr>
        <w:t>paidika</w:t>
      </w:r>
      <w:r w:rsidRPr="009751B1">
        <w:rPr>
          <w:rFonts w:ascii="Times New Roman" w:hAnsi="Times New Roman" w:cs="Times New Roman"/>
          <w:color w:val="000000"/>
          <w:sz w:val="28"/>
          <w:szCs w:val="28"/>
          <w:shd w:val="clear" w:color="auto" w:fill="FFFFFF"/>
        </w:rPr>
        <w:t>; Latin </w:t>
      </w:r>
      <w:r w:rsidRPr="009751B1">
        <w:rPr>
          <w:rFonts w:ascii="Times New Roman" w:hAnsi="Times New Roman" w:cs="Times New Roman"/>
          <w:i/>
          <w:iCs/>
          <w:color w:val="000000"/>
          <w:sz w:val="28"/>
          <w:szCs w:val="28"/>
          <w:shd w:val="clear" w:color="auto" w:fill="FFFFFF"/>
        </w:rPr>
        <w:t>pueri</w:t>
      </w:r>
      <w:r w:rsidRPr="009751B1">
        <w:rPr>
          <w:rFonts w:ascii="Times New Roman" w:hAnsi="Times New Roman" w:cs="Times New Roman"/>
          <w:color w:val="000000"/>
          <w:sz w:val="28"/>
          <w:szCs w:val="28"/>
          <w:shd w:val="clear" w:color="auto" w:fill="FFFFFF"/>
        </w:rPr>
        <w:t>) by “men” (</w:t>
      </w:r>
      <w:r w:rsidRPr="009751B1">
        <w:rPr>
          <w:rFonts w:ascii="Times New Roman" w:hAnsi="Times New Roman" w:cs="Times New Roman"/>
          <w:i/>
          <w:iCs/>
          <w:color w:val="000000"/>
          <w:sz w:val="28"/>
          <w:szCs w:val="28"/>
          <w:shd w:val="clear" w:color="auto" w:fill="FFFFFF"/>
        </w:rPr>
        <w:t>andres</w:t>
      </w:r>
      <w:r w:rsidRPr="009751B1">
        <w:rPr>
          <w:rFonts w:ascii="Times New Roman" w:hAnsi="Times New Roman" w:cs="Times New Roman"/>
          <w:color w:val="000000"/>
          <w:sz w:val="28"/>
          <w:szCs w:val="28"/>
          <w:shd w:val="clear" w:color="auto" w:fill="FFFFFF"/>
        </w:rPr>
        <w:t>; Latin </w:t>
      </w:r>
      <w:r w:rsidRPr="009751B1">
        <w:rPr>
          <w:rFonts w:ascii="Times New Roman" w:hAnsi="Times New Roman" w:cs="Times New Roman"/>
          <w:i/>
          <w:iCs/>
          <w:color w:val="000000"/>
          <w:sz w:val="28"/>
          <w:szCs w:val="28"/>
          <w:shd w:val="clear" w:color="auto" w:fill="FFFFFF"/>
        </w:rPr>
        <w:t>viri</w:t>
      </w:r>
      <w:r w:rsidRPr="009751B1">
        <w:rPr>
          <w:rFonts w:ascii="Times New Roman" w:hAnsi="Times New Roman" w:cs="Times New Roman"/>
          <w:color w:val="000000"/>
          <w:sz w:val="28"/>
          <w:szCs w:val="28"/>
          <w:shd w:val="clear" w:color="auto" w:fill="FFFFFF"/>
        </w:rPr>
        <w:t>). Males were supposed to be sexually desirable to other males in the period of life that extended from around the time of puberty to the arrival of the full beard”.</w:t>
      </w:r>
      <w:r w:rsidRPr="009751B1">
        <w:rPr>
          <w:rFonts w:ascii="Times New Roman" w:hAnsi="Times New Roman" w:cs="Times New Roman"/>
          <w:color w:val="000000"/>
          <w:sz w:val="28"/>
          <w:szCs w:val="28"/>
          <w:shd w:val="clear" w:color="auto" w:fill="FFFFFF"/>
        </w:rPr>
        <w:t xml:space="preserve"> </w:t>
      </w:r>
      <w:sdt>
        <w:sdtPr>
          <w:rPr>
            <w:rFonts w:ascii="Times New Roman" w:hAnsi="Times New Roman" w:cs="Times New Roman"/>
            <w:color w:val="000000"/>
            <w:sz w:val="28"/>
            <w:szCs w:val="28"/>
            <w:shd w:val="clear" w:color="auto" w:fill="FFFFFF"/>
          </w:rPr>
          <w:id w:val="-1682588504"/>
          <w:citation/>
        </w:sdtPr>
        <w:sdtContent>
          <w:r w:rsidRPr="009751B1">
            <w:rPr>
              <w:rFonts w:ascii="Times New Roman" w:hAnsi="Times New Roman" w:cs="Times New Roman"/>
              <w:color w:val="000000"/>
              <w:sz w:val="28"/>
              <w:szCs w:val="28"/>
              <w:shd w:val="clear" w:color="auto" w:fill="FFFFFF"/>
            </w:rPr>
            <w:fldChar w:fldCharType="begin"/>
          </w:r>
          <w:r w:rsidRPr="009751B1">
            <w:rPr>
              <w:rFonts w:ascii="Times New Roman" w:hAnsi="Times New Roman" w:cs="Times New Roman"/>
              <w:color w:val="000000"/>
              <w:sz w:val="28"/>
              <w:szCs w:val="28"/>
              <w:shd w:val="clear" w:color="auto" w:fill="FFFFFF"/>
              <w:lang w:val="en-US"/>
            </w:rPr>
            <w:instrText xml:space="preserve">CITATION Mic101 \p 27 \l 1033 </w:instrText>
          </w:r>
          <w:r w:rsidRPr="009751B1">
            <w:rPr>
              <w:rFonts w:ascii="Times New Roman" w:hAnsi="Times New Roman" w:cs="Times New Roman"/>
              <w:color w:val="000000"/>
              <w:sz w:val="28"/>
              <w:szCs w:val="28"/>
              <w:shd w:val="clear" w:color="auto" w:fill="FFFFFF"/>
            </w:rPr>
            <w:fldChar w:fldCharType="separate"/>
          </w:r>
          <w:r w:rsidR="00FB3931" w:rsidRPr="00FB3931">
            <w:rPr>
              <w:rFonts w:ascii="Times New Roman" w:hAnsi="Times New Roman" w:cs="Times New Roman"/>
              <w:noProof/>
              <w:color w:val="000000"/>
              <w:sz w:val="28"/>
              <w:szCs w:val="28"/>
              <w:shd w:val="clear" w:color="auto" w:fill="FFFFFF"/>
              <w:lang w:val="en-US"/>
            </w:rPr>
            <w:t>(Gagarin, 2010, p. 27)</w:t>
          </w:r>
          <w:r w:rsidRPr="009751B1">
            <w:rPr>
              <w:rFonts w:ascii="Times New Roman" w:hAnsi="Times New Roman" w:cs="Times New Roman"/>
              <w:color w:val="000000"/>
              <w:sz w:val="28"/>
              <w:szCs w:val="28"/>
              <w:shd w:val="clear" w:color="auto" w:fill="FFFFFF"/>
            </w:rPr>
            <w:fldChar w:fldCharType="end"/>
          </w:r>
        </w:sdtContent>
      </w:sdt>
    </w:p>
    <w:p w14:paraId="26444B02" w14:textId="7D41FC96" w:rsidR="0071703C" w:rsidRDefault="009751B1" w:rsidP="009751B1">
      <w:pPr>
        <w:rPr>
          <w:rFonts w:ascii="Times New Roman" w:hAnsi="Times New Roman" w:cs="Times New Roman"/>
          <w:color w:val="000000"/>
          <w:sz w:val="28"/>
          <w:szCs w:val="28"/>
          <w:shd w:val="clear" w:color="auto" w:fill="FFFFFF"/>
        </w:rPr>
      </w:pPr>
      <w:r w:rsidRPr="009751B1">
        <w:rPr>
          <w:rFonts w:ascii="Times New Roman" w:hAnsi="Times New Roman" w:cs="Times New Roman"/>
          <w:color w:val="000000"/>
          <w:sz w:val="28"/>
          <w:szCs w:val="28"/>
          <w:shd w:val="clear" w:color="auto" w:fill="FFFFFF"/>
        </w:rPr>
        <w:t xml:space="preserve">Establishing that a pederastic courtship was a man or “Andres” romantically pursuing a boy or “Paides” what exactly was the importance of gift giving in this courtship? </w:t>
      </w:r>
      <w:r w:rsidRPr="009751B1">
        <w:rPr>
          <w:rFonts w:ascii="Times New Roman" w:hAnsi="Times New Roman" w:cs="Times New Roman"/>
          <w:color w:val="000000"/>
          <w:sz w:val="28"/>
          <w:szCs w:val="28"/>
          <w:shd w:val="clear" w:color="auto" w:fill="FFFFFF"/>
        </w:rPr>
        <w:t xml:space="preserve">According to </w:t>
      </w:r>
      <w:sdt>
        <w:sdtPr>
          <w:rPr>
            <w:rFonts w:ascii="Times New Roman" w:hAnsi="Times New Roman" w:cs="Times New Roman"/>
            <w:color w:val="000000"/>
            <w:sz w:val="28"/>
            <w:szCs w:val="28"/>
            <w:shd w:val="clear" w:color="auto" w:fill="FFFFFF"/>
          </w:rPr>
          <w:id w:val="-487630550"/>
          <w:citation/>
        </w:sdtPr>
        <w:sdtContent>
          <w:r w:rsidRPr="009751B1">
            <w:rPr>
              <w:rFonts w:ascii="Times New Roman" w:hAnsi="Times New Roman" w:cs="Times New Roman"/>
              <w:color w:val="000000"/>
              <w:sz w:val="28"/>
              <w:szCs w:val="28"/>
              <w:shd w:val="clear" w:color="auto" w:fill="FFFFFF"/>
            </w:rPr>
            <w:fldChar w:fldCharType="begin"/>
          </w:r>
          <w:r w:rsidR="00407DAA">
            <w:rPr>
              <w:rFonts w:ascii="Times New Roman" w:hAnsi="Times New Roman" w:cs="Times New Roman"/>
              <w:color w:val="000000"/>
              <w:sz w:val="28"/>
              <w:szCs w:val="28"/>
              <w:shd w:val="clear" w:color="auto" w:fill="FFFFFF"/>
              <w:lang w:val="en-US"/>
            </w:rPr>
            <w:instrText xml:space="preserve">CITATION Rab181 \p 123 \l 1033 </w:instrText>
          </w:r>
          <w:r w:rsidRPr="009751B1">
            <w:rPr>
              <w:rFonts w:ascii="Times New Roman" w:hAnsi="Times New Roman" w:cs="Times New Roman"/>
              <w:color w:val="000000"/>
              <w:sz w:val="28"/>
              <w:szCs w:val="28"/>
              <w:shd w:val="clear" w:color="auto" w:fill="FFFFFF"/>
            </w:rPr>
            <w:fldChar w:fldCharType="separate"/>
          </w:r>
          <w:r w:rsidR="00FB3931" w:rsidRPr="00FB3931">
            <w:rPr>
              <w:rFonts w:ascii="Times New Roman" w:hAnsi="Times New Roman" w:cs="Times New Roman"/>
              <w:noProof/>
              <w:color w:val="000000"/>
              <w:sz w:val="28"/>
              <w:szCs w:val="28"/>
              <w:shd w:val="clear" w:color="auto" w:fill="FFFFFF"/>
              <w:lang w:val="en-US"/>
            </w:rPr>
            <w:t>(Rabinowitz, et al., 2018, p. 123)</w:t>
          </w:r>
          <w:r w:rsidRPr="009751B1">
            <w:rPr>
              <w:rFonts w:ascii="Times New Roman" w:hAnsi="Times New Roman" w:cs="Times New Roman"/>
              <w:color w:val="000000"/>
              <w:sz w:val="28"/>
              <w:szCs w:val="28"/>
              <w:shd w:val="clear" w:color="auto" w:fill="FFFFFF"/>
            </w:rPr>
            <w:fldChar w:fldCharType="end"/>
          </w:r>
        </w:sdtContent>
      </w:sdt>
      <w:r w:rsidRPr="009751B1">
        <w:rPr>
          <w:rFonts w:ascii="Times New Roman" w:hAnsi="Times New Roman" w:cs="Times New Roman"/>
          <w:color w:val="000000"/>
          <w:sz w:val="28"/>
          <w:szCs w:val="28"/>
          <w:shd w:val="clear" w:color="auto" w:fill="FFFFFF"/>
        </w:rPr>
        <w:t xml:space="preserve"> </w:t>
      </w:r>
      <w:r w:rsidR="00407DAA">
        <w:rPr>
          <w:rFonts w:ascii="Times New Roman" w:hAnsi="Times New Roman" w:cs="Times New Roman"/>
          <w:color w:val="000000"/>
          <w:sz w:val="28"/>
          <w:szCs w:val="28"/>
          <w:shd w:val="clear" w:color="auto" w:fill="FFFFFF"/>
        </w:rPr>
        <w:t>“The erastes (Man or Andres), a hunter</w:t>
      </w:r>
      <w:r w:rsidR="00753A2D">
        <w:rPr>
          <w:rFonts w:ascii="Times New Roman" w:hAnsi="Times New Roman" w:cs="Times New Roman"/>
          <w:color w:val="000000"/>
          <w:sz w:val="28"/>
          <w:szCs w:val="28"/>
          <w:shd w:val="clear" w:color="auto" w:fill="FFFFFF"/>
        </w:rPr>
        <w:t>, gives the eromenos (Boy or Paides) a game animal so that he will learn to hunt to” This interpretation suggests that the gift was to signify that the man desired to pursue a relationship closer to a student – teacher dynamic rather than a romantic one.</w:t>
      </w:r>
      <w:r w:rsidR="0071703C" w:rsidRPr="0071703C">
        <w:rPr>
          <w:rFonts w:ascii="Times New Roman" w:hAnsi="Times New Roman" w:cs="Times New Roman"/>
          <w:color w:val="000000"/>
          <w:sz w:val="28"/>
          <w:szCs w:val="28"/>
          <w:shd w:val="clear" w:color="auto" w:fill="FFFFFF"/>
        </w:rPr>
        <w:t xml:space="preserve"> </w:t>
      </w:r>
      <w:r w:rsidR="0071703C">
        <w:rPr>
          <w:rFonts w:ascii="Times New Roman" w:hAnsi="Times New Roman" w:cs="Times New Roman"/>
          <w:color w:val="000000"/>
          <w:sz w:val="28"/>
          <w:szCs w:val="28"/>
          <w:shd w:val="clear" w:color="auto" w:fill="FFFFFF"/>
        </w:rPr>
        <w:t xml:space="preserve">However, </w:t>
      </w:r>
      <w:sdt>
        <w:sdtPr>
          <w:rPr>
            <w:rFonts w:ascii="Times New Roman" w:hAnsi="Times New Roman" w:cs="Times New Roman"/>
            <w:color w:val="000000"/>
            <w:sz w:val="28"/>
            <w:szCs w:val="28"/>
            <w:shd w:val="clear" w:color="auto" w:fill="FFFFFF"/>
          </w:rPr>
          <w:id w:val="-592242975"/>
          <w:citation/>
        </w:sdtPr>
        <w:sdtContent>
          <w:r w:rsidR="0071703C">
            <w:rPr>
              <w:rFonts w:ascii="Times New Roman" w:hAnsi="Times New Roman" w:cs="Times New Roman"/>
              <w:color w:val="000000"/>
              <w:sz w:val="28"/>
              <w:szCs w:val="28"/>
              <w:shd w:val="clear" w:color="auto" w:fill="FFFFFF"/>
            </w:rPr>
            <w:fldChar w:fldCharType="begin"/>
          </w:r>
          <w:r w:rsidR="0071703C">
            <w:rPr>
              <w:rFonts w:ascii="Times New Roman" w:hAnsi="Times New Roman" w:cs="Times New Roman"/>
              <w:color w:val="000000"/>
              <w:sz w:val="28"/>
              <w:szCs w:val="28"/>
              <w:shd w:val="clear" w:color="auto" w:fill="FFFFFF"/>
              <w:lang w:val="en-US"/>
            </w:rPr>
            <w:instrText xml:space="preserve"> CITATION Rab181 \l 1033 </w:instrText>
          </w:r>
          <w:r w:rsidR="0071703C">
            <w:rPr>
              <w:rFonts w:ascii="Times New Roman" w:hAnsi="Times New Roman" w:cs="Times New Roman"/>
              <w:color w:val="000000"/>
              <w:sz w:val="28"/>
              <w:szCs w:val="28"/>
              <w:shd w:val="clear" w:color="auto" w:fill="FFFFFF"/>
            </w:rPr>
            <w:fldChar w:fldCharType="separate"/>
          </w:r>
          <w:r w:rsidR="00FB3931" w:rsidRPr="00FB3931">
            <w:rPr>
              <w:rFonts w:ascii="Times New Roman" w:hAnsi="Times New Roman" w:cs="Times New Roman"/>
              <w:noProof/>
              <w:color w:val="000000"/>
              <w:sz w:val="28"/>
              <w:szCs w:val="28"/>
              <w:shd w:val="clear" w:color="auto" w:fill="FFFFFF"/>
              <w:lang w:val="en-US"/>
            </w:rPr>
            <w:t>(Rabinowitz, et al., 2018)</w:t>
          </w:r>
          <w:r w:rsidR="0071703C">
            <w:rPr>
              <w:rFonts w:ascii="Times New Roman" w:hAnsi="Times New Roman" w:cs="Times New Roman"/>
              <w:color w:val="000000"/>
              <w:sz w:val="28"/>
              <w:szCs w:val="28"/>
              <w:shd w:val="clear" w:color="auto" w:fill="FFFFFF"/>
            </w:rPr>
            <w:fldChar w:fldCharType="end"/>
          </w:r>
        </w:sdtContent>
      </w:sdt>
      <w:r w:rsidR="0071703C">
        <w:rPr>
          <w:rFonts w:ascii="Times New Roman" w:hAnsi="Times New Roman" w:cs="Times New Roman"/>
          <w:color w:val="000000"/>
          <w:sz w:val="28"/>
          <w:szCs w:val="28"/>
          <w:shd w:val="clear" w:color="auto" w:fill="FFFFFF"/>
        </w:rPr>
        <w:t xml:space="preserve"> goes on to state that the animal could also symbolise that they were “the victim of an erotic pursuit”. </w:t>
      </w:r>
    </w:p>
    <w:p w14:paraId="799C1C89" w14:textId="6840BB6A" w:rsidR="002B7BE2" w:rsidRDefault="0009293F" w:rsidP="009751B1">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S</w:t>
      </w:r>
      <w:r w:rsidR="0071703C">
        <w:rPr>
          <w:rFonts w:ascii="Times New Roman" w:hAnsi="Times New Roman" w:cs="Times New Roman"/>
          <w:color w:val="000000"/>
          <w:sz w:val="28"/>
          <w:szCs w:val="28"/>
          <w:shd w:val="clear" w:color="auto" w:fill="FFFFFF"/>
        </w:rPr>
        <w:t>till</w:t>
      </w:r>
      <w:r w:rsidR="00753A2D">
        <w:rPr>
          <w:rFonts w:ascii="Times New Roman" w:hAnsi="Times New Roman" w:cs="Times New Roman"/>
          <w:color w:val="000000"/>
          <w:sz w:val="28"/>
          <w:szCs w:val="28"/>
          <w:shd w:val="clear" w:color="auto" w:fill="FFFFFF"/>
        </w:rPr>
        <w:t xml:space="preserve"> </w:t>
      </w:r>
      <w:r w:rsidR="0071703C">
        <w:rPr>
          <w:rFonts w:ascii="Times New Roman" w:hAnsi="Times New Roman" w:cs="Times New Roman"/>
          <w:color w:val="000000"/>
          <w:sz w:val="28"/>
          <w:szCs w:val="28"/>
          <w:shd w:val="clear" w:color="auto" w:fill="FFFFFF"/>
        </w:rPr>
        <w:t xml:space="preserve">the </w:t>
      </w:r>
      <w:r>
        <w:rPr>
          <w:rFonts w:ascii="Times New Roman" w:hAnsi="Times New Roman" w:cs="Times New Roman"/>
          <w:color w:val="000000"/>
          <w:sz w:val="28"/>
          <w:szCs w:val="28"/>
          <w:shd w:val="clear" w:color="auto" w:fill="FFFFFF"/>
        </w:rPr>
        <w:t>pedagogical relationship is</w:t>
      </w:r>
      <w:r w:rsidR="002B7BE2">
        <w:rPr>
          <w:rFonts w:ascii="Times New Roman" w:hAnsi="Times New Roman" w:cs="Times New Roman"/>
          <w:color w:val="000000"/>
          <w:sz w:val="28"/>
          <w:szCs w:val="28"/>
          <w:shd w:val="clear" w:color="auto" w:fill="FFFFFF"/>
        </w:rPr>
        <w:t xml:space="preserve"> further supported by </w:t>
      </w:r>
      <w:sdt>
        <w:sdtPr>
          <w:rPr>
            <w:rFonts w:ascii="Times New Roman" w:hAnsi="Times New Roman" w:cs="Times New Roman"/>
            <w:color w:val="000000"/>
            <w:sz w:val="28"/>
            <w:szCs w:val="28"/>
            <w:shd w:val="clear" w:color="auto" w:fill="FFFFFF"/>
          </w:rPr>
          <w:id w:val="-1179276549"/>
          <w:citation/>
        </w:sdtPr>
        <w:sdtContent>
          <w:r w:rsidR="002B7BE2">
            <w:rPr>
              <w:rFonts w:ascii="Times New Roman" w:hAnsi="Times New Roman" w:cs="Times New Roman"/>
              <w:color w:val="000000"/>
              <w:sz w:val="28"/>
              <w:szCs w:val="28"/>
              <w:shd w:val="clear" w:color="auto" w:fill="FFFFFF"/>
            </w:rPr>
            <w:fldChar w:fldCharType="begin"/>
          </w:r>
          <w:r w:rsidR="002B7BE2">
            <w:rPr>
              <w:rFonts w:ascii="Times New Roman" w:hAnsi="Times New Roman" w:cs="Times New Roman"/>
              <w:color w:val="000000"/>
              <w:sz w:val="28"/>
              <w:szCs w:val="28"/>
              <w:shd w:val="clear" w:color="auto" w:fill="FFFFFF"/>
              <w:lang w:val="en-US"/>
            </w:rPr>
            <w:instrText xml:space="preserve">CITATION Jud01 \p 71 \l 1033 </w:instrText>
          </w:r>
          <w:r w:rsidR="002B7BE2">
            <w:rPr>
              <w:rFonts w:ascii="Times New Roman" w:hAnsi="Times New Roman" w:cs="Times New Roman"/>
              <w:color w:val="000000"/>
              <w:sz w:val="28"/>
              <w:szCs w:val="28"/>
              <w:shd w:val="clear" w:color="auto" w:fill="FFFFFF"/>
            </w:rPr>
            <w:fldChar w:fldCharType="separate"/>
          </w:r>
          <w:r w:rsidR="00FB3931" w:rsidRPr="00FB3931">
            <w:rPr>
              <w:rFonts w:ascii="Times New Roman" w:hAnsi="Times New Roman" w:cs="Times New Roman"/>
              <w:noProof/>
              <w:color w:val="000000"/>
              <w:sz w:val="28"/>
              <w:szCs w:val="28"/>
              <w:shd w:val="clear" w:color="auto" w:fill="FFFFFF"/>
              <w:lang w:val="en-US"/>
            </w:rPr>
            <w:t>(Barringer, 2001, p. 71)</w:t>
          </w:r>
          <w:r w:rsidR="002B7BE2">
            <w:rPr>
              <w:rFonts w:ascii="Times New Roman" w:hAnsi="Times New Roman" w:cs="Times New Roman"/>
              <w:color w:val="000000"/>
              <w:sz w:val="28"/>
              <w:szCs w:val="28"/>
              <w:shd w:val="clear" w:color="auto" w:fill="FFFFFF"/>
            </w:rPr>
            <w:fldChar w:fldCharType="end"/>
          </w:r>
        </w:sdtContent>
      </w:sdt>
      <w:r w:rsidR="002B7BE2">
        <w:rPr>
          <w:rFonts w:ascii="Times New Roman" w:hAnsi="Times New Roman" w:cs="Times New Roman"/>
          <w:color w:val="000000"/>
          <w:sz w:val="28"/>
          <w:szCs w:val="28"/>
          <w:shd w:val="clear" w:color="auto" w:fill="FFFFFF"/>
        </w:rPr>
        <w:t xml:space="preserve"> who says </w:t>
      </w:r>
      <w:r w:rsidR="00C64227">
        <w:rPr>
          <w:rFonts w:ascii="Times New Roman" w:hAnsi="Times New Roman" w:cs="Times New Roman"/>
          <w:color w:val="000000"/>
          <w:sz w:val="28"/>
          <w:szCs w:val="28"/>
          <w:shd w:val="clear" w:color="auto" w:fill="FFFFFF"/>
        </w:rPr>
        <w:t>that “</w:t>
      </w:r>
      <w:r w:rsidR="0071703C">
        <w:rPr>
          <w:rFonts w:ascii="Times New Roman" w:hAnsi="Times New Roman" w:cs="Times New Roman"/>
          <w:color w:val="000000"/>
          <w:sz w:val="28"/>
          <w:szCs w:val="28"/>
          <w:shd w:val="clear" w:color="auto" w:fill="FFFFFF"/>
        </w:rPr>
        <w:t>Pederasty formed part of the coming – of – age rituals for adolescent males and marked sexual and social maturity</w:t>
      </w:r>
      <w:r w:rsidR="000B15CD">
        <w:rPr>
          <w:rFonts w:ascii="Times New Roman" w:hAnsi="Times New Roman" w:cs="Times New Roman"/>
          <w:color w:val="000000"/>
          <w:sz w:val="28"/>
          <w:szCs w:val="28"/>
          <w:shd w:val="clear" w:color="auto" w:fill="FFFFFF"/>
        </w:rPr>
        <w:t xml:space="preserve">”. Barringer highlights the importance of pederasty in ancient Greece as a coming of age ritual and goes on to state that “The agonistic nature of gift giving and courtship, were designed to enhance the status of both” this would have made the gift giving in a pederastic courtship very important for both parties as it showed that the boy was found desirable </w:t>
      </w:r>
      <w:r w:rsidR="001371F0">
        <w:rPr>
          <w:rFonts w:ascii="Times New Roman" w:hAnsi="Times New Roman" w:cs="Times New Roman"/>
          <w:color w:val="000000"/>
          <w:sz w:val="28"/>
          <w:szCs w:val="28"/>
          <w:shd w:val="clear" w:color="auto" w:fill="FFFFFF"/>
        </w:rPr>
        <w:t xml:space="preserve">and for the man it demonstrated that he had both the time and the financial means to pursue the boy. </w:t>
      </w:r>
    </w:p>
    <w:p w14:paraId="348F664D" w14:textId="2059CCA5" w:rsidR="009751B1" w:rsidRPr="009751B1" w:rsidRDefault="001901D1" w:rsidP="009751B1">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To conclude what was the importance of gift giving in pederastic courtship in ancient Greece? There </w:t>
      </w:r>
      <w:r w:rsidR="002A760C">
        <w:rPr>
          <w:rFonts w:ascii="Times New Roman" w:hAnsi="Times New Roman" w:cs="Times New Roman"/>
          <w:color w:val="000000"/>
          <w:sz w:val="28"/>
          <w:szCs w:val="28"/>
          <w:shd w:val="clear" w:color="auto" w:fill="FFFFFF"/>
        </w:rPr>
        <w:t>are many reasons as to</w:t>
      </w:r>
      <w:r w:rsidR="00F90FE0">
        <w:rPr>
          <w:rFonts w:ascii="Times New Roman" w:hAnsi="Times New Roman" w:cs="Times New Roman"/>
          <w:color w:val="000000"/>
          <w:sz w:val="28"/>
          <w:szCs w:val="28"/>
          <w:shd w:val="clear" w:color="auto" w:fill="FFFFFF"/>
        </w:rPr>
        <w:t xml:space="preserve"> why gift giving in a pederastic courtship was important</w:t>
      </w:r>
      <w:r w:rsidR="002A760C">
        <w:rPr>
          <w:rFonts w:ascii="Times New Roman" w:hAnsi="Times New Roman" w:cs="Times New Roman"/>
          <w:color w:val="000000"/>
          <w:sz w:val="28"/>
          <w:szCs w:val="28"/>
          <w:shd w:val="clear" w:color="auto" w:fill="FFFFFF"/>
        </w:rPr>
        <w:t xml:space="preserve">, the first being that it allowed the boy to be aware that he was being pursued by the man in addition to this the gifts were also important for the boys to establish the nature of the pursuit for example a Hare as a gift would often symbolise a romantic pursuit </w:t>
      </w:r>
      <w:r w:rsidR="00120511">
        <w:rPr>
          <w:rFonts w:ascii="Times New Roman" w:hAnsi="Times New Roman" w:cs="Times New Roman"/>
          <w:color w:val="000000"/>
          <w:sz w:val="28"/>
          <w:szCs w:val="28"/>
          <w:shd w:val="clear" w:color="auto" w:fill="FFFFFF"/>
        </w:rPr>
        <w:t xml:space="preserve">and a cock fighting would symbolise more of a </w:t>
      </w:r>
      <w:r w:rsidR="00120511">
        <w:rPr>
          <w:rFonts w:ascii="Times New Roman" w:hAnsi="Times New Roman" w:cs="Times New Roman"/>
          <w:color w:val="000000"/>
          <w:sz w:val="28"/>
          <w:szCs w:val="28"/>
          <w:shd w:val="clear" w:color="auto" w:fill="FFFFFF"/>
        </w:rPr>
        <w:t>pedagogical</w:t>
      </w:r>
      <w:r w:rsidR="00120511">
        <w:rPr>
          <w:rFonts w:ascii="Times New Roman" w:hAnsi="Times New Roman" w:cs="Times New Roman"/>
          <w:color w:val="000000"/>
          <w:sz w:val="28"/>
          <w:szCs w:val="28"/>
          <w:shd w:val="clear" w:color="auto" w:fill="FFFFFF"/>
        </w:rPr>
        <w:t xml:space="preserve"> pursuit</w:t>
      </w:r>
      <w:r w:rsidR="002A760C">
        <w:rPr>
          <w:rFonts w:ascii="Times New Roman" w:hAnsi="Times New Roman" w:cs="Times New Roman"/>
          <w:color w:val="000000"/>
          <w:sz w:val="28"/>
          <w:szCs w:val="28"/>
          <w:shd w:val="clear" w:color="auto" w:fill="FFFFFF"/>
        </w:rPr>
        <w:t xml:space="preserve"> Barringer explains </w:t>
      </w:r>
      <w:sdt>
        <w:sdtPr>
          <w:rPr>
            <w:rFonts w:ascii="Times New Roman" w:hAnsi="Times New Roman" w:cs="Times New Roman"/>
            <w:color w:val="000000"/>
            <w:sz w:val="28"/>
            <w:szCs w:val="28"/>
            <w:shd w:val="clear" w:color="auto" w:fill="FFFFFF"/>
          </w:rPr>
          <w:id w:val="-1885005309"/>
          <w:citation/>
        </w:sdtPr>
        <w:sdtContent>
          <w:r w:rsidR="002A760C">
            <w:rPr>
              <w:rFonts w:ascii="Times New Roman" w:hAnsi="Times New Roman" w:cs="Times New Roman"/>
              <w:color w:val="000000"/>
              <w:sz w:val="28"/>
              <w:szCs w:val="28"/>
              <w:shd w:val="clear" w:color="auto" w:fill="FFFFFF"/>
            </w:rPr>
            <w:fldChar w:fldCharType="begin"/>
          </w:r>
          <w:r w:rsidR="002A760C">
            <w:rPr>
              <w:rFonts w:ascii="Times New Roman" w:hAnsi="Times New Roman" w:cs="Times New Roman"/>
              <w:color w:val="000000"/>
              <w:sz w:val="28"/>
              <w:szCs w:val="28"/>
              <w:shd w:val="clear" w:color="auto" w:fill="FFFFFF"/>
              <w:lang w:val="en-US"/>
            </w:rPr>
            <w:instrText xml:space="preserve"> CITATION Jud01 \l 1033 </w:instrText>
          </w:r>
          <w:r w:rsidR="002A760C">
            <w:rPr>
              <w:rFonts w:ascii="Times New Roman" w:hAnsi="Times New Roman" w:cs="Times New Roman"/>
              <w:color w:val="000000"/>
              <w:sz w:val="28"/>
              <w:szCs w:val="28"/>
              <w:shd w:val="clear" w:color="auto" w:fill="FFFFFF"/>
            </w:rPr>
            <w:fldChar w:fldCharType="separate"/>
          </w:r>
          <w:r w:rsidR="00FB3931" w:rsidRPr="00FB3931">
            <w:rPr>
              <w:rFonts w:ascii="Times New Roman" w:hAnsi="Times New Roman" w:cs="Times New Roman"/>
              <w:noProof/>
              <w:color w:val="000000"/>
              <w:sz w:val="28"/>
              <w:szCs w:val="28"/>
              <w:shd w:val="clear" w:color="auto" w:fill="FFFFFF"/>
              <w:lang w:val="en-US"/>
            </w:rPr>
            <w:t>(Barringer, 2001)</w:t>
          </w:r>
          <w:r w:rsidR="002A760C">
            <w:rPr>
              <w:rFonts w:ascii="Times New Roman" w:hAnsi="Times New Roman" w:cs="Times New Roman"/>
              <w:color w:val="000000"/>
              <w:sz w:val="28"/>
              <w:szCs w:val="28"/>
              <w:shd w:val="clear" w:color="auto" w:fill="FFFFFF"/>
            </w:rPr>
            <w:fldChar w:fldCharType="end"/>
          </w:r>
        </w:sdtContent>
      </w:sdt>
      <w:r w:rsidR="002A760C">
        <w:rPr>
          <w:rFonts w:ascii="Times New Roman" w:hAnsi="Times New Roman" w:cs="Times New Roman"/>
          <w:color w:val="000000"/>
          <w:sz w:val="28"/>
          <w:szCs w:val="28"/>
          <w:shd w:val="clear" w:color="auto" w:fill="FFFFFF"/>
        </w:rPr>
        <w:t xml:space="preserve">, furthermore the gift giving in courtship was also important as it demonstrated the boy’s desirability as well as the mans power an money. Continuing on from </w:t>
      </w:r>
      <w:r w:rsidR="002A760C">
        <w:rPr>
          <w:rFonts w:ascii="Times New Roman" w:hAnsi="Times New Roman" w:cs="Times New Roman"/>
          <w:color w:val="000000"/>
          <w:sz w:val="28"/>
          <w:szCs w:val="28"/>
          <w:shd w:val="clear" w:color="auto" w:fill="FFFFFF"/>
        </w:rPr>
        <w:lastRenderedPageBreak/>
        <w:t xml:space="preserve">this it was also important as it </w:t>
      </w:r>
      <w:r w:rsidR="001314B2">
        <w:rPr>
          <w:rFonts w:ascii="Times New Roman" w:hAnsi="Times New Roman" w:cs="Times New Roman"/>
          <w:color w:val="000000"/>
          <w:sz w:val="28"/>
          <w:szCs w:val="28"/>
          <w:shd w:val="clear" w:color="auto" w:fill="FFFFFF"/>
        </w:rPr>
        <w:t>“</w:t>
      </w:r>
      <w:r w:rsidR="002A760C">
        <w:rPr>
          <w:rFonts w:ascii="Times New Roman" w:hAnsi="Times New Roman" w:cs="Times New Roman"/>
          <w:color w:val="000000"/>
          <w:sz w:val="28"/>
          <w:szCs w:val="28"/>
          <w:shd w:val="clear" w:color="auto" w:fill="FFFFFF"/>
        </w:rPr>
        <w:t xml:space="preserve">marked the social and sexual maturity of the boy </w:t>
      </w:r>
      <w:bookmarkStart w:id="0" w:name="_GoBack"/>
      <w:bookmarkEnd w:id="0"/>
      <w:r w:rsidR="002A760C">
        <w:rPr>
          <w:rFonts w:ascii="Times New Roman" w:hAnsi="Times New Roman" w:cs="Times New Roman"/>
          <w:color w:val="000000"/>
          <w:sz w:val="28"/>
          <w:szCs w:val="28"/>
          <w:shd w:val="clear" w:color="auto" w:fill="FFFFFF"/>
        </w:rPr>
        <w:t>which was critical</w:t>
      </w:r>
      <w:r w:rsidR="001314B2">
        <w:rPr>
          <w:rFonts w:ascii="Times New Roman" w:hAnsi="Times New Roman" w:cs="Times New Roman"/>
          <w:color w:val="000000"/>
          <w:sz w:val="28"/>
          <w:szCs w:val="28"/>
          <w:shd w:val="clear" w:color="auto" w:fill="FFFFFF"/>
        </w:rPr>
        <w:t>”</w:t>
      </w:r>
      <w:r w:rsidR="002A760C">
        <w:rPr>
          <w:rFonts w:ascii="Times New Roman" w:hAnsi="Times New Roman" w:cs="Times New Roman"/>
          <w:color w:val="000000"/>
          <w:sz w:val="28"/>
          <w:szCs w:val="28"/>
          <w:shd w:val="clear" w:color="auto" w:fill="FFFFFF"/>
        </w:rPr>
        <w:t xml:space="preserve"> </w:t>
      </w:r>
      <w:r w:rsidR="00FB3931">
        <w:rPr>
          <w:rFonts w:ascii="Times New Roman" w:hAnsi="Times New Roman" w:cs="Times New Roman"/>
          <w:color w:val="000000"/>
          <w:sz w:val="28"/>
          <w:szCs w:val="28"/>
          <w:shd w:val="clear" w:color="auto" w:fill="FFFFFF"/>
        </w:rPr>
        <w:t>(according to Barringer) to his “belonging and acceptance into the world of aristocratic males”.</w:t>
      </w:r>
    </w:p>
    <w:sdt>
      <w:sdtPr>
        <w:rPr>
          <w:rFonts w:ascii="Times New Roman" w:hAnsi="Times New Roman" w:cs="Times New Roman"/>
          <w:sz w:val="28"/>
          <w:szCs w:val="28"/>
        </w:rPr>
        <w:id w:val="-209762874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C5468C8" w14:textId="77777777" w:rsidR="009751B1" w:rsidRPr="009751B1" w:rsidRDefault="009751B1">
          <w:pPr>
            <w:pStyle w:val="Heading1"/>
            <w:rPr>
              <w:rFonts w:ascii="Times New Roman" w:hAnsi="Times New Roman" w:cs="Times New Roman"/>
              <w:sz w:val="28"/>
              <w:szCs w:val="28"/>
            </w:rPr>
          </w:pPr>
          <w:r w:rsidRPr="009751B1">
            <w:rPr>
              <w:rFonts w:ascii="Times New Roman" w:hAnsi="Times New Roman" w:cs="Times New Roman"/>
              <w:sz w:val="28"/>
              <w:szCs w:val="28"/>
            </w:rPr>
            <w:t>Bibliography</w:t>
          </w:r>
        </w:p>
        <w:sdt>
          <w:sdtPr>
            <w:rPr>
              <w:rFonts w:ascii="Times New Roman" w:hAnsi="Times New Roman" w:cs="Times New Roman"/>
              <w:sz w:val="28"/>
              <w:szCs w:val="28"/>
            </w:rPr>
            <w:id w:val="111145805"/>
            <w:bibliography/>
          </w:sdtPr>
          <w:sdtContent>
            <w:p w14:paraId="584D9A93" w14:textId="77777777" w:rsidR="00FB3931" w:rsidRDefault="009751B1" w:rsidP="00FB3931">
              <w:pPr>
                <w:pStyle w:val="Bibliography"/>
                <w:rPr>
                  <w:noProof/>
                  <w:sz w:val="24"/>
                  <w:szCs w:val="24"/>
                  <w:lang w:val="en-US"/>
                </w:rPr>
              </w:pPr>
              <w:r w:rsidRPr="009751B1">
                <w:rPr>
                  <w:rFonts w:ascii="Times New Roman" w:hAnsi="Times New Roman" w:cs="Times New Roman"/>
                  <w:sz w:val="28"/>
                  <w:szCs w:val="28"/>
                </w:rPr>
                <w:fldChar w:fldCharType="begin"/>
              </w:r>
              <w:r w:rsidRPr="009751B1">
                <w:rPr>
                  <w:rFonts w:ascii="Times New Roman" w:hAnsi="Times New Roman" w:cs="Times New Roman"/>
                  <w:sz w:val="28"/>
                  <w:szCs w:val="28"/>
                </w:rPr>
                <w:instrText xml:space="preserve"> BIBLIOGRAPHY </w:instrText>
              </w:r>
              <w:r w:rsidRPr="009751B1">
                <w:rPr>
                  <w:rFonts w:ascii="Times New Roman" w:hAnsi="Times New Roman" w:cs="Times New Roman"/>
                  <w:sz w:val="28"/>
                  <w:szCs w:val="28"/>
                </w:rPr>
                <w:fldChar w:fldCharType="separate"/>
              </w:r>
              <w:r w:rsidR="00FB3931">
                <w:rPr>
                  <w:noProof/>
                  <w:lang w:val="en-US"/>
                </w:rPr>
                <w:t xml:space="preserve">Barringer, J. M., 2001. </w:t>
              </w:r>
              <w:r w:rsidR="00FB3931">
                <w:rPr>
                  <w:i/>
                  <w:iCs/>
                  <w:noProof/>
                  <w:lang w:val="en-US"/>
                </w:rPr>
                <w:t xml:space="preserve">The Hunt in Ancient Greece. </w:t>
              </w:r>
              <w:r w:rsidR="00FB3931">
                <w:rPr>
                  <w:noProof/>
                  <w:lang w:val="en-US"/>
                </w:rPr>
                <w:t>s.l.:JHU Press.</w:t>
              </w:r>
            </w:p>
            <w:p w14:paraId="342FD078" w14:textId="77777777" w:rsidR="00FB3931" w:rsidRDefault="00FB3931" w:rsidP="00FB3931">
              <w:pPr>
                <w:pStyle w:val="Bibliography"/>
                <w:rPr>
                  <w:noProof/>
                  <w:lang w:val="en-US"/>
                </w:rPr>
              </w:pPr>
              <w:r>
                <w:rPr>
                  <w:noProof/>
                  <w:lang w:val="en-US"/>
                </w:rPr>
                <w:t xml:space="preserve">Gagarin, M., 2010. </w:t>
              </w:r>
              <w:r>
                <w:rPr>
                  <w:i/>
                  <w:iCs/>
                  <w:noProof/>
                  <w:lang w:val="en-US"/>
                </w:rPr>
                <w:t xml:space="preserve">The Oxford Encyclopedia of Ancient Greece and Rome. </w:t>
              </w:r>
              <w:r>
                <w:rPr>
                  <w:noProof/>
                  <w:lang w:val="en-US"/>
                </w:rPr>
                <w:t>s.l.:Oxford University Press.</w:t>
              </w:r>
            </w:p>
            <w:p w14:paraId="295D67FB" w14:textId="77777777" w:rsidR="00FB3931" w:rsidRDefault="00FB3931" w:rsidP="00FB3931">
              <w:pPr>
                <w:pStyle w:val="Bibliography"/>
                <w:rPr>
                  <w:noProof/>
                  <w:lang w:val="en-US"/>
                </w:rPr>
              </w:pPr>
              <w:r>
                <w:rPr>
                  <w:noProof/>
                  <w:lang w:val="en-US"/>
                </w:rPr>
                <w:t xml:space="preserve">Rabinowitz, N. S., Robson, J. &amp; Masterson, M., 2018. </w:t>
              </w:r>
              <w:r>
                <w:rPr>
                  <w:i/>
                  <w:iCs/>
                  <w:noProof/>
                  <w:lang w:val="en-US"/>
                </w:rPr>
                <w:t xml:space="preserve">Sex in Antiquity: Exploring Gender and Sexuality in the Ancient World. </w:t>
              </w:r>
              <w:r>
                <w:rPr>
                  <w:noProof/>
                  <w:lang w:val="en-US"/>
                </w:rPr>
                <w:t>s.l.:Routledge.</w:t>
              </w:r>
            </w:p>
            <w:p w14:paraId="7DC3A429" w14:textId="77777777" w:rsidR="009751B1" w:rsidRDefault="009751B1" w:rsidP="00FB3931">
              <w:r w:rsidRPr="009751B1">
                <w:rPr>
                  <w:rFonts w:ascii="Times New Roman" w:hAnsi="Times New Roman" w:cs="Times New Roman"/>
                  <w:b/>
                  <w:bCs/>
                  <w:noProof/>
                  <w:sz w:val="28"/>
                  <w:szCs w:val="28"/>
                </w:rPr>
                <w:fldChar w:fldCharType="end"/>
              </w:r>
            </w:p>
          </w:sdtContent>
        </w:sdt>
      </w:sdtContent>
    </w:sdt>
    <w:p w14:paraId="557DBE7E" w14:textId="77777777" w:rsidR="002C2118" w:rsidRDefault="002C2118"/>
    <w:sectPr w:rsidR="002C2118">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7EA3A" w14:textId="77777777" w:rsidR="009751B1" w:rsidRDefault="009751B1" w:rsidP="009751B1">
      <w:pPr>
        <w:spacing w:after="0" w:line="240" w:lineRule="auto"/>
      </w:pPr>
      <w:r>
        <w:separator/>
      </w:r>
    </w:p>
  </w:endnote>
  <w:endnote w:type="continuationSeparator" w:id="0">
    <w:p w14:paraId="4FD26582" w14:textId="77777777" w:rsidR="009751B1" w:rsidRDefault="009751B1" w:rsidP="0097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486053"/>
      <w:docPartObj>
        <w:docPartGallery w:val="Page Numbers (Bottom of Page)"/>
        <w:docPartUnique/>
      </w:docPartObj>
    </w:sdtPr>
    <w:sdtEndPr>
      <w:rPr>
        <w:color w:val="7F7F7F" w:themeColor="background1" w:themeShade="7F"/>
        <w:spacing w:val="60"/>
      </w:rPr>
    </w:sdtEndPr>
    <w:sdtContent>
      <w:p w14:paraId="5EEF8B3E" w14:textId="77777777" w:rsidR="0076159C" w:rsidRDefault="0076159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BDBD5D" w14:textId="77777777" w:rsidR="0076159C" w:rsidRDefault="00761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C8071A" w14:textId="77777777" w:rsidR="009751B1" w:rsidRDefault="009751B1" w:rsidP="009751B1">
      <w:pPr>
        <w:spacing w:after="0" w:line="240" w:lineRule="auto"/>
      </w:pPr>
      <w:r>
        <w:separator/>
      </w:r>
    </w:p>
  </w:footnote>
  <w:footnote w:type="continuationSeparator" w:id="0">
    <w:p w14:paraId="1A966105" w14:textId="77777777" w:rsidR="009751B1" w:rsidRDefault="009751B1" w:rsidP="009751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E0F79" w14:textId="77777777" w:rsidR="0076159C" w:rsidRDefault="0076159C">
    <w:pPr>
      <w:pStyle w:val="Header"/>
    </w:pPr>
    <w:r>
      <w:t>Emily Vaughan</w:t>
    </w:r>
  </w:p>
  <w:p w14:paraId="6B044848" w14:textId="77777777" w:rsidR="0076159C" w:rsidRDefault="007615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1B1"/>
    <w:rsid w:val="0009293F"/>
    <w:rsid w:val="000B15CD"/>
    <w:rsid w:val="00120511"/>
    <w:rsid w:val="001314B2"/>
    <w:rsid w:val="001371F0"/>
    <w:rsid w:val="001901D1"/>
    <w:rsid w:val="002A760C"/>
    <w:rsid w:val="002B7BE2"/>
    <w:rsid w:val="002C2118"/>
    <w:rsid w:val="00407DAA"/>
    <w:rsid w:val="0071703C"/>
    <w:rsid w:val="00753A2D"/>
    <w:rsid w:val="0076159C"/>
    <w:rsid w:val="009751B1"/>
    <w:rsid w:val="00BD1BBC"/>
    <w:rsid w:val="00C64227"/>
    <w:rsid w:val="00D5264E"/>
    <w:rsid w:val="00EC5687"/>
    <w:rsid w:val="00F90FE0"/>
    <w:rsid w:val="00FB3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FC7142"/>
  <w15:chartTrackingRefBased/>
  <w15:docId w15:val="{F9B8EF1F-0E1A-4BC3-9F49-4DEF4FA97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751B1"/>
  </w:style>
  <w:style w:type="paragraph" w:styleId="Heading1">
    <w:name w:val="heading 1"/>
    <w:basedOn w:val="Normal"/>
    <w:next w:val="Normal"/>
    <w:link w:val="Heading1Char"/>
    <w:uiPriority w:val="9"/>
    <w:qFormat/>
    <w:rsid w:val="009751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51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51B1"/>
    <w:rPr>
      <w:sz w:val="20"/>
      <w:szCs w:val="20"/>
    </w:rPr>
  </w:style>
  <w:style w:type="character" w:styleId="FootnoteReference">
    <w:name w:val="footnote reference"/>
    <w:basedOn w:val="DefaultParagraphFont"/>
    <w:uiPriority w:val="99"/>
    <w:semiHidden/>
    <w:unhideWhenUsed/>
    <w:rsid w:val="009751B1"/>
    <w:rPr>
      <w:vertAlign w:val="superscript"/>
    </w:rPr>
  </w:style>
  <w:style w:type="character" w:customStyle="1" w:styleId="Heading1Char">
    <w:name w:val="Heading 1 Char"/>
    <w:basedOn w:val="DefaultParagraphFont"/>
    <w:link w:val="Heading1"/>
    <w:uiPriority w:val="9"/>
    <w:rsid w:val="009751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51B1"/>
  </w:style>
  <w:style w:type="paragraph" w:styleId="Header">
    <w:name w:val="header"/>
    <w:basedOn w:val="Normal"/>
    <w:link w:val="HeaderChar"/>
    <w:uiPriority w:val="99"/>
    <w:unhideWhenUsed/>
    <w:rsid w:val="007615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159C"/>
  </w:style>
  <w:style w:type="paragraph" w:styleId="Footer">
    <w:name w:val="footer"/>
    <w:basedOn w:val="Normal"/>
    <w:link w:val="FooterChar"/>
    <w:uiPriority w:val="99"/>
    <w:unhideWhenUsed/>
    <w:rsid w:val="007615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15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81803">
      <w:bodyDiv w:val="1"/>
      <w:marLeft w:val="0"/>
      <w:marRight w:val="0"/>
      <w:marTop w:val="0"/>
      <w:marBottom w:val="0"/>
      <w:divBdr>
        <w:top w:val="none" w:sz="0" w:space="0" w:color="auto"/>
        <w:left w:val="none" w:sz="0" w:space="0" w:color="auto"/>
        <w:bottom w:val="none" w:sz="0" w:space="0" w:color="auto"/>
        <w:right w:val="none" w:sz="0" w:space="0" w:color="auto"/>
      </w:divBdr>
    </w:div>
    <w:div w:id="119227371">
      <w:bodyDiv w:val="1"/>
      <w:marLeft w:val="0"/>
      <w:marRight w:val="0"/>
      <w:marTop w:val="0"/>
      <w:marBottom w:val="0"/>
      <w:divBdr>
        <w:top w:val="none" w:sz="0" w:space="0" w:color="auto"/>
        <w:left w:val="none" w:sz="0" w:space="0" w:color="auto"/>
        <w:bottom w:val="none" w:sz="0" w:space="0" w:color="auto"/>
        <w:right w:val="none" w:sz="0" w:space="0" w:color="auto"/>
      </w:divBdr>
    </w:div>
    <w:div w:id="154028021">
      <w:bodyDiv w:val="1"/>
      <w:marLeft w:val="0"/>
      <w:marRight w:val="0"/>
      <w:marTop w:val="0"/>
      <w:marBottom w:val="0"/>
      <w:divBdr>
        <w:top w:val="none" w:sz="0" w:space="0" w:color="auto"/>
        <w:left w:val="none" w:sz="0" w:space="0" w:color="auto"/>
        <w:bottom w:val="none" w:sz="0" w:space="0" w:color="auto"/>
        <w:right w:val="none" w:sz="0" w:space="0" w:color="auto"/>
      </w:divBdr>
    </w:div>
    <w:div w:id="183059042">
      <w:bodyDiv w:val="1"/>
      <w:marLeft w:val="0"/>
      <w:marRight w:val="0"/>
      <w:marTop w:val="0"/>
      <w:marBottom w:val="0"/>
      <w:divBdr>
        <w:top w:val="none" w:sz="0" w:space="0" w:color="auto"/>
        <w:left w:val="none" w:sz="0" w:space="0" w:color="auto"/>
        <w:bottom w:val="none" w:sz="0" w:space="0" w:color="auto"/>
        <w:right w:val="none" w:sz="0" w:space="0" w:color="auto"/>
      </w:divBdr>
    </w:div>
    <w:div w:id="191845996">
      <w:bodyDiv w:val="1"/>
      <w:marLeft w:val="0"/>
      <w:marRight w:val="0"/>
      <w:marTop w:val="0"/>
      <w:marBottom w:val="0"/>
      <w:divBdr>
        <w:top w:val="none" w:sz="0" w:space="0" w:color="auto"/>
        <w:left w:val="none" w:sz="0" w:space="0" w:color="auto"/>
        <w:bottom w:val="none" w:sz="0" w:space="0" w:color="auto"/>
        <w:right w:val="none" w:sz="0" w:space="0" w:color="auto"/>
      </w:divBdr>
    </w:div>
    <w:div w:id="221258063">
      <w:bodyDiv w:val="1"/>
      <w:marLeft w:val="0"/>
      <w:marRight w:val="0"/>
      <w:marTop w:val="0"/>
      <w:marBottom w:val="0"/>
      <w:divBdr>
        <w:top w:val="none" w:sz="0" w:space="0" w:color="auto"/>
        <w:left w:val="none" w:sz="0" w:space="0" w:color="auto"/>
        <w:bottom w:val="none" w:sz="0" w:space="0" w:color="auto"/>
        <w:right w:val="none" w:sz="0" w:space="0" w:color="auto"/>
      </w:divBdr>
    </w:div>
    <w:div w:id="269246073">
      <w:bodyDiv w:val="1"/>
      <w:marLeft w:val="0"/>
      <w:marRight w:val="0"/>
      <w:marTop w:val="0"/>
      <w:marBottom w:val="0"/>
      <w:divBdr>
        <w:top w:val="none" w:sz="0" w:space="0" w:color="auto"/>
        <w:left w:val="none" w:sz="0" w:space="0" w:color="auto"/>
        <w:bottom w:val="none" w:sz="0" w:space="0" w:color="auto"/>
        <w:right w:val="none" w:sz="0" w:space="0" w:color="auto"/>
      </w:divBdr>
    </w:div>
    <w:div w:id="319385310">
      <w:bodyDiv w:val="1"/>
      <w:marLeft w:val="0"/>
      <w:marRight w:val="0"/>
      <w:marTop w:val="0"/>
      <w:marBottom w:val="0"/>
      <w:divBdr>
        <w:top w:val="none" w:sz="0" w:space="0" w:color="auto"/>
        <w:left w:val="none" w:sz="0" w:space="0" w:color="auto"/>
        <w:bottom w:val="none" w:sz="0" w:space="0" w:color="auto"/>
        <w:right w:val="none" w:sz="0" w:space="0" w:color="auto"/>
      </w:divBdr>
    </w:div>
    <w:div w:id="334189277">
      <w:bodyDiv w:val="1"/>
      <w:marLeft w:val="0"/>
      <w:marRight w:val="0"/>
      <w:marTop w:val="0"/>
      <w:marBottom w:val="0"/>
      <w:divBdr>
        <w:top w:val="none" w:sz="0" w:space="0" w:color="auto"/>
        <w:left w:val="none" w:sz="0" w:space="0" w:color="auto"/>
        <w:bottom w:val="none" w:sz="0" w:space="0" w:color="auto"/>
        <w:right w:val="none" w:sz="0" w:space="0" w:color="auto"/>
      </w:divBdr>
    </w:div>
    <w:div w:id="389694671">
      <w:bodyDiv w:val="1"/>
      <w:marLeft w:val="0"/>
      <w:marRight w:val="0"/>
      <w:marTop w:val="0"/>
      <w:marBottom w:val="0"/>
      <w:divBdr>
        <w:top w:val="none" w:sz="0" w:space="0" w:color="auto"/>
        <w:left w:val="none" w:sz="0" w:space="0" w:color="auto"/>
        <w:bottom w:val="none" w:sz="0" w:space="0" w:color="auto"/>
        <w:right w:val="none" w:sz="0" w:space="0" w:color="auto"/>
      </w:divBdr>
    </w:div>
    <w:div w:id="472908762">
      <w:bodyDiv w:val="1"/>
      <w:marLeft w:val="0"/>
      <w:marRight w:val="0"/>
      <w:marTop w:val="0"/>
      <w:marBottom w:val="0"/>
      <w:divBdr>
        <w:top w:val="none" w:sz="0" w:space="0" w:color="auto"/>
        <w:left w:val="none" w:sz="0" w:space="0" w:color="auto"/>
        <w:bottom w:val="none" w:sz="0" w:space="0" w:color="auto"/>
        <w:right w:val="none" w:sz="0" w:space="0" w:color="auto"/>
      </w:divBdr>
    </w:div>
    <w:div w:id="535849985">
      <w:bodyDiv w:val="1"/>
      <w:marLeft w:val="0"/>
      <w:marRight w:val="0"/>
      <w:marTop w:val="0"/>
      <w:marBottom w:val="0"/>
      <w:divBdr>
        <w:top w:val="none" w:sz="0" w:space="0" w:color="auto"/>
        <w:left w:val="none" w:sz="0" w:space="0" w:color="auto"/>
        <w:bottom w:val="none" w:sz="0" w:space="0" w:color="auto"/>
        <w:right w:val="none" w:sz="0" w:space="0" w:color="auto"/>
      </w:divBdr>
    </w:div>
    <w:div w:id="607395322">
      <w:bodyDiv w:val="1"/>
      <w:marLeft w:val="0"/>
      <w:marRight w:val="0"/>
      <w:marTop w:val="0"/>
      <w:marBottom w:val="0"/>
      <w:divBdr>
        <w:top w:val="none" w:sz="0" w:space="0" w:color="auto"/>
        <w:left w:val="none" w:sz="0" w:space="0" w:color="auto"/>
        <w:bottom w:val="none" w:sz="0" w:space="0" w:color="auto"/>
        <w:right w:val="none" w:sz="0" w:space="0" w:color="auto"/>
      </w:divBdr>
    </w:div>
    <w:div w:id="621037948">
      <w:bodyDiv w:val="1"/>
      <w:marLeft w:val="0"/>
      <w:marRight w:val="0"/>
      <w:marTop w:val="0"/>
      <w:marBottom w:val="0"/>
      <w:divBdr>
        <w:top w:val="none" w:sz="0" w:space="0" w:color="auto"/>
        <w:left w:val="none" w:sz="0" w:space="0" w:color="auto"/>
        <w:bottom w:val="none" w:sz="0" w:space="0" w:color="auto"/>
        <w:right w:val="none" w:sz="0" w:space="0" w:color="auto"/>
      </w:divBdr>
    </w:div>
    <w:div w:id="621425735">
      <w:bodyDiv w:val="1"/>
      <w:marLeft w:val="0"/>
      <w:marRight w:val="0"/>
      <w:marTop w:val="0"/>
      <w:marBottom w:val="0"/>
      <w:divBdr>
        <w:top w:val="none" w:sz="0" w:space="0" w:color="auto"/>
        <w:left w:val="none" w:sz="0" w:space="0" w:color="auto"/>
        <w:bottom w:val="none" w:sz="0" w:space="0" w:color="auto"/>
        <w:right w:val="none" w:sz="0" w:space="0" w:color="auto"/>
      </w:divBdr>
    </w:div>
    <w:div w:id="663630501">
      <w:bodyDiv w:val="1"/>
      <w:marLeft w:val="0"/>
      <w:marRight w:val="0"/>
      <w:marTop w:val="0"/>
      <w:marBottom w:val="0"/>
      <w:divBdr>
        <w:top w:val="none" w:sz="0" w:space="0" w:color="auto"/>
        <w:left w:val="none" w:sz="0" w:space="0" w:color="auto"/>
        <w:bottom w:val="none" w:sz="0" w:space="0" w:color="auto"/>
        <w:right w:val="none" w:sz="0" w:space="0" w:color="auto"/>
      </w:divBdr>
    </w:div>
    <w:div w:id="815798079">
      <w:bodyDiv w:val="1"/>
      <w:marLeft w:val="0"/>
      <w:marRight w:val="0"/>
      <w:marTop w:val="0"/>
      <w:marBottom w:val="0"/>
      <w:divBdr>
        <w:top w:val="none" w:sz="0" w:space="0" w:color="auto"/>
        <w:left w:val="none" w:sz="0" w:space="0" w:color="auto"/>
        <w:bottom w:val="none" w:sz="0" w:space="0" w:color="auto"/>
        <w:right w:val="none" w:sz="0" w:space="0" w:color="auto"/>
      </w:divBdr>
    </w:div>
    <w:div w:id="827864087">
      <w:bodyDiv w:val="1"/>
      <w:marLeft w:val="0"/>
      <w:marRight w:val="0"/>
      <w:marTop w:val="0"/>
      <w:marBottom w:val="0"/>
      <w:divBdr>
        <w:top w:val="none" w:sz="0" w:space="0" w:color="auto"/>
        <w:left w:val="none" w:sz="0" w:space="0" w:color="auto"/>
        <w:bottom w:val="none" w:sz="0" w:space="0" w:color="auto"/>
        <w:right w:val="none" w:sz="0" w:space="0" w:color="auto"/>
      </w:divBdr>
    </w:div>
    <w:div w:id="940114462">
      <w:bodyDiv w:val="1"/>
      <w:marLeft w:val="0"/>
      <w:marRight w:val="0"/>
      <w:marTop w:val="0"/>
      <w:marBottom w:val="0"/>
      <w:divBdr>
        <w:top w:val="none" w:sz="0" w:space="0" w:color="auto"/>
        <w:left w:val="none" w:sz="0" w:space="0" w:color="auto"/>
        <w:bottom w:val="none" w:sz="0" w:space="0" w:color="auto"/>
        <w:right w:val="none" w:sz="0" w:space="0" w:color="auto"/>
      </w:divBdr>
    </w:div>
    <w:div w:id="977341113">
      <w:bodyDiv w:val="1"/>
      <w:marLeft w:val="0"/>
      <w:marRight w:val="0"/>
      <w:marTop w:val="0"/>
      <w:marBottom w:val="0"/>
      <w:divBdr>
        <w:top w:val="none" w:sz="0" w:space="0" w:color="auto"/>
        <w:left w:val="none" w:sz="0" w:space="0" w:color="auto"/>
        <w:bottom w:val="none" w:sz="0" w:space="0" w:color="auto"/>
        <w:right w:val="none" w:sz="0" w:space="0" w:color="auto"/>
      </w:divBdr>
    </w:div>
    <w:div w:id="1012148497">
      <w:bodyDiv w:val="1"/>
      <w:marLeft w:val="0"/>
      <w:marRight w:val="0"/>
      <w:marTop w:val="0"/>
      <w:marBottom w:val="0"/>
      <w:divBdr>
        <w:top w:val="none" w:sz="0" w:space="0" w:color="auto"/>
        <w:left w:val="none" w:sz="0" w:space="0" w:color="auto"/>
        <w:bottom w:val="none" w:sz="0" w:space="0" w:color="auto"/>
        <w:right w:val="none" w:sz="0" w:space="0" w:color="auto"/>
      </w:divBdr>
    </w:div>
    <w:div w:id="1013921809">
      <w:bodyDiv w:val="1"/>
      <w:marLeft w:val="0"/>
      <w:marRight w:val="0"/>
      <w:marTop w:val="0"/>
      <w:marBottom w:val="0"/>
      <w:divBdr>
        <w:top w:val="none" w:sz="0" w:space="0" w:color="auto"/>
        <w:left w:val="none" w:sz="0" w:space="0" w:color="auto"/>
        <w:bottom w:val="none" w:sz="0" w:space="0" w:color="auto"/>
        <w:right w:val="none" w:sz="0" w:space="0" w:color="auto"/>
      </w:divBdr>
    </w:div>
    <w:div w:id="1113132872">
      <w:bodyDiv w:val="1"/>
      <w:marLeft w:val="0"/>
      <w:marRight w:val="0"/>
      <w:marTop w:val="0"/>
      <w:marBottom w:val="0"/>
      <w:divBdr>
        <w:top w:val="none" w:sz="0" w:space="0" w:color="auto"/>
        <w:left w:val="none" w:sz="0" w:space="0" w:color="auto"/>
        <w:bottom w:val="none" w:sz="0" w:space="0" w:color="auto"/>
        <w:right w:val="none" w:sz="0" w:space="0" w:color="auto"/>
      </w:divBdr>
    </w:div>
    <w:div w:id="1121608442">
      <w:bodyDiv w:val="1"/>
      <w:marLeft w:val="0"/>
      <w:marRight w:val="0"/>
      <w:marTop w:val="0"/>
      <w:marBottom w:val="0"/>
      <w:divBdr>
        <w:top w:val="none" w:sz="0" w:space="0" w:color="auto"/>
        <w:left w:val="none" w:sz="0" w:space="0" w:color="auto"/>
        <w:bottom w:val="none" w:sz="0" w:space="0" w:color="auto"/>
        <w:right w:val="none" w:sz="0" w:space="0" w:color="auto"/>
      </w:divBdr>
    </w:div>
    <w:div w:id="1501503719">
      <w:bodyDiv w:val="1"/>
      <w:marLeft w:val="0"/>
      <w:marRight w:val="0"/>
      <w:marTop w:val="0"/>
      <w:marBottom w:val="0"/>
      <w:divBdr>
        <w:top w:val="none" w:sz="0" w:space="0" w:color="auto"/>
        <w:left w:val="none" w:sz="0" w:space="0" w:color="auto"/>
        <w:bottom w:val="none" w:sz="0" w:space="0" w:color="auto"/>
        <w:right w:val="none" w:sz="0" w:space="0" w:color="auto"/>
      </w:divBdr>
    </w:div>
    <w:div w:id="1596133786">
      <w:bodyDiv w:val="1"/>
      <w:marLeft w:val="0"/>
      <w:marRight w:val="0"/>
      <w:marTop w:val="0"/>
      <w:marBottom w:val="0"/>
      <w:divBdr>
        <w:top w:val="none" w:sz="0" w:space="0" w:color="auto"/>
        <w:left w:val="none" w:sz="0" w:space="0" w:color="auto"/>
        <w:bottom w:val="none" w:sz="0" w:space="0" w:color="auto"/>
        <w:right w:val="none" w:sz="0" w:space="0" w:color="auto"/>
      </w:divBdr>
    </w:div>
    <w:div w:id="1667898041">
      <w:bodyDiv w:val="1"/>
      <w:marLeft w:val="0"/>
      <w:marRight w:val="0"/>
      <w:marTop w:val="0"/>
      <w:marBottom w:val="0"/>
      <w:divBdr>
        <w:top w:val="none" w:sz="0" w:space="0" w:color="auto"/>
        <w:left w:val="none" w:sz="0" w:space="0" w:color="auto"/>
        <w:bottom w:val="none" w:sz="0" w:space="0" w:color="auto"/>
        <w:right w:val="none" w:sz="0" w:space="0" w:color="auto"/>
      </w:divBdr>
    </w:div>
    <w:div w:id="1733507498">
      <w:bodyDiv w:val="1"/>
      <w:marLeft w:val="0"/>
      <w:marRight w:val="0"/>
      <w:marTop w:val="0"/>
      <w:marBottom w:val="0"/>
      <w:divBdr>
        <w:top w:val="none" w:sz="0" w:space="0" w:color="auto"/>
        <w:left w:val="none" w:sz="0" w:space="0" w:color="auto"/>
        <w:bottom w:val="none" w:sz="0" w:space="0" w:color="auto"/>
        <w:right w:val="none" w:sz="0" w:space="0" w:color="auto"/>
      </w:divBdr>
    </w:div>
    <w:div w:id="1743067468">
      <w:bodyDiv w:val="1"/>
      <w:marLeft w:val="0"/>
      <w:marRight w:val="0"/>
      <w:marTop w:val="0"/>
      <w:marBottom w:val="0"/>
      <w:divBdr>
        <w:top w:val="none" w:sz="0" w:space="0" w:color="auto"/>
        <w:left w:val="none" w:sz="0" w:space="0" w:color="auto"/>
        <w:bottom w:val="none" w:sz="0" w:space="0" w:color="auto"/>
        <w:right w:val="none" w:sz="0" w:space="0" w:color="auto"/>
      </w:divBdr>
    </w:div>
    <w:div w:id="1885485324">
      <w:bodyDiv w:val="1"/>
      <w:marLeft w:val="0"/>
      <w:marRight w:val="0"/>
      <w:marTop w:val="0"/>
      <w:marBottom w:val="0"/>
      <w:divBdr>
        <w:top w:val="none" w:sz="0" w:space="0" w:color="auto"/>
        <w:left w:val="none" w:sz="0" w:space="0" w:color="auto"/>
        <w:bottom w:val="none" w:sz="0" w:space="0" w:color="auto"/>
        <w:right w:val="none" w:sz="0" w:space="0" w:color="auto"/>
      </w:divBdr>
    </w:div>
    <w:div w:id="1916082790">
      <w:bodyDiv w:val="1"/>
      <w:marLeft w:val="0"/>
      <w:marRight w:val="0"/>
      <w:marTop w:val="0"/>
      <w:marBottom w:val="0"/>
      <w:divBdr>
        <w:top w:val="none" w:sz="0" w:space="0" w:color="auto"/>
        <w:left w:val="none" w:sz="0" w:space="0" w:color="auto"/>
        <w:bottom w:val="none" w:sz="0" w:space="0" w:color="auto"/>
        <w:right w:val="none" w:sz="0" w:space="0" w:color="auto"/>
      </w:divBdr>
    </w:div>
    <w:div w:id="2046128320">
      <w:bodyDiv w:val="1"/>
      <w:marLeft w:val="0"/>
      <w:marRight w:val="0"/>
      <w:marTop w:val="0"/>
      <w:marBottom w:val="0"/>
      <w:divBdr>
        <w:top w:val="none" w:sz="0" w:space="0" w:color="auto"/>
        <w:left w:val="none" w:sz="0" w:space="0" w:color="auto"/>
        <w:bottom w:val="none" w:sz="0" w:space="0" w:color="auto"/>
        <w:right w:val="none" w:sz="0" w:space="0" w:color="auto"/>
      </w:divBdr>
    </w:div>
    <w:div w:id="210484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Mic101</b:Tag>
    <b:SourceType>Book</b:SourceType>
    <b:Guid>{10493780-58D0-49C1-9B8C-49AECE50AE8A}</b:Guid>
    <b:Author>
      <b:Author>
        <b:NameList>
          <b:Person>
            <b:Last>Gagarin</b:Last>
            <b:First>Michael</b:First>
          </b:Person>
        </b:NameList>
      </b:Author>
    </b:Author>
    <b:Title>The Oxford Encyclopedia of Ancient Greece and Rome</b:Title>
    <b:Year>2010</b:Year>
    <b:Publisher>Oxford University Press</b:Publisher>
    <b:RefOrder>1</b:RefOrder>
  </b:Source>
  <b:Source>
    <b:Tag>Rab181</b:Tag>
    <b:SourceType>Book</b:SourceType>
    <b:Guid>{291D7F26-A7AD-4BAC-BC7A-F70BC83F21C8}</b:Guid>
    <b:Author>
      <b:Author>
        <b:NameList>
          <b:Person>
            <b:Last>Rabinowitz</b:Last>
            <b:First>Nancy</b:First>
            <b:Middle>Sorkin</b:Middle>
          </b:Person>
          <b:Person>
            <b:Last>Robson</b:Last>
            <b:First>James</b:First>
          </b:Person>
          <b:Person>
            <b:Last>Masterson</b:Last>
            <b:First>Mark</b:First>
          </b:Person>
        </b:NameList>
      </b:Author>
    </b:Author>
    <b:Title>Sex in Antiquity: Exploring Gender and Sexuality in the Ancient World</b:Title>
    <b:Year>2018</b:Year>
    <b:Publisher>Routledge</b:Publisher>
    <b:RefOrder>2</b:RefOrder>
  </b:Source>
  <b:Source>
    <b:Tag>Jud01</b:Tag>
    <b:SourceType>Book</b:SourceType>
    <b:Guid>{659FA1FC-A7EE-4B97-97BC-4438529A0A31}</b:Guid>
    <b:Author>
      <b:Author>
        <b:NameList>
          <b:Person>
            <b:Last>Barringer</b:Last>
            <b:First>Judith</b:First>
            <b:Middle>M.</b:Middle>
          </b:Person>
        </b:NameList>
      </b:Author>
    </b:Author>
    <b:Title>The Hunt in Ancient Greece</b:Title>
    <b:Year>2001</b:Year>
    <b:Publisher>JHU Press</b:Publisher>
    <b:RefOrder>3</b:RefOrder>
  </b:Source>
</b:Sources>
</file>

<file path=customXml/itemProps1.xml><?xml version="1.0" encoding="utf-8"?>
<ds:datastoreItem xmlns:ds="http://schemas.openxmlformats.org/officeDocument/2006/customXml" ds:itemID="{F310CA8B-C6C4-4526-9FBE-477959D7E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TotalTime>
  <Pages>2</Pages>
  <Words>495</Words>
  <Characters>2822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Emily Vaughan (1901316)</vt:lpstr>
    </vt:vector>
  </TitlesOfParts>
  <Company/>
  <LinksUpToDate>false</LinksUpToDate>
  <CharactersWithSpaces>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Emily Vaughan (1901316)</dc:title>
  <dc:subject/>
  <dc:creator>Emily Vaughan</dc:creator>
  <cp:keywords/>
  <dc:description/>
  <cp:lastModifiedBy>Emily Vaughan</cp:lastModifiedBy>
  <cp:revision>4</cp:revision>
  <dcterms:created xsi:type="dcterms:W3CDTF">2019-09-28T16:50:00Z</dcterms:created>
  <dcterms:modified xsi:type="dcterms:W3CDTF">2019-09-28T20:34:00Z</dcterms:modified>
</cp:coreProperties>
</file>