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FE342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F2C0E">
              <w:rPr>
                <w:rFonts w:ascii="Times New Roman" w:hAnsi="Times New Roman" w:cs="Times New Roman"/>
                <w:b/>
                <w:color w:val="auto"/>
                <w:sz w:val="48"/>
              </w:rPr>
              <w:t>Marie Walker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F53572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F2C0E">
              <w:rPr>
                <w:rFonts w:ascii="Times New Roman" w:hAnsi="Times New Roman" w:cs="Times New Roman"/>
                <w:b/>
                <w:color w:val="auto"/>
                <w:sz w:val="48"/>
              </w:rPr>
              <w:t xml:space="preserve"> marie1979@sky.com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049AF2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5027A">
              <w:rPr>
                <w:rFonts w:ascii="Times New Roman" w:hAnsi="Times New Roman" w:cs="Times New Roman"/>
                <w:b/>
                <w:color w:val="auto"/>
                <w:sz w:val="48"/>
              </w:rPr>
              <w:t xml:space="preserve"> </w:t>
            </w:r>
            <w:r w:rsidR="0035027A">
              <w:rPr>
                <w:b/>
                <w:sz w:val="24"/>
                <w:szCs w:val="24"/>
              </w:rPr>
              <w:t>2517987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3B43BC6D" w14:textId="77777777" w:rsidR="00DF2C0E" w:rsidRDefault="00DF2C0E" w:rsidP="00DF2C0E">
            <w:pPr>
              <w:spacing w:line="360" w:lineRule="auto"/>
              <w:rPr>
                <w:sz w:val="24"/>
                <w:szCs w:val="24"/>
              </w:rPr>
            </w:pPr>
            <w:r w:rsidRPr="007A3AA8">
              <w:rPr>
                <w:sz w:val="24"/>
                <w:szCs w:val="24"/>
              </w:rPr>
              <w:t xml:space="preserve">Adult safeguarding in Wales is underpinned by legislation, national guidance, local policies and organisational procedures designed to protect adults at risk from abuse, neglect and exploitation. The primary legislation is the Social Services and Well-being (Wales) Act 2014, which defines an adult at risk as someone experiencing, or at risk of, abuse or neglect who has care and support needs and is unable to protect themselves. The Act places a duty on local authorities to make enquiries where there is reasonable cause to suspect an adult is at risk and determine what action is required (Welsh Government, 2014). </w:t>
            </w:r>
          </w:p>
          <w:p w14:paraId="460C0987" w14:textId="77777777" w:rsidR="00383586" w:rsidRPr="007A3AA8" w:rsidRDefault="00383586" w:rsidP="00DF2C0E">
            <w:pPr>
              <w:spacing w:line="360" w:lineRule="auto"/>
              <w:rPr>
                <w:sz w:val="24"/>
                <w:szCs w:val="24"/>
              </w:rPr>
            </w:pPr>
          </w:p>
          <w:p w14:paraId="30A0773E" w14:textId="77777777" w:rsidR="00DF2C0E" w:rsidRDefault="00DF2C0E" w:rsidP="00DF2C0E">
            <w:pPr>
              <w:spacing w:line="360" w:lineRule="auto"/>
              <w:rPr>
                <w:sz w:val="24"/>
                <w:szCs w:val="24"/>
              </w:rPr>
            </w:pPr>
            <w:r w:rsidRPr="007A3AA8">
              <w:rPr>
                <w:sz w:val="24"/>
                <w:szCs w:val="24"/>
              </w:rPr>
              <w:t>The Mental Capacity Act 2005 is also central to safeguarding adults. It is based on the principle that adults should be presumed to have capacity unless proven otherwise. Adults with capacity have the right to make decisions others may consider unwise, meaning safeguarding interventions must respect individual autonomy wherever possible (Mental Capacity Act 2005). Where an adult lacks capacity, decisions must be made in their best interests. The Act also underpins Deprivation of Liberty Safeguards (</w:t>
            </w:r>
            <w:proofErr w:type="spellStart"/>
            <w:r w:rsidRPr="007A3AA8">
              <w:rPr>
                <w:sz w:val="24"/>
                <w:szCs w:val="24"/>
              </w:rPr>
              <w:t>DoLS</w:t>
            </w:r>
            <w:proofErr w:type="spellEnd"/>
            <w:r w:rsidRPr="007A3AA8">
              <w:rPr>
                <w:sz w:val="24"/>
                <w:szCs w:val="24"/>
              </w:rPr>
              <w:t>) and applications to the Court of Protection where significant decisions regarding an adult's welfare are required.</w:t>
            </w:r>
          </w:p>
          <w:p w14:paraId="15E22189" w14:textId="77777777" w:rsidR="00D12B12" w:rsidRPr="007A3AA8" w:rsidRDefault="00D12B12" w:rsidP="00DF2C0E">
            <w:pPr>
              <w:spacing w:line="360" w:lineRule="auto"/>
              <w:rPr>
                <w:sz w:val="24"/>
                <w:szCs w:val="24"/>
              </w:rPr>
            </w:pPr>
          </w:p>
          <w:p w14:paraId="170B509B" w14:textId="77777777" w:rsidR="00DF2C0E" w:rsidRDefault="00DF2C0E" w:rsidP="00DF2C0E">
            <w:pPr>
              <w:spacing w:line="360" w:lineRule="auto"/>
              <w:rPr>
                <w:sz w:val="24"/>
                <w:szCs w:val="24"/>
              </w:rPr>
            </w:pPr>
            <w:r w:rsidRPr="007A3AA8">
              <w:rPr>
                <w:sz w:val="24"/>
                <w:szCs w:val="24"/>
              </w:rPr>
              <w:lastRenderedPageBreak/>
              <w:t>Adult safeguarding must also be considered alongside the UK General Data Protection Regulation (UK GDPR) and the Data Protection Act 2018. Whilst confidentiality is important, information can be shared without consent where necessary to protect an adult at risk or prevent serious harm (Information Commissioner's Office, 2024). Effective safeguarding therefore requires professionals to balance an individual's right to privacy with their duty to protect them from abuse or neglect. The Human Rights Act 1998 and Equality Act 2010 are also relevant, promoting dignity, equality and protection from discrimination. Safeguarding practice should additionally reflect the principles of the United Nations Convention on the Rights of Persons with Disabilities (UNCRPD), which promotes participation, independence and inclusion.</w:t>
            </w:r>
          </w:p>
          <w:p w14:paraId="28968F3C" w14:textId="77777777" w:rsidR="00D12B12" w:rsidRPr="007A3AA8" w:rsidRDefault="00D12B12" w:rsidP="00DF2C0E">
            <w:pPr>
              <w:spacing w:line="360" w:lineRule="auto"/>
              <w:rPr>
                <w:sz w:val="24"/>
                <w:szCs w:val="24"/>
              </w:rPr>
            </w:pPr>
          </w:p>
          <w:p w14:paraId="281FFDF0" w14:textId="77777777" w:rsidR="00DF2C0E" w:rsidRDefault="00DF2C0E" w:rsidP="00DF2C0E">
            <w:pPr>
              <w:spacing w:line="360" w:lineRule="auto"/>
              <w:rPr>
                <w:sz w:val="24"/>
                <w:szCs w:val="24"/>
              </w:rPr>
            </w:pPr>
            <w:r w:rsidRPr="007A3AA8">
              <w:rPr>
                <w:sz w:val="24"/>
                <w:szCs w:val="24"/>
              </w:rPr>
              <w:t xml:space="preserve">At a national level, safeguarding practice is guided by the Wales Safeguarding Procedures and Welsh Government guidance, Working Together to Safeguard People (Welsh Government, 2018; Wales Safeguarding Procedures, n.d.). These provide a consistent framework across Wales, outlining practitioners' responsibilities when responding to abuse or neglect and emphasising person-centred and multi-agency practice. </w:t>
            </w:r>
          </w:p>
          <w:p w14:paraId="66CA80C1" w14:textId="77777777" w:rsidR="00D12B12" w:rsidRPr="007A3AA8" w:rsidRDefault="00D12B12" w:rsidP="00DF2C0E">
            <w:pPr>
              <w:spacing w:line="360" w:lineRule="auto"/>
              <w:rPr>
                <w:sz w:val="24"/>
                <w:szCs w:val="24"/>
              </w:rPr>
            </w:pPr>
          </w:p>
          <w:p w14:paraId="6E5D996E" w14:textId="77777777" w:rsidR="00DF2C0E" w:rsidRPr="007A3AA8" w:rsidRDefault="00DF2C0E" w:rsidP="00DF2C0E">
            <w:pPr>
              <w:spacing w:line="360" w:lineRule="auto"/>
              <w:rPr>
                <w:sz w:val="24"/>
                <w:szCs w:val="24"/>
              </w:rPr>
            </w:pPr>
            <w:r w:rsidRPr="007A3AA8">
              <w:rPr>
                <w:sz w:val="24"/>
                <w:szCs w:val="24"/>
              </w:rPr>
              <w:t xml:space="preserve">Social Care Wales further supports safeguarding through the Code of Professional Practice for Social Care Workers, which requires practitioners to promote wellbeing, safeguard individuals, respect rights and exercise professional judgement (Social Care Wales, 2026). </w:t>
            </w:r>
          </w:p>
          <w:p w14:paraId="17D40879" w14:textId="77777777" w:rsidR="00DF2C0E" w:rsidRDefault="00DF2C0E" w:rsidP="00DF2C0E">
            <w:pPr>
              <w:spacing w:line="360" w:lineRule="auto"/>
              <w:rPr>
                <w:sz w:val="24"/>
                <w:szCs w:val="24"/>
              </w:rPr>
            </w:pPr>
            <w:r w:rsidRPr="007A3AA8">
              <w:rPr>
                <w:sz w:val="24"/>
                <w:szCs w:val="24"/>
              </w:rPr>
              <w:t>At a local level, safeguarding arrangements are coordinated through regional Safeguarding Boards, which promote partnership working, oversee practice reviews and monitor safeguarding effectiveness across agencies (Welsh Government, 2016).</w:t>
            </w:r>
          </w:p>
          <w:p w14:paraId="3AB8837B" w14:textId="77777777" w:rsidR="00270392" w:rsidRPr="007A3AA8" w:rsidRDefault="00270392" w:rsidP="00DF2C0E">
            <w:pPr>
              <w:spacing w:line="360" w:lineRule="auto"/>
              <w:rPr>
                <w:sz w:val="24"/>
                <w:szCs w:val="24"/>
              </w:rPr>
            </w:pPr>
          </w:p>
          <w:p w14:paraId="3C55D902" w14:textId="77777777" w:rsidR="00DF2C0E" w:rsidRPr="007A3AA8" w:rsidRDefault="00DF2C0E" w:rsidP="00DF2C0E">
            <w:pPr>
              <w:spacing w:line="360" w:lineRule="auto"/>
              <w:rPr>
                <w:sz w:val="24"/>
                <w:szCs w:val="24"/>
              </w:rPr>
            </w:pPr>
            <w:r w:rsidRPr="007A3AA8">
              <w:rPr>
                <w:sz w:val="24"/>
                <w:szCs w:val="24"/>
              </w:rPr>
              <w:t>Within my organisation, safeguarding policies and procedures support staff to recognise, report and respond to concerns about abuse or neglect. These procedures provide guidance on recording concerns, sharing information, assessing risk and working collaboratively with partner agencies. Approved Mental Health Professionals (AMHPs) also play an important role by coordinating Mental Health Act assessments and ensuring an individual's rights, wellbeing and safety are considered when significant mental health concerns arise.</w:t>
            </w:r>
          </w:p>
          <w:p w14:paraId="4472ED67" w14:textId="77777777" w:rsidR="00DF2C0E" w:rsidRPr="007A3AA8" w:rsidRDefault="00DF2C0E" w:rsidP="00DF2C0E">
            <w:pPr>
              <w:spacing w:line="360" w:lineRule="auto"/>
              <w:rPr>
                <w:sz w:val="24"/>
                <w:szCs w:val="24"/>
              </w:rPr>
            </w:pPr>
            <w:r w:rsidRPr="007A3AA8">
              <w:rPr>
                <w:sz w:val="24"/>
                <w:szCs w:val="24"/>
              </w:rPr>
              <w:lastRenderedPageBreak/>
              <w:t>Together, legislation, national guidance, local arrangements and organisational procedures ensure adults at risk are safeguarded whilst promoting their rights, wellbeing, choice and autonomy.</w:t>
            </w:r>
          </w:p>
          <w:p w14:paraId="080A73CB" w14:textId="77777777" w:rsidR="00DF2C0E" w:rsidRPr="007A3AA8" w:rsidRDefault="00DF2C0E" w:rsidP="00DF2C0E">
            <w:pPr>
              <w:spacing w:line="360" w:lineRule="auto"/>
              <w:rPr>
                <w:sz w:val="24"/>
                <w:szCs w:val="24"/>
              </w:rPr>
            </w:pPr>
          </w:p>
          <w:p w14:paraId="1408F164" w14:textId="77777777" w:rsidR="00DF2C0E" w:rsidRPr="007A3AA8" w:rsidRDefault="00DF2C0E" w:rsidP="00DF2C0E">
            <w:pPr>
              <w:spacing w:line="360" w:lineRule="auto"/>
              <w:rPr>
                <w:b/>
                <w:bCs/>
                <w:sz w:val="24"/>
                <w:szCs w:val="24"/>
              </w:rPr>
            </w:pPr>
            <w:r w:rsidRPr="007A3AA8">
              <w:rPr>
                <w:b/>
                <w:bCs/>
                <w:sz w:val="24"/>
                <w:szCs w:val="24"/>
              </w:rPr>
              <w:t>Word Count - 509</w:t>
            </w:r>
          </w:p>
          <w:p w14:paraId="6D8CB8AF" w14:textId="77777777" w:rsidR="00FC0334" w:rsidRPr="007A3AA8"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569BEAE1" w14:textId="77777777" w:rsidR="00EA32A2" w:rsidRDefault="00EA32A2" w:rsidP="00EA32A2">
            <w:pPr>
              <w:spacing w:line="360" w:lineRule="auto"/>
              <w:rPr>
                <w:sz w:val="24"/>
                <w:szCs w:val="24"/>
              </w:rPr>
            </w:pPr>
            <w:r w:rsidRPr="007A3AA8">
              <w:rPr>
                <w:sz w:val="24"/>
                <w:szCs w:val="24"/>
              </w:rPr>
              <w:t>Reflecting on safeguarding within adults’ and children’s services has highlighted several important differences in legislation, professional responsibilities and decision-making. Whilst both aim to protect individuals from abuse, neglect and harm, the approach taken often differs due to considerations of capacity, consent and autonomy.</w:t>
            </w:r>
          </w:p>
          <w:p w14:paraId="77A18759" w14:textId="77777777" w:rsidR="00630BA0" w:rsidRPr="007A3AA8" w:rsidRDefault="00630BA0" w:rsidP="00EA32A2">
            <w:pPr>
              <w:spacing w:line="360" w:lineRule="auto"/>
              <w:rPr>
                <w:sz w:val="24"/>
                <w:szCs w:val="24"/>
              </w:rPr>
            </w:pPr>
          </w:p>
          <w:p w14:paraId="368E93E1" w14:textId="77777777" w:rsidR="00EA32A2" w:rsidRDefault="00EA32A2" w:rsidP="00EA32A2">
            <w:pPr>
              <w:spacing w:line="360" w:lineRule="auto"/>
              <w:rPr>
                <w:sz w:val="24"/>
                <w:szCs w:val="24"/>
              </w:rPr>
            </w:pPr>
            <w:r w:rsidRPr="007A3AA8">
              <w:rPr>
                <w:sz w:val="24"/>
                <w:szCs w:val="24"/>
              </w:rPr>
              <w:t>In Wales, both adult and children's safeguarding are underpinned by the Social Services and Well-being (Wales) Act 2014 (Welsh Government, 2014). However, the definition of an adult at risk differs from that of a child at risk. Adults must have care and support needs and be unable to protect themselves from abuse or neglect because of those needs. In contrast, children's safeguarding focuses on protecting any child experiencing, or at risk of, abuse, neglect or harm and places a duty on agencies to intervene where concerns meet the statutory threshold.</w:t>
            </w:r>
          </w:p>
          <w:p w14:paraId="40F518F9" w14:textId="77777777" w:rsidR="00630BA0" w:rsidRPr="007A3AA8" w:rsidRDefault="00630BA0" w:rsidP="00EA32A2">
            <w:pPr>
              <w:spacing w:line="360" w:lineRule="auto"/>
              <w:rPr>
                <w:sz w:val="24"/>
                <w:szCs w:val="24"/>
              </w:rPr>
            </w:pPr>
          </w:p>
          <w:p w14:paraId="16CBE5EC" w14:textId="77777777" w:rsidR="00EA32A2" w:rsidRDefault="00EA32A2" w:rsidP="00EA32A2">
            <w:pPr>
              <w:spacing w:line="360" w:lineRule="auto"/>
              <w:rPr>
                <w:sz w:val="24"/>
                <w:szCs w:val="24"/>
              </w:rPr>
            </w:pPr>
            <w:r w:rsidRPr="007A3AA8">
              <w:rPr>
                <w:sz w:val="24"/>
                <w:szCs w:val="24"/>
              </w:rPr>
              <w:lastRenderedPageBreak/>
              <w:t>The most significant difference is the role of consent and capacity. The Mental Capacity Act 2005 states that adults should be presumed to have capacity unless proven otherwise. Therefore, adults with capacity can make decisions others may consider unwise and can refuse safeguarding interventions even when professionals remain concerned. Adult safeguarding places significant emphasis on autonomy, self-determination and the right to make decisions about one's own life.</w:t>
            </w:r>
          </w:p>
          <w:p w14:paraId="0349896E" w14:textId="77777777" w:rsidR="00A15A60" w:rsidRPr="007A3AA8" w:rsidRDefault="00A15A60" w:rsidP="00EA32A2">
            <w:pPr>
              <w:spacing w:line="360" w:lineRule="auto"/>
              <w:rPr>
                <w:sz w:val="24"/>
                <w:szCs w:val="24"/>
              </w:rPr>
            </w:pPr>
          </w:p>
          <w:p w14:paraId="274057A4" w14:textId="77777777" w:rsidR="00EA32A2" w:rsidRDefault="00EA32A2" w:rsidP="00EA32A2">
            <w:pPr>
              <w:spacing w:line="360" w:lineRule="auto"/>
              <w:rPr>
                <w:sz w:val="24"/>
                <w:szCs w:val="24"/>
              </w:rPr>
            </w:pPr>
            <w:r w:rsidRPr="007A3AA8">
              <w:rPr>
                <w:sz w:val="24"/>
                <w:szCs w:val="24"/>
              </w:rPr>
              <w:t xml:space="preserve">In comparison, children's safeguarding is guided by the principle that the child's welfare is paramount under the Children Act 1989. Whilst children's wishes and feelings </w:t>
            </w:r>
            <w:proofErr w:type="gramStart"/>
            <w:r w:rsidRPr="007A3AA8">
              <w:rPr>
                <w:sz w:val="24"/>
                <w:szCs w:val="24"/>
              </w:rPr>
              <w:t>should always be sought and considered,</w:t>
            </w:r>
            <w:proofErr w:type="gramEnd"/>
            <w:r w:rsidRPr="007A3AA8">
              <w:rPr>
                <w:sz w:val="24"/>
                <w:szCs w:val="24"/>
              </w:rPr>
              <w:t xml:space="preserve"> professionals may need to act contrary to those wishes if they believe a child is at risk of significant harm. Furthermore, where there is reasonable cause to suspect a child is suffering, or likely to suffer, significant harm, local authorities have a duty to undertake Section 47 enquiries under the Children Act 1989. This means safeguarding intervention can proceed regardless of whether a child or parent agrees.</w:t>
            </w:r>
          </w:p>
          <w:p w14:paraId="5F1A83CB" w14:textId="77777777" w:rsidR="00A15A60" w:rsidRPr="007A3AA8" w:rsidRDefault="00A15A60" w:rsidP="00EA32A2">
            <w:pPr>
              <w:spacing w:line="360" w:lineRule="auto"/>
              <w:rPr>
                <w:sz w:val="24"/>
                <w:szCs w:val="24"/>
              </w:rPr>
            </w:pPr>
          </w:p>
          <w:p w14:paraId="6A6EFE4D" w14:textId="77777777" w:rsidR="00EA32A2" w:rsidRDefault="00EA32A2" w:rsidP="00EA32A2">
            <w:pPr>
              <w:spacing w:line="360" w:lineRule="auto"/>
              <w:rPr>
                <w:sz w:val="24"/>
                <w:szCs w:val="24"/>
              </w:rPr>
            </w:pPr>
            <w:r w:rsidRPr="007A3AA8">
              <w:rPr>
                <w:sz w:val="24"/>
                <w:szCs w:val="24"/>
              </w:rPr>
              <w:t>Furthermore, adults who hold parental responsibility are usually responsible for making decisions on behalf of their child. As children mature, professionals may need to consider Gillick competency, which recognises that some children may have sufficient understanding and intelligence to make certain decisions independently (Gillick v West Norfolk and Wisbech Area Health Authority, 1986). However, even where a child is considered Gillick competent, safeguarding duties remain and professionals may still need to intervene if they are at risk of significant harm.</w:t>
            </w:r>
          </w:p>
          <w:p w14:paraId="0DB8A3C7" w14:textId="77777777" w:rsidR="00DF1ED3" w:rsidRPr="007A3AA8" w:rsidRDefault="00DF1ED3" w:rsidP="00EA32A2">
            <w:pPr>
              <w:spacing w:line="360" w:lineRule="auto"/>
              <w:rPr>
                <w:sz w:val="24"/>
                <w:szCs w:val="24"/>
              </w:rPr>
            </w:pPr>
          </w:p>
          <w:p w14:paraId="7E337184" w14:textId="77777777" w:rsidR="00DF1ED3" w:rsidRDefault="00EA32A2" w:rsidP="00EA32A2">
            <w:pPr>
              <w:spacing w:line="360" w:lineRule="auto"/>
              <w:rPr>
                <w:sz w:val="24"/>
                <w:szCs w:val="24"/>
              </w:rPr>
            </w:pPr>
            <w:r w:rsidRPr="007A3AA8">
              <w:rPr>
                <w:sz w:val="24"/>
                <w:szCs w:val="24"/>
              </w:rPr>
              <w:t xml:space="preserve">In contrast, adults are presumed to have capacity unless assessed otherwise under the Mental Capacity Act 2005. Where an adult has capacity, their decisions must generally be respected, even when professionals disagree. </w:t>
            </w:r>
          </w:p>
          <w:p w14:paraId="350E9F2C" w14:textId="77777777" w:rsidR="00DF1ED3" w:rsidRDefault="00DF1ED3" w:rsidP="00EA32A2">
            <w:pPr>
              <w:spacing w:line="360" w:lineRule="auto"/>
              <w:rPr>
                <w:sz w:val="24"/>
                <w:szCs w:val="24"/>
              </w:rPr>
            </w:pPr>
          </w:p>
          <w:p w14:paraId="3F1EB401" w14:textId="1696DFA6" w:rsidR="00EA32A2" w:rsidRPr="007A3AA8" w:rsidRDefault="00EA32A2" w:rsidP="00EA32A2">
            <w:pPr>
              <w:spacing w:line="360" w:lineRule="auto"/>
              <w:rPr>
                <w:sz w:val="24"/>
                <w:szCs w:val="24"/>
              </w:rPr>
            </w:pPr>
            <w:r w:rsidRPr="007A3AA8">
              <w:rPr>
                <w:sz w:val="24"/>
                <w:szCs w:val="24"/>
              </w:rPr>
              <w:t>Reflecting on these differences has increased my understanding of the balance between protection, autonomy and rights, and how professional judgement must be applied differently when working with adults and children.</w:t>
            </w:r>
          </w:p>
          <w:p w14:paraId="17EC50A6" w14:textId="77777777" w:rsidR="00EA32A2" w:rsidRPr="007A3AA8" w:rsidRDefault="00EA32A2" w:rsidP="00EA32A2">
            <w:pPr>
              <w:rPr>
                <w:sz w:val="24"/>
                <w:szCs w:val="24"/>
              </w:rPr>
            </w:pPr>
          </w:p>
          <w:p w14:paraId="5FDEB251" w14:textId="77777777" w:rsidR="00EA32A2" w:rsidRPr="007A3AA8" w:rsidRDefault="00EA32A2" w:rsidP="00EA32A2">
            <w:pPr>
              <w:rPr>
                <w:b/>
                <w:bCs/>
                <w:sz w:val="24"/>
                <w:szCs w:val="24"/>
              </w:rPr>
            </w:pPr>
            <w:r w:rsidRPr="007A3AA8">
              <w:rPr>
                <w:b/>
                <w:bCs/>
                <w:sz w:val="24"/>
                <w:szCs w:val="24"/>
              </w:rPr>
              <w:lastRenderedPageBreak/>
              <w:t>Word Count - 440</w:t>
            </w:r>
          </w:p>
          <w:p w14:paraId="67E7ED72" w14:textId="77777777" w:rsidR="00FC0334" w:rsidRPr="007A3AA8" w:rsidRDefault="00FC0334" w:rsidP="00FC0334">
            <w:pPr>
              <w:jc w:val="both"/>
              <w:rPr>
                <w:sz w:val="24"/>
                <w:szCs w:val="24"/>
              </w:rPr>
            </w:pPr>
          </w:p>
          <w:p w14:paraId="478D2F84" w14:textId="77777777" w:rsidR="00FC0334" w:rsidRPr="007A3AA8"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1B9EB" w14:textId="77777777" w:rsidR="006342CA" w:rsidRDefault="006342CA">
      <w:r>
        <w:separator/>
      </w:r>
    </w:p>
  </w:endnote>
  <w:endnote w:type="continuationSeparator" w:id="0">
    <w:p w14:paraId="7F3BED79" w14:textId="77777777" w:rsidR="006342CA" w:rsidRDefault="006342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198BB" w14:textId="77777777" w:rsidR="006342CA" w:rsidRDefault="006342CA">
      <w:r>
        <w:separator/>
      </w:r>
    </w:p>
  </w:footnote>
  <w:footnote w:type="continuationSeparator" w:id="0">
    <w:p w14:paraId="701A9B55" w14:textId="77777777" w:rsidR="006342CA" w:rsidRDefault="006342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0392"/>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27A"/>
    <w:rsid w:val="00354B6D"/>
    <w:rsid w:val="00355210"/>
    <w:rsid w:val="00355CFD"/>
    <w:rsid w:val="00360ACC"/>
    <w:rsid w:val="00365DF9"/>
    <w:rsid w:val="0037066E"/>
    <w:rsid w:val="00372DB4"/>
    <w:rsid w:val="00373A36"/>
    <w:rsid w:val="0037419E"/>
    <w:rsid w:val="00375AF5"/>
    <w:rsid w:val="003761BD"/>
    <w:rsid w:val="00377448"/>
    <w:rsid w:val="00377884"/>
    <w:rsid w:val="003826BD"/>
    <w:rsid w:val="00383586"/>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DB0"/>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0BA0"/>
    <w:rsid w:val="006326D1"/>
    <w:rsid w:val="00632E0A"/>
    <w:rsid w:val="00633165"/>
    <w:rsid w:val="006342CA"/>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AA8"/>
    <w:rsid w:val="007A628F"/>
    <w:rsid w:val="007B0DE3"/>
    <w:rsid w:val="007B1BFD"/>
    <w:rsid w:val="007B7191"/>
    <w:rsid w:val="007C1D94"/>
    <w:rsid w:val="007C2D85"/>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791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A60"/>
    <w:rsid w:val="00A16DD1"/>
    <w:rsid w:val="00A22441"/>
    <w:rsid w:val="00A23F3B"/>
    <w:rsid w:val="00A24406"/>
    <w:rsid w:val="00A25F64"/>
    <w:rsid w:val="00A275F6"/>
    <w:rsid w:val="00A303B9"/>
    <w:rsid w:val="00A37416"/>
    <w:rsid w:val="00A40ED6"/>
    <w:rsid w:val="00A47621"/>
    <w:rsid w:val="00A479CD"/>
    <w:rsid w:val="00A50CFC"/>
    <w:rsid w:val="00A543F8"/>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B12"/>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1ED3"/>
    <w:rsid w:val="00DF2469"/>
    <w:rsid w:val="00DF2C0E"/>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2A2"/>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1168</Words>
  <Characters>6917</Characters>
  <Application>Microsoft Office Word</Application>
  <DocSecurity>0</DocSecurity>
  <Lines>153</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Marie Walker</cp:lastModifiedBy>
  <cp:revision>10</cp:revision>
  <cp:lastPrinted>2020-02-11T19:20:00Z</cp:lastPrinted>
  <dcterms:created xsi:type="dcterms:W3CDTF">2026-09-17T15:32:00Z</dcterms:created>
  <dcterms:modified xsi:type="dcterms:W3CDTF">2026-09-24T11:07:00Z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