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77D6A" w14:textId="77777777" w:rsidR="008D4529" w:rsidRPr="008D4529" w:rsidRDefault="008D4529" w:rsidP="008D4529">
      <w:pPr>
        <w:spacing w:line="360" w:lineRule="auto"/>
        <w:rPr>
          <w:rFonts w:ascii="Arial" w:hAnsi="Arial" w:cs="Arial"/>
          <w:sz w:val="48"/>
          <w:szCs w:val="48"/>
        </w:rPr>
      </w:pPr>
      <w:r w:rsidRPr="008D4529">
        <w:rPr>
          <w:rFonts w:ascii="Arial" w:hAnsi="Arial" w:cs="Arial"/>
          <w:sz w:val="48"/>
          <w:szCs w:val="48"/>
        </w:rPr>
        <w:t>A Critical Analysis of Sustainable Development Goals 3 (Good Health and Wellbeing) and 1 (No Poverty): Global, National, and Local Perspectives</w:t>
      </w:r>
    </w:p>
    <w:p w14:paraId="02C32234" w14:textId="77777777" w:rsidR="008D4529" w:rsidRPr="008D4529" w:rsidRDefault="008D4529" w:rsidP="008D4529">
      <w:pPr>
        <w:spacing w:line="360" w:lineRule="auto"/>
        <w:rPr>
          <w:rFonts w:ascii="Arial" w:hAnsi="Arial" w:cs="Arial"/>
          <w:sz w:val="24"/>
          <w:szCs w:val="24"/>
        </w:rPr>
      </w:pPr>
    </w:p>
    <w:p w14:paraId="1303DE70" w14:textId="77777777" w:rsidR="008D4529" w:rsidRPr="008D4529" w:rsidRDefault="008D4529" w:rsidP="008D4529">
      <w:pPr>
        <w:spacing w:line="360" w:lineRule="auto"/>
        <w:rPr>
          <w:rFonts w:ascii="Arial" w:hAnsi="Arial" w:cs="Arial"/>
          <w:sz w:val="24"/>
          <w:szCs w:val="24"/>
        </w:rPr>
      </w:pPr>
    </w:p>
    <w:p w14:paraId="1679355A" w14:textId="77777777" w:rsidR="008D4529" w:rsidRPr="008D4529" w:rsidRDefault="008D4529" w:rsidP="008D4529">
      <w:pPr>
        <w:spacing w:line="360" w:lineRule="auto"/>
        <w:rPr>
          <w:rFonts w:ascii="Arial" w:hAnsi="Arial" w:cs="Arial"/>
          <w:sz w:val="24"/>
          <w:szCs w:val="24"/>
        </w:rPr>
      </w:pPr>
    </w:p>
    <w:p w14:paraId="43006CD3"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Name: Sabeena Bibi</w:t>
      </w:r>
    </w:p>
    <w:p w14:paraId="025BBE29" w14:textId="77777777" w:rsidR="008D4529" w:rsidRPr="008D4529" w:rsidRDefault="008D4529" w:rsidP="008D4529">
      <w:pPr>
        <w:spacing w:line="360" w:lineRule="auto"/>
        <w:rPr>
          <w:rFonts w:ascii="Arial" w:hAnsi="Arial" w:cs="Arial"/>
          <w:sz w:val="24"/>
          <w:szCs w:val="24"/>
        </w:rPr>
      </w:pPr>
    </w:p>
    <w:p w14:paraId="149AE6C4"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Student Number: 2220252</w:t>
      </w:r>
    </w:p>
    <w:p w14:paraId="1593A5B4" w14:textId="77777777" w:rsidR="008D4529" w:rsidRPr="008D4529" w:rsidRDefault="008D4529" w:rsidP="008D4529">
      <w:pPr>
        <w:spacing w:line="360" w:lineRule="auto"/>
        <w:rPr>
          <w:rFonts w:ascii="Arial" w:hAnsi="Arial" w:cs="Arial"/>
          <w:sz w:val="24"/>
          <w:szCs w:val="24"/>
        </w:rPr>
      </w:pPr>
    </w:p>
    <w:p w14:paraId="5C48B338"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Module: BMHP6030</w:t>
      </w:r>
    </w:p>
    <w:p w14:paraId="6C105A76" w14:textId="77777777" w:rsidR="008D4529" w:rsidRPr="008D4529" w:rsidRDefault="008D4529" w:rsidP="008D4529">
      <w:pPr>
        <w:spacing w:line="360" w:lineRule="auto"/>
        <w:rPr>
          <w:rFonts w:ascii="Arial" w:hAnsi="Arial" w:cs="Arial"/>
          <w:sz w:val="24"/>
          <w:szCs w:val="24"/>
        </w:rPr>
      </w:pPr>
    </w:p>
    <w:p w14:paraId="4A6B4904"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Assignment: Assignment 2 – Sustainable Development Report</w:t>
      </w:r>
    </w:p>
    <w:p w14:paraId="10DD0AE1" w14:textId="77777777" w:rsidR="008D4529" w:rsidRPr="008D4529" w:rsidRDefault="008D4529" w:rsidP="008D4529">
      <w:pPr>
        <w:spacing w:line="360" w:lineRule="auto"/>
        <w:rPr>
          <w:rFonts w:ascii="Arial" w:hAnsi="Arial" w:cs="Arial"/>
          <w:sz w:val="24"/>
          <w:szCs w:val="24"/>
        </w:rPr>
      </w:pPr>
    </w:p>
    <w:p w14:paraId="0AF706D9"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Lecturer: Parese Ahmed</w:t>
      </w:r>
    </w:p>
    <w:p w14:paraId="41CE73A5" w14:textId="77777777" w:rsidR="008D4529" w:rsidRPr="008D4529" w:rsidRDefault="008D4529" w:rsidP="008D4529">
      <w:pPr>
        <w:spacing w:line="360" w:lineRule="auto"/>
        <w:rPr>
          <w:rFonts w:ascii="Arial" w:hAnsi="Arial" w:cs="Arial"/>
          <w:sz w:val="24"/>
          <w:szCs w:val="24"/>
        </w:rPr>
      </w:pPr>
    </w:p>
    <w:p w14:paraId="28375F5A" w14:textId="73E73B1B"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Introduction </w:t>
      </w:r>
    </w:p>
    <w:p w14:paraId="6F51D470" w14:textId="77777777" w:rsidR="008D4529" w:rsidRPr="008D4529" w:rsidRDefault="008D4529" w:rsidP="008D4529">
      <w:pPr>
        <w:spacing w:line="360" w:lineRule="auto"/>
        <w:rPr>
          <w:rFonts w:ascii="Arial" w:hAnsi="Arial" w:cs="Arial"/>
          <w:sz w:val="24"/>
          <w:szCs w:val="24"/>
        </w:rPr>
      </w:pPr>
    </w:p>
    <w:p w14:paraId="314FB73D" w14:textId="77777777" w:rsidR="008D4529" w:rsidRPr="008D4529" w:rsidRDefault="008D4529" w:rsidP="008D4529">
      <w:pPr>
        <w:spacing w:line="360" w:lineRule="auto"/>
        <w:rPr>
          <w:rFonts w:ascii="Arial" w:hAnsi="Arial" w:cs="Arial"/>
          <w:sz w:val="24"/>
          <w:szCs w:val="24"/>
        </w:rPr>
      </w:pPr>
    </w:p>
    <w:p w14:paraId="5A355E06"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The United Nations’ Sustainable Development Goals (SDGs) provide a universal framework for addressing global challenges related to poverty, health, inequality, and sustainability by 2030 (United Nations, 2015). The 17 SDGs are deliberately </w:t>
      </w:r>
      <w:r w:rsidRPr="008D4529">
        <w:rPr>
          <w:rFonts w:ascii="Arial" w:hAnsi="Arial" w:cs="Arial"/>
          <w:sz w:val="24"/>
          <w:szCs w:val="24"/>
        </w:rPr>
        <w:lastRenderedPageBreak/>
        <w:t>interconnected, recognising that progress in one area can either support or undermine progress in others. This report focuses on two interrelated goals: SDG 3 – Good Health and Wellbeing and SDG 1 – No Poverty. Both are central to human development and social justice, particularly in the United Kingdom and Wales, where persistent socioeconomic inequalities continue to influence health outcomes and access to essential services.</w:t>
      </w:r>
    </w:p>
    <w:p w14:paraId="4C64F53B" w14:textId="77777777" w:rsidR="008D4529" w:rsidRPr="008D4529" w:rsidRDefault="008D4529" w:rsidP="008D4529">
      <w:pPr>
        <w:spacing w:line="360" w:lineRule="auto"/>
        <w:rPr>
          <w:rFonts w:ascii="Arial" w:hAnsi="Arial" w:cs="Arial"/>
          <w:sz w:val="24"/>
          <w:szCs w:val="24"/>
        </w:rPr>
      </w:pPr>
    </w:p>
    <w:p w14:paraId="5820A53C" w14:textId="77777777" w:rsidR="008D4529" w:rsidRPr="008D4529" w:rsidRDefault="008D4529" w:rsidP="008D4529">
      <w:pPr>
        <w:spacing w:line="360" w:lineRule="auto"/>
        <w:rPr>
          <w:rFonts w:ascii="Arial" w:hAnsi="Arial" w:cs="Arial"/>
          <w:sz w:val="24"/>
          <w:szCs w:val="24"/>
        </w:rPr>
      </w:pPr>
    </w:p>
    <w:p w14:paraId="776FCF9A" w14:textId="77777777" w:rsidR="008D4529" w:rsidRPr="008D4529" w:rsidRDefault="008D4529" w:rsidP="008D4529">
      <w:pPr>
        <w:spacing w:line="360" w:lineRule="auto"/>
        <w:rPr>
          <w:rFonts w:ascii="Arial" w:hAnsi="Arial" w:cs="Arial"/>
          <w:sz w:val="24"/>
          <w:szCs w:val="24"/>
        </w:rPr>
      </w:pPr>
    </w:p>
    <w:p w14:paraId="177C3ADD"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The report first examines SDG 3, exploring global initiatives such as the World Health Organization’s strategies for universal health coverage, followed by national and Welsh policies including the NHS Long Term Plan and the Healthy Wales framework. It applies relevant theoretical models, such as the Social Determinants of Health, to critically evaluate progress and limitations and to propose evidence-informed recommendations.</w:t>
      </w:r>
    </w:p>
    <w:p w14:paraId="13EAE3C4" w14:textId="77777777" w:rsidR="008D4529" w:rsidRPr="008D4529" w:rsidRDefault="008D4529" w:rsidP="008D4529">
      <w:pPr>
        <w:spacing w:line="360" w:lineRule="auto"/>
        <w:rPr>
          <w:rFonts w:ascii="Arial" w:hAnsi="Arial" w:cs="Arial"/>
          <w:sz w:val="24"/>
          <w:szCs w:val="24"/>
        </w:rPr>
      </w:pPr>
    </w:p>
    <w:p w14:paraId="35308183" w14:textId="77777777" w:rsidR="008D4529" w:rsidRPr="008D4529" w:rsidRDefault="008D4529" w:rsidP="008D4529">
      <w:pPr>
        <w:spacing w:line="360" w:lineRule="auto"/>
        <w:rPr>
          <w:rFonts w:ascii="Arial" w:hAnsi="Arial" w:cs="Arial"/>
          <w:sz w:val="24"/>
          <w:szCs w:val="24"/>
        </w:rPr>
      </w:pPr>
    </w:p>
    <w:p w14:paraId="20E557FB" w14:textId="77777777" w:rsidR="008D4529" w:rsidRPr="008D4529" w:rsidRDefault="008D4529" w:rsidP="008D4529">
      <w:pPr>
        <w:spacing w:line="360" w:lineRule="auto"/>
        <w:rPr>
          <w:rFonts w:ascii="Arial" w:hAnsi="Arial" w:cs="Arial"/>
          <w:sz w:val="24"/>
          <w:szCs w:val="24"/>
        </w:rPr>
      </w:pPr>
    </w:p>
    <w:p w14:paraId="196D0669"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The second section analyses SDG 1, focusing on international and local efforts to reduce poverty and strengthen social protection systems. The discussion draws on concepts such as social exclusion and the Capability Approach to evaluate the effectiveness of current strategies.</w:t>
      </w:r>
    </w:p>
    <w:p w14:paraId="069BB5E7" w14:textId="77777777" w:rsidR="008D4529" w:rsidRPr="008D4529" w:rsidRDefault="008D4529" w:rsidP="008D4529">
      <w:pPr>
        <w:spacing w:line="360" w:lineRule="auto"/>
        <w:rPr>
          <w:rFonts w:ascii="Arial" w:hAnsi="Arial" w:cs="Arial"/>
          <w:sz w:val="24"/>
          <w:szCs w:val="24"/>
        </w:rPr>
      </w:pPr>
    </w:p>
    <w:p w14:paraId="1E9E0489" w14:textId="77777777" w:rsidR="008D4529" w:rsidRPr="008D4529" w:rsidRDefault="008D4529" w:rsidP="008D4529">
      <w:pPr>
        <w:spacing w:line="360" w:lineRule="auto"/>
        <w:rPr>
          <w:rFonts w:ascii="Arial" w:hAnsi="Arial" w:cs="Arial"/>
          <w:sz w:val="24"/>
          <w:szCs w:val="24"/>
        </w:rPr>
      </w:pPr>
    </w:p>
    <w:p w14:paraId="2F20B64A" w14:textId="77777777" w:rsidR="008D4529" w:rsidRPr="008D4529" w:rsidRDefault="008D4529" w:rsidP="008D4529">
      <w:pPr>
        <w:spacing w:line="360" w:lineRule="auto"/>
        <w:rPr>
          <w:rFonts w:ascii="Arial" w:hAnsi="Arial" w:cs="Arial"/>
          <w:sz w:val="24"/>
          <w:szCs w:val="24"/>
        </w:rPr>
      </w:pPr>
    </w:p>
    <w:p w14:paraId="14FE0968"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The report concludes by summarising key findings, reflecting on the strong interlinkages between SDG 3 and SDG 1, and considering their wider implications for sustainable wellbeing and policy integration.</w:t>
      </w:r>
    </w:p>
    <w:p w14:paraId="70BB8A0F" w14:textId="77777777" w:rsidR="008D4529" w:rsidRPr="008D4529" w:rsidRDefault="008D4529" w:rsidP="008D4529">
      <w:pPr>
        <w:spacing w:line="360" w:lineRule="auto"/>
        <w:rPr>
          <w:rFonts w:ascii="Arial" w:hAnsi="Arial" w:cs="Arial"/>
          <w:sz w:val="24"/>
          <w:szCs w:val="24"/>
        </w:rPr>
      </w:pPr>
    </w:p>
    <w:p w14:paraId="65AC52E4"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lastRenderedPageBreak/>
        <w:t>Section 1: SDG 3 – Good Health and Wellbeing (≈800 words)</w:t>
      </w:r>
    </w:p>
    <w:p w14:paraId="1EF4CEF8" w14:textId="77777777" w:rsidR="008D4529" w:rsidRPr="008D4529" w:rsidRDefault="008D4529" w:rsidP="008D4529">
      <w:pPr>
        <w:spacing w:line="360" w:lineRule="auto"/>
        <w:rPr>
          <w:rFonts w:ascii="Arial" w:hAnsi="Arial" w:cs="Arial"/>
          <w:sz w:val="24"/>
          <w:szCs w:val="24"/>
        </w:rPr>
      </w:pPr>
    </w:p>
    <w:p w14:paraId="30B4C747" w14:textId="77777777" w:rsidR="008D4529" w:rsidRPr="008D4529" w:rsidRDefault="008D4529" w:rsidP="008D4529">
      <w:pPr>
        <w:spacing w:line="360" w:lineRule="auto"/>
        <w:rPr>
          <w:rFonts w:ascii="Arial" w:hAnsi="Arial" w:cs="Arial"/>
          <w:sz w:val="24"/>
          <w:szCs w:val="24"/>
        </w:rPr>
      </w:pPr>
    </w:p>
    <w:p w14:paraId="224DB7B3"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Overview of SDG 3</w:t>
      </w:r>
    </w:p>
    <w:p w14:paraId="1A8D1DC1" w14:textId="77777777" w:rsidR="008D4529" w:rsidRPr="008D4529" w:rsidRDefault="008D4529" w:rsidP="008D4529">
      <w:pPr>
        <w:spacing w:line="360" w:lineRule="auto"/>
        <w:rPr>
          <w:rFonts w:ascii="Arial" w:hAnsi="Arial" w:cs="Arial"/>
          <w:sz w:val="24"/>
          <w:szCs w:val="24"/>
        </w:rPr>
      </w:pPr>
    </w:p>
    <w:p w14:paraId="32BB32C8" w14:textId="77777777" w:rsidR="008D4529" w:rsidRPr="008D4529" w:rsidRDefault="008D4529" w:rsidP="008D4529">
      <w:pPr>
        <w:spacing w:line="360" w:lineRule="auto"/>
        <w:rPr>
          <w:rFonts w:ascii="Arial" w:hAnsi="Arial" w:cs="Arial"/>
          <w:sz w:val="24"/>
          <w:szCs w:val="24"/>
        </w:rPr>
      </w:pPr>
    </w:p>
    <w:p w14:paraId="5297E8F0" w14:textId="6A20EE6C"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Sustainable Development Goal 3 aims to “ensure healthy lives and promote wellbeing for all at all ages” (United Nations, 2015, p.xx). It recognises health as both a fundamental human right and a prerequisite for social and economic development. Targets include reducing maternal and child mortality, ending epidemics of communicable diseases, reducing non-communicable diseases, ensuring universal health coverage (UHC), and promoting mental health and wellbeing (World Health Organization [WHO], 2023). SDG 3 is </w:t>
      </w:r>
      <w:r w:rsidR="002517D4" w:rsidRPr="008D4529">
        <w:rPr>
          <w:rFonts w:ascii="Arial" w:hAnsi="Arial" w:cs="Arial"/>
          <w:sz w:val="24"/>
          <w:szCs w:val="24"/>
        </w:rPr>
        <w:t>intricately linked</w:t>
      </w:r>
      <w:r w:rsidRPr="008D4529">
        <w:rPr>
          <w:rFonts w:ascii="Arial" w:hAnsi="Arial" w:cs="Arial"/>
          <w:sz w:val="24"/>
          <w:szCs w:val="24"/>
        </w:rPr>
        <w:t xml:space="preserve"> with other goals such as SDG 1 (No Poverty) and SDG 4 (Quality Education), reflecting the importance of social and economic conditions in shaping health outcomes (Marmot, 2020).</w:t>
      </w:r>
    </w:p>
    <w:p w14:paraId="28D02790" w14:textId="77777777" w:rsidR="008D4529" w:rsidRPr="008D4529" w:rsidRDefault="008D4529" w:rsidP="008D4529">
      <w:pPr>
        <w:spacing w:line="360" w:lineRule="auto"/>
        <w:rPr>
          <w:rFonts w:ascii="Arial" w:hAnsi="Arial" w:cs="Arial"/>
          <w:sz w:val="24"/>
          <w:szCs w:val="24"/>
        </w:rPr>
      </w:pPr>
    </w:p>
    <w:p w14:paraId="548A9A20" w14:textId="77777777" w:rsidR="008D4529" w:rsidRPr="008D4529" w:rsidRDefault="008D4529" w:rsidP="008D4529">
      <w:pPr>
        <w:spacing w:line="360" w:lineRule="auto"/>
        <w:rPr>
          <w:rFonts w:ascii="Arial" w:hAnsi="Arial" w:cs="Arial"/>
          <w:sz w:val="24"/>
          <w:szCs w:val="24"/>
        </w:rPr>
      </w:pPr>
    </w:p>
    <w:p w14:paraId="64479D28" w14:textId="77777777" w:rsidR="008D4529" w:rsidRPr="008D4529" w:rsidRDefault="008D4529" w:rsidP="008D4529">
      <w:pPr>
        <w:spacing w:line="360" w:lineRule="auto"/>
        <w:rPr>
          <w:rFonts w:ascii="Arial" w:hAnsi="Arial" w:cs="Arial"/>
          <w:sz w:val="24"/>
          <w:szCs w:val="24"/>
        </w:rPr>
      </w:pPr>
    </w:p>
    <w:p w14:paraId="2A64F813"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Global policies and initiatives</w:t>
      </w:r>
    </w:p>
    <w:p w14:paraId="7E8DC3FF" w14:textId="77777777" w:rsidR="008D4529" w:rsidRPr="008D4529" w:rsidRDefault="008D4529" w:rsidP="008D4529">
      <w:pPr>
        <w:spacing w:line="360" w:lineRule="auto"/>
        <w:rPr>
          <w:rFonts w:ascii="Arial" w:hAnsi="Arial" w:cs="Arial"/>
          <w:sz w:val="24"/>
          <w:szCs w:val="24"/>
        </w:rPr>
      </w:pPr>
    </w:p>
    <w:p w14:paraId="1FA4F856" w14:textId="77777777" w:rsidR="008D4529" w:rsidRPr="008D4529" w:rsidRDefault="008D4529" w:rsidP="008D4529">
      <w:pPr>
        <w:spacing w:line="360" w:lineRule="auto"/>
        <w:rPr>
          <w:rFonts w:ascii="Arial" w:hAnsi="Arial" w:cs="Arial"/>
          <w:sz w:val="24"/>
          <w:szCs w:val="24"/>
        </w:rPr>
      </w:pPr>
    </w:p>
    <w:p w14:paraId="16D7C7E6" w14:textId="2D18DB2B"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At the global level, the WHO coordinates efforts to achieve SDG 3 through initiatives such as the Global Action Plan for Healthy Lives and Wellbeing for All, launched in 2019. This plan aligns the work of 13 international health organisations to accelerate progress towards UHC, primary health care, and health equity (WHO, 2019; WHO, 2023). It has improved collaboration, strengthened country-level </w:t>
      </w:r>
      <w:r w:rsidR="002517D4" w:rsidRPr="008D4529">
        <w:rPr>
          <w:rFonts w:ascii="Arial" w:hAnsi="Arial" w:cs="Arial"/>
          <w:sz w:val="24"/>
          <w:szCs w:val="24"/>
        </w:rPr>
        <w:t>support,</w:t>
      </w:r>
      <w:r w:rsidRPr="008D4529">
        <w:rPr>
          <w:rFonts w:ascii="Arial" w:hAnsi="Arial" w:cs="Arial"/>
          <w:sz w:val="24"/>
          <w:szCs w:val="24"/>
        </w:rPr>
        <w:t xml:space="preserve"> and encouraged integrated approaches to pandemic preparedness and primary care.</w:t>
      </w:r>
    </w:p>
    <w:p w14:paraId="6F1C6F0F" w14:textId="77777777" w:rsidR="008D4529" w:rsidRPr="008D4529" w:rsidRDefault="008D4529" w:rsidP="008D4529">
      <w:pPr>
        <w:spacing w:line="360" w:lineRule="auto"/>
        <w:rPr>
          <w:rFonts w:ascii="Arial" w:hAnsi="Arial" w:cs="Arial"/>
          <w:sz w:val="24"/>
          <w:szCs w:val="24"/>
        </w:rPr>
      </w:pPr>
    </w:p>
    <w:p w14:paraId="30DD8E9B" w14:textId="77777777" w:rsidR="008D4529" w:rsidRPr="008D4529" w:rsidRDefault="008D4529" w:rsidP="008D4529">
      <w:pPr>
        <w:spacing w:line="360" w:lineRule="auto"/>
        <w:rPr>
          <w:rFonts w:ascii="Arial" w:hAnsi="Arial" w:cs="Arial"/>
          <w:sz w:val="24"/>
          <w:szCs w:val="24"/>
        </w:rPr>
      </w:pPr>
    </w:p>
    <w:p w14:paraId="3EB4A966" w14:textId="77777777" w:rsidR="008D4529" w:rsidRPr="008D4529" w:rsidRDefault="008D4529" w:rsidP="008D4529">
      <w:pPr>
        <w:spacing w:line="360" w:lineRule="auto"/>
        <w:rPr>
          <w:rFonts w:ascii="Arial" w:hAnsi="Arial" w:cs="Arial"/>
          <w:sz w:val="24"/>
          <w:szCs w:val="24"/>
        </w:rPr>
      </w:pPr>
    </w:p>
    <w:p w14:paraId="33D386C5"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Despite these advances, major inequities remain. Over five million children still die each year before the age of five, many from preventable causes, and around half of the world’s population lacks access to essential health services (United Nations Development Programme [UNDP], 2022). Only a minority of countries are on track to achieve UHC by 2030, and the COVID-19 pandemic has reversed gains in life expectancy and routine immunisation (The Lancet, 2021). Global health governance is often fragmented, with overlapping mandates and inconsistent funding that hinder coordinated responses to emerging threats (Kickbusch et al., 2021).</w:t>
      </w:r>
    </w:p>
    <w:p w14:paraId="54E60FCD" w14:textId="77777777" w:rsidR="008D4529" w:rsidRPr="008D4529" w:rsidRDefault="008D4529" w:rsidP="008D4529">
      <w:pPr>
        <w:spacing w:line="360" w:lineRule="auto"/>
        <w:rPr>
          <w:rFonts w:ascii="Arial" w:hAnsi="Arial" w:cs="Arial"/>
          <w:sz w:val="24"/>
          <w:szCs w:val="24"/>
        </w:rPr>
      </w:pPr>
    </w:p>
    <w:p w14:paraId="18F91C51" w14:textId="77777777" w:rsidR="008D4529" w:rsidRPr="008D4529" w:rsidRDefault="008D4529" w:rsidP="008D4529">
      <w:pPr>
        <w:spacing w:line="360" w:lineRule="auto"/>
        <w:rPr>
          <w:rFonts w:ascii="Arial" w:hAnsi="Arial" w:cs="Arial"/>
          <w:sz w:val="24"/>
          <w:szCs w:val="24"/>
        </w:rPr>
      </w:pPr>
    </w:p>
    <w:p w14:paraId="27C01808" w14:textId="77777777" w:rsidR="008D4529" w:rsidRPr="008D4529" w:rsidRDefault="008D4529" w:rsidP="008D4529">
      <w:pPr>
        <w:spacing w:line="360" w:lineRule="auto"/>
        <w:rPr>
          <w:rFonts w:ascii="Arial" w:hAnsi="Arial" w:cs="Arial"/>
          <w:sz w:val="24"/>
          <w:szCs w:val="24"/>
        </w:rPr>
      </w:pPr>
    </w:p>
    <w:p w14:paraId="0F66C520"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National and local examples (UK and Wales)</w:t>
      </w:r>
    </w:p>
    <w:p w14:paraId="74A50469" w14:textId="77777777" w:rsidR="008D4529" w:rsidRPr="008D4529" w:rsidRDefault="008D4529" w:rsidP="008D4529">
      <w:pPr>
        <w:spacing w:line="360" w:lineRule="auto"/>
        <w:rPr>
          <w:rFonts w:ascii="Arial" w:hAnsi="Arial" w:cs="Arial"/>
          <w:sz w:val="24"/>
          <w:szCs w:val="24"/>
        </w:rPr>
      </w:pPr>
    </w:p>
    <w:p w14:paraId="79A71B4A" w14:textId="77777777" w:rsidR="008D4529" w:rsidRPr="008D4529" w:rsidRDefault="008D4529" w:rsidP="008D4529">
      <w:pPr>
        <w:spacing w:line="360" w:lineRule="auto"/>
        <w:rPr>
          <w:rFonts w:ascii="Arial" w:hAnsi="Arial" w:cs="Arial"/>
          <w:sz w:val="24"/>
          <w:szCs w:val="24"/>
        </w:rPr>
      </w:pPr>
    </w:p>
    <w:p w14:paraId="1ACEDC7F"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In the United Kingdom, the NHS Long Term Plan provides the main strategic framework for improving population health. It emphasises prevention, early intervention, mental health support, and digital transformation to improve access and efficiency (NHS England, 2019). In Wales, the policy context is shaped by A Healthier Wales: Our Plan for Health and Social Care, often referred to as Healthy Wales, which promotes person-centred, community-based care and closer integration between health and social services (Welsh Government, 2019a). These strategies align closely with SDG 3 by prioritising prevention, tackling chronic disease, and addressing health inequalities.</w:t>
      </w:r>
    </w:p>
    <w:p w14:paraId="0CEDBC4C" w14:textId="77777777" w:rsidR="008D4529" w:rsidRPr="008D4529" w:rsidRDefault="008D4529" w:rsidP="008D4529">
      <w:pPr>
        <w:spacing w:line="360" w:lineRule="auto"/>
        <w:rPr>
          <w:rFonts w:ascii="Arial" w:hAnsi="Arial" w:cs="Arial"/>
          <w:sz w:val="24"/>
          <w:szCs w:val="24"/>
        </w:rPr>
      </w:pPr>
    </w:p>
    <w:p w14:paraId="175D6004" w14:textId="77777777" w:rsidR="008D4529" w:rsidRPr="008D4529" w:rsidRDefault="008D4529" w:rsidP="008D4529">
      <w:pPr>
        <w:spacing w:line="360" w:lineRule="auto"/>
        <w:rPr>
          <w:rFonts w:ascii="Arial" w:hAnsi="Arial" w:cs="Arial"/>
          <w:sz w:val="24"/>
          <w:szCs w:val="24"/>
        </w:rPr>
      </w:pPr>
    </w:p>
    <w:p w14:paraId="743939F7" w14:textId="77777777" w:rsidR="008D4529" w:rsidRPr="008D4529" w:rsidRDefault="008D4529" w:rsidP="008D4529">
      <w:pPr>
        <w:spacing w:line="360" w:lineRule="auto"/>
        <w:rPr>
          <w:rFonts w:ascii="Arial" w:hAnsi="Arial" w:cs="Arial"/>
          <w:sz w:val="24"/>
          <w:szCs w:val="24"/>
        </w:rPr>
      </w:pPr>
    </w:p>
    <w:p w14:paraId="5271A1A1"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lastRenderedPageBreak/>
        <w:t>However, health disparities remain pronounced. Public Health Wales (2023) reports that people living in the most deprived areas have significantly shorter life expectancy and higher rates of chronic conditions than those in affluent communities. The King’s Fund (2022) similarly highlights widening gaps in life expectancy between the richest and poorest in England, despite the principle of universal healthcare.</w:t>
      </w:r>
    </w:p>
    <w:p w14:paraId="6C5282B7" w14:textId="77777777" w:rsidR="008D4529" w:rsidRPr="008D4529" w:rsidRDefault="008D4529" w:rsidP="008D4529">
      <w:pPr>
        <w:spacing w:line="360" w:lineRule="auto"/>
        <w:rPr>
          <w:rFonts w:ascii="Arial" w:hAnsi="Arial" w:cs="Arial"/>
          <w:sz w:val="24"/>
          <w:szCs w:val="24"/>
        </w:rPr>
      </w:pPr>
    </w:p>
    <w:p w14:paraId="346D8F88" w14:textId="77777777" w:rsidR="008D4529" w:rsidRPr="008D4529" w:rsidRDefault="008D4529" w:rsidP="008D4529">
      <w:pPr>
        <w:spacing w:line="360" w:lineRule="auto"/>
        <w:rPr>
          <w:rFonts w:ascii="Arial" w:hAnsi="Arial" w:cs="Arial"/>
          <w:sz w:val="24"/>
          <w:szCs w:val="24"/>
        </w:rPr>
      </w:pPr>
    </w:p>
    <w:p w14:paraId="6A28215B" w14:textId="77777777" w:rsidR="008D4529" w:rsidRPr="008D4529" w:rsidRDefault="008D4529" w:rsidP="008D4529">
      <w:pPr>
        <w:spacing w:line="360" w:lineRule="auto"/>
        <w:rPr>
          <w:rFonts w:ascii="Arial" w:hAnsi="Arial" w:cs="Arial"/>
          <w:sz w:val="24"/>
          <w:szCs w:val="24"/>
        </w:rPr>
      </w:pPr>
    </w:p>
    <w:p w14:paraId="20948ECE" w14:textId="1A5D236C"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A useful local example is the programme run by </w:t>
      </w:r>
      <w:r w:rsidR="004A3C48" w:rsidRPr="008D4529">
        <w:rPr>
          <w:rFonts w:ascii="Arial" w:hAnsi="Arial" w:cs="Arial"/>
          <w:sz w:val="24"/>
          <w:szCs w:val="24"/>
        </w:rPr>
        <w:t>Saheli</w:t>
      </w:r>
      <w:r w:rsidRPr="008D4529">
        <w:rPr>
          <w:rFonts w:ascii="Arial" w:hAnsi="Arial" w:cs="Arial"/>
          <w:sz w:val="24"/>
          <w:szCs w:val="24"/>
        </w:rPr>
        <w:t xml:space="preserve"> Hub at Alum Rock Community Centre in Birmingham. This initiative offers free, culturally sensitive physical-activity sessions that primarily engage women from Black, Asian and minority ethnic communities (Akhtar, n.d.). These communities experience disproportionately high rates of type 2 diabetes and cardiovascular disease. The programme’s free and culturally tailored design reduces barriers to participation and supports long-term condition management.</w:t>
      </w:r>
    </w:p>
    <w:p w14:paraId="7E373A24" w14:textId="77777777" w:rsidR="008D4529" w:rsidRPr="008D4529" w:rsidRDefault="008D4529" w:rsidP="008D4529">
      <w:pPr>
        <w:spacing w:line="360" w:lineRule="auto"/>
        <w:rPr>
          <w:rFonts w:ascii="Arial" w:hAnsi="Arial" w:cs="Arial"/>
          <w:sz w:val="24"/>
          <w:szCs w:val="24"/>
        </w:rPr>
      </w:pPr>
    </w:p>
    <w:p w14:paraId="27BE77F5" w14:textId="77777777" w:rsidR="008D4529" w:rsidRPr="008D4529" w:rsidRDefault="008D4529" w:rsidP="008D4529">
      <w:pPr>
        <w:spacing w:line="360" w:lineRule="auto"/>
        <w:rPr>
          <w:rFonts w:ascii="Arial" w:hAnsi="Arial" w:cs="Arial"/>
          <w:sz w:val="24"/>
          <w:szCs w:val="24"/>
        </w:rPr>
      </w:pPr>
    </w:p>
    <w:p w14:paraId="510CB5AA" w14:textId="77777777" w:rsidR="008D4529" w:rsidRPr="008D4529" w:rsidRDefault="008D4529" w:rsidP="008D4529">
      <w:pPr>
        <w:spacing w:line="360" w:lineRule="auto"/>
        <w:rPr>
          <w:rFonts w:ascii="Arial" w:hAnsi="Arial" w:cs="Arial"/>
          <w:sz w:val="24"/>
          <w:szCs w:val="24"/>
        </w:rPr>
      </w:pPr>
    </w:p>
    <w:p w14:paraId="6FA2156B"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Nevertheless, challenges remain. The scheme is geographically limited, long-term health outcomes have not been fully evaluated, and ongoing funding is uncertain. These issues illustrate common problems faced by community-based health initiatives: scalability, sustainability, and the difficulty of demonstrating impact within short funding cycles.</w:t>
      </w:r>
    </w:p>
    <w:p w14:paraId="381CA1D5" w14:textId="77777777" w:rsidR="008D4529" w:rsidRPr="008D4529" w:rsidRDefault="008D4529" w:rsidP="008D4529">
      <w:pPr>
        <w:spacing w:line="360" w:lineRule="auto"/>
        <w:rPr>
          <w:rFonts w:ascii="Arial" w:hAnsi="Arial" w:cs="Arial"/>
          <w:sz w:val="24"/>
          <w:szCs w:val="24"/>
        </w:rPr>
      </w:pPr>
    </w:p>
    <w:p w14:paraId="3D793AE0" w14:textId="77777777" w:rsidR="008D4529" w:rsidRPr="008D4529" w:rsidRDefault="008D4529" w:rsidP="008D4529">
      <w:pPr>
        <w:spacing w:line="360" w:lineRule="auto"/>
        <w:rPr>
          <w:rFonts w:ascii="Arial" w:hAnsi="Arial" w:cs="Arial"/>
          <w:sz w:val="24"/>
          <w:szCs w:val="24"/>
        </w:rPr>
      </w:pPr>
    </w:p>
    <w:p w14:paraId="6ED47CB0" w14:textId="77777777" w:rsidR="008D4529" w:rsidRPr="008D4529" w:rsidRDefault="008D4529" w:rsidP="008D4529">
      <w:pPr>
        <w:spacing w:line="360" w:lineRule="auto"/>
        <w:rPr>
          <w:rFonts w:ascii="Arial" w:hAnsi="Arial" w:cs="Arial"/>
          <w:sz w:val="24"/>
          <w:szCs w:val="24"/>
        </w:rPr>
      </w:pPr>
    </w:p>
    <w:p w14:paraId="68C0598E"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Use of theories/models</w:t>
      </w:r>
    </w:p>
    <w:p w14:paraId="363892E6" w14:textId="77777777" w:rsidR="008D4529" w:rsidRPr="008D4529" w:rsidRDefault="008D4529" w:rsidP="008D4529">
      <w:pPr>
        <w:spacing w:line="360" w:lineRule="auto"/>
        <w:rPr>
          <w:rFonts w:ascii="Arial" w:hAnsi="Arial" w:cs="Arial"/>
          <w:sz w:val="24"/>
          <w:szCs w:val="24"/>
        </w:rPr>
      </w:pPr>
    </w:p>
    <w:p w14:paraId="33685420" w14:textId="77777777" w:rsidR="008D4529" w:rsidRPr="008D4529" w:rsidRDefault="008D4529" w:rsidP="008D4529">
      <w:pPr>
        <w:spacing w:line="360" w:lineRule="auto"/>
        <w:rPr>
          <w:rFonts w:ascii="Arial" w:hAnsi="Arial" w:cs="Arial"/>
          <w:sz w:val="24"/>
          <w:szCs w:val="24"/>
        </w:rPr>
      </w:pPr>
    </w:p>
    <w:p w14:paraId="44702FE8"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The Social Determinants of Health (SDH) framework provides a powerful lens for understanding SDG 3. Marmot and Allen (2014) argue that health is shaped by the conditions in which people are born, grow, live, work, and age, including education, employment, income, housing, and social support. Applying this framework to Wales highlights how unemployment, insecure work, poor housing, and income deprivation contribute to unequal health outcomes (Public Health Wales, 2023). These determinants are influenced in turn by broader economic policies and welfare systems, linking SDG 3 directly with SDG 1.</w:t>
      </w:r>
    </w:p>
    <w:p w14:paraId="1EEAC0C8" w14:textId="77777777" w:rsidR="008D4529" w:rsidRPr="008D4529" w:rsidRDefault="008D4529" w:rsidP="008D4529">
      <w:pPr>
        <w:spacing w:line="360" w:lineRule="auto"/>
        <w:rPr>
          <w:rFonts w:ascii="Arial" w:hAnsi="Arial" w:cs="Arial"/>
          <w:sz w:val="24"/>
          <w:szCs w:val="24"/>
        </w:rPr>
      </w:pPr>
    </w:p>
    <w:p w14:paraId="2EF288E8" w14:textId="77777777" w:rsidR="008D4529" w:rsidRPr="008D4529" w:rsidRDefault="008D4529" w:rsidP="008D4529">
      <w:pPr>
        <w:spacing w:line="360" w:lineRule="auto"/>
        <w:rPr>
          <w:rFonts w:ascii="Arial" w:hAnsi="Arial" w:cs="Arial"/>
          <w:sz w:val="24"/>
          <w:szCs w:val="24"/>
        </w:rPr>
      </w:pPr>
    </w:p>
    <w:p w14:paraId="297AF45D" w14:textId="77777777" w:rsidR="008D4529" w:rsidRPr="008D4529" w:rsidRDefault="008D4529" w:rsidP="008D4529">
      <w:pPr>
        <w:spacing w:line="360" w:lineRule="auto"/>
        <w:rPr>
          <w:rFonts w:ascii="Arial" w:hAnsi="Arial" w:cs="Arial"/>
          <w:sz w:val="24"/>
          <w:szCs w:val="24"/>
        </w:rPr>
      </w:pPr>
    </w:p>
    <w:p w14:paraId="6CFD6395"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Critical evaluation and recommendations</w:t>
      </w:r>
    </w:p>
    <w:p w14:paraId="4FE23620" w14:textId="77777777" w:rsidR="008D4529" w:rsidRPr="008D4529" w:rsidRDefault="008D4529" w:rsidP="008D4529">
      <w:pPr>
        <w:spacing w:line="360" w:lineRule="auto"/>
        <w:rPr>
          <w:rFonts w:ascii="Arial" w:hAnsi="Arial" w:cs="Arial"/>
          <w:sz w:val="24"/>
          <w:szCs w:val="24"/>
        </w:rPr>
      </w:pPr>
    </w:p>
    <w:p w14:paraId="34435227" w14:textId="77777777" w:rsidR="008D4529" w:rsidRPr="008D4529" w:rsidRDefault="008D4529" w:rsidP="008D4529">
      <w:pPr>
        <w:spacing w:line="360" w:lineRule="auto"/>
        <w:rPr>
          <w:rFonts w:ascii="Arial" w:hAnsi="Arial" w:cs="Arial"/>
          <w:sz w:val="24"/>
          <w:szCs w:val="24"/>
        </w:rPr>
      </w:pPr>
    </w:p>
    <w:p w14:paraId="15B3648F" w14:textId="3BA08681"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The UK’s universal health system offers a strong platform for achieving SDG 3, yet persistent inequalities indicate that access is not fully equitable. Preventive services are often less available in deprived areas, and austerity measures have reduced local authority funding for public health programmes (The King’s Fund, 2022). At a global level, progress is limited by under-investment in primary care, fragmented governance and the impact of climate change, </w:t>
      </w:r>
      <w:r w:rsidR="002517D4" w:rsidRPr="008D4529">
        <w:rPr>
          <w:rFonts w:ascii="Arial" w:hAnsi="Arial" w:cs="Arial"/>
          <w:sz w:val="24"/>
          <w:szCs w:val="24"/>
        </w:rPr>
        <w:t>conflict,</w:t>
      </w:r>
      <w:r w:rsidRPr="008D4529">
        <w:rPr>
          <w:rFonts w:ascii="Arial" w:hAnsi="Arial" w:cs="Arial"/>
          <w:sz w:val="24"/>
          <w:szCs w:val="24"/>
        </w:rPr>
        <w:t xml:space="preserve"> and poverty on health (UNDP, 2022; OECD, 2023).</w:t>
      </w:r>
    </w:p>
    <w:p w14:paraId="1E2572E1" w14:textId="77777777" w:rsidR="008D4529" w:rsidRPr="008D4529" w:rsidRDefault="008D4529" w:rsidP="008D4529">
      <w:pPr>
        <w:spacing w:line="360" w:lineRule="auto"/>
        <w:rPr>
          <w:rFonts w:ascii="Arial" w:hAnsi="Arial" w:cs="Arial"/>
          <w:sz w:val="24"/>
          <w:szCs w:val="24"/>
        </w:rPr>
      </w:pPr>
    </w:p>
    <w:p w14:paraId="1DB4ECAB" w14:textId="77777777" w:rsidR="008D4529" w:rsidRPr="008D4529" w:rsidRDefault="008D4529" w:rsidP="008D4529">
      <w:pPr>
        <w:spacing w:line="360" w:lineRule="auto"/>
        <w:rPr>
          <w:rFonts w:ascii="Arial" w:hAnsi="Arial" w:cs="Arial"/>
          <w:sz w:val="24"/>
          <w:szCs w:val="24"/>
        </w:rPr>
      </w:pPr>
    </w:p>
    <w:p w14:paraId="40E8282C" w14:textId="77777777" w:rsidR="008D4529" w:rsidRPr="008D4529" w:rsidRDefault="008D4529" w:rsidP="008D4529">
      <w:pPr>
        <w:spacing w:line="360" w:lineRule="auto"/>
        <w:rPr>
          <w:rFonts w:ascii="Arial" w:hAnsi="Arial" w:cs="Arial"/>
          <w:sz w:val="24"/>
          <w:szCs w:val="24"/>
        </w:rPr>
      </w:pPr>
    </w:p>
    <w:p w14:paraId="255A07D6"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To strengthen progress towards SDG 3, several evidence-informed recommendations can be made:</w:t>
      </w:r>
    </w:p>
    <w:p w14:paraId="09EB6D25" w14:textId="77777777" w:rsidR="008D4529" w:rsidRPr="008D4529" w:rsidRDefault="008D4529" w:rsidP="008D4529">
      <w:pPr>
        <w:spacing w:line="360" w:lineRule="auto"/>
        <w:rPr>
          <w:rFonts w:ascii="Arial" w:hAnsi="Arial" w:cs="Arial"/>
          <w:sz w:val="24"/>
          <w:szCs w:val="24"/>
        </w:rPr>
      </w:pPr>
    </w:p>
    <w:p w14:paraId="27C6D419"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lastRenderedPageBreak/>
        <w:t>Embed prevention and early intervention at the heart of health policy, with targeted investment in deprived communities and culturally competent services.</w:t>
      </w:r>
    </w:p>
    <w:p w14:paraId="11C38AA4" w14:textId="77777777" w:rsidR="008D4529" w:rsidRPr="008D4529" w:rsidRDefault="008D4529" w:rsidP="008D4529">
      <w:pPr>
        <w:spacing w:line="360" w:lineRule="auto"/>
        <w:rPr>
          <w:rFonts w:ascii="Arial" w:hAnsi="Arial" w:cs="Arial"/>
          <w:sz w:val="24"/>
          <w:szCs w:val="24"/>
        </w:rPr>
      </w:pPr>
    </w:p>
    <w:p w14:paraId="15AA7AF7" w14:textId="7B7B0E10"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Integrate health and social care more effectively, particularly in Wales, to address social determinants such as housing, </w:t>
      </w:r>
      <w:r w:rsidR="002517D4" w:rsidRPr="008D4529">
        <w:rPr>
          <w:rFonts w:ascii="Arial" w:hAnsi="Arial" w:cs="Arial"/>
          <w:sz w:val="24"/>
          <w:szCs w:val="24"/>
        </w:rPr>
        <w:t>employment,</w:t>
      </w:r>
      <w:r w:rsidRPr="008D4529">
        <w:rPr>
          <w:rFonts w:ascii="Arial" w:hAnsi="Arial" w:cs="Arial"/>
          <w:sz w:val="24"/>
          <w:szCs w:val="24"/>
        </w:rPr>
        <w:t xml:space="preserve"> and loneliness.</w:t>
      </w:r>
    </w:p>
    <w:p w14:paraId="483C10D9" w14:textId="77777777" w:rsidR="008D4529" w:rsidRPr="008D4529" w:rsidRDefault="008D4529" w:rsidP="008D4529">
      <w:pPr>
        <w:spacing w:line="360" w:lineRule="auto"/>
        <w:rPr>
          <w:rFonts w:ascii="Arial" w:hAnsi="Arial" w:cs="Arial"/>
          <w:sz w:val="24"/>
          <w:szCs w:val="24"/>
        </w:rPr>
      </w:pPr>
    </w:p>
    <w:p w14:paraId="435F3ABC"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Enhance workforce capacity, including mental health and community health roles, to meet rising demand.</w:t>
      </w:r>
    </w:p>
    <w:p w14:paraId="375D1956" w14:textId="77777777" w:rsidR="008D4529" w:rsidRPr="008D4529" w:rsidRDefault="008D4529" w:rsidP="008D4529">
      <w:pPr>
        <w:spacing w:line="360" w:lineRule="auto"/>
        <w:rPr>
          <w:rFonts w:ascii="Arial" w:hAnsi="Arial" w:cs="Arial"/>
          <w:sz w:val="24"/>
          <w:szCs w:val="24"/>
        </w:rPr>
      </w:pPr>
    </w:p>
    <w:p w14:paraId="09A1C652"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Promote digital inclusion, ensuring that the expansion of digital health services does not exclude those without access to technology or skills.</w:t>
      </w:r>
    </w:p>
    <w:p w14:paraId="1E41F59B" w14:textId="77777777" w:rsidR="008D4529" w:rsidRPr="008D4529" w:rsidRDefault="008D4529" w:rsidP="008D4529">
      <w:pPr>
        <w:spacing w:line="360" w:lineRule="auto"/>
        <w:rPr>
          <w:rFonts w:ascii="Arial" w:hAnsi="Arial" w:cs="Arial"/>
          <w:sz w:val="24"/>
          <w:szCs w:val="24"/>
        </w:rPr>
      </w:pPr>
    </w:p>
    <w:p w14:paraId="63780F87" w14:textId="52F2B83A"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Support community-led initiatives, such as </w:t>
      </w:r>
      <w:r w:rsidR="004A3C48" w:rsidRPr="008D4529">
        <w:rPr>
          <w:rFonts w:ascii="Arial" w:hAnsi="Arial" w:cs="Arial"/>
          <w:sz w:val="24"/>
          <w:szCs w:val="24"/>
        </w:rPr>
        <w:t>Saheli</w:t>
      </w:r>
      <w:r w:rsidRPr="008D4529">
        <w:rPr>
          <w:rFonts w:ascii="Arial" w:hAnsi="Arial" w:cs="Arial"/>
          <w:sz w:val="24"/>
          <w:szCs w:val="24"/>
        </w:rPr>
        <w:t xml:space="preserve"> Hub, through long-term funding and robust evaluation frameworks.</w:t>
      </w:r>
    </w:p>
    <w:p w14:paraId="0FF88E2E" w14:textId="77777777" w:rsidR="008D4529" w:rsidRPr="008D4529" w:rsidRDefault="008D4529" w:rsidP="008D4529">
      <w:pPr>
        <w:spacing w:line="360" w:lineRule="auto"/>
        <w:rPr>
          <w:rFonts w:ascii="Arial" w:hAnsi="Arial" w:cs="Arial"/>
          <w:sz w:val="24"/>
          <w:szCs w:val="24"/>
        </w:rPr>
      </w:pPr>
    </w:p>
    <w:p w14:paraId="4D732FE9" w14:textId="77777777" w:rsidR="008D4529" w:rsidRPr="008D4529" w:rsidRDefault="008D4529" w:rsidP="008D4529">
      <w:pPr>
        <w:spacing w:line="360" w:lineRule="auto"/>
        <w:rPr>
          <w:rFonts w:ascii="Arial" w:hAnsi="Arial" w:cs="Arial"/>
          <w:sz w:val="24"/>
          <w:szCs w:val="24"/>
        </w:rPr>
      </w:pPr>
    </w:p>
    <w:p w14:paraId="5701D622" w14:textId="77777777" w:rsidR="008D4529" w:rsidRPr="008D4529" w:rsidRDefault="008D4529" w:rsidP="008D4529">
      <w:pPr>
        <w:spacing w:line="360" w:lineRule="auto"/>
        <w:rPr>
          <w:rFonts w:ascii="Arial" w:hAnsi="Arial" w:cs="Arial"/>
          <w:sz w:val="24"/>
          <w:szCs w:val="24"/>
        </w:rPr>
      </w:pPr>
    </w:p>
    <w:p w14:paraId="7C80C40B"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These steps would align national and local practice more closely with global SDG 3 commitments and help reduce inequalities in health and wellbeing by 2030.</w:t>
      </w:r>
    </w:p>
    <w:p w14:paraId="72EDD733" w14:textId="77777777" w:rsidR="008D4529" w:rsidRPr="008D4529" w:rsidRDefault="008D4529" w:rsidP="008D4529">
      <w:pPr>
        <w:spacing w:line="360" w:lineRule="auto"/>
        <w:rPr>
          <w:rFonts w:ascii="Arial" w:hAnsi="Arial" w:cs="Arial"/>
          <w:sz w:val="24"/>
          <w:szCs w:val="24"/>
        </w:rPr>
      </w:pPr>
    </w:p>
    <w:p w14:paraId="2965AD73" w14:textId="1E552F08"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Section 2: SDG 1 – No Poverty </w:t>
      </w:r>
    </w:p>
    <w:p w14:paraId="3CBBDA3D" w14:textId="77777777" w:rsidR="008D4529" w:rsidRPr="008D4529" w:rsidRDefault="008D4529" w:rsidP="008D4529">
      <w:pPr>
        <w:spacing w:line="360" w:lineRule="auto"/>
        <w:rPr>
          <w:rFonts w:ascii="Arial" w:hAnsi="Arial" w:cs="Arial"/>
          <w:sz w:val="24"/>
          <w:szCs w:val="24"/>
        </w:rPr>
      </w:pPr>
    </w:p>
    <w:p w14:paraId="0DB01840" w14:textId="77777777" w:rsidR="008D4529" w:rsidRPr="008D4529" w:rsidRDefault="008D4529" w:rsidP="008D4529">
      <w:pPr>
        <w:spacing w:line="360" w:lineRule="auto"/>
        <w:rPr>
          <w:rFonts w:ascii="Arial" w:hAnsi="Arial" w:cs="Arial"/>
          <w:sz w:val="24"/>
          <w:szCs w:val="24"/>
        </w:rPr>
      </w:pPr>
    </w:p>
    <w:p w14:paraId="379F0AAB"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Overview of SDG 1</w:t>
      </w:r>
    </w:p>
    <w:p w14:paraId="6B691D88" w14:textId="77777777" w:rsidR="008D4529" w:rsidRPr="008D4529" w:rsidRDefault="008D4529" w:rsidP="008D4529">
      <w:pPr>
        <w:spacing w:line="360" w:lineRule="auto"/>
        <w:rPr>
          <w:rFonts w:ascii="Arial" w:hAnsi="Arial" w:cs="Arial"/>
          <w:sz w:val="24"/>
          <w:szCs w:val="24"/>
        </w:rPr>
      </w:pPr>
    </w:p>
    <w:p w14:paraId="3A9EDB53" w14:textId="77777777" w:rsidR="008D4529" w:rsidRPr="008D4529" w:rsidRDefault="008D4529" w:rsidP="008D4529">
      <w:pPr>
        <w:spacing w:line="360" w:lineRule="auto"/>
        <w:rPr>
          <w:rFonts w:ascii="Arial" w:hAnsi="Arial" w:cs="Arial"/>
          <w:sz w:val="24"/>
          <w:szCs w:val="24"/>
        </w:rPr>
      </w:pPr>
    </w:p>
    <w:p w14:paraId="7B50CECC" w14:textId="2952BE56"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lastRenderedPageBreak/>
        <w:t xml:space="preserve">Sustainable Development Goal 1 seeks to “end poverty in all its forms everywhere” (United Nations, 2015, p.xx). Poverty is multidimensional, encompassing not only inadequate income but also deprivation in education, health, housing, and participation in community life (Sen, 1999). SDG 1 includes targets to eradicate extreme poverty, implement social protection systems, ensure equal access to basic </w:t>
      </w:r>
      <w:r w:rsidR="002517D4" w:rsidRPr="008D4529">
        <w:rPr>
          <w:rFonts w:ascii="Arial" w:hAnsi="Arial" w:cs="Arial"/>
          <w:sz w:val="24"/>
          <w:szCs w:val="24"/>
        </w:rPr>
        <w:t>services,</w:t>
      </w:r>
      <w:r w:rsidRPr="008D4529">
        <w:rPr>
          <w:rFonts w:ascii="Arial" w:hAnsi="Arial" w:cs="Arial"/>
          <w:sz w:val="24"/>
          <w:szCs w:val="24"/>
        </w:rPr>
        <w:t xml:space="preserve"> and build resilience to economic, social, and climate-related shocks (UNDP, 2022).</w:t>
      </w:r>
    </w:p>
    <w:p w14:paraId="661A6B88" w14:textId="77777777" w:rsidR="008D4529" w:rsidRPr="008D4529" w:rsidRDefault="008D4529" w:rsidP="008D4529">
      <w:pPr>
        <w:spacing w:line="360" w:lineRule="auto"/>
        <w:rPr>
          <w:rFonts w:ascii="Arial" w:hAnsi="Arial" w:cs="Arial"/>
          <w:sz w:val="24"/>
          <w:szCs w:val="24"/>
        </w:rPr>
      </w:pPr>
    </w:p>
    <w:p w14:paraId="1E9C3153" w14:textId="77777777" w:rsidR="008D4529" w:rsidRPr="008D4529" w:rsidRDefault="008D4529" w:rsidP="008D4529">
      <w:pPr>
        <w:spacing w:line="360" w:lineRule="auto"/>
        <w:rPr>
          <w:rFonts w:ascii="Arial" w:hAnsi="Arial" w:cs="Arial"/>
          <w:sz w:val="24"/>
          <w:szCs w:val="24"/>
        </w:rPr>
      </w:pPr>
    </w:p>
    <w:p w14:paraId="691D0CB9" w14:textId="77777777" w:rsidR="008D4529" w:rsidRPr="008D4529" w:rsidRDefault="008D4529" w:rsidP="008D4529">
      <w:pPr>
        <w:spacing w:line="360" w:lineRule="auto"/>
        <w:rPr>
          <w:rFonts w:ascii="Arial" w:hAnsi="Arial" w:cs="Arial"/>
          <w:sz w:val="24"/>
          <w:szCs w:val="24"/>
        </w:rPr>
      </w:pPr>
    </w:p>
    <w:p w14:paraId="1A7E11AA"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Global policies and initiatives</w:t>
      </w:r>
    </w:p>
    <w:p w14:paraId="71787548" w14:textId="77777777" w:rsidR="008D4529" w:rsidRPr="008D4529" w:rsidRDefault="008D4529" w:rsidP="008D4529">
      <w:pPr>
        <w:spacing w:line="360" w:lineRule="auto"/>
        <w:rPr>
          <w:rFonts w:ascii="Arial" w:hAnsi="Arial" w:cs="Arial"/>
          <w:sz w:val="24"/>
          <w:szCs w:val="24"/>
        </w:rPr>
      </w:pPr>
    </w:p>
    <w:p w14:paraId="353832C8" w14:textId="77777777" w:rsidR="008D4529" w:rsidRPr="008D4529" w:rsidRDefault="008D4529" w:rsidP="008D4529">
      <w:pPr>
        <w:spacing w:line="360" w:lineRule="auto"/>
        <w:rPr>
          <w:rFonts w:ascii="Arial" w:hAnsi="Arial" w:cs="Arial"/>
          <w:sz w:val="24"/>
          <w:szCs w:val="24"/>
        </w:rPr>
      </w:pPr>
    </w:p>
    <w:p w14:paraId="48010496" w14:textId="01BBD7BA"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Globally, the World Food Programme (WFP) plays a crucial role in supporting SDG 1 by addressing hunger and food insecurity. In 2023 it </w:t>
      </w:r>
      <w:r w:rsidR="002517D4" w:rsidRPr="008D4529">
        <w:rPr>
          <w:rFonts w:ascii="Arial" w:hAnsi="Arial" w:cs="Arial"/>
          <w:sz w:val="24"/>
          <w:szCs w:val="24"/>
        </w:rPr>
        <w:t>aided</w:t>
      </w:r>
      <w:r w:rsidRPr="008D4529">
        <w:rPr>
          <w:rFonts w:ascii="Arial" w:hAnsi="Arial" w:cs="Arial"/>
          <w:sz w:val="24"/>
          <w:szCs w:val="24"/>
        </w:rPr>
        <w:t xml:space="preserve"> over 160 million people in more than 120 countries, through emergency food aid, school </w:t>
      </w:r>
      <w:r w:rsidR="002517D4" w:rsidRPr="008D4529">
        <w:rPr>
          <w:rFonts w:ascii="Arial" w:hAnsi="Arial" w:cs="Arial"/>
          <w:sz w:val="24"/>
          <w:szCs w:val="24"/>
        </w:rPr>
        <w:t>meals,</w:t>
      </w:r>
      <w:r w:rsidRPr="008D4529">
        <w:rPr>
          <w:rFonts w:ascii="Arial" w:hAnsi="Arial" w:cs="Arial"/>
          <w:sz w:val="24"/>
          <w:szCs w:val="24"/>
        </w:rPr>
        <w:t xml:space="preserve"> and support for smallholder farmers (WFP, 2023). These interventions contribute directly to poverty reduction by stabilising incomes, improving nutrition and enabling children to remain in education.</w:t>
      </w:r>
    </w:p>
    <w:p w14:paraId="6A19D7D7" w14:textId="77777777" w:rsidR="008D4529" w:rsidRPr="008D4529" w:rsidRDefault="008D4529" w:rsidP="008D4529">
      <w:pPr>
        <w:spacing w:line="360" w:lineRule="auto"/>
        <w:rPr>
          <w:rFonts w:ascii="Arial" w:hAnsi="Arial" w:cs="Arial"/>
          <w:sz w:val="24"/>
          <w:szCs w:val="24"/>
        </w:rPr>
      </w:pPr>
    </w:p>
    <w:p w14:paraId="7C7A3BC7" w14:textId="77777777" w:rsidR="008D4529" w:rsidRPr="008D4529" w:rsidRDefault="008D4529" w:rsidP="008D4529">
      <w:pPr>
        <w:spacing w:line="360" w:lineRule="auto"/>
        <w:rPr>
          <w:rFonts w:ascii="Arial" w:hAnsi="Arial" w:cs="Arial"/>
          <w:sz w:val="24"/>
          <w:szCs w:val="24"/>
        </w:rPr>
      </w:pPr>
    </w:p>
    <w:p w14:paraId="785437FA" w14:textId="77777777" w:rsidR="008D4529" w:rsidRPr="008D4529" w:rsidRDefault="008D4529" w:rsidP="008D4529">
      <w:pPr>
        <w:spacing w:line="360" w:lineRule="auto"/>
        <w:rPr>
          <w:rFonts w:ascii="Arial" w:hAnsi="Arial" w:cs="Arial"/>
          <w:sz w:val="24"/>
          <w:szCs w:val="24"/>
        </w:rPr>
      </w:pPr>
    </w:p>
    <w:p w14:paraId="51F4673B" w14:textId="79362A7D"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The Addis Ababa Action Agenda on financing for development complements SDG 1 by promoting sustainable economic growth, fair </w:t>
      </w:r>
      <w:r w:rsidR="002517D4" w:rsidRPr="008D4529">
        <w:rPr>
          <w:rFonts w:ascii="Arial" w:hAnsi="Arial" w:cs="Arial"/>
          <w:sz w:val="24"/>
          <w:szCs w:val="24"/>
        </w:rPr>
        <w:t>taxation,</w:t>
      </w:r>
      <w:r w:rsidRPr="008D4529">
        <w:rPr>
          <w:rFonts w:ascii="Arial" w:hAnsi="Arial" w:cs="Arial"/>
          <w:sz w:val="24"/>
          <w:szCs w:val="24"/>
        </w:rPr>
        <w:t xml:space="preserve"> and responsible investment, particularly in low-income countries (United Nations, 2015). However, global progress remains uneven. Structural economic imbalances, unsustainable </w:t>
      </w:r>
      <w:r w:rsidR="002517D4" w:rsidRPr="008D4529">
        <w:rPr>
          <w:rFonts w:ascii="Arial" w:hAnsi="Arial" w:cs="Arial"/>
          <w:sz w:val="24"/>
          <w:szCs w:val="24"/>
        </w:rPr>
        <w:t>debt,</w:t>
      </w:r>
      <w:r w:rsidRPr="008D4529">
        <w:rPr>
          <w:rFonts w:ascii="Arial" w:hAnsi="Arial" w:cs="Arial"/>
          <w:sz w:val="24"/>
          <w:szCs w:val="24"/>
        </w:rPr>
        <w:t xml:space="preserve"> and unequal trade relations limit the ability of many countries to invest in social protection (Piketty, 2020). The COVID-19 pandemic increased unemployment and informal work, pushing millions back into poverty (International Labour Organization </w:t>
      </w:r>
      <w:r w:rsidRPr="008D4529">
        <w:rPr>
          <w:rFonts w:ascii="Arial" w:hAnsi="Arial" w:cs="Arial"/>
          <w:sz w:val="24"/>
          <w:szCs w:val="24"/>
        </w:rPr>
        <w:lastRenderedPageBreak/>
        <w:t>[ILO], 2021), while climate change is already undermining livelihoods and food security in vulnerable regions (OECD, 2023).</w:t>
      </w:r>
    </w:p>
    <w:p w14:paraId="2829348D" w14:textId="77777777" w:rsidR="008D4529" w:rsidRPr="008D4529" w:rsidRDefault="008D4529" w:rsidP="008D4529">
      <w:pPr>
        <w:spacing w:line="360" w:lineRule="auto"/>
        <w:rPr>
          <w:rFonts w:ascii="Arial" w:hAnsi="Arial" w:cs="Arial"/>
          <w:sz w:val="24"/>
          <w:szCs w:val="24"/>
        </w:rPr>
      </w:pPr>
    </w:p>
    <w:p w14:paraId="4FD1D133" w14:textId="77777777" w:rsidR="008D4529" w:rsidRPr="008D4529" w:rsidRDefault="008D4529" w:rsidP="008D4529">
      <w:pPr>
        <w:spacing w:line="360" w:lineRule="auto"/>
        <w:rPr>
          <w:rFonts w:ascii="Arial" w:hAnsi="Arial" w:cs="Arial"/>
          <w:sz w:val="24"/>
          <w:szCs w:val="24"/>
        </w:rPr>
      </w:pPr>
    </w:p>
    <w:p w14:paraId="3F537269" w14:textId="77777777" w:rsidR="008D4529" w:rsidRPr="008D4529" w:rsidRDefault="008D4529" w:rsidP="008D4529">
      <w:pPr>
        <w:spacing w:line="360" w:lineRule="auto"/>
        <w:rPr>
          <w:rFonts w:ascii="Arial" w:hAnsi="Arial" w:cs="Arial"/>
          <w:sz w:val="24"/>
          <w:szCs w:val="24"/>
        </w:rPr>
      </w:pPr>
    </w:p>
    <w:p w14:paraId="7F58FAA9"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National and local examples (UK and Wales)</w:t>
      </w:r>
    </w:p>
    <w:p w14:paraId="13952167" w14:textId="77777777" w:rsidR="008D4529" w:rsidRPr="008D4529" w:rsidRDefault="008D4529" w:rsidP="008D4529">
      <w:pPr>
        <w:spacing w:line="360" w:lineRule="auto"/>
        <w:rPr>
          <w:rFonts w:ascii="Arial" w:hAnsi="Arial" w:cs="Arial"/>
          <w:sz w:val="24"/>
          <w:szCs w:val="24"/>
        </w:rPr>
      </w:pPr>
    </w:p>
    <w:p w14:paraId="5B2F3792" w14:textId="77777777" w:rsidR="008D4529" w:rsidRPr="008D4529" w:rsidRDefault="008D4529" w:rsidP="008D4529">
      <w:pPr>
        <w:spacing w:line="360" w:lineRule="auto"/>
        <w:rPr>
          <w:rFonts w:ascii="Arial" w:hAnsi="Arial" w:cs="Arial"/>
          <w:sz w:val="24"/>
          <w:szCs w:val="24"/>
        </w:rPr>
      </w:pPr>
    </w:p>
    <w:p w14:paraId="3D73BCFF" w14:textId="29D4C239"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In the UK, an estimated 14.4 million people live in poverty, including 4.2 million children (Joseph Rowntree Foundation, 2023). Key drivers include low pay, insecure work, high housing and energy costs, and cuts to welfare benefits. The rise of in-work poverty, where households remain poor despite one or more </w:t>
      </w:r>
      <w:r w:rsidR="002517D4" w:rsidRPr="008D4529">
        <w:rPr>
          <w:rFonts w:ascii="Arial" w:hAnsi="Arial" w:cs="Arial"/>
          <w:sz w:val="24"/>
          <w:szCs w:val="24"/>
        </w:rPr>
        <w:t>adult is</w:t>
      </w:r>
      <w:r w:rsidRPr="008D4529">
        <w:rPr>
          <w:rFonts w:ascii="Arial" w:hAnsi="Arial" w:cs="Arial"/>
          <w:sz w:val="24"/>
          <w:szCs w:val="24"/>
        </w:rPr>
        <w:t xml:space="preserve"> being employed, highlights the limitations of a labour-market-only approach to poverty reduction (Joseph Rowntree Foundation, 2023).</w:t>
      </w:r>
    </w:p>
    <w:p w14:paraId="1C265E20" w14:textId="77777777" w:rsidR="008D4529" w:rsidRPr="008D4529" w:rsidRDefault="008D4529" w:rsidP="008D4529">
      <w:pPr>
        <w:spacing w:line="360" w:lineRule="auto"/>
        <w:rPr>
          <w:rFonts w:ascii="Arial" w:hAnsi="Arial" w:cs="Arial"/>
          <w:sz w:val="24"/>
          <w:szCs w:val="24"/>
        </w:rPr>
      </w:pPr>
    </w:p>
    <w:p w14:paraId="06F5C327" w14:textId="77777777" w:rsidR="008D4529" w:rsidRPr="008D4529" w:rsidRDefault="008D4529" w:rsidP="008D4529">
      <w:pPr>
        <w:spacing w:line="360" w:lineRule="auto"/>
        <w:rPr>
          <w:rFonts w:ascii="Arial" w:hAnsi="Arial" w:cs="Arial"/>
          <w:sz w:val="24"/>
          <w:szCs w:val="24"/>
        </w:rPr>
      </w:pPr>
    </w:p>
    <w:p w14:paraId="1D4C5443" w14:textId="77777777" w:rsidR="008D4529" w:rsidRPr="008D4529" w:rsidRDefault="008D4529" w:rsidP="008D4529">
      <w:pPr>
        <w:spacing w:line="360" w:lineRule="auto"/>
        <w:rPr>
          <w:rFonts w:ascii="Arial" w:hAnsi="Arial" w:cs="Arial"/>
          <w:sz w:val="24"/>
          <w:szCs w:val="24"/>
        </w:rPr>
      </w:pPr>
    </w:p>
    <w:p w14:paraId="14493E72" w14:textId="0B01A4E8"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In Wales, poverty reduction is framed by several key policies, including the Tackling Poverty Action Plan and the Well-being of Future Generations (Wales) Act 2015, which requires public bodies to work towards a “more equal Wales” and a “healthier Wales” (Welsh Government, 2019b; Future Generations Commissioner for Wales, 2022). Around 23% of the Welsh population live in relative income poverty, with higher rates among children, disabled </w:t>
      </w:r>
      <w:r w:rsidR="002517D4" w:rsidRPr="008D4529">
        <w:rPr>
          <w:rFonts w:ascii="Arial" w:hAnsi="Arial" w:cs="Arial"/>
          <w:sz w:val="24"/>
          <w:szCs w:val="24"/>
        </w:rPr>
        <w:t>people,</w:t>
      </w:r>
      <w:r w:rsidRPr="008D4529">
        <w:rPr>
          <w:rFonts w:ascii="Arial" w:hAnsi="Arial" w:cs="Arial"/>
          <w:sz w:val="24"/>
          <w:szCs w:val="24"/>
        </w:rPr>
        <w:t xml:space="preserve"> and single-parent households (</w:t>
      </w:r>
      <w:r w:rsidR="004A3C48" w:rsidRPr="008D4529">
        <w:rPr>
          <w:rFonts w:ascii="Arial" w:hAnsi="Arial" w:cs="Arial"/>
          <w:sz w:val="24"/>
          <w:szCs w:val="24"/>
        </w:rPr>
        <w:t>Stats Wales</w:t>
      </w:r>
      <w:r w:rsidRPr="008D4529">
        <w:rPr>
          <w:rFonts w:ascii="Arial" w:hAnsi="Arial" w:cs="Arial"/>
          <w:sz w:val="24"/>
          <w:szCs w:val="24"/>
        </w:rPr>
        <w:t>, 2023). Local authorities and third-sector organisations run programmes on financial inclusion, fuel poverty support, and employability, but these are often constrained by short-term funding.</w:t>
      </w:r>
    </w:p>
    <w:p w14:paraId="58ED666B" w14:textId="77777777" w:rsidR="008D4529" w:rsidRPr="008D4529" w:rsidRDefault="008D4529" w:rsidP="008D4529">
      <w:pPr>
        <w:spacing w:line="360" w:lineRule="auto"/>
        <w:rPr>
          <w:rFonts w:ascii="Arial" w:hAnsi="Arial" w:cs="Arial"/>
          <w:sz w:val="24"/>
          <w:szCs w:val="24"/>
        </w:rPr>
      </w:pPr>
    </w:p>
    <w:p w14:paraId="267EE9E5" w14:textId="77777777" w:rsidR="008D4529" w:rsidRPr="008D4529" w:rsidRDefault="008D4529" w:rsidP="008D4529">
      <w:pPr>
        <w:spacing w:line="360" w:lineRule="auto"/>
        <w:rPr>
          <w:rFonts w:ascii="Arial" w:hAnsi="Arial" w:cs="Arial"/>
          <w:sz w:val="24"/>
          <w:szCs w:val="24"/>
        </w:rPr>
      </w:pPr>
    </w:p>
    <w:p w14:paraId="6DDFB38E" w14:textId="77777777" w:rsidR="008D4529" w:rsidRPr="008D4529" w:rsidRDefault="008D4529" w:rsidP="008D4529">
      <w:pPr>
        <w:spacing w:line="360" w:lineRule="auto"/>
        <w:rPr>
          <w:rFonts w:ascii="Arial" w:hAnsi="Arial" w:cs="Arial"/>
          <w:sz w:val="24"/>
          <w:szCs w:val="24"/>
        </w:rPr>
      </w:pPr>
    </w:p>
    <w:p w14:paraId="39F845B9"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Use of theories/models</w:t>
      </w:r>
    </w:p>
    <w:p w14:paraId="6E92BC5E" w14:textId="5BA3F9F3"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The Social Exclusion Theory conceptualises poverty as a process of being shut out from economic, social, and political participation (Levitas et al., 2007). People experiencing poverty may face stigma, reduced access to services, and limited influence over decisions that affect their lives. This perspective shifts attention from individual deficits to structural barriers, highlighting the need for inclusive policies.</w:t>
      </w:r>
    </w:p>
    <w:p w14:paraId="0E514D13" w14:textId="77777777" w:rsidR="008D4529" w:rsidRPr="008D4529" w:rsidRDefault="008D4529" w:rsidP="008D4529">
      <w:pPr>
        <w:spacing w:line="360" w:lineRule="auto"/>
        <w:rPr>
          <w:rFonts w:ascii="Arial" w:hAnsi="Arial" w:cs="Arial"/>
          <w:sz w:val="24"/>
          <w:szCs w:val="24"/>
        </w:rPr>
      </w:pPr>
    </w:p>
    <w:p w14:paraId="76629E75" w14:textId="0C70754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The Capability Approach, developed by Sen (1999), views poverty as a deprivation of capabilities</w:t>
      </w:r>
      <w:r>
        <w:rPr>
          <w:rFonts w:ascii="Arial" w:hAnsi="Arial" w:cs="Arial"/>
          <w:sz w:val="24"/>
          <w:szCs w:val="24"/>
        </w:rPr>
        <w:t xml:space="preserve"> </w:t>
      </w:r>
      <w:r w:rsidRPr="008D4529">
        <w:rPr>
          <w:rFonts w:ascii="Arial" w:hAnsi="Arial" w:cs="Arial"/>
          <w:sz w:val="24"/>
          <w:szCs w:val="24"/>
        </w:rPr>
        <w:t xml:space="preserve">the real freedoms people </w:t>
      </w:r>
      <w:r w:rsidR="002517D4" w:rsidRPr="008D4529">
        <w:rPr>
          <w:rFonts w:ascii="Arial" w:hAnsi="Arial" w:cs="Arial"/>
          <w:sz w:val="24"/>
          <w:szCs w:val="24"/>
        </w:rPr>
        <w:t>must</w:t>
      </w:r>
      <w:r w:rsidRPr="008D4529">
        <w:rPr>
          <w:rFonts w:ascii="Arial" w:hAnsi="Arial" w:cs="Arial"/>
          <w:sz w:val="24"/>
          <w:szCs w:val="24"/>
        </w:rPr>
        <w:t xml:space="preserve"> lead the kind of life they value. This framework emphasises education, health, political voice and social connections as key dimensions of wellbeing. Applying these theories to the UK and Wales suggests that effective poverty strategies must go beyond income support to include quality education, secure employment, affordable housing, and accessible health and social care.</w:t>
      </w:r>
    </w:p>
    <w:p w14:paraId="2E1843F8"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Critical evaluation and recommendations</w:t>
      </w:r>
    </w:p>
    <w:p w14:paraId="73F43EFB" w14:textId="77777777" w:rsidR="008D4529" w:rsidRPr="008D4529" w:rsidRDefault="008D4529" w:rsidP="008D4529">
      <w:pPr>
        <w:spacing w:line="360" w:lineRule="auto"/>
        <w:rPr>
          <w:rFonts w:ascii="Arial" w:hAnsi="Arial" w:cs="Arial"/>
          <w:sz w:val="24"/>
          <w:szCs w:val="24"/>
        </w:rPr>
      </w:pPr>
    </w:p>
    <w:p w14:paraId="7C2124BB" w14:textId="77777777" w:rsidR="008D4529" w:rsidRPr="008D4529" w:rsidRDefault="008D4529" w:rsidP="008D4529">
      <w:pPr>
        <w:spacing w:line="360" w:lineRule="auto"/>
        <w:rPr>
          <w:rFonts w:ascii="Arial" w:hAnsi="Arial" w:cs="Arial"/>
          <w:sz w:val="24"/>
          <w:szCs w:val="24"/>
        </w:rPr>
      </w:pPr>
    </w:p>
    <w:p w14:paraId="1E8B1C63"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Despite the presence of anti-poverty strategies, structural inequalities in wealth, power and opportunity continue to limit progress toward SDG 1 in the UK. Welfare reforms and benefit caps have disproportionately affected low-income families, while social security levels often fail to meet basic living costs (Joseph Rowntree Foundation, 2023). In Wales, the Well-being of Future Generations Act offers a progressive, long-term framework, but the Future Generations Commissioner for Wales (2022) notes that implementation is inconsistent and sometimes lacks concrete action.</w:t>
      </w:r>
    </w:p>
    <w:p w14:paraId="6F6E478B"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To advance SDG 1, several interlinked recommendations can be made:</w:t>
      </w:r>
    </w:p>
    <w:p w14:paraId="74BB89F7" w14:textId="77777777" w:rsidR="008D4529" w:rsidRPr="008D4529" w:rsidRDefault="008D4529" w:rsidP="008D4529">
      <w:pPr>
        <w:spacing w:line="360" w:lineRule="auto"/>
        <w:rPr>
          <w:rFonts w:ascii="Arial" w:hAnsi="Arial" w:cs="Arial"/>
          <w:sz w:val="24"/>
          <w:szCs w:val="24"/>
        </w:rPr>
      </w:pPr>
    </w:p>
    <w:p w14:paraId="59A8CD47"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lastRenderedPageBreak/>
        <w:t>Strengthen social protection systems, including adequate, inflation-linked benefits and targeted support for families with children and disabled people.</w:t>
      </w:r>
    </w:p>
    <w:p w14:paraId="3BD80312" w14:textId="77777777" w:rsidR="008D4529" w:rsidRPr="008D4529" w:rsidRDefault="008D4529" w:rsidP="008D4529">
      <w:pPr>
        <w:spacing w:line="360" w:lineRule="auto"/>
        <w:rPr>
          <w:rFonts w:ascii="Arial" w:hAnsi="Arial" w:cs="Arial"/>
          <w:sz w:val="24"/>
          <w:szCs w:val="24"/>
        </w:rPr>
      </w:pPr>
    </w:p>
    <w:p w14:paraId="68FAA10E"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Promote living-wage employment and fair work policies, addressing precarious contracts and low pay.</w:t>
      </w:r>
    </w:p>
    <w:p w14:paraId="720175EB" w14:textId="77777777" w:rsidR="008D4529" w:rsidRPr="008D4529" w:rsidRDefault="008D4529" w:rsidP="008D4529">
      <w:pPr>
        <w:spacing w:line="360" w:lineRule="auto"/>
        <w:rPr>
          <w:rFonts w:ascii="Arial" w:hAnsi="Arial" w:cs="Arial"/>
          <w:sz w:val="24"/>
          <w:szCs w:val="24"/>
        </w:rPr>
      </w:pPr>
    </w:p>
    <w:p w14:paraId="3D159E6D"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Invest in affordable housing and energy-efficiency schemes to reduce housing and fuel poverty.</w:t>
      </w:r>
    </w:p>
    <w:p w14:paraId="016B7E5D" w14:textId="77777777" w:rsidR="008D4529" w:rsidRPr="008D4529" w:rsidRDefault="008D4529" w:rsidP="008D4529">
      <w:pPr>
        <w:spacing w:line="360" w:lineRule="auto"/>
        <w:rPr>
          <w:rFonts w:ascii="Arial" w:hAnsi="Arial" w:cs="Arial"/>
          <w:sz w:val="24"/>
          <w:szCs w:val="24"/>
        </w:rPr>
      </w:pPr>
    </w:p>
    <w:p w14:paraId="13DB6332" w14:textId="771C07ED"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Prioritise early childhood interventions</w:t>
      </w:r>
      <w:r w:rsidR="002517D4">
        <w:rPr>
          <w:rFonts w:ascii="Arial" w:hAnsi="Arial" w:cs="Arial"/>
          <w:sz w:val="24"/>
          <w:szCs w:val="24"/>
        </w:rPr>
        <w:t xml:space="preserve"> </w:t>
      </w:r>
      <w:r w:rsidRPr="008D4529">
        <w:rPr>
          <w:rFonts w:ascii="Arial" w:hAnsi="Arial" w:cs="Arial"/>
          <w:sz w:val="24"/>
          <w:szCs w:val="24"/>
        </w:rPr>
        <w:t xml:space="preserve">such as high-quality early education, childcare </w:t>
      </w:r>
      <w:r w:rsidR="002517D4" w:rsidRPr="008D4529">
        <w:rPr>
          <w:rFonts w:ascii="Arial" w:hAnsi="Arial" w:cs="Arial"/>
          <w:sz w:val="24"/>
          <w:szCs w:val="24"/>
        </w:rPr>
        <w:t>support,</w:t>
      </w:r>
      <w:r w:rsidRPr="008D4529">
        <w:rPr>
          <w:rFonts w:ascii="Arial" w:hAnsi="Arial" w:cs="Arial"/>
          <w:sz w:val="24"/>
          <w:szCs w:val="24"/>
        </w:rPr>
        <w:t xml:space="preserve"> and family-support services</w:t>
      </w:r>
      <w:r w:rsidR="002517D4">
        <w:rPr>
          <w:rFonts w:ascii="Arial" w:hAnsi="Arial" w:cs="Arial"/>
          <w:sz w:val="24"/>
          <w:szCs w:val="24"/>
        </w:rPr>
        <w:t xml:space="preserve"> </w:t>
      </w:r>
      <w:r w:rsidRPr="008D4529">
        <w:rPr>
          <w:rFonts w:ascii="Arial" w:hAnsi="Arial" w:cs="Arial"/>
          <w:sz w:val="24"/>
          <w:szCs w:val="24"/>
        </w:rPr>
        <w:t>to break intergenerational cycles of poverty.</w:t>
      </w:r>
    </w:p>
    <w:p w14:paraId="62792B7D" w14:textId="77777777" w:rsidR="008D4529" w:rsidRPr="008D4529" w:rsidRDefault="008D4529" w:rsidP="008D4529">
      <w:pPr>
        <w:spacing w:line="360" w:lineRule="auto"/>
        <w:rPr>
          <w:rFonts w:ascii="Arial" w:hAnsi="Arial" w:cs="Arial"/>
          <w:sz w:val="24"/>
          <w:szCs w:val="24"/>
        </w:rPr>
      </w:pPr>
    </w:p>
    <w:p w14:paraId="5D8633D6" w14:textId="77777777"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Adopt a Multidimensional Poverty Index (MPI) at national and Welsh levels to capture non-income aspects of poverty and guide policy (UNDP, 2022).</w:t>
      </w:r>
    </w:p>
    <w:p w14:paraId="1C922977" w14:textId="175BF605"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Empower communities through participatory budgeting and co-production of local services, ensuring that people with lived experience of poverty shape the policies that affect </w:t>
      </w:r>
      <w:r w:rsidR="004A3C48" w:rsidRPr="008D4529">
        <w:rPr>
          <w:rFonts w:ascii="Arial" w:hAnsi="Arial" w:cs="Arial"/>
          <w:sz w:val="24"/>
          <w:szCs w:val="24"/>
        </w:rPr>
        <w:t>them. Crucially</w:t>
      </w:r>
      <w:r w:rsidRPr="008D4529">
        <w:rPr>
          <w:rFonts w:ascii="Arial" w:hAnsi="Arial" w:cs="Arial"/>
          <w:sz w:val="24"/>
          <w:szCs w:val="24"/>
        </w:rPr>
        <w:t>, integrating poverty and health policies would recognise that poor health both results from and reinforces poverty. Closer alignment between SDG 1 and SDG 3 could therefore produce more effective and equitable outcomes.</w:t>
      </w:r>
    </w:p>
    <w:p w14:paraId="2E4D8E87" w14:textId="77777777" w:rsidR="008D4529" w:rsidRPr="008D4529" w:rsidRDefault="008D4529" w:rsidP="008D4529">
      <w:pPr>
        <w:spacing w:line="360" w:lineRule="auto"/>
        <w:rPr>
          <w:rFonts w:ascii="Arial" w:hAnsi="Arial" w:cs="Arial"/>
          <w:sz w:val="24"/>
          <w:szCs w:val="24"/>
        </w:rPr>
      </w:pPr>
    </w:p>
    <w:p w14:paraId="706191C7" w14:textId="36F121A1"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Conclusion </w:t>
      </w:r>
    </w:p>
    <w:p w14:paraId="75020DF5" w14:textId="22D78C38"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This report has critically examined SDG 3 Good Health and Wellbeing and SDG 1 No Poverty, highlighting their global, national, and local dimensions. The analysis showed that, internationally, initiatives such as the WHO’s Global Action Plan and the World Food Programme have contributed to improved health and reduced poverty, yet progress is undermined by structural inequalities, fragmented governance, and the compounded effects of pandemics and climate change. In the UK and Wales, robust policy frameworks</w:t>
      </w:r>
      <w:r>
        <w:rPr>
          <w:rFonts w:ascii="Arial" w:hAnsi="Arial" w:cs="Arial"/>
          <w:sz w:val="24"/>
          <w:szCs w:val="24"/>
        </w:rPr>
        <w:t xml:space="preserve"> </w:t>
      </w:r>
      <w:r w:rsidRPr="008D4529">
        <w:rPr>
          <w:rFonts w:ascii="Arial" w:hAnsi="Arial" w:cs="Arial"/>
          <w:sz w:val="24"/>
          <w:szCs w:val="24"/>
        </w:rPr>
        <w:t>including the NHS Long Term Plan, Healthy Wales, and the Well-being of Future Generations (Wales) Act 2015</w:t>
      </w:r>
      <w:r>
        <w:rPr>
          <w:rFonts w:ascii="Arial" w:hAnsi="Arial" w:cs="Arial"/>
          <w:sz w:val="24"/>
          <w:szCs w:val="24"/>
        </w:rPr>
        <w:t xml:space="preserve"> </w:t>
      </w:r>
      <w:r w:rsidRPr="008D4529">
        <w:rPr>
          <w:rFonts w:ascii="Arial" w:hAnsi="Arial" w:cs="Arial"/>
          <w:sz w:val="24"/>
          <w:szCs w:val="24"/>
        </w:rPr>
        <w:t xml:space="preserve">provide strong foundations, but </w:t>
      </w:r>
      <w:r w:rsidRPr="008D4529">
        <w:rPr>
          <w:rFonts w:ascii="Arial" w:hAnsi="Arial" w:cs="Arial"/>
          <w:sz w:val="24"/>
          <w:szCs w:val="24"/>
        </w:rPr>
        <w:lastRenderedPageBreak/>
        <w:t>entrenched socioeconomic disparities and funding constraints continue to limit impact.</w:t>
      </w:r>
    </w:p>
    <w:p w14:paraId="6ADE547B" w14:textId="77777777" w:rsidR="008D4529" w:rsidRPr="008D4529" w:rsidRDefault="008D4529" w:rsidP="008D4529">
      <w:pPr>
        <w:spacing w:line="360" w:lineRule="auto"/>
        <w:rPr>
          <w:rFonts w:ascii="Arial" w:hAnsi="Arial" w:cs="Arial"/>
          <w:sz w:val="24"/>
          <w:szCs w:val="24"/>
        </w:rPr>
      </w:pPr>
    </w:p>
    <w:p w14:paraId="55DB3372" w14:textId="2CE9ADDB"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A key finding is the deep interdependence between health and poverty. Poverty restricts access to nutritious food, safe housing, quality </w:t>
      </w:r>
      <w:r w:rsidR="002517D4" w:rsidRPr="008D4529">
        <w:rPr>
          <w:rFonts w:ascii="Arial" w:hAnsi="Arial" w:cs="Arial"/>
          <w:sz w:val="24"/>
          <w:szCs w:val="24"/>
        </w:rPr>
        <w:t>education,</w:t>
      </w:r>
      <w:r w:rsidRPr="008D4529">
        <w:rPr>
          <w:rFonts w:ascii="Arial" w:hAnsi="Arial" w:cs="Arial"/>
          <w:sz w:val="24"/>
          <w:szCs w:val="24"/>
        </w:rPr>
        <w:t xml:space="preserve"> and healthcare, leading to poorer health outcomes. In turn, ill health reduces people’s ability to wor</w:t>
      </w:r>
      <w:r w:rsidR="004A3C48">
        <w:rPr>
          <w:rFonts w:ascii="Arial" w:hAnsi="Arial" w:cs="Arial"/>
          <w:sz w:val="24"/>
          <w:szCs w:val="24"/>
        </w:rPr>
        <w:t xml:space="preserve">d </w:t>
      </w:r>
      <w:r w:rsidRPr="008D4529">
        <w:rPr>
          <w:rFonts w:ascii="Arial" w:hAnsi="Arial" w:cs="Arial"/>
          <w:sz w:val="24"/>
          <w:szCs w:val="24"/>
        </w:rPr>
        <w:t>learn and participate fully in society, perpetuating cycles of deprivation. This confirms the introduction’s assertion that progress on one SDG can strongly influence progress on others.</w:t>
      </w:r>
    </w:p>
    <w:p w14:paraId="55519067" w14:textId="77777777" w:rsidR="008D4529" w:rsidRPr="008D4529" w:rsidRDefault="008D4529" w:rsidP="008D4529">
      <w:pPr>
        <w:spacing w:line="360" w:lineRule="auto"/>
        <w:rPr>
          <w:rFonts w:ascii="Arial" w:hAnsi="Arial" w:cs="Arial"/>
          <w:sz w:val="24"/>
          <w:szCs w:val="24"/>
        </w:rPr>
      </w:pPr>
    </w:p>
    <w:p w14:paraId="27C3A9A3" w14:textId="7D28F7C1" w:rsidR="008D4529" w:rsidRPr="008D4529" w:rsidRDefault="008D4529" w:rsidP="008D4529">
      <w:pPr>
        <w:spacing w:line="360" w:lineRule="auto"/>
        <w:rPr>
          <w:rFonts w:ascii="Arial" w:hAnsi="Arial" w:cs="Arial"/>
          <w:sz w:val="24"/>
          <w:szCs w:val="24"/>
        </w:rPr>
      </w:pPr>
      <w:r w:rsidRPr="008D4529">
        <w:rPr>
          <w:rFonts w:ascii="Arial" w:hAnsi="Arial" w:cs="Arial"/>
          <w:sz w:val="24"/>
          <w:szCs w:val="24"/>
        </w:rPr>
        <w:t xml:space="preserve">The wider implication is that achieving SDGs 1 and 3 by 2030 requires more than isolated health or welfare programmes. It demands integrated, cross-sectoral strategies that address social determinants, redistribute resources more fairly, and empower communities to shape decisions. </w:t>
      </w:r>
      <w:r w:rsidR="002517D4" w:rsidRPr="008D4529">
        <w:rPr>
          <w:rFonts w:ascii="Arial" w:hAnsi="Arial" w:cs="Arial"/>
          <w:sz w:val="24"/>
          <w:szCs w:val="24"/>
        </w:rPr>
        <w:t>Sustainable</w:t>
      </w:r>
      <w:r w:rsidRPr="008D4529">
        <w:rPr>
          <w:rFonts w:ascii="Arial" w:hAnsi="Arial" w:cs="Arial"/>
          <w:sz w:val="24"/>
          <w:szCs w:val="24"/>
        </w:rPr>
        <w:t xml:space="preserve"> development in Wales, the UK and globally will depend on sustained political will and collective responsibility to tackle the root causes of inequality and promote wellbeing for current and future generations.</w:t>
      </w:r>
    </w:p>
    <w:p w14:paraId="184F9C8C" w14:textId="77777777" w:rsidR="008D4529" w:rsidRPr="008D4529" w:rsidRDefault="008D4529" w:rsidP="008D4529">
      <w:pPr>
        <w:spacing w:line="360" w:lineRule="auto"/>
        <w:rPr>
          <w:rFonts w:ascii="Arial" w:hAnsi="Arial" w:cs="Arial"/>
          <w:sz w:val="24"/>
          <w:szCs w:val="24"/>
        </w:rPr>
      </w:pPr>
    </w:p>
    <w:p w14:paraId="41356187" w14:textId="1D30F2E7" w:rsidR="008D4529" w:rsidRDefault="008D4529" w:rsidP="008D4529">
      <w:pPr>
        <w:spacing w:line="360" w:lineRule="auto"/>
        <w:rPr>
          <w:rFonts w:ascii="Arial" w:hAnsi="Arial" w:cs="Arial"/>
          <w:sz w:val="24"/>
          <w:szCs w:val="24"/>
        </w:rPr>
      </w:pPr>
      <w:r w:rsidRPr="008D4529">
        <w:rPr>
          <w:rFonts w:ascii="Arial" w:hAnsi="Arial" w:cs="Arial"/>
          <w:sz w:val="24"/>
          <w:szCs w:val="24"/>
        </w:rPr>
        <w:t xml:space="preserve">Reference List </w:t>
      </w:r>
    </w:p>
    <w:p w14:paraId="14B9414B" w14:textId="65B88368" w:rsidR="00116B91" w:rsidRPr="00116B91" w:rsidRDefault="00116B91" w:rsidP="00116B91">
      <w:pPr>
        <w:spacing w:line="360" w:lineRule="auto"/>
        <w:rPr>
          <w:rFonts w:ascii="Arial" w:hAnsi="Arial" w:cs="Arial"/>
          <w:sz w:val="24"/>
          <w:szCs w:val="24"/>
        </w:rPr>
      </w:pPr>
      <w:r w:rsidRPr="00116B91">
        <w:rPr>
          <w:rFonts w:ascii="Arial" w:hAnsi="Arial" w:cs="Arial"/>
          <w:sz w:val="24"/>
          <w:szCs w:val="24"/>
        </w:rPr>
        <w:t xml:space="preserve">Akhtar, N. (n.d.) Home. [online] Saheli Hub. Available at: </w:t>
      </w:r>
      <w:hyperlink r:id="rId4" w:history="1">
        <w:r w:rsidRPr="00E64F7A">
          <w:rPr>
            <w:rStyle w:val="Hyperlink"/>
            <w:rFonts w:ascii="Arial" w:hAnsi="Arial" w:cs="Arial"/>
            <w:sz w:val="24"/>
            <w:szCs w:val="24"/>
          </w:rPr>
          <w:t>https://saheli.co.uk/</w:t>
        </w:r>
      </w:hyperlink>
      <w:r>
        <w:rPr>
          <w:rFonts w:ascii="Arial" w:hAnsi="Arial" w:cs="Arial"/>
          <w:sz w:val="24"/>
          <w:szCs w:val="24"/>
        </w:rPr>
        <w:t xml:space="preserve"> </w:t>
      </w:r>
    </w:p>
    <w:p w14:paraId="7D10E0AF" w14:textId="0B47943C" w:rsidR="00E274E7" w:rsidRDefault="00116B91" w:rsidP="00116B91">
      <w:pPr>
        <w:spacing w:line="360" w:lineRule="auto"/>
        <w:rPr>
          <w:rFonts w:ascii="Arial" w:hAnsi="Arial" w:cs="Arial"/>
          <w:sz w:val="24"/>
          <w:szCs w:val="24"/>
        </w:rPr>
      </w:pPr>
      <w:r w:rsidRPr="00116B91">
        <w:rPr>
          <w:rFonts w:ascii="Arial" w:hAnsi="Arial" w:cs="Arial"/>
          <w:sz w:val="24"/>
          <w:szCs w:val="24"/>
        </w:rPr>
        <w:t xml:space="preserve"> (Accessed: 12 November 2025).</w:t>
      </w:r>
      <w:r>
        <w:rPr>
          <w:rFonts w:ascii="Arial" w:hAnsi="Arial" w:cs="Arial"/>
          <w:sz w:val="24"/>
          <w:szCs w:val="24"/>
        </w:rPr>
        <w:t xml:space="preserve"> </w:t>
      </w:r>
    </w:p>
    <w:p w14:paraId="2D2617FE" w14:textId="571D740B" w:rsidR="00116B91" w:rsidRDefault="00116B91" w:rsidP="00116B91">
      <w:pPr>
        <w:spacing w:line="360" w:lineRule="auto"/>
        <w:rPr>
          <w:rFonts w:ascii="Arial" w:hAnsi="Arial" w:cs="Arial"/>
          <w:sz w:val="24"/>
          <w:szCs w:val="24"/>
        </w:rPr>
      </w:pPr>
      <w:r w:rsidRPr="00116B91">
        <w:rPr>
          <w:rFonts w:ascii="Arial" w:hAnsi="Arial" w:cs="Arial"/>
          <w:sz w:val="24"/>
          <w:szCs w:val="24"/>
        </w:rPr>
        <w:t>Future Generations Commissioner for Wales (2022) Programme for Government and the Well-being of Future Generations Act. Cardiff: Future Generations Commissioner for Wales.</w:t>
      </w:r>
      <w:r>
        <w:rPr>
          <w:rFonts w:ascii="Arial" w:hAnsi="Arial" w:cs="Arial"/>
          <w:sz w:val="24"/>
          <w:szCs w:val="24"/>
        </w:rPr>
        <w:t xml:space="preserve"> </w:t>
      </w:r>
    </w:p>
    <w:p w14:paraId="31E3692A" w14:textId="2F83F384" w:rsidR="00116B91" w:rsidRPr="00116B91" w:rsidRDefault="00116B91" w:rsidP="00116B91">
      <w:pPr>
        <w:spacing w:line="360" w:lineRule="auto"/>
        <w:rPr>
          <w:rFonts w:ascii="Arial" w:hAnsi="Arial" w:cs="Arial"/>
          <w:sz w:val="24"/>
          <w:szCs w:val="24"/>
        </w:rPr>
      </w:pPr>
      <w:r w:rsidRPr="00116B91">
        <w:rPr>
          <w:rFonts w:ascii="Arial" w:hAnsi="Arial" w:cs="Arial"/>
          <w:sz w:val="24"/>
          <w:szCs w:val="24"/>
        </w:rPr>
        <w:t xml:space="preserve">International Labour Organization (ILO) (2021) World Employment and Social Outlook 2021. Geneva: ILO. Available at: </w:t>
      </w:r>
      <w:hyperlink r:id="rId5" w:history="1">
        <w:r w:rsidRPr="00E64F7A">
          <w:rPr>
            <w:rStyle w:val="Hyperlink"/>
            <w:rFonts w:ascii="Arial" w:hAnsi="Arial" w:cs="Arial"/>
            <w:sz w:val="24"/>
            <w:szCs w:val="24"/>
          </w:rPr>
          <w:t>https://www.ilo.org/publications/world-employment-and-social-outlook-trends-2021</w:t>
        </w:r>
      </w:hyperlink>
      <w:r>
        <w:rPr>
          <w:rFonts w:ascii="Arial" w:hAnsi="Arial" w:cs="Arial"/>
          <w:sz w:val="24"/>
          <w:szCs w:val="24"/>
        </w:rPr>
        <w:t xml:space="preserve"> </w:t>
      </w:r>
    </w:p>
    <w:p w14:paraId="4662A22C" w14:textId="7C462FB8" w:rsidR="00116B91" w:rsidRDefault="00116B91" w:rsidP="00116B91">
      <w:pPr>
        <w:spacing w:line="360" w:lineRule="auto"/>
        <w:rPr>
          <w:rFonts w:ascii="Arial" w:hAnsi="Arial" w:cs="Arial"/>
          <w:sz w:val="24"/>
          <w:szCs w:val="24"/>
        </w:rPr>
      </w:pPr>
      <w:r w:rsidRPr="00116B91">
        <w:rPr>
          <w:rFonts w:ascii="Arial" w:hAnsi="Arial" w:cs="Arial"/>
          <w:sz w:val="24"/>
          <w:szCs w:val="24"/>
        </w:rPr>
        <w:t xml:space="preserve"> (Accessed: 12 November 2025).</w:t>
      </w:r>
    </w:p>
    <w:p w14:paraId="2CA3A759" w14:textId="3A61807E" w:rsidR="00116B91" w:rsidRPr="00116B91" w:rsidRDefault="00116B91" w:rsidP="00116B91">
      <w:pPr>
        <w:spacing w:line="360" w:lineRule="auto"/>
        <w:rPr>
          <w:rFonts w:ascii="Arial" w:hAnsi="Arial" w:cs="Arial"/>
          <w:sz w:val="24"/>
          <w:szCs w:val="24"/>
        </w:rPr>
      </w:pPr>
      <w:r w:rsidRPr="00116B91">
        <w:rPr>
          <w:rFonts w:ascii="Arial" w:hAnsi="Arial" w:cs="Arial"/>
          <w:sz w:val="24"/>
          <w:szCs w:val="24"/>
        </w:rPr>
        <w:lastRenderedPageBreak/>
        <w:t xml:space="preserve">Joseph Rowntree Foundation (2023) UK Poverty 2023: The essential guide to understanding poverty in the UK. York: Joseph Rowntree Foundation. Available at: </w:t>
      </w:r>
      <w:hyperlink r:id="rId6" w:history="1">
        <w:r w:rsidRPr="00E64F7A">
          <w:rPr>
            <w:rStyle w:val="Hyperlink"/>
            <w:rFonts w:ascii="Arial" w:hAnsi="Arial" w:cs="Arial"/>
            <w:sz w:val="24"/>
            <w:szCs w:val="24"/>
          </w:rPr>
          <w:t>https://www.jrf.org.uk/uk-poverty-2023-the-essential-guide-to-understanding-poverty-in-the-uk</w:t>
        </w:r>
      </w:hyperlink>
      <w:r>
        <w:rPr>
          <w:rFonts w:ascii="Arial" w:hAnsi="Arial" w:cs="Arial"/>
          <w:sz w:val="24"/>
          <w:szCs w:val="24"/>
        </w:rPr>
        <w:t xml:space="preserve"> </w:t>
      </w:r>
    </w:p>
    <w:p w14:paraId="167AD52C" w14:textId="1D57C884" w:rsidR="00116B91" w:rsidRDefault="00116B91" w:rsidP="00116B91">
      <w:pPr>
        <w:spacing w:line="360" w:lineRule="auto"/>
        <w:rPr>
          <w:rFonts w:ascii="Arial" w:hAnsi="Arial" w:cs="Arial"/>
          <w:sz w:val="24"/>
          <w:szCs w:val="24"/>
        </w:rPr>
      </w:pPr>
      <w:r w:rsidRPr="00116B91">
        <w:rPr>
          <w:rFonts w:ascii="Arial" w:hAnsi="Arial" w:cs="Arial"/>
          <w:sz w:val="24"/>
          <w:szCs w:val="24"/>
        </w:rPr>
        <w:t xml:space="preserve"> (Accessed: 12 November 2025).</w:t>
      </w:r>
    </w:p>
    <w:p w14:paraId="2E507DE8" w14:textId="7597FFDC" w:rsidR="00116B91" w:rsidRDefault="00116B91" w:rsidP="00116B91">
      <w:pPr>
        <w:spacing w:line="360" w:lineRule="auto"/>
        <w:rPr>
          <w:rFonts w:ascii="Arial" w:hAnsi="Arial" w:cs="Arial"/>
          <w:sz w:val="24"/>
          <w:szCs w:val="24"/>
        </w:rPr>
      </w:pPr>
      <w:r w:rsidRPr="00116B91">
        <w:rPr>
          <w:rFonts w:ascii="Arial" w:hAnsi="Arial" w:cs="Arial"/>
          <w:sz w:val="24"/>
          <w:szCs w:val="24"/>
        </w:rPr>
        <w:t xml:space="preserve">Kickbusch, I., Szabo, </w:t>
      </w:r>
      <w:r w:rsidR="002517D4" w:rsidRPr="00116B91">
        <w:rPr>
          <w:rFonts w:ascii="Arial" w:hAnsi="Arial" w:cs="Arial"/>
          <w:sz w:val="24"/>
          <w:szCs w:val="24"/>
        </w:rPr>
        <w:t>M.M.,</w:t>
      </w:r>
      <w:r w:rsidRPr="00116B91">
        <w:rPr>
          <w:rFonts w:ascii="Arial" w:hAnsi="Arial" w:cs="Arial"/>
          <w:sz w:val="24"/>
          <w:szCs w:val="24"/>
        </w:rPr>
        <w:t xml:space="preserve"> and Brindley, C. (2021) ‘Policy challenges to global health governance in the 2030 Agenda’, The Lancet Public Health, 6(3), pp. e215–e221.</w:t>
      </w:r>
    </w:p>
    <w:p w14:paraId="61605A3F" w14:textId="45D7764E" w:rsidR="00116B91" w:rsidRDefault="004A3C48" w:rsidP="00116B91">
      <w:pPr>
        <w:spacing w:line="360" w:lineRule="auto"/>
        <w:rPr>
          <w:rFonts w:ascii="Arial" w:hAnsi="Arial" w:cs="Arial"/>
          <w:sz w:val="24"/>
          <w:szCs w:val="24"/>
        </w:rPr>
      </w:pPr>
      <w:r w:rsidRPr="004A3C48">
        <w:rPr>
          <w:rFonts w:ascii="Arial" w:hAnsi="Arial" w:cs="Arial"/>
          <w:sz w:val="24"/>
          <w:szCs w:val="24"/>
        </w:rPr>
        <w:t>Marmot, M. (2020) The Health Gap: The challenge of an unequal world. Rev. edn. London: Bloomsbury.</w:t>
      </w:r>
    </w:p>
    <w:p w14:paraId="070E9731" w14:textId="371B5837" w:rsidR="004A3C48" w:rsidRDefault="004A3C48" w:rsidP="00116B91">
      <w:pPr>
        <w:spacing w:line="360" w:lineRule="auto"/>
        <w:rPr>
          <w:rFonts w:ascii="Arial" w:hAnsi="Arial" w:cs="Arial"/>
          <w:sz w:val="24"/>
          <w:szCs w:val="24"/>
        </w:rPr>
      </w:pPr>
      <w:r w:rsidRPr="004A3C48">
        <w:rPr>
          <w:rFonts w:ascii="Arial" w:hAnsi="Arial" w:cs="Arial"/>
          <w:sz w:val="24"/>
          <w:szCs w:val="24"/>
        </w:rPr>
        <w:t xml:space="preserve">Marmot, </w:t>
      </w:r>
      <w:r w:rsidR="002517D4" w:rsidRPr="004A3C48">
        <w:rPr>
          <w:rFonts w:ascii="Arial" w:hAnsi="Arial" w:cs="Arial"/>
          <w:sz w:val="24"/>
          <w:szCs w:val="24"/>
        </w:rPr>
        <w:t>M.,</w:t>
      </w:r>
      <w:r w:rsidRPr="004A3C48">
        <w:rPr>
          <w:rFonts w:ascii="Arial" w:hAnsi="Arial" w:cs="Arial"/>
          <w:sz w:val="24"/>
          <w:szCs w:val="24"/>
        </w:rPr>
        <w:t xml:space="preserve"> and Allen, J. (2014) ‘Social determinants of health equity’, American Journal of Public Health, 104(S4), pp. S517–S519.</w:t>
      </w:r>
    </w:p>
    <w:p w14:paraId="21A0F192" w14:textId="15CC2D3C" w:rsidR="004A3C48" w:rsidRPr="004A3C48" w:rsidRDefault="004A3C48" w:rsidP="004A3C48">
      <w:pPr>
        <w:spacing w:line="360" w:lineRule="auto"/>
        <w:rPr>
          <w:rFonts w:ascii="Arial" w:hAnsi="Arial" w:cs="Arial"/>
          <w:sz w:val="24"/>
          <w:szCs w:val="24"/>
        </w:rPr>
      </w:pPr>
      <w:r w:rsidRPr="004A3C48">
        <w:rPr>
          <w:rFonts w:ascii="Arial" w:hAnsi="Arial" w:cs="Arial"/>
          <w:sz w:val="24"/>
          <w:szCs w:val="24"/>
        </w:rPr>
        <w:t xml:space="preserve">NHS England (2019) The NHS Long Term Plan. London: NHS England. Available at: </w:t>
      </w:r>
      <w:hyperlink r:id="rId7" w:history="1">
        <w:r w:rsidRPr="00E64F7A">
          <w:rPr>
            <w:rStyle w:val="Hyperlink"/>
            <w:rFonts w:ascii="Arial" w:hAnsi="Arial" w:cs="Arial"/>
            <w:sz w:val="24"/>
            <w:szCs w:val="24"/>
          </w:rPr>
          <w:t>https://www.longtermplan.nhs.uk/online-version/chapter-1-a-new-service-model-for-the-21st-century/</w:t>
        </w:r>
      </w:hyperlink>
      <w:r>
        <w:rPr>
          <w:rFonts w:ascii="Arial" w:hAnsi="Arial" w:cs="Arial"/>
          <w:sz w:val="24"/>
          <w:szCs w:val="24"/>
        </w:rPr>
        <w:t xml:space="preserve"> </w:t>
      </w:r>
    </w:p>
    <w:p w14:paraId="36603047" w14:textId="77777777" w:rsidR="004A3C48" w:rsidRPr="004A3C48" w:rsidRDefault="004A3C48" w:rsidP="004A3C48">
      <w:pPr>
        <w:spacing w:line="360" w:lineRule="auto"/>
        <w:rPr>
          <w:rFonts w:ascii="Arial" w:hAnsi="Arial" w:cs="Arial"/>
          <w:sz w:val="24"/>
          <w:szCs w:val="24"/>
        </w:rPr>
      </w:pPr>
      <w:r w:rsidRPr="004A3C48">
        <w:rPr>
          <w:rFonts w:ascii="Arial" w:hAnsi="Arial" w:cs="Arial"/>
          <w:sz w:val="24"/>
          <w:szCs w:val="24"/>
        </w:rPr>
        <w:t xml:space="preserve"> (Accessed: 12 November 2025). </w:t>
      </w:r>
    </w:p>
    <w:p w14:paraId="62CF6025" w14:textId="61A65D6D" w:rsidR="004A3C48" w:rsidRDefault="004A3C48" w:rsidP="004A3C48">
      <w:pPr>
        <w:spacing w:line="360" w:lineRule="auto"/>
        <w:rPr>
          <w:rFonts w:ascii="Arial" w:hAnsi="Arial" w:cs="Arial"/>
          <w:sz w:val="24"/>
          <w:szCs w:val="24"/>
        </w:rPr>
      </w:pPr>
      <w:r w:rsidRPr="004A3C48">
        <w:rPr>
          <w:rFonts w:ascii="Arial" w:hAnsi="Arial" w:cs="Arial"/>
          <w:sz w:val="24"/>
          <w:szCs w:val="24"/>
        </w:rPr>
        <w:t>Organisation for Economic Co-operation and Development (OECD) (2023) Climate Change and Long-Term Inequality. Paris: OECD.</w:t>
      </w:r>
    </w:p>
    <w:p w14:paraId="2B0251F9" w14:textId="5E4AB7EE" w:rsidR="004A3C48" w:rsidRDefault="004A3C48" w:rsidP="004A3C48">
      <w:pPr>
        <w:spacing w:line="360" w:lineRule="auto"/>
        <w:rPr>
          <w:rFonts w:ascii="Arial" w:hAnsi="Arial" w:cs="Arial"/>
          <w:sz w:val="24"/>
          <w:szCs w:val="24"/>
        </w:rPr>
      </w:pPr>
      <w:r w:rsidRPr="004A3C48">
        <w:rPr>
          <w:rFonts w:ascii="Arial" w:hAnsi="Arial" w:cs="Arial"/>
          <w:sz w:val="24"/>
          <w:szCs w:val="24"/>
        </w:rPr>
        <w:t>Public Health Wales (2023) Public Health Outcomes Framework for Wales: Inequalities Report 2023. Cardiff: Public Health Wales.</w:t>
      </w:r>
    </w:p>
    <w:p w14:paraId="6DB29500" w14:textId="43D1FE42" w:rsidR="004A3C48" w:rsidRDefault="004A3C48" w:rsidP="004A3C48">
      <w:pPr>
        <w:spacing w:line="360" w:lineRule="auto"/>
        <w:rPr>
          <w:rFonts w:ascii="Arial" w:hAnsi="Arial" w:cs="Arial"/>
          <w:sz w:val="24"/>
          <w:szCs w:val="24"/>
        </w:rPr>
      </w:pPr>
      <w:r w:rsidRPr="004A3C48">
        <w:rPr>
          <w:rFonts w:ascii="Arial" w:hAnsi="Arial" w:cs="Arial"/>
          <w:sz w:val="24"/>
          <w:szCs w:val="24"/>
        </w:rPr>
        <w:t>Sen, A. (1999) Development as Freedom. Oxford: Oxford University Press.</w:t>
      </w:r>
    </w:p>
    <w:p w14:paraId="1A201A6A" w14:textId="0623020A" w:rsidR="004A3C48" w:rsidRDefault="004A3C48" w:rsidP="004A3C48">
      <w:pPr>
        <w:spacing w:line="360" w:lineRule="auto"/>
        <w:rPr>
          <w:rFonts w:ascii="Arial" w:hAnsi="Arial" w:cs="Arial"/>
          <w:sz w:val="24"/>
          <w:szCs w:val="24"/>
        </w:rPr>
      </w:pPr>
      <w:r w:rsidRPr="004A3C48">
        <w:rPr>
          <w:rFonts w:ascii="Arial" w:hAnsi="Arial" w:cs="Arial"/>
          <w:sz w:val="24"/>
          <w:szCs w:val="24"/>
        </w:rPr>
        <w:t>Stats Wales (2023) People in relative income poverty by age group. Cardiff: Welsh Government.</w:t>
      </w:r>
    </w:p>
    <w:p w14:paraId="65CA250D" w14:textId="6F25F905" w:rsidR="004A3C48" w:rsidRDefault="004A3C48" w:rsidP="004A3C48">
      <w:pPr>
        <w:spacing w:line="360" w:lineRule="auto"/>
        <w:rPr>
          <w:rFonts w:ascii="Arial" w:hAnsi="Arial" w:cs="Arial"/>
          <w:sz w:val="24"/>
          <w:szCs w:val="24"/>
        </w:rPr>
      </w:pPr>
      <w:r w:rsidRPr="004A3C48">
        <w:rPr>
          <w:rFonts w:ascii="Arial" w:hAnsi="Arial" w:cs="Arial"/>
          <w:sz w:val="24"/>
          <w:szCs w:val="24"/>
        </w:rPr>
        <w:t>The King’s Fund (2022) Health inequalities: our position. London: The King’s Fund.</w:t>
      </w:r>
    </w:p>
    <w:p w14:paraId="0F0C48BD" w14:textId="494100C7" w:rsidR="004A3C48" w:rsidRDefault="004A3C48" w:rsidP="004A3C48">
      <w:pPr>
        <w:spacing w:line="360" w:lineRule="auto"/>
        <w:rPr>
          <w:rFonts w:ascii="Arial" w:hAnsi="Arial" w:cs="Arial"/>
          <w:sz w:val="24"/>
          <w:szCs w:val="24"/>
        </w:rPr>
      </w:pPr>
      <w:r w:rsidRPr="004A3C48">
        <w:rPr>
          <w:rFonts w:ascii="Arial" w:hAnsi="Arial" w:cs="Arial"/>
          <w:sz w:val="24"/>
          <w:szCs w:val="24"/>
        </w:rPr>
        <w:t>The Lancet (2021) ‘COVID-19: learning from the past’, The Lancet, 397(10277), p. 957.</w:t>
      </w:r>
    </w:p>
    <w:p w14:paraId="52BE4805" w14:textId="057F998B" w:rsidR="004A3C48" w:rsidRDefault="004A3C48" w:rsidP="004A3C48">
      <w:pPr>
        <w:spacing w:line="360" w:lineRule="auto"/>
        <w:rPr>
          <w:rFonts w:ascii="Arial" w:hAnsi="Arial" w:cs="Arial"/>
          <w:sz w:val="24"/>
          <w:szCs w:val="24"/>
        </w:rPr>
      </w:pPr>
      <w:r w:rsidRPr="004A3C48">
        <w:rPr>
          <w:rFonts w:ascii="Arial" w:hAnsi="Arial" w:cs="Arial"/>
          <w:sz w:val="24"/>
          <w:szCs w:val="24"/>
        </w:rPr>
        <w:t>United Nations (2015) Transforming our world: The 2030 Agenda for Sustainable Development. New York: United Nations.</w:t>
      </w:r>
    </w:p>
    <w:p w14:paraId="1D0428D4" w14:textId="00D07358" w:rsidR="004A3C48" w:rsidRDefault="004A3C48" w:rsidP="004A3C48">
      <w:pPr>
        <w:spacing w:line="360" w:lineRule="auto"/>
        <w:rPr>
          <w:rFonts w:ascii="Arial" w:hAnsi="Arial" w:cs="Arial"/>
          <w:sz w:val="24"/>
          <w:szCs w:val="24"/>
        </w:rPr>
      </w:pPr>
      <w:r w:rsidRPr="004A3C48">
        <w:rPr>
          <w:rFonts w:ascii="Arial" w:hAnsi="Arial" w:cs="Arial"/>
          <w:sz w:val="24"/>
          <w:szCs w:val="24"/>
        </w:rPr>
        <w:lastRenderedPageBreak/>
        <w:t>United Nations Development Programme (UNDP) (2022) Human Development Report 2021/2022: Uncertain times, unsettled lives. New York: UNDP.</w:t>
      </w:r>
    </w:p>
    <w:p w14:paraId="1E98224F" w14:textId="6D7B81F7" w:rsidR="004A3C48" w:rsidRDefault="004A3C48" w:rsidP="004A3C48">
      <w:pPr>
        <w:spacing w:line="360" w:lineRule="auto"/>
        <w:rPr>
          <w:rFonts w:ascii="Arial" w:hAnsi="Arial" w:cs="Arial"/>
          <w:sz w:val="24"/>
          <w:szCs w:val="24"/>
        </w:rPr>
      </w:pPr>
      <w:r w:rsidRPr="004A3C48">
        <w:rPr>
          <w:rFonts w:ascii="Arial" w:hAnsi="Arial" w:cs="Arial"/>
          <w:sz w:val="24"/>
          <w:szCs w:val="24"/>
        </w:rPr>
        <w:t>Welsh Government (2019a) A Healthier Wales: Our Plan for Health and Social Care. Cardiff: Welsh Government.</w:t>
      </w:r>
    </w:p>
    <w:p w14:paraId="49E97AAE" w14:textId="25F356C2" w:rsidR="004A3C48" w:rsidRDefault="004A3C48" w:rsidP="004A3C48">
      <w:pPr>
        <w:spacing w:line="360" w:lineRule="auto"/>
        <w:rPr>
          <w:rFonts w:ascii="Arial" w:hAnsi="Arial" w:cs="Arial"/>
          <w:sz w:val="24"/>
          <w:szCs w:val="24"/>
        </w:rPr>
      </w:pPr>
      <w:r w:rsidRPr="004A3C48">
        <w:rPr>
          <w:rFonts w:ascii="Arial" w:hAnsi="Arial" w:cs="Arial"/>
          <w:sz w:val="24"/>
          <w:szCs w:val="24"/>
        </w:rPr>
        <w:t>Welsh Government (2019b) Tackling poverty and promoting community resilience. Cardiff: Welsh Government.</w:t>
      </w:r>
    </w:p>
    <w:p w14:paraId="4D24EB67" w14:textId="66CFA32A" w:rsidR="004A3C48" w:rsidRDefault="004A3C48" w:rsidP="004A3C48">
      <w:pPr>
        <w:spacing w:line="360" w:lineRule="auto"/>
        <w:rPr>
          <w:rFonts w:ascii="Arial" w:hAnsi="Arial" w:cs="Arial"/>
          <w:sz w:val="24"/>
          <w:szCs w:val="24"/>
        </w:rPr>
      </w:pPr>
      <w:r w:rsidRPr="004A3C48">
        <w:rPr>
          <w:rFonts w:ascii="Arial" w:hAnsi="Arial" w:cs="Arial"/>
          <w:sz w:val="24"/>
          <w:szCs w:val="24"/>
        </w:rPr>
        <w:t xml:space="preserve">World Food Programme (WFP) (2023) Annual Performance Report 2023. Rome: WFP. Available at: </w:t>
      </w:r>
      <w:hyperlink r:id="rId8" w:history="1">
        <w:r w:rsidRPr="00E64F7A">
          <w:rPr>
            <w:rStyle w:val="Hyperlink"/>
            <w:rFonts w:ascii="Arial" w:hAnsi="Arial" w:cs="Arial"/>
            <w:sz w:val="24"/>
            <w:szCs w:val="24"/>
          </w:rPr>
          <w:t>https://www.wfp.org/publications/annual-performance-report</w:t>
        </w:r>
      </w:hyperlink>
      <w:r w:rsidRPr="004A3C48">
        <w:rPr>
          <w:rFonts w:ascii="Arial" w:hAnsi="Arial" w:cs="Arial"/>
          <w:sz w:val="24"/>
          <w:szCs w:val="24"/>
        </w:rPr>
        <w:t xml:space="preserve"> (Accessed: 12 November 2025).</w:t>
      </w:r>
    </w:p>
    <w:p w14:paraId="6B370D5D" w14:textId="7DE151F6" w:rsidR="004A3C48" w:rsidRDefault="004A3C48" w:rsidP="004A3C48">
      <w:pPr>
        <w:spacing w:line="360" w:lineRule="auto"/>
        <w:rPr>
          <w:rFonts w:ascii="Arial" w:hAnsi="Arial" w:cs="Arial"/>
          <w:sz w:val="24"/>
          <w:szCs w:val="24"/>
        </w:rPr>
      </w:pPr>
      <w:r w:rsidRPr="004A3C48">
        <w:rPr>
          <w:rFonts w:ascii="Arial" w:hAnsi="Arial" w:cs="Arial"/>
          <w:sz w:val="24"/>
          <w:szCs w:val="24"/>
        </w:rPr>
        <w:t>World Health Organization (WHO) (2019) Primary Health Care on the Road to Universal Health Coverage: 2019 monitoring report. Geneva: WHO.</w:t>
      </w:r>
    </w:p>
    <w:p w14:paraId="7E67EFF1" w14:textId="4F233522" w:rsidR="004A3C48" w:rsidRDefault="004A3C48" w:rsidP="004A3C48">
      <w:pPr>
        <w:spacing w:line="360" w:lineRule="auto"/>
        <w:rPr>
          <w:rFonts w:ascii="Arial" w:hAnsi="Arial" w:cs="Arial"/>
          <w:sz w:val="24"/>
          <w:szCs w:val="24"/>
        </w:rPr>
      </w:pPr>
      <w:r w:rsidRPr="004A3C48">
        <w:rPr>
          <w:rFonts w:ascii="Arial" w:hAnsi="Arial" w:cs="Arial"/>
          <w:sz w:val="24"/>
          <w:szCs w:val="24"/>
        </w:rPr>
        <w:t>World Health Organization (WHO) (2023) Global Action Plan for Healthy Lives and Well-being for All: Progress report 2023. Geneva: WHO.</w:t>
      </w:r>
    </w:p>
    <w:p w14:paraId="4955AD6D" w14:textId="77777777" w:rsidR="004A3C48" w:rsidRPr="008D4529" w:rsidRDefault="004A3C48" w:rsidP="004A3C48">
      <w:pPr>
        <w:spacing w:line="360" w:lineRule="auto"/>
        <w:rPr>
          <w:rFonts w:ascii="Arial" w:hAnsi="Arial" w:cs="Arial"/>
          <w:sz w:val="24"/>
          <w:szCs w:val="24"/>
        </w:rPr>
      </w:pPr>
    </w:p>
    <w:sectPr w:rsidR="004A3C48" w:rsidRPr="008D45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529"/>
    <w:rsid w:val="00116B91"/>
    <w:rsid w:val="002517D4"/>
    <w:rsid w:val="004A3C48"/>
    <w:rsid w:val="004F5DB8"/>
    <w:rsid w:val="00700CF6"/>
    <w:rsid w:val="008D4529"/>
    <w:rsid w:val="009C7466"/>
    <w:rsid w:val="00C63F03"/>
    <w:rsid w:val="00E2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8AD2B"/>
  <w15:chartTrackingRefBased/>
  <w15:docId w15:val="{26C9E4B8-4299-4937-8DB9-3167BC04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45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45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45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45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45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45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45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45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45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5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5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5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5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5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5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5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5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529"/>
    <w:rPr>
      <w:rFonts w:eastAsiaTheme="majorEastAsia" w:cstheme="majorBidi"/>
      <w:color w:val="272727" w:themeColor="text1" w:themeTint="D8"/>
    </w:rPr>
  </w:style>
  <w:style w:type="paragraph" w:styleId="Title">
    <w:name w:val="Title"/>
    <w:basedOn w:val="Normal"/>
    <w:next w:val="Normal"/>
    <w:link w:val="TitleChar"/>
    <w:uiPriority w:val="10"/>
    <w:qFormat/>
    <w:rsid w:val="008D45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45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5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45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529"/>
    <w:pPr>
      <w:spacing w:before="160"/>
      <w:jc w:val="center"/>
    </w:pPr>
    <w:rPr>
      <w:i/>
      <w:iCs/>
      <w:color w:val="404040" w:themeColor="text1" w:themeTint="BF"/>
    </w:rPr>
  </w:style>
  <w:style w:type="character" w:customStyle="1" w:styleId="QuoteChar">
    <w:name w:val="Quote Char"/>
    <w:basedOn w:val="DefaultParagraphFont"/>
    <w:link w:val="Quote"/>
    <w:uiPriority w:val="29"/>
    <w:rsid w:val="008D4529"/>
    <w:rPr>
      <w:i/>
      <w:iCs/>
      <w:color w:val="404040" w:themeColor="text1" w:themeTint="BF"/>
    </w:rPr>
  </w:style>
  <w:style w:type="paragraph" w:styleId="ListParagraph">
    <w:name w:val="List Paragraph"/>
    <w:basedOn w:val="Normal"/>
    <w:uiPriority w:val="34"/>
    <w:qFormat/>
    <w:rsid w:val="008D4529"/>
    <w:pPr>
      <w:ind w:left="720"/>
      <w:contextualSpacing/>
    </w:pPr>
  </w:style>
  <w:style w:type="character" w:styleId="IntenseEmphasis">
    <w:name w:val="Intense Emphasis"/>
    <w:basedOn w:val="DefaultParagraphFont"/>
    <w:uiPriority w:val="21"/>
    <w:qFormat/>
    <w:rsid w:val="008D4529"/>
    <w:rPr>
      <w:i/>
      <w:iCs/>
      <w:color w:val="0F4761" w:themeColor="accent1" w:themeShade="BF"/>
    </w:rPr>
  </w:style>
  <w:style w:type="paragraph" w:styleId="IntenseQuote">
    <w:name w:val="Intense Quote"/>
    <w:basedOn w:val="Normal"/>
    <w:next w:val="Normal"/>
    <w:link w:val="IntenseQuoteChar"/>
    <w:uiPriority w:val="30"/>
    <w:qFormat/>
    <w:rsid w:val="008D45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4529"/>
    <w:rPr>
      <w:i/>
      <w:iCs/>
      <w:color w:val="0F4761" w:themeColor="accent1" w:themeShade="BF"/>
    </w:rPr>
  </w:style>
  <w:style w:type="character" w:styleId="IntenseReference">
    <w:name w:val="Intense Reference"/>
    <w:basedOn w:val="DefaultParagraphFont"/>
    <w:uiPriority w:val="32"/>
    <w:qFormat/>
    <w:rsid w:val="008D4529"/>
    <w:rPr>
      <w:b/>
      <w:bCs/>
      <w:smallCaps/>
      <w:color w:val="0F4761" w:themeColor="accent1" w:themeShade="BF"/>
      <w:spacing w:val="5"/>
    </w:rPr>
  </w:style>
  <w:style w:type="character" w:styleId="Hyperlink">
    <w:name w:val="Hyperlink"/>
    <w:basedOn w:val="DefaultParagraphFont"/>
    <w:uiPriority w:val="99"/>
    <w:unhideWhenUsed/>
    <w:rsid w:val="00116B91"/>
    <w:rPr>
      <w:color w:val="467886" w:themeColor="hyperlink"/>
      <w:u w:val="single"/>
    </w:rPr>
  </w:style>
  <w:style w:type="character" w:styleId="UnresolvedMention">
    <w:name w:val="Unresolved Mention"/>
    <w:basedOn w:val="DefaultParagraphFont"/>
    <w:uiPriority w:val="99"/>
    <w:semiHidden/>
    <w:unhideWhenUsed/>
    <w:rsid w:val="00116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fp.org/publications/annual-performance-report" TargetMode="External"/><Relationship Id="rId3" Type="http://schemas.openxmlformats.org/officeDocument/2006/relationships/webSettings" Target="webSettings.xml"/><Relationship Id="rId7" Type="http://schemas.openxmlformats.org/officeDocument/2006/relationships/hyperlink" Target="https://www.longtermplan.nhs.uk/online-version/chapter-1-a-new-service-model-for-the-21st-centu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rf.org.uk/uk-poverty-2023-the-essential-guide-to-understanding-poverty-in-the-uk" TargetMode="External"/><Relationship Id="rId5" Type="http://schemas.openxmlformats.org/officeDocument/2006/relationships/hyperlink" Target="https://www.ilo.org/publications/world-employment-and-social-outlook-trends-2021" TargetMode="External"/><Relationship Id="rId10" Type="http://schemas.openxmlformats.org/officeDocument/2006/relationships/theme" Target="theme/theme1.xml"/><Relationship Id="rId4" Type="http://schemas.openxmlformats.org/officeDocument/2006/relationships/hyperlink" Target="https://saheli.co.uk/"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14</Pages>
  <Words>2501</Words>
  <Characters>15599</Characters>
  <Application>Microsoft Office Word</Application>
  <DocSecurity>0</DocSecurity>
  <Lines>374</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Sabeena Bibi (2220252)</dc:creator>
  <cp:keywords/>
  <dc:description/>
  <cp:lastModifiedBy>Sabeena Bibi (2220252)</cp:lastModifiedBy>
  <cp:revision>2</cp:revision>
  <dcterms:created xsi:type="dcterms:W3CDTF">2025-11-12T23:09:00Z</dcterms:created>
  <dcterms:modified xsi:type="dcterms:W3CDTF">2025-11-13T00:55:00Z</dcterms:modified>
</cp:coreProperties>
</file>