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Times New Roman" w:cs="Times New Roman" w:hAnsi="Times New Roman" w:eastAsia="Times New Roman"/>
          <w:sz w:val="24"/>
          <w:szCs w:val="24"/>
        </w:rPr>
      </w:pP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14:textOutline w14:w="12700" w14:cap="flat">
            <w14:noFill/>
            <w14:miter w14:lim="400000"/>
          </w14:textOutline>
          <w14:textFill>
            <w14:solidFill>
              <w14:srgbClr w14:val="000000"/>
            </w14:solidFill>
          </w14:textFill>
        </w:rPr>
      </w:pPr>
      <w:r>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lang w:val="en-US"/>
          <w14:textOutline w14:w="12700" w14:cap="flat">
            <w14:noFill/>
            <w14:miter w14:lim="400000"/>
          </w14:textOutline>
          <w14:textFill>
            <w14:solidFill>
              <w14:srgbClr w14:val="000000"/>
            </w14:solidFill>
          </w14:textFill>
        </w:rPr>
        <w:drawing xmlns:a="http://schemas.openxmlformats.org/drawingml/2006/main">
          <wp:inline distT="0" distB="0" distL="0" distR="0">
            <wp:extent cx="1908050" cy="635662"/>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4">
                      <a:extLst/>
                    </a:blip>
                    <a:stretch>
                      <a:fillRect/>
                    </a:stretch>
                  </pic:blipFill>
                  <pic:spPr>
                    <a:xfrm>
                      <a:off x="0" y="0"/>
                      <a:ext cx="1908050" cy="635662"/>
                    </a:xfrm>
                    <a:prstGeom prst="rect">
                      <a:avLst/>
                    </a:prstGeom>
                    <a:ln w="19050" cap="flat">
                      <a:solidFill>
                        <a:srgbClr val="000000"/>
                      </a:solidFill>
                      <a:prstDash val="solid"/>
                      <a:round/>
                    </a:ln>
                    <a:effectLst/>
                  </pic:spPr>
                </pic:pic>
              </a:graphicData>
            </a:graphic>
          </wp:inline>
        </w:drawing>
      </w: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Postgraduate/Distance Learning </w:t>
      </w: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Assignment coversheet &amp; feedback form</w:t>
      </w: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jc w:val="center"/>
        <w:rPr>
          <w:rFonts w:ascii="Trebuchet MS" w:cs="Trebuchet MS" w:hAnsi="Trebuchet MS" w:eastAsia="Trebuchet MS"/>
          <w:caps w:val="0"/>
          <w:smallCaps w:val="0"/>
          <w:strike w:val="0"/>
          <w:dstrike w:val="0"/>
          <w:outline w:val="0"/>
          <w:color w:val="000000"/>
          <w:spacing w:val="0"/>
          <w:kern w:val="0"/>
          <w:position w:val="0"/>
          <w:sz w:val="21"/>
          <w:szCs w:val="21"/>
          <w:u w:val="none" w:color="000000"/>
          <w:shd w:val="nil" w:color="auto" w:fill="auto"/>
          <w:vertAlign w:val="baseline"/>
          <w14:textOutline w14:w="12700" w14:cap="flat">
            <w14:noFill/>
            <w14:miter w14:lim="400000"/>
          </w14:textOutline>
          <w14:textFill>
            <w14:solidFill>
              <w14:srgbClr w14:val="000000"/>
            </w14:solidFill>
          </w14:textFill>
        </w:rPr>
      </w:pPr>
    </w:p>
    <w:tbl>
      <w:tblPr>
        <w:tblW w:w="8856"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788"/>
        <w:gridCol w:w="423"/>
        <w:gridCol w:w="1557"/>
        <w:gridCol w:w="285"/>
        <w:gridCol w:w="1803"/>
      </w:tblGrid>
      <w:tr>
        <w:tblPrEx>
          <w:shd w:val="clear" w:color="auto" w:fill="cadfff"/>
        </w:tblPrEx>
        <w:trPr>
          <w:trHeight w:val="46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b w:val="1"/>
                <w:bCs w:val="1"/>
                <w:sz w:val="22"/>
                <w:szCs w:val="22"/>
                <w:shd w:val="nil" w:color="auto" w:fill="auto"/>
                <w:rtl w:val="0"/>
                <w:lang w:val="en-US"/>
                <w14:textOutline w14:w="12700" w14:cap="flat">
                  <w14:noFill/>
                  <w14:miter w14:lim="400000"/>
                </w14:textOutline>
              </w:rPr>
              <w:t>For completion by the student</w:t>
            </w:r>
            <w:r>
              <w:rPr>
                <w:rFonts w:ascii="Arial" w:hAnsi="Arial"/>
                <w:sz w:val="22"/>
                <w:szCs w:val="22"/>
                <w:shd w:val="nil" w:color="auto" w:fill="auto"/>
                <w:rtl w:val="0"/>
                <w:lang w:val="en-US"/>
                <w14:textOutline w14:w="12700" w14:cap="flat">
                  <w14:noFill/>
                  <w14:miter w14:lim="400000"/>
                </w14:textOutline>
              </w:rPr>
              <w:t>:</w:t>
            </w:r>
          </w:p>
        </w:tc>
      </w:tr>
      <w:tr>
        <w:tblPrEx>
          <w:shd w:val="clear" w:color="auto" w:fill="cadfff"/>
        </w:tblPrEx>
        <w:trPr>
          <w:trHeight w:val="56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sz w:val="22"/>
                <w:szCs w:val="22"/>
                <w:shd w:val="nil" w:color="auto" w:fill="auto"/>
                <w:rtl w:val="0"/>
                <w:lang w:val="en-US"/>
                <w14:textOutline w14:w="12700" w14:cap="flat">
                  <w14:noFill/>
                  <w14:miter w14:lim="400000"/>
                </w14:textOutline>
              </w:rPr>
              <w:t>Student Name: Marina Rimsha</w:t>
            </w:r>
          </w:p>
        </w:tc>
      </w:tr>
      <w:tr>
        <w:tblPrEx>
          <w:shd w:val="clear" w:color="auto" w:fill="cadfff"/>
        </w:tblPrEx>
        <w:trPr>
          <w:trHeight w:val="145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Module code: HPCA7015</w:t>
            </w:r>
          </w:p>
          <w:p>
            <w:pPr>
              <w:pStyle w:val="Body"/>
              <w:ind w:right="34"/>
              <w:rPr>
                <w:rFonts w:ascii="Arial" w:cs="Arial" w:hAnsi="Arial" w:eastAsia="Arial"/>
                <w:sz w:val="22"/>
                <w:szCs w:val="22"/>
                <w:shd w:val="nil" w:color="auto" w:fill="auto"/>
                <w:lang w:val="en-US"/>
                <w14:textOutline w14:w="12700" w14:cap="flat">
                  <w14:noFill/>
                  <w14:miter w14:lim="400000"/>
                </w14:textOutline>
              </w:rPr>
            </w:pPr>
          </w:p>
          <w:p>
            <w:pPr>
              <w:pStyle w:val="Body"/>
              <w:bidi w:val="0"/>
              <w:ind w:left="0" w:right="34" w:firstLine="0"/>
              <w:jc w:val="left"/>
              <w:rPr>
                <w:rtl w:val="0"/>
              </w:rPr>
            </w:pPr>
            <w:r>
              <w:rPr>
                <w:rFonts w:ascii="Arial" w:hAnsi="Arial"/>
                <w:sz w:val="22"/>
                <w:szCs w:val="22"/>
                <w:shd w:val="nil" w:color="auto" w:fill="auto"/>
                <w:rtl w:val="0"/>
                <w:lang w:val="en-US"/>
                <w14:textOutline w14:w="12700" w14:cap="flat">
                  <w14:noFill/>
                  <w14:miter w14:lim="400000"/>
                </w14:textOutline>
              </w:rPr>
              <w:t>Module title: Foundations in Cultural Astronomy and Astrology</w:t>
            </w:r>
            <w:r>
              <w:rPr>
                <w:rFonts w:ascii="Arial" w:cs="Arial" w:hAnsi="Arial" w:eastAsia="Arial"/>
                <w:sz w:val="22"/>
                <w:szCs w:val="22"/>
                <w:shd w:val="nil" w:color="auto" w:fill="auto"/>
                <w14:textOutline w14:w="12700" w14:cap="flat">
                  <w14:noFill/>
                  <w14:miter w14:lim="400000"/>
                </w14:textOutline>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sz w:val="22"/>
                <w:szCs w:val="22"/>
                <w:shd w:val="nil" w:color="auto" w:fill="auto"/>
                <w:rtl w:val="0"/>
                <w:lang w:val="en-US"/>
                <w14:textOutline w14:w="12700" w14:cap="flat">
                  <w14:noFill/>
                  <w14:miter w14:lim="400000"/>
                </w14:textOutline>
              </w:rPr>
              <w:t>Student ID number: 1706052</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Educational support needs:</w:t>
            </w:r>
          </w:p>
          <w:p>
            <w:pPr>
              <w:pStyle w:val="Body"/>
              <w:bidi w:val="0"/>
              <w:ind w:left="0" w:right="34" w:firstLine="0"/>
              <w:jc w:val="left"/>
              <w:rPr>
                <w:rtl w:val="0"/>
              </w:rPr>
            </w:pPr>
            <w:r>
              <w:rPr>
                <w:rFonts w:ascii="Arial" w:hAnsi="Arial"/>
                <w:sz w:val="22"/>
                <w:szCs w:val="22"/>
                <w:shd w:val="nil" w:color="auto" w:fill="auto"/>
                <w:rtl w:val="0"/>
                <w:lang w:val="en-US"/>
                <w14:textOutline w14:w="12700" w14:cap="flat">
                  <w14:noFill/>
                  <w14:miter w14:lim="400000"/>
                </w14:textOutline>
              </w:rPr>
              <w:t>Yes/No</w:t>
            </w:r>
          </w:p>
        </w:tc>
      </w:tr>
      <w:tr>
        <w:tblPrEx>
          <w:shd w:val="clear" w:color="auto" w:fill="cadfff"/>
        </w:tblPrEx>
        <w:trPr>
          <w:trHeight w:val="98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Module tutor: Nicholas Campion</w:t>
            </w:r>
          </w:p>
          <w:p>
            <w:pPr>
              <w:pStyle w:val="Body"/>
              <w:ind w:right="34"/>
              <w:rPr>
                <w:rFonts w:ascii="Arial" w:cs="Arial" w:hAnsi="Arial" w:eastAsia="Arial"/>
                <w:sz w:val="22"/>
                <w:szCs w:val="22"/>
                <w:shd w:val="nil" w:color="auto" w:fill="auto"/>
                <w:lang w:val="en-US"/>
                <w14:textOutline w14:w="12700" w14:cap="flat">
                  <w14:noFill/>
                  <w14:miter w14:lim="400000"/>
                </w14:textOutline>
              </w:rPr>
            </w:pPr>
          </w:p>
          <w:p>
            <w:pPr>
              <w:pStyle w:val="Body"/>
              <w:ind w:right="34"/>
              <w:rPr>
                <w:rFonts w:ascii="Arial" w:cs="Arial" w:hAnsi="Arial" w:eastAsia="Arial"/>
                <w:sz w:val="22"/>
                <w:szCs w:val="22"/>
                <w:shd w:val="nil" w:color="auto" w:fill="auto"/>
                <w:lang w:val="en-US"/>
                <w14:textOutline w14:w="12700" w14:cap="flat">
                  <w14:noFill/>
                  <w14:miter w14:lim="400000"/>
                </w14:textOutline>
              </w:rPr>
            </w:pPr>
          </w:p>
          <w:p>
            <w:pPr>
              <w:pStyle w:val="Body"/>
              <w:bidi w:val="0"/>
              <w:ind w:left="0" w:right="34" w:firstLine="0"/>
              <w:jc w:val="left"/>
              <w:rPr>
                <w:rtl w:val="0"/>
              </w:rPr>
            </w:pPr>
            <w:r>
              <w:rPr>
                <w:rFonts w:ascii="Arial" w:hAnsi="Arial"/>
                <w:sz w:val="22"/>
                <w:szCs w:val="22"/>
                <w:shd w:val="nil" w:color="auto" w:fill="auto"/>
                <w:rtl w:val="0"/>
                <w:lang w:val="en-US"/>
                <w14:textOutline w14:w="12700" w14:cap="flat">
                  <w14:noFill/>
                  <w14:miter w14:lim="400000"/>
                </w14:textOutline>
              </w:rPr>
              <w:t>Assignment due date: 4th of November 2024</w:t>
            </w:r>
          </w:p>
        </w:tc>
      </w:tr>
      <w:tr>
        <w:tblPrEx>
          <w:shd w:val="clear" w:color="auto" w:fill="cadfff"/>
        </w:tblPrEx>
        <w:trPr>
          <w:trHeight w:val="82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If your module has multiple submissions please indicate which piece of work this is.</w:t>
            </w:r>
          </w:p>
          <w:p>
            <w:pPr>
              <w:pStyle w:val="Body A"/>
              <w:rPr>
                <w:rFonts w:ascii="Arial" w:cs="Arial" w:hAnsi="Arial" w:eastAsia="Arial"/>
                <w:shd w:val="nil" w:color="auto" w:fill="auto"/>
                <w:lang w:val="en-US"/>
              </w:rPr>
            </w:pPr>
          </w:p>
          <w:p>
            <w:pPr>
              <w:pStyle w:val="Body A"/>
              <w:bidi w:val="0"/>
              <w:ind w:left="0" w:right="0" w:firstLine="0"/>
              <w:jc w:val="left"/>
              <w:rPr>
                <w:rtl w:val="0"/>
              </w:rPr>
            </w:pPr>
            <w:r>
              <w:rPr>
                <w:rFonts w:ascii="Arial" w:hAnsi="Arial"/>
                <w:shd w:val="nil" w:color="auto" w:fill="auto"/>
                <w:rtl w:val="0"/>
                <w:lang w:val="en-US"/>
              </w:rPr>
              <w:t>1</w:t>
            </w:r>
            <w:r>
              <w:rPr>
                <w:rFonts w:ascii="Arial" w:hAnsi="Arial"/>
                <w:shd w:val="nil" w:color="auto" w:fill="auto"/>
                <w:vertAlign w:val="superscript"/>
                <w:rtl w:val="0"/>
                <w:lang w:val="en-US"/>
              </w:rPr>
              <w:t xml:space="preserve">st </w:t>
            </w:r>
            <w:r>
              <w:rPr>
                <w:rFonts w:ascii="Arial" w:hAnsi="Arial"/>
                <w:shd w:val="nil" w:color="auto" w:fill="auto"/>
                <w:rtl w:val="0"/>
                <w:lang w:val="en-US"/>
              </w:rPr>
              <w:t xml:space="preserve">    2</w:t>
            </w:r>
            <w:r>
              <w:rPr>
                <w:rFonts w:ascii="Arial" w:hAnsi="Arial"/>
                <w:shd w:val="nil" w:color="auto" w:fill="auto"/>
                <w:vertAlign w:val="superscript"/>
                <w:rtl w:val="0"/>
                <w:lang w:val="en-US"/>
              </w:rPr>
              <w:t>nd</w:t>
            </w:r>
            <w:r>
              <w:rPr>
                <w:rFonts w:ascii="Arial" w:hAnsi="Arial"/>
                <w:shd w:val="nil" w:color="auto" w:fill="auto"/>
                <w:rtl w:val="0"/>
                <w:lang w:val="en-US"/>
              </w:rPr>
              <w:t xml:space="preserve">       3</w:t>
            </w:r>
            <w:r>
              <w:rPr>
                <w:rFonts w:ascii="Arial" w:hAnsi="Arial"/>
                <w:shd w:val="nil" w:color="auto" w:fill="auto"/>
                <w:vertAlign w:val="superscript"/>
                <w:rtl w:val="0"/>
                <w:lang w:val="en-US"/>
              </w:rPr>
              <w:t>rd</w:t>
            </w:r>
            <w:r>
              <w:rPr>
                <w:rFonts w:ascii="Arial" w:hAnsi="Arial"/>
                <w:shd w:val="nil" w:color="auto" w:fill="auto"/>
                <w:rtl w:val="0"/>
                <w:lang w:val="en-US"/>
              </w:rPr>
              <w:t xml:space="preserve">        4</w:t>
            </w:r>
            <w:r>
              <w:rPr>
                <w:rFonts w:ascii="Arial" w:hAnsi="Arial"/>
                <w:shd w:val="nil" w:color="auto" w:fill="auto"/>
                <w:vertAlign w:val="superscript"/>
                <w:rtl w:val="0"/>
                <w:lang w:val="en-US"/>
              </w:rPr>
              <w:t>th</w:t>
            </w:r>
            <w:r>
              <w:rPr>
                <w:rFonts w:ascii="Arial" w:hAnsi="Arial"/>
                <w:shd w:val="nil" w:color="auto" w:fill="auto"/>
                <w:rtl w:val="0"/>
                <w:lang w:val="en-US"/>
              </w:rPr>
              <w:t xml:space="preserve">       5</w:t>
            </w:r>
            <w:r>
              <w:rPr>
                <w:rFonts w:ascii="Arial" w:hAnsi="Arial"/>
                <w:shd w:val="nil" w:color="auto" w:fill="auto"/>
                <w:vertAlign w:val="superscript"/>
                <w:rtl w:val="0"/>
                <w:lang w:val="en-US"/>
              </w:rPr>
              <w:t>th</w:t>
            </w:r>
            <w:r>
              <w:rPr>
                <w:rFonts w:ascii="Arial" w:hAnsi="Arial"/>
                <w:shd w:val="nil" w:color="auto" w:fill="auto"/>
                <w:rtl w:val="0"/>
                <w:lang w:val="en-US"/>
              </w:rPr>
              <w:t xml:space="preserve">       6</w:t>
            </w:r>
            <w:r>
              <w:rPr>
                <w:rFonts w:ascii="Arial" w:hAnsi="Arial"/>
                <w:shd w:val="nil" w:color="auto" w:fill="auto"/>
                <w:vertAlign w:val="superscript"/>
                <w:rtl w:val="0"/>
                <w:lang w:val="en-US"/>
              </w:rPr>
              <w:t>th</w:t>
            </w:r>
            <w:r>
              <w:rPr>
                <w:rFonts w:ascii="Arial" w:hAnsi="Arial"/>
                <w:shd w:val="nil" w:color="auto" w:fill="auto"/>
                <w:rtl w:val="0"/>
                <w:lang w:val="en-US"/>
              </w:rPr>
              <w:t xml:space="preserve"> </w:t>
            </w:r>
          </w:p>
        </w:tc>
      </w:tr>
      <w:tr>
        <w:tblPrEx>
          <w:shd w:val="clear" w:color="auto" w:fill="cadfff"/>
        </w:tblPrEx>
        <w:trPr>
          <w:trHeight w:val="154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I confirm that this is my original work and that I have adhered to the University policy on plagiarism.</w:t>
            </w:r>
          </w:p>
          <w:p>
            <w:pPr>
              <w:pStyle w:val="Body"/>
              <w:bidi w:val="0"/>
              <w:ind w:left="0" w:right="34" w:firstLine="0"/>
              <w:jc w:val="left"/>
              <w:rPr>
                <w:rFonts w:ascii="Arial" w:cs="Arial" w:hAnsi="Arial" w:eastAsia="Arial"/>
                <w:sz w:val="22"/>
                <w:szCs w:val="22"/>
                <w:shd w:val="nil" w:color="auto" w:fill="auto"/>
                <w:rtl w:val="0"/>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 xml:space="preserve">Signed </w:t>
            </w:r>
            <w:r>
              <w:rPr>
                <w:rFonts w:ascii="Arial" w:hAnsi="Arial" w:hint="default"/>
                <w:sz w:val="22"/>
                <w:szCs w:val="22"/>
                <w:shd w:val="nil" w:color="auto" w:fill="auto"/>
                <w:rtl w:val="0"/>
                <w:lang w:val="en-US"/>
                <w14:textOutline w14:w="12700" w14:cap="flat">
                  <w14:noFill/>
                  <w14:miter w14:lim="400000"/>
                </w14:textOutline>
              </w:rPr>
              <w:t>……………………………………………………………</w:t>
            </w:r>
          </w:p>
          <w:p>
            <w:pPr>
              <w:pStyle w:val="Body"/>
              <w:bidi w:val="0"/>
              <w:ind w:left="0" w:right="34" w:firstLine="0"/>
              <w:jc w:val="left"/>
              <w:rPr>
                <w:rFonts w:ascii="Calibri" w:cs="Calibri" w:hAnsi="Calibri" w:eastAsia="Calibri"/>
                <w:b w:val="1"/>
                <w:bCs w:val="1"/>
                <w:sz w:val="44"/>
                <w:szCs w:val="44"/>
                <w:shd w:val="nil" w:color="auto" w:fill="auto"/>
                <w:rtl w:val="0"/>
                <w14:textOutline w14:w="12700" w14:cap="flat">
                  <w14:noFill/>
                  <w14:miter w14:lim="400000"/>
                </w14:textOutline>
              </w:rPr>
            </w:pPr>
            <w:r>
              <w:rPr>
                <w:rFonts w:ascii="Calibri" w:hAnsi="Calibri"/>
                <w:b w:val="1"/>
                <w:bCs w:val="1"/>
                <w:sz w:val="24"/>
                <w:szCs w:val="24"/>
                <w:shd w:val="nil" w:color="auto" w:fill="auto"/>
                <w:rtl w:val="0"/>
                <w:lang w:val="en-US"/>
                <w14:textOutline w14:w="12700" w14:cap="flat">
                  <w14:noFill/>
                  <w14:miter w14:lim="400000"/>
                </w14:textOutline>
              </w:rPr>
              <w:t xml:space="preserve">Email submission: if you are submitting this form via email, please tick this box </w:t>
            </w:r>
            <w:r>
              <w:rPr>
                <w:rFonts w:ascii="Calibri" w:hAnsi="Calibri" w:hint="default"/>
                <w:b w:val="1"/>
                <w:bCs w:val="1"/>
                <w:sz w:val="44"/>
                <w:szCs w:val="44"/>
                <w:shd w:val="nil" w:color="auto" w:fill="auto"/>
                <w:rtl w:val="0"/>
                <w:lang w:val="en-US"/>
                <w14:textOutline w14:w="12700" w14:cap="flat">
                  <w14:noFill/>
                  <w14:miter w14:lim="400000"/>
                </w14:textOutline>
              </w:rPr>
              <w:t>□</w:t>
            </w:r>
          </w:p>
          <w:p>
            <w:pPr>
              <w:pStyle w:val="Body"/>
              <w:bidi w:val="0"/>
              <w:ind w:left="0" w:right="34" w:firstLine="0"/>
              <w:jc w:val="left"/>
              <w:rPr>
                <w:rtl w:val="0"/>
              </w:rPr>
            </w:pPr>
            <w:r>
              <w:rPr>
                <w:rFonts w:ascii="Calibri" w:hAnsi="Calibri"/>
                <w:b w:val="1"/>
                <w:bCs w:val="1"/>
                <w:shd w:val="nil" w:color="auto" w:fill="auto"/>
                <w:rtl w:val="0"/>
                <w:lang w:val="en-US"/>
                <w14:textOutline w14:w="12700" w14:cap="flat">
                  <w14:noFill/>
                  <w14:miter w14:lim="400000"/>
                </w14:textOutline>
              </w:rPr>
              <w:t>(as a substitute for your signature) to confirm that you agree to the above declaration.</w:t>
            </w:r>
          </w:p>
        </w:tc>
      </w:tr>
      <w:tr>
        <w:tblPrEx>
          <w:shd w:val="clear" w:color="auto" w:fill="cadfff"/>
        </w:tblPrEx>
        <w:trPr>
          <w:trHeight w:val="382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z w:val="24"/>
                <w:szCs w:val="24"/>
                <w:shd w:val="nil" w:color="auto" w:fill="auto"/>
                <w:lang w:val="en-US"/>
              </w:rPr>
            </w:pPr>
          </w:p>
          <w:p>
            <w:pPr>
              <w:pStyle w:val="Body A"/>
              <w:bidi w:val="0"/>
              <w:ind w:left="0" w:right="0" w:firstLine="0"/>
              <w:jc w:val="left"/>
              <w:rPr>
                <w:rFonts w:ascii="Arial" w:cs="Arial" w:hAnsi="Arial" w:eastAsia="Arial"/>
                <w:b w:val="1"/>
                <w:bCs w:val="1"/>
                <w:sz w:val="24"/>
                <w:szCs w:val="24"/>
                <w:shd w:val="nil" w:color="auto" w:fill="auto"/>
                <w:rtl w:val="0"/>
              </w:rPr>
            </w:pPr>
            <w:r>
              <w:rPr>
                <w:rFonts w:ascii="Arial" w:hAnsi="Arial"/>
                <w:b w:val="1"/>
                <w:bCs w:val="1"/>
                <w:sz w:val="24"/>
                <w:szCs w:val="24"/>
                <w:shd w:val="nil" w:color="auto" w:fill="auto"/>
                <w:rtl w:val="0"/>
                <w:lang w:val="en-US"/>
              </w:rPr>
              <w:t>Assignment Mark</w:t>
            </w:r>
          </w:p>
          <w:p>
            <w:pPr>
              <w:pStyle w:val="Body A"/>
              <w:rPr>
                <w:rFonts w:ascii="Arial" w:cs="Arial" w:hAnsi="Arial" w:eastAsia="Arial"/>
                <w:sz w:val="20"/>
                <w:szCs w:val="20"/>
                <w:shd w:val="nil" w:color="auto" w:fill="auto"/>
                <w:lang w:val="en-US"/>
              </w:rPr>
            </w:pPr>
          </w:p>
          <w:p>
            <w:pPr>
              <w:pStyle w:val="Body A"/>
              <w:bidi w:val="0"/>
              <w:ind w:left="0" w:right="0" w:firstLine="0"/>
              <w:jc w:val="left"/>
              <w:rPr>
                <w:rFonts w:ascii="Arial" w:cs="Arial" w:hAnsi="Arial" w:eastAsia="Arial"/>
                <w:b w:val="1"/>
                <w:bCs w:val="1"/>
                <w:sz w:val="20"/>
                <w:szCs w:val="20"/>
                <w:shd w:val="nil" w:color="auto" w:fill="auto"/>
                <w:rtl w:val="0"/>
              </w:rPr>
            </w:pPr>
            <w:r>
              <w:rPr>
                <w:rFonts w:ascii="Arial" w:hAnsi="Arial"/>
                <w:b w:val="1"/>
                <w:bCs w:val="1"/>
                <w:sz w:val="20"/>
                <w:szCs w:val="20"/>
                <w:shd w:val="nil" w:color="auto" w:fill="auto"/>
                <w:rtl w:val="0"/>
                <w:lang w:val="en-US"/>
              </w:rPr>
              <w:t>Final Mark</w:t>
            </w:r>
          </w:p>
          <w:p>
            <w:pPr>
              <w:pStyle w:val="Body A"/>
              <w:bidi w:val="0"/>
              <w:ind w:left="0" w:right="0" w:firstLine="0"/>
              <w:jc w:val="left"/>
              <w:rPr>
                <w:rFonts w:ascii="Arial" w:cs="Arial" w:hAnsi="Arial" w:eastAsia="Arial"/>
                <w:sz w:val="20"/>
                <w:szCs w:val="20"/>
                <w:shd w:val="nil" w:color="auto" w:fill="auto"/>
                <w:rtl w:val="0"/>
              </w:rPr>
            </w:pPr>
            <w:r>
              <w:rPr>
                <w:rFonts w:ascii="Arial" w:cs="Arial" w:hAnsi="Arial" w:eastAsia="Arial"/>
                <w:b w:val="1"/>
                <w:bCs w:val="1"/>
                <w:sz w:val="20"/>
                <w:szCs w:val="20"/>
                <w:shd w:val="nil" w:color="auto" w:fill="auto"/>
              </w:rPr>
              <w:tab/>
            </w:r>
            <w:r>
              <w:rPr>
                <w:rFonts w:ascii="Arial" w:hAnsi="Arial"/>
                <w:sz w:val="20"/>
                <w:szCs w:val="20"/>
                <w:shd w:val="nil" w:color="auto" w:fill="auto"/>
                <w:rtl w:val="0"/>
                <w:lang w:val="en-US"/>
              </w:rPr>
              <w:t>WILL BE GIVEN ON TURNITIN</w:t>
            </w:r>
          </w:p>
          <w:p>
            <w:pPr>
              <w:pStyle w:val="Body"/>
              <w:ind w:left="142" w:right="34" w:firstLine="0"/>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142" w:right="34" w:firstLine="0"/>
              <w:jc w:val="left"/>
              <w:rPr>
                <w:rFonts w:ascii="Arial" w:cs="Arial" w:hAnsi="Arial" w:eastAsia="Arial"/>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NB.</w:t>
            </w:r>
            <w:r>
              <w:rPr>
                <w:rFonts w:ascii="Arial" w:hAnsi="Arial"/>
                <w:sz w:val="22"/>
                <w:szCs w:val="22"/>
                <w:shd w:val="nil" w:color="auto" w:fill="auto"/>
                <w:rtl w:val="0"/>
                <w:lang w:val="en-US"/>
                <w14:textOutline w14:w="12700" w14:cap="flat">
                  <w14:noFill/>
                  <w14:miter w14:lim="400000"/>
                </w14:textOutline>
              </w:rPr>
              <w:t xml:space="preserve">  All marks are provisional until confirmed by the Final Examination Board.</w:t>
            </w: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b w:val="1"/>
                <w:bCs w:val="1"/>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PLEASE NOTE: ALL COMMENTS WIL BE POSTED ON TURNITIN</w:t>
            </w: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b w:val="1"/>
                <w:bCs w:val="1"/>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For completion by Marker 1 :</w:t>
            </w:r>
          </w:p>
          <w:p>
            <w:pPr>
              <w:pStyle w:val="Body"/>
              <w:bidi w:val="0"/>
              <w:spacing w:before="100" w:after="100"/>
              <w:ind w:left="0" w:right="0" w:firstLine="0"/>
              <w:jc w:val="left"/>
              <w:rPr>
                <w:rtl w:val="0"/>
              </w:rPr>
            </w:pPr>
            <w:r>
              <w:rPr>
                <w:rFonts w:ascii="Arial" w:hAnsi="Arial"/>
                <w:sz w:val="22"/>
                <w:szCs w:val="22"/>
                <w:shd w:val="nil" w:color="auto" w:fill="auto"/>
                <w:rtl w:val="0"/>
                <w:lang w:val="en-US"/>
                <w14:textOutline w14:w="12700" w14:cap="flat">
                  <w14:noFill/>
                  <w14:miter w14:lim="400000"/>
                </w14:textOutline>
              </w:rPr>
              <w:t>Comments:</w:t>
            </w:r>
          </w:p>
        </w:tc>
      </w:tr>
      <w:tr>
        <w:tblPrEx>
          <w:shd w:val="clear" w:color="auto" w:fill="cadfff"/>
        </w:tblPrEx>
        <w:trPr>
          <w:trHeight w:val="34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shd w:val="nil" w:color="auto" w:fill="auto"/>
                <w:rtl w:val="0"/>
                <w:lang w:val="en-US"/>
                <w14:textOutline w14:w="12700" w14:cap="flat">
                  <w14:noFill/>
                  <w14:miter w14:lim="400000"/>
                </w14:textOutline>
              </w:rPr>
              <w:t>Marker</w:t>
            </w:r>
            <w:r>
              <w:rPr>
                <w:rFonts w:ascii="Arial" w:hAnsi="Arial" w:hint="default"/>
                <w:sz w:val="22"/>
                <w:szCs w:val="22"/>
                <w:shd w:val="nil" w:color="auto" w:fill="auto"/>
                <w:rtl w:val="0"/>
                <w:lang w:val="en-US"/>
                <w14:textOutline w14:w="12700" w14:cap="flat">
                  <w14:noFill/>
                  <w14:miter w14:lim="400000"/>
                </w14:textOutline>
              </w:rPr>
              <w:t>’</w:t>
            </w:r>
            <w:r>
              <w:rPr>
                <w:rFonts w:ascii="Arial" w:hAnsi="Arial"/>
                <w:sz w:val="22"/>
                <w:szCs w:val="22"/>
                <w:shd w:val="nil" w:color="auto" w:fill="auto"/>
                <w:rtl w:val="0"/>
                <w:lang w:val="en-US"/>
                <w14:textOutline w14:w="12700" w14:cap="flat">
                  <w14:noFill/>
                  <w14:miter w14:lim="400000"/>
                </w14:textOutline>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shd w:val="nil" w:color="auto" w:fill="auto"/>
                <w:rtl w:val="0"/>
                <w:lang w:val="en-US"/>
                <w14:textOutline w14:w="12700" w14:cap="flat">
                  <w14:noFill/>
                  <w14:miter w14:lim="400000"/>
                </w14:textOutline>
              </w:rPr>
              <w:t>Date:</w:t>
            </w:r>
          </w:p>
        </w:tc>
      </w:tr>
      <w:tr>
        <w:tblPrEx>
          <w:shd w:val="clear" w:color="auto" w:fill="cadfff"/>
        </w:tblPrEx>
        <w:trPr>
          <w:trHeight w:val="169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b w:val="1"/>
                <w:bCs w:val="1"/>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For completion by Marker 2/Moderator:</w:t>
            </w: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sz w:val="22"/>
                <w:szCs w:val="22"/>
                <w:shd w:val="nil" w:color="auto" w:fill="auto"/>
                <w:rtl w:val="0"/>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Comments:</w:t>
            </w:r>
          </w:p>
          <w:p>
            <w:pPr>
              <w:pStyle w:val="Body"/>
            </w:pPr>
            <w:r>
              <w:rPr>
                <w:rFonts w:ascii="Arial" w:cs="Arial" w:hAnsi="Arial" w:eastAsia="Arial"/>
                <w:sz w:val="22"/>
                <w:szCs w:val="22"/>
                <w:shd w:val="nil" w:color="auto" w:fill="auto"/>
                <w:lang w:val="en-US"/>
                <w14:textOutline w14:w="12700" w14:cap="flat">
                  <w14:noFill/>
                  <w14:miter w14:lim="400000"/>
                </w14:textOutline>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14:textOutline w14:w="12700" w14:cap="flat">
                  <w14:noFill/>
                  <w14:miter w14:lim="400000"/>
                </w14:textOutline>
              </w:rPr>
              <w:t>Marker</w:t>
            </w:r>
            <w:r>
              <w:rPr>
                <w:rFonts w:ascii="Arial" w:hAnsi="Arial" w:hint="default"/>
                <w:sz w:val="22"/>
                <w:szCs w:val="22"/>
                <w:shd w:val="nil" w:color="auto" w:fill="auto"/>
                <w:rtl w:val="0"/>
                <w:lang w:val="en-US"/>
                <w14:textOutline w14:w="12700" w14:cap="flat">
                  <w14:noFill/>
                  <w14:miter w14:lim="400000"/>
                </w14:textOutline>
              </w:rPr>
              <w:t>’</w:t>
            </w:r>
            <w:r>
              <w:rPr>
                <w:rFonts w:ascii="Arial" w:hAnsi="Arial"/>
                <w:sz w:val="22"/>
                <w:szCs w:val="22"/>
                <w:shd w:val="nil" w:color="auto" w:fill="auto"/>
                <w:rtl w:val="0"/>
                <w:lang w:val="en-US"/>
                <w14:textOutline w14:w="12700" w14:cap="flat">
                  <w14:noFill/>
                  <w14:miter w14:lim="400000"/>
                </w14:textOutline>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14:textOutline w14:w="12700" w14:cap="flat">
                  <w14:noFill/>
                  <w14:miter w14:lim="400000"/>
                </w14:textOutline>
              </w:rPr>
              <w:t>Date:</w:t>
            </w:r>
          </w:p>
        </w:tc>
      </w:tr>
      <w:tr>
        <w:tblPrEx>
          <w:shd w:val="clear" w:color="auto" w:fill="cadfff"/>
        </w:tblPrEx>
        <w:trPr>
          <w:trHeight w:val="26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hd w:val="nil" w:color="auto" w:fill="auto"/>
              </w:rPr>
            </w:pPr>
            <w:r>
              <w:rPr>
                <w:rFonts w:ascii="Arial" w:hAnsi="Arial"/>
                <w:b w:val="1"/>
                <w:bCs w:val="1"/>
                <w:shd w:val="nil" w:color="auto" w:fill="auto"/>
                <w:rtl w:val="0"/>
                <w:lang w:val="en-US"/>
              </w:rPr>
              <w:t>AGREED INTERNAL MARK (where necessary):</w:t>
            </w:r>
          </w:p>
          <w:p>
            <w:pPr>
              <w:pStyle w:val="Body A"/>
              <w:rPr>
                <w:rFonts w:ascii="Arial" w:cs="Arial" w:hAnsi="Arial" w:eastAsia="Arial"/>
                <w:b w:val="1"/>
                <w:bCs w:val="1"/>
                <w:shd w:val="nil" w:color="auto" w:fill="auto"/>
                <w:lang w:val="en-US"/>
              </w:rPr>
            </w:pPr>
          </w:p>
          <w:p>
            <w:pPr>
              <w:pStyle w:val="Body A"/>
              <w:bidi w:val="0"/>
              <w:ind w:left="0" w:right="0" w:firstLine="0"/>
              <w:jc w:val="left"/>
              <w:rPr>
                <w:rFonts w:ascii="Arial" w:cs="Arial" w:hAnsi="Arial" w:eastAsia="Arial"/>
                <w:b w:val="1"/>
                <w:bCs w:val="1"/>
                <w:shd w:val="nil" w:color="auto" w:fill="auto"/>
                <w:rtl w:val="0"/>
              </w:rPr>
            </w:pPr>
            <w:r>
              <w:rPr>
                <w:rFonts w:ascii="Arial" w:hAnsi="Arial"/>
                <w:b w:val="1"/>
                <w:bCs w:val="1"/>
                <w:shd w:val="nil" w:color="auto" w:fill="auto"/>
                <w:rtl w:val="0"/>
                <w:lang w:val="en-US"/>
              </w:rPr>
              <w:t>Comment on process of arriving at agreed mark:</w:t>
            </w: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pPr>
            <w:r>
              <w:rPr>
                <w:rFonts w:ascii="Arial" w:cs="Arial" w:hAnsi="Arial" w:eastAsia="Arial"/>
                <w:b w:val="1"/>
                <w:bCs w:val="1"/>
                <w:shd w:val="nil" w:color="auto" w:fill="auto"/>
                <w:lang w:val="en-US"/>
              </w:rPr>
            </w:r>
          </w:p>
        </w:tc>
      </w:tr>
      <w:tr>
        <w:tblPrEx>
          <w:shd w:val="clear" w:color="auto" w:fill="cadfff"/>
        </w:tblPrEx>
        <w:trPr>
          <w:trHeight w:val="193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hd w:val="nil" w:color="auto" w:fill="auto"/>
              </w:rPr>
            </w:pPr>
            <w:r>
              <w:rPr>
                <w:rFonts w:ascii="Arial" w:hAnsi="Arial"/>
                <w:b w:val="1"/>
                <w:bCs w:val="1"/>
                <w:shd w:val="nil" w:color="auto" w:fill="auto"/>
                <w:rtl w:val="0"/>
                <w:lang w:val="en-US"/>
              </w:rPr>
              <w:t>External Examiner</w:t>
            </w:r>
            <w:r>
              <w:rPr>
                <w:rFonts w:ascii="Arial" w:hAnsi="Arial" w:hint="default"/>
                <w:b w:val="1"/>
                <w:bCs w:val="1"/>
                <w:shd w:val="nil" w:color="auto" w:fill="auto"/>
                <w:rtl w:val="0"/>
                <w:lang w:val="en-US"/>
              </w:rPr>
              <w:t>’</w:t>
            </w:r>
            <w:r>
              <w:rPr>
                <w:rFonts w:ascii="Arial" w:hAnsi="Arial"/>
                <w:b w:val="1"/>
                <w:bCs w:val="1"/>
                <w:shd w:val="nil" w:color="auto" w:fill="auto"/>
                <w:rtl w:val="0"/>
                <w:lang w:val="en-US"/>
              </w:rPr>
              <w:t>s comments (if relevant)</w:t>
            </w: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pPr>
            <w:r>
              <w:rPr>
                <w:rFonts w:ascii="Arial" w:cs="Arial" w:hAnsi="Arial" w:eastAsia="Arial"/>
                <w:sz w:val="22"/>
                <w:szCs w:val="22"/>
                <w:shd w:val="nil" w:color="auto" w:fill="auto"/>
                <w:lang w:val="en-US"/>
                <w14:textOutline w14:w="12700" w14:cap="flat">
                  <w14:noFill/>
                  <w14:miter w14:lim="400000"/>
                </w14:textOutline>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External Examiner</w:t>
            </w:r>
            <w:r>
              <w:rPr>
                <w:rFonts w:ascii="Arial" w:hAnsi="Arial" w:hint="default"/>
                <w:shd w:val="nil" w:color="auto" w:fill="auto"/>
                <w:rtl w:val="0"/>
                <w:lang w:val="en-US"/>
              </w:rPr>
              <w:t>’</w:t>
            </w:r>
            <w:r>
              <w:rPr>
                <w:rFonts w:ascii="Arial" w:hAnsi="Arial"/>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Date:</w:t>
            </w:r>
          </w:p>
        </w:tc>
      </w:tr>
    </w:tbl>
    <w:p>
      <w:pPr>
        <w:pStyle w:val="Body"/>
        <w:widowControl w:val="0"/>
        <w:ind w:left="108" w:hanging="108"/>
        <w:jc w:val="center"/>
        <w:rPr>
          <w:rFonts w:ascii="Trebuchet MS" w:cs="Trebuchet MS" w:hAnsi="Trebuchet MS" w:eastAsia="Trebuchet MS"/>
          <w:caps w:val="0"/>
          <w:smallCaps w:val="0"/>
          <w:strike w:val="0"/>
          <w:dstrike w:val="0"/>
          <w:outline w:val="0"/>
          <w:color w:val="000000"/>
          <w:spacing w:val="0"/>
          <w:kern w:val="0"/>
          <w:position w:val="0"/>
          <w:sz w:val="21"/>
          <w:szCs w:val="21"/>
          <w:u w:val="none" w:color="000000"/>
          <w:shd w:val="nil" w:color="auto" w:fill="auto"/>
          <w:vertAlign w:val="baseline"/>
          <w14:textOutline w14:w="12700" w14:cap="flat">
            <w14:noFill/>
            <w14:miter w14:lim="400000"/>
          </w14:textOutline>
          <w14:textFill>
            <w14:solidFill>
              <w14:srgbClr w14:val="000000"/>
            </w14:solidFill>
          </w14:textFill>
        </w:rPr>
      </w:pPr>
    </w:p>
    <w:p>
      <w:pPr>
        <w:pStyle w:val="Heading 3"/>
        <w:widowControl w:val="0"/>
        <w:pBdr>
          <w:top w:val="nil"/>
          <w:left w:val="nil"/>
          <w:bottom w:val="nil"/>
          <w:right w:val="nil"/>
        </w:pBdr>
        <w:spacing w:before="0" w:after="0" w:line="240" w:lineRule="auto"/>
        <w:jc w:val="center"/>
        <w:outlineLvl w:val="2"/>
        <w:rPr>
          <w:rFonts w:ascii="Trebuchet MS" w:cs="Trebuchet MS" w:hAnsi="Trebuchet MS" w:eastAsia="Trebuchet MS"/>
          <w:b w:val="1"/>
          <w:bCs w:val="1"/>
          <w:spacing w:val="0"/>
          <w:sz w:val="20"/>
          <w:szCs w:val="20"/>
          <w:u w:color="000000"/>
          <w:lang w:val="en-US"/>
        </w:rPr>
      </w:pPr>
    </w:p>
    <w:p>
      <w:pPr>
        <w:pStyle w:val="Body A"/>
      </w:pPr>
      <w:r>
        <w:rPr>
          <w:rFonts w:ascii="Arial Unicode MS" w:cs="Arial Unicode MS" w:hAnsi="Arial Unicode MS" w:eastAsia="Arial Unicode MS"/>
          <w:b w:val="0"/>
          <w:bCs w:val="0"/>
          <w:i w:val="0"/>
          <w:iCs w:val="0"/>
          <w:sz w:val="24"/>
          <w:szCs w:val="24"/>
        </w:rPr>
        <w:br w:type="page"/>
      </w:r>
    </w:p>
    <w:p>
      <w:pPr>
        <w:pStyle w:val="Body"/>
      </w:pPr>
      <w:r>
        <w:rPr>
          <w:rFonts w:cs="Arial Unicode MS" w:eastAsia="Arial Unicode MS"/>
          <w:rtl w:val="0"/>
          <w:lang w:val="en-US"/>
        </w:rPr>
        <w:t>Critical compare and contrast essay of two academic papers</w:t>
      </w:r>
    </w:p>
    <w:p>
      <w:pPr>
        <w:pStyle w:val="Body"/>
      </w:pPr>
      <w:r>
        <w:rPr>
          <w:rFonts w:cs="Arial Unicode MS" w:eastAsia="Arial Unicode MS"/>
          <w:rtl w:val="0"/>
          <w:lang w:val="en-US"/>
        </w:rPr>
        <w:t>Word count: 1988</w:t>
      </w:r>
    </w:p>
    <w:p>
      <w:pPr>
        <w:pStyle w:val="Body A"/>
        <w:rPr>
          <w:rFonts w:ascii="Arial Unicode MS" w:cs="Arial Unicode MS" w:hAnsi="Arial Unicode MS" w:eastAsia="Arial Unicode MS"/>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Introduction</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This essay critically compares and contrasts two papers examining the development of astrology in different historical periods. The first paper is Roger French</w:t>
      </w:r>
      <w:r>
        <w:rPr>
          <w:rFonts w:cs="Arial Unicode MS" w:eastAsia="Arial Unicode MS" w:hint="default"/>
          <w:sz w:val="24"/>
          <w:szCs w:val="24"/>
          <w:rtl w:val="1"/>
        </w:rPr>
        <w:t>’</w:t>
      </w:r>
      <w:r>
        <w:rPr>
          <w:rFonts w:ascii="Times New Roman" w:hAnsi="Times New Roman"/>
          <w:sz w:val="24"/>
          <w:szCs w:val="24"/>
          <w:rtl w:val="0"/>
          <w:lang w:val="en-US"/>
        </w:rPr>
        <w:t xml:space="preserve">s "Foretelling the Future: Arabic Astrology and English Medicine in the Late Twelfth Century," published in </w:t>
      </w:r>
      <w:r>
        <w:rPr>
          <w:rFonts w:ascii="Times New Roman" w:hAnsi="Times New Roman"/>
          <w:i w:val="1"/>
          <w:iCs w:val="1"/>
          <w:sz w:val="24"/>
          <w:szCs w:val="24"/>
          <w:rtl w:val="0"/>
          <w:lang w:val="en-US"/>
        </w:rPr>
        <w:t>Isis: A Journal of the History of Science Society</w:t>
      </w:r>
      <w:r>
        <w:rPr>
          <w:rFonts w:ascii="Times New Roman" w:hAnsi="Times New Roman"/>
          <w:sz w:val="24"/>
          <w:szCs w:val="24"/>
          <w:rtl w:val="0"/>
          <w:lang w:val="en-US"/>
        </w:rPr>
        <w:t xml:space="preserve"> in 1996</w:t>
      </w:r>
      <w:r>
        <w:rPr>
          <w:rFonts w:ascii="Times New Roman" w:cs="Times New Roman" w:hAnsi="Times New Roman" w:eastAsia="Times New Roman"/>
          <w:sz w:val="24"/>
          <w:szCs w:val="24"/>
        </w:rPr>
        <w:footnoteReference w:id="1"/>
      </w:r>
      <w:r>
        <w:rPr>
          <w:rFonts w:ascii="Times New Roman" w:hAnsi="Times New Roman"/>
          <w:sz w:val="24"/>
          <w:szCs w:val="24"/>
          <w:rtl w:val="0"/>
          <w:lang w:val="en-US"/>
        </w:rPr>
        <w:t>. The second paper is Michelle Pfeffer</w:t>
      </w:r>
      <w:r>
        <w:rPr>
          <w:rFonts w:cs="Arial Unicode MS" w:eastAsia="Arial Unicode MS" w:hint="default"/>
          <w:sz w:val="24"/>
          <w:szCs w:val="24"/>
          <w:rtl w:val="1"/>
        </w:rPr>
        <w:t>’</w:t>
      </w:r>
      <w:r>
        <w:rPr>
          <w:rFonts w:ascii="Times New Roman" w:hAnsi="Times New Roman"/>
          <w:sz w:val="24"/>
          <w:szCs w:val="24"/>
          <w:rtl w:val="0"/>
          <w:lang w:val="en-US"/>
        </w:rPr>
        <w:t xml:space="preserve">s "Reassessing the Marginalisation of Astrology in the Early Modern World," published in </w:t>
      </w:r>
      <w:r>
        <w:rPr>
          <w:rFonts w:ascii="Times New Roman" w:hAnsi="Times New Roman"/>
          <w:i w:val="1"/>
          <w:iCs w:val="1"/>
          <w:sz w:val="24"/>
          <w:szCs w:val="24"/>
          <w:rtl w:val="0"/>
          <w:lang w:val="en-US"/>
        </w:rPr>
        <w:t>The Historical Journal</w:t>
      </w:r>
      <w:r>
        <w:rPr>
          <w:rFonts w:ascii="Times New Roman" w:hAnsi="Times New Roman"/>
          <w:sz w:val="24"/>
          <w:szCs w:val="24"/>
          <w:rtl w:val="0"/>
          <w:lang w:val="en-US"/>
        </w:rPr>
        <w:t xml:space="preserve"> in 2023</w:t>
      </w:r>
      <w:r>
        <w:rPr>
          <w:rFonts w:ascii="Times New Roman" w:cs="Times New Roman" w:hAnsi="Times New Roman" w:eastAsia="Times New Roman"/>
          <w:sz w:val="24"/>
          <w:szCs w:val="24"/>
        </w:rPr>
        <w:footnoteReference w:id="2"/>
      </w:r>
      <w:r>
        <w:rPr>
          <w:rFonts w:ascii="Times New Roman" w:hAnsi="Times New Roman"/>
          <w:sz w:val="24"/>
          <w:szCs w:val="24"/>
          <w:rtl w:val="0"/>
          <w:lang w:val="en-US"/>
        </w:rPr>
        <w:t>. This essay aims to critically explore both papers, considering their subjects, intended audiences, historical contexts in terms of changing scholarship</w:t>
      </w:r>
      <w:r>
        <w:rPr>
          <w:rFonts w:ascii="Times New Roman" w:hAnsi="Times New Roman"/>
          <w:sz w:val="24"/>
          <w:szCs w:val="24"/>
          <w:rtl w:val="0"/>
        </w:rPr>
        <w:t xml:space="preserve">, </w:t>
      </w:r>
      <w:r>
        <w:rPr>
          <w:rFonts w:ascii="Times New Roman" w:hAnsi="Times New Roman"/>
          <w:sz w:val="24"/>
          <w:szCs w:val="24"/>
          <w:rtl w:val="0"/>
          <w:lang w:val="en-US"/>
        </w:rPr>
        <w:t>their sources, and central arguments, while comparing and contrasting their approaches and perspectives.</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About papers, journals and authors</w:t>
      </w:r>
    </w:p>
    <w:p>
      <w:pPr>
        <w:pStyle w:val="Body A"/>
        <w:rPr>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Fonts w:ascii="Times New Roman" w:hAnsi="Times New Roman"/>
          <w:sz w:val="24"/>
          <w:szCs w:val="24"/>
          <w:rtl w:val="0"/>
          <w:lang w:val="en-US"/>
        </w:rPr>
        <w:t xml:space="preserve">The first article, written by Roger French, was published in </w:t>
      </w:r>
      <w:r>
        <w:rPr>
          <w:rFonts w:ascii="Times New Roman" w:hAnsi="Times New Roman"/>
          <w:i w:val="1"/>
          <w:iCs w:val="1"/>
          <w:sz w:val="24"/>
          <w:szCs w:val="24"/>
          <w:rtl w:val="0"/>
          <w:lang w:val="en-US"/>
        </w:rPr>
        <w:t>Isis: A Journal of the History of Science Society</w:t>
      </w:r>
      <w:r>
        <w:rPr>
          <w:rFonts w:ascii="Times New Roman" w:hAnsi="Times New Roman"/>
          <w:sz w:val="24"/>
          <w:szCs w:val="24"/>
          <w:rtl w:val="0"/>
          <w:lang w:val="en-US"/>
        </w:rPr>
        <w:t xml:space="preserve"> by The University of Chicago Press. The History of Science Society is dedicated to understanding science, technology, and medicine, and their interactions with society in historical context. It is open to all for a subscription fee and serves both as a learned society and a professional association</w:t>
      </w:r>
      <w:r>
        <w:rPr>
          <w:rFonts w:ascii="Times New Roman" w:cs="Times New Roman" w:hAnsi="Times New Roman" w:eastAsia="Times New Roman"/>
          <w:sz w:val="24"/>
          <w:szCs w:val="24"/>
        </w:rPr>
        <w:footnoteReference w:id="3"/>
      </w:r>
      <w:r>
        <w:rPr>
          <w:rFonts w:ascii="Times New Roman" w:hAnsi="Times New Roman"/>
          <w:sz w:val="24"/>
          <w:szCs w:val="24"/>
          <w:rtl w:val="0"/>
          <w:lang w:val="en-US"/>
        </w:rPr>
        <w:t xml:space="preserve">. The article written by Michelle Pfeffer was published in </w:t>
      </w:r>
      <w:r>
        <w:rPr>
          <w:rFonts w:ascii="Times New Roman" w:hAnsi="Times New Roman"/>
          <w:i w:val="1"/>
          <w:iCs w:val="1"/>
          <w:sz w:val="24"/>
          <w:szCs w:val="24"/>
          <w:rtl w:val="0"/>
          <w:lang w:val="en-US"/>
        </w:rPr>
        <w:t>The Historical Journal</w:t>
      </w:r>
      <w:r>
        <w:rPr>
          <w:rFonts w:ascii="Times New Roman" w:hAnsi="Times New Roman"/>
          <w:sz w:val="24"/>
          <w:szCs w:val="24"/>
          <w:rtl w:val="0"/>
          <w:lang w:val="en-US"/>
        </w:rPr>
        <w:t>, by Cambridge University Press. This Journal is contributed to all aspects of British, European, and world history since the fifteenth century and represents the best of international contemporary scholarship, as well as reviews of recent historical literature and articles</w:t>
      </w:r>
      <w:r>
        <w:rPr>
          <w:rFonts w:ascii="Times New Roman" w:cs="Times New Roman" w:hAnsi="Times New Roman" w:eastAsia="Times New Roman"/>
          <w:sz w:val="24"/>
          <w:szCs w:val="24"/>
        </w:rPr>
        <w:footnoteReference w:id="4"/>
      </w:r>
      <w:r>
        <w:rPr>
          <w:rStyle w:val="None"/>
          <w:rFonts w:ascii="Times New Roman" w:hAnsi="Times New Roman"/>
          <w:sz w:val="24"/>
          <w:szCs w:val="24"/>
          <w:rtl w:val="0"/>
          <w:lang w:val="en-US"/>
        </w:rPr>
        <w:t xml:space="preserve">. Both journals share s common focus on historical studies, but their audiences are slightly differ. </w:t>
      </w:r>
      <w:r>
        <w:rPr>
          <w:rStyle w:val="None"/>
          <w:rFonts w:ascii="Times New Roman" w:hAnsi="Times New Roman"/>
          <w:i w:val="1"/>
          <w:iCs w:val="1"/>
          <w:sz w:val="24"/>
          <w:szCs w:val="24"/>
          <w:rtl w:val="0"/>
          <w:lang w:val="en-US"/>
        </w:rPr>
        <w:t>Isis</w:t>
      </w:r>
      <w:r>
        <w:rPr>
          <w:rStyle w:val="None"/>
          <w:rFonts w:ascii="Times New Roman" w:hAnsi="Times New Roman"/>
          <w:sz w:val="24"/>
          <w:szCs w:val="24"/>
          <w:rtl w:val="0"/>
          <w:lang w:val="en-US"/>
        </w:rPr>
        <w:t xml:space="preserve"> aims for broader audience, while </w:t>
      </w:r>
      <w:r>
        <w:rPr>
          <w:rStyle w:val="None"/>
          <w:rFonts w:ascii="Times New Roman" w:hAnsi="Times New Roman"/>
          <w:i w:val="1"/>
          <w:iCs w:val="1"/>
          <w:sz w:val="24"/>
          <w:szCs w:val="24"/>
          <w:rtl w:val="0"/>
          <w:lang w:val="en-US"/>
        </w:rPr>
        <w:t>The Historical Journal</w:t>
      </w:r>
      <w:r>
        <w:rPr>
          <w:rStyle w:val="None"/>
          <w:rFonts w:ascii="Times New Roman" w:hAnsi="Times New Roman"/>
          <w:sz w:val="24"/>
          <w:szCs w:val="24"/>
          <w:rtl w:val="0"/>
          <w:lang w:val="en-US"/>
        </w:rPr>
        <w:t xml:space="preserve"> to academics, postgraduate students and specialised academic readership. This difference becomes evident in writing styles of mentioned above authors.</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Roger French (1938-2002) was an English medical historian with a PhD from Oxford University, specialising in medieval and Renaissance medical history. He spent most of his career as a lecturer at the University of Cambridge, and left numerous books and research articles on his subject</w:t>
      </w:r>
      <w:r>
        <w:rPr>
          <w:rStyle w:val="None"/>
          <w:rFonts w:ascii="Times New Roman" w:cs="Times New Roman" w:hAnsi="Times New Roman" w:eastAsia="Times New Roman"/>
          <w:sz w:val="24"/>
          <w:szCs w:val="24"/>
        </w:rPr>
        <w:footnoteReference w:id="5"/>
      </w:r>
      <w:r>
        <w:rPr>
          <w:rStyle w:val="None"/>
          <w:rFonts w:ascii="Times New Roman" w:hAnsi="Times New Roman"/>
          <w:sz w:val="24"/>
          <w:szCs w:val="24"/>
          <w:rtl w:val="0"/>
          <w:lang w:val="en-US"/>
        </w:rPr>
        <w:t xml:space="preserve">. </w:t>
      </w:r>
      <w:r>
        <w:rPr>
          <w:rStyle w:val="None"/>
          <w:rFonts w:ascii="Times New Roman" w:hAnsi="Times New Roman"/>
          <w:sz w:val="24"/>
          <w:szCs w:val="24"/>
          <w:rtl w:val="0"/>
          <w:lang w:val="de-DE"/>
        </w:rPr>
        <w:t>Michelle Pfeffer</w:t>
      </w:r>
      <w:r>
        <w:rPr>
          <w:rStyle w:val="None"/>
          <w:rFonts w:ascii="Times New Roman" w:hAnsi="Times New Roman"/>
          <w:sz w:val="24"/>
          <w:szCs w:val="24"/>
          <w:rtl w:val="0"/>
          <w:lang w:val="en-US"/>
        </w:rPr>
        <w:t xml:space="preserve"> (currently Aroney) is a contemporary historian specialising in early modern history, with a focus on the history of science, religion, and scholarship. She earned her PhD in History from The University of Queensland, Australia, in 2020. Pfeffer's research interests include the decline of astrology in the early modern world, as well as the role of astrologers in epidemics</w:t>
      </w:r>
      <w:r>
        <w:rPr>
          <w:rStyle w:val="None"/>
          <w:rFonts w:ascii="Times New Roman" w:hAnsi="Times New Roman"/>
          <w:sz w:val="24"/>
          <w:szCs w:val="24"/>
          <w:rtl w:val="0"/>
          <w:lang w:val="en-US"/>
        </w:rPr>
        <w:t xml:space="preserve"> </w:t>
      </w:r>
      <w:r>
        <w:rPr>
          <w:rStyle w:val="None"/>
          <w:rFonts w:ascii="Times New Roman" w:hAnsi="Times New Roman"/>
          <w:sz w:val="24"/>
          <w:szCs w:val="24"/>
          <w:rtl w:val="0"/>
          <w:lang w:val="en-US"/>
        </w:rPr>
        <w:t>and public health during this period</w:t>
      </w:r>
      <w:r>
        <w:rPr>
          <w:rStyle w:val="None"/>
          <w:rFonts w:ascii="Times New Roman" w:cs="Times New Roman" w:hAnsi="Times New Roman" w:eastAsia="Times New Roman"/>
          <w:sz w:val="24"/>
          <w:szCs w:val="24"/>
        </w:rPr>
        <w:footnoteReference w:id="6"/>
      </w:r>
      <w:r>
        <w:rPr>
          <w:rStyle w:val="None"/>
          <w:rFonts w:ascii="Times New Roman" w:hAnsi="Times New Roman"/>
          <w:sz w:val="24"/>
          <w:szCs w:val="24"/>
          <w:rtl w:val="0"/>
        </w:rPr>
        <w:t>.</w:t>
      </w:r>
      <w:r>
        <w:rPr>
          <w:rStyle w:val="None"/>
          <w:rFonts w:ascii="Times New Roman" w:hAnsi="Times New Roman"/>
          <w:sz w:val="24"/>
          <w:szCs w:val="24"/>
          <w:rtl w:val="0"/>
          <w:lang w:val="en-US"/>
        </w:rPr>
        <w:t xml:space="preserve"> Both authors hold a doctorate in historical studies, and their research interests intersect in areas such as medical history. However, a key difference is that Roger French</w:t>
      </w:r>
      <w:r>
        <w:rPr>
          <w:rStyle w:val="None"/>
          <w:rFonts w:cs="Arial Unicode MS" w:eastAsia="Arial Unicode MS" w:hint="default"/>
          <w:sz w:val="24"/>
          <w:szCs w:val="24"/>
          <w:rtl w:val="1"/>
        </w:rPr>
        <w:t>’</w:t>
      </w:r>
      <w:r>
        <w:rPr>
          <w:rStyle w:val="None"/>
          <w:rFonts w:ascii="Times New Roman" w:hAnsi="Times New Roman"/>
          <w:sz w:val="24"/>
          <w:szCs w:val="24"/>
          <w:rtl w:val="0"/>
          <w:lang w:val="en-US"/>
        </w:rPr>
        <w:t>s primary focus was on medical history, with astrology appearing as a secondary theme within his studies of the medieval and Renaissance periods. In contrast, Michelle Pfeffer</w:t>
      </w:r>
      <w:r>
        <w:rPr>
          <w:rStyle w:val="None"/>
          <w:rFonts w:cs="Arial Unicode MS" w:eastAsia="Arial Unicode MS" w:hint="default"/>
          <w:sz w:val="24"/>
          <w:szCs w:val="24"/>
          <w:rtl w:val="1"/>
        </w:rPr>
        <w:t>’</w:t>
      </w:r>
      <w:r>
        <w:rPr>
          <w:rStyle w:val="None"/>
          <w:rFonts w:ascii="Times New Roman" w:hAnsi="Times New Roman"/>
          <w:sz w:val="24"/>
          <w:szCs w:val="24"/>
          <w:rtl w:val="0"/>
          <w:lang w:val="en-US"/>
        </w:rPr>
        <w:t>s main focus is on astrology, especially its decline, disenchantment, and the role of astrologers in historical events, rather than on medical history as such. They also differ in historical context: French concentrated on the medieval and Renaissance periods, which lasted</w:t>
      </w:r>
      <w:r>
        <w:rPr>
          <w:rStyle w:val="None"/>
          <w:rFonts w:ascii="Times New Roman" w:hAnsi="Times New Roman"/>
          <w:sz w:val="24"/>
          <w:szCs w:val="24"/>
          <w:rtl w:val="0"/>
        </w:rPr>
        <w:t xml:space="preserve"> </w:t>
      </w:r>
      <w:r>
        <w:rPr>
          <w:rStyle w:val="None"/>
          <w:rFonts w:ascii="Times New Roman" w:hAnsi="Times New Roman"/>
          <w:sz w:val="24"/>
          <w:szCs w:val="24"/>
          <w:rtl w:val="0"/>
          <w:lang w:val="en-US"/>
        </w:rPr>
        <w:t>up to the middle of 17th century, while Pfeffer</w:t>
      </w:r>
      <w:r>
        <w:rPr>
          <w:rStyle w:val="None"/>
          <w:rFonts w:cs="Arial Unicode MS" w:eastAsia="Arial Unicode MS" w:hint="default"/>
          <w:sz w:val="24"/>
          <w:szCs w:val="24"/>
          <w:rtl w:val="1"/>
        </w:rPr>
        <w:t>’</w:t>
      </w:r>
      <w:r>
        <w:rPr>
          <w:rStyle w:val="None"/>
          <w:rFonts w:ascii="Times New Roman" w:hAnsi="Times New Roman"/>
          <w:sz w:val="24"/>
          <w:szCs w:val="24"/>
          <w:rtl w:val="0"/>
        </w:rPr>
        <w:t xml:space="preserve">s </w:t>
      </w:r>
      <w:r>
        <w:rPr>
          <w:rStyle w:val="None"/>
          <w:rFonts w:ascii="Times New Roman" w:hAnsi="Times New Roman"/>
          <w:sz w:val="24"/>
          <w:szCs w:val="24"/>
          <w:rtl w:val="0"/>
          <w:lang w:val="en-US"/>
        </w:rPr>
        <w:t>main interest lies in the early modern and Enlightenment periods, spanning from the late 15th century to the 18th century.</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Summary of papers</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de-DE"/>
        </w:rPr>
        <w:t>Roger French</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article analyses astrology and medical practices in 12th-century England, specifically key ideas and influences of Arabic astrology on Western medical knowledge and how it was used by physicians of that time. He approaches this process through the study of Roger of Hereford</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life, as he was a key figure in the dissemination of Arabic astrology in England due to his familiarity with Abu Mashar's text, which showed ways of how medicine and astrology were related</w:t>
      </w:r>
      <w:r>
        <w:rPr>
          <w:rStyle w:val="None"/>
          <w:rFonts w:ascii="Times New Roman" w:cs="Times New Roman" w:hAnsi="Times New Roman" w:eastAsia="Times New Roman"/>
          <w:sz w:val="24"/>
          <w:szCs w:val="24"/>
        </w:rPr>
        <w:footnoteReference w:id="7"/>
      </w:r>
      <w:r>
        <w:rPr>
          <w:rStyle w:val="None"/>
          <w:rFonts w:ascii="Times New Roman" w:hAnsi="Times New Roman"/>
          <w:sz w:val="24"/>
          <w:szCs w:val="24"/>
          <w:rtl w:val="0"/>
          <w:lang w:val="en-US"/>
        </w:rPr>
        <w:t>. The author provides the following contexts: a general historical overview of the period, the professional medical context of 12th-century physicians, the main diagnostic methodologies of the time, and the offerings of Arabic astrology.  Together, these elements give a profound understanding of what was happening in the field when Roger practiced and the impact he made in his professional field. French also examines the geographical processes of how knowledge was spread across Europe and England at that time, including where Roger may have obtained his education and books. He examines academic processes in universities and how physicians had to obtain their knowledge of medical astrology outside academia. The paper also analyses some of Roger of Hereford</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writings, his methods, texts, tables, and certain cases from client work. French uses a substantial amount of primary and secondary sources, provides original text in footnotes, and includes additional material in two appendices. Overall, this paper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key argument is that Arabic astrology greatly contributed to Western astrology and medical practices in medieval England, allowing physicians of that time to enhance their knowledge, effectiveness, and credibility. The paper serves as a great introduction to medical practices, the dissemination of astrological knowledge, and the ways in which Arabic astrology began intertwining with the W</w:t>
      </w:r>
      <w:r>
        <w:rPr>
          <w:rStyle w:val="None"/>
          <w:rFonts w:ascii="Times New Roman" w:hAnsi="Times New Roman"/>
          <w:sz w:val="24"/>
          <w:szCs w:val="24"/>
          <w:rtl w:val="0"/>
          <w:lang w:val="de-DE"/>
        </w:rPr>
        <w:t xml:space="preserve">estern </w:t>
      </w:r>
      <w:r>
        <w:rPr>
          <w:rStyle w:val="None"/>
          <w:rFonts w:ascii="Times New Roman" w:hAnsi="Times New Roman"/>
          <w:sz w:val="24"/>
          <w:szCs w:val="24"/>
          <w:rtl w:val="0"/>
          <w:lang w:val="en-US"/>
        </w:rPr>
        <w:t>tradition</w:t>
      </w:r>
      <w:r>
        <w:rPr>
          <w:rStyle w:val="None"/>
          <w:rFonts w:ascii="Times New Roman" w:hAnsi="Times New Roman"/>
          <w:sz w:val="24"/>
          <w:szCs w:val="24"/>
          <w:rtl w:val="0"/>
        </w:rPr>
        <w:t>.</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Michelle Pfeffer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paper is a study of studies, or as she defines it, a critical historiographical review of the body of works produced in the last 15 years on the marginalisation of astrology. She examines the works of historians of astrology, how their focus has shifted, and how the theme of astrology was marginalised not only in the 17th century but also by historians themselves. In the first part she gives a case study of </w:t>
      </w:r>
      <w:r>
        <w:rPr>
          <w:rStyle w:val="None"/>
          <w:rFonts w:ascii="Times New Roman" w:hAnsi="Times New Roman"/>
          <w:sz w:val="24"/>
          <w:szCs w:val="24"/>
          <w:rtl w:val="0"/>
          <w:lang w:val="es-ES_tradnl"/>
        </w:rPr>
        <w:t>Carlos de Sig</w:t>
      </w:r>
      <w:r>
        <w:rPr>
          <w:rStyle w:val="None"/>
          <w:rFonts w:ascii="Times New Roman" w:hAnsi="Times New Roman" w:hint="default"/>
          <w:sz w:val="24"/>
          <w:szCs w:val="24"/>
          <w:rtl w:val="0"/>
        </w:rPr>
        <w:t>ü</w:t>
      </w:r>
      <w:r>
        <w:rPr>
          <w:rStyle w:val="None"/>
          <w:rFonts w:ascii="Times New Roman" w:hAnsi="Times New Roman"/>
          <w:sz w:val="24"/>
          <w:szCs w:val="24"/>
          <w:rtl w:val="0"/>
          <w:lang w:val="it-IT"/>
        </w:rPr>
        <w:t>enza</w:t>
      </w:r>
      <w:r>
        <w:rPr>
          <w:rStyle w:val="None"/>
          <w:rFonts w:ascii="Times New Roman" w:hAnsi="Times New Roman"/>
          <w:sz w:val="24"/>
          <w:szCs w:val="24"/>
          <w:rtl w:val="0"/>
          <w:lang w:val="en-US"/>
        </w:rPr>
        <w:t xml:space="preserve"> </w:t>
      </w:r>
      <w:r>
        <w:rPr>
          <w:rStyle w:val="None"/>
          <w:rFonts w:ascii="Times New Roman" w:hAnsi="Times New Roman"/>
          <w:sz w:val="24"/>
          <w:szCs w:val="24"/>
          <w:rtl w:val="0"/>
          <w:lang w:val="it-IT"/>
        </w:rPr>
        <w:t xml:space="preserve">to illustrate </w:t>
      </w:r>
      <w:r>
        <w:rPr>
          <w:rStyle w:val="None"/>
          <w:rFonts w:ascii="Times New Roman" w:hAnsi="Times New Roman"/>
          <w:sz w:val="24"/>
          <w:szCs w:val="24"/>
          <w:rtl w:val="0"/>
          <w:lang w:val="en-US"/>
        </w:rPr>
        <w:t>the growing disillusionment with astrology among early modern scholars. She also analyses various scholars</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perspectives on astrology</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decline, concluding that is was a complex process that happened not only due to the Scientific Revolution. In the second part, she discusses the social, political, and religious pressures on astrological thought and its decline under these forces. She also examines the split between astronomy and astrology, which were previously used as interchangeable terms. In the final part, she explores the broader intellectual history and climate that emerged as astrology began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dying out</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 xml:space="preserve">and becoming known as superstition. Pfeffer concludes with suggestion that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there is no one-dimensional explanation</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for astrology</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decline, as it was a complex process involving multiple ways in which astrology was marginalised</w:t>
      </w:r>
      <w:r>
        <w:rPr>
          <w:rStyle w:val="None"/>
          <w:rFonts w:ascii="Times New Roman" w:cs="Times New Roman" w:hAnsi="Times New Roman" w:eastAsia="Times New Roman"/>
          <w:sz w:val="24"/>
          <w:szCs w:val="24"/>
        </w:rPr>
        <w:footnoteReference w:id="8"/>
      </w:r>
      <w:r>
        <w:rPr>
          <w:rStyle w:val="None"/>
          <w:rFonts w:ascii="Times New Roman" w:hAnsi="Times New Roman"/>
          <w:sz w:val="24"/>
          <w:szCs w:val="24"/>
          <w:rtl w:val="0"/>
          <w:lang w:val="en-US"/>
        </w:rPr>
        <w:t>. Overall, the paper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key argument is that astrology</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decline didn't happen solely due to Scientific Revolution; it was a combination of social, religious, political, and educational factors that gradually excluded astrology from scientific and academic worlds. Pfeffer uses a great amount of secondary sources produced in second half of the 20th and 21st centuries and cites her own work as well. The provided bibliography likely represent most works on the marginalisation of astrology.</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Comparative analysis</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To begin with writing styles, French</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writing style is scholarly yet accessible. His paper can be understood not only by scholars but also by a broader audience which is perfectly aligning with targeted readership of the </w:t>
      </w:r>
      <w:r>
        <w:rPr>
          <w:rStyle w:val="None"/>
          <w:rFonts w:ascii="Times New Roman" w:hAnsi="Times New Roman"/>
          <w:i w:val="1"/>
          <w:iCs w:val="1"/>
          <w:sz w:val="24"/>
          <w:szCs w:val="24"/>
          <w:rtl w:val="0"/>
          <w:lang w:val="en-US"/>
        </w:rPr>
        <w:t>Isis</w:t>
      </w:r>
      <w:r>
        <w:rPr>
          <w:rStyle w:val="None"/>
          <w:rFonts w:ascii="Times New Roman" w:hAnsi="Times New Roman"/>
          <w:sz w:val="24"/>
          <w:szCs w:val="24"/>
          <w:rtl w:val="0"/>
          <w:lang w:val="en-US"/>
        </w:rPr>
        <w:t xml:space="preserve"> Journal. He uses some specialised terminology related to medical and astrological practices, which could possibly cause difficulties for some readers, but he defines and explains these terms within the text to prevent confusion. His approach is exploratory: he focuses on historical events, texts, and practices, bringing evidence and analysis, and refrains from promoting any personal views or ideas. Rather than being argumentative, he explores his chosen topic and help readers to understand the process of integration of astrology into medical practices in medieval England. In contrast, Pfeffer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paper written in more formal academic language, best suited for the interests of academics, postgraduate students, and the specialised readership of </w:t>
      </w:r>
      <w:r>
        <w:rPr>
          <w:rStyle w:val="None"/>
          <w:rFonts w:ascii="Times New Roman" w:hAnsi="Times New Roman"/>
          <w:i w:val="1"/>
          <w:iCs w:val="1"/>
          <w:sz w:val="24"/>
          <w:szCs w:val="24"/>
          <w:rtl w:val="0"/>
          <w:lang w:val="en-US"/>
        </w:rPr>
        <w:t>The Historical Journal</w:t>
      </w:r>
      <w:r>
        <w:rPr>
          <w:rStyle w:val="None"/>
          <w:rFonts w:ascii="Times New Roman" w:hAnsi="Times New Roman"/>
          <w:sz w:val="24"/>
          <w:szCs w:val="24"/>
          <w:rtl w:val="0"/>
          <w:lang w:val="en-US"/>
        </w:rPr>
        <w:t xml:space="preserve">. She uses substantial historiographical terminology, especially in sections discussing intellectual transitions and the Enlightenment, which may be quite complex for readers that unfamiliar with this field. Her writing is more rhetorical and argumentative, as she critically examines past research on the subject, analyses it, and presents her viewpoints, supported by evidence. Both papers are well-structured and organised, logically divided into sections, and easy to follow. </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In analysing recent historical research, it is useful to consider an argument made by British historian Edward Hallett Carr, who defines history as both a record of objective facts and product of its time. According to Carr, those who conduct and produce historical research and write historical books and articles, reflect their intellectual trends, dominating cultural ideas, views, and ideologies.</w:t>
      </w:r>
      <w:r>
        <w:rPr>
          <w:rStyle w:val="None"/>
          <w:rFonts w:ascii="Times New Roman" w:cs="Times New Roman" w:hAnsi="Times New Roman" w:eastAsia="Times New Roman"/>
          <w:sz w:val="24"/>
          <w:szCs w:val="24"/>
        </w:rPr>
        <w:footnoteReference w:id="9"/>
      </w:r>
      <w:r>
        <w:rPr>
          <w:rStyle w:val="None"/>
          <w:rFonts w:ascii="Times New Roman" w:hAnsi="Times New Roman"/>
          <w:sz w:val="24"/>
          <w:szCs w:val="24"/>
          <w:rtl w:val="0"/>
          <w:lang w:val="en-US"/>
        </w:rPr>
        <w:t xml:space="preserve"> Turning to methodology, French</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approach comes from analysis of primary sources, providing evidence and detailed description of how astrology was merged with medical practices. He describes astrology as a practical and pragmatical tool for medical use and as means to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give a man power over other men</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rather than as a belief system</w:t>
      </w:r>
      <w:r>
        <w:rPr>
          <w:rStyle w:val="None"/>
          <w:rFonts w:ascii="Times New Roman" w:cs="Times New Roman" w:hAnsi="Times New Roman" w:eastAsia="Times New Roman"/>
          <w:sz w:val="24"/>
          <w:szCs w:val="24"/>
        </w:rPr>
        <w:footnoteReference w:id="10"/>
      </w:r>
      <w:r>
        <w:rPr>
          <w:rStyle w:val="None"/>
          <w:rFonts w:ascii="Times New Roman" w:hAnsi="Times New Roman"/>
          <w:sz w:val="24"/>
          <w:szCs w:val="24"/>
          <w:rtl w:val="0"/>
          <w:lang w:val="en-US"/>
        </w:rPr>
        <w:t>. French</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arguments have neutral tone and rather reconstruct the past and present astrology as it may have been perceived in medieval times, rather than imposing modern points of view or judgements. His approach remains descriptive and empirical, avoiding contemporary interpretations or subjective opinions. Pfeffer uses historiographical approach, analysing various historical perspectives and secondary sources that been generated in the recent past and the latter half of 20th century. This methodology results in argumentative and interpretative outcome, as she is not only studies prior research on the marginalisation of astrology but also interprets the social, cultural, and intellectual forces behind this process. The room for interpretation shapes her analysis, allowing her to argue that </w:t>
      </w:r>
      <w:r>
        <w:rPr>
          <w:rStyle w:val="None"/>
          <w:rFonts w:ascii="Times New Roman" w:hAnsi="Times New Roman"/>
          <w:sz w:val="24"/>
          <w:szCs w:val="24"/>
          <w:rtl w:val="0"/>
        </w:rPr>
        <w:t>astrology</w:t>
      </w:r>
      <w:r>
        <w:rPr>
          <w:rStyle w:val="None"/>
          <w:rFonts w:cs="Arial Unicode MS" w:eastAsia="Arial Unicode MS" w:hint="default"/>
          <w:sz w:val="24"/>
          <w:szCs w:val="24"/>
          <w:rtl w:val="1"/>
        </w:rPr>
        <w:t>’</w:t>
      </w:r>
      <w:r>
        <w:rPr>
          <w:rStyle w:val="None"/>
          <w:rFonts w:ascii="Times New Roman" w:hAnsi="Times New Roman"/>
          <w:sz w:val="24"/>
          <w:szCs w:val="24"/>
          <w:rtl w:val="0"/>
        </w:rPr>
        <w:t xml:space="preserve">s </w:t>
      </w:r>
      <w:r>
        <w:rPr>
          <w:rStyle w:val="None"/>
          <w:rFonts w:ascii="Times New Roman" w:hAnsi="Times New Roman"/>
          <w:sz w:val="24"/>
          <w:szCs w:val="24"/>
          <w:rtl w:val="0"/>
          <w:lang w:val="en-US"/>
        </w:rPr>
        <w:t>marginalisation</w:t>
      </w:r>
      <w:r>
        <w:rPr>
          <w:rStyle w:val="None"/>
          <w:rFonts w:ascii="Times New Roman" w:hAnsi="Times New Roman"/>
          <w:sz w:val="24"/>
          <w:szCs w:val="24"/>
          <w:rtl w:val="0"/>
        </w:rPr>
        <w:t xml:space="preserve"> </w:t>
      </w:r>
      <w:r>
        <w:rPr>
          <w:rStyle w:val="None"/>
          <w:rFonts w:ascii="Times New Roman" w:hAnsi="Times New Roman"/>
          <w:sz w:val="24"/>
          <w:szCs w:val="24"/>
          <w:rtl w:val="0"/>
          <w:lang w:val="en-US"/>
        </w:rPr>
        <w:t>was not solely a result of the Scientific Revolution but rather a complex process with multiple factors. Engaging with modern sources, Pfeffer gravitates towards neutrality, though her work may still reflect contemporary ideologies, making her approach less neutral than Roger French</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To support her argument, she uses a case study of </w:t>
      </w:r>
      <w:r>
        <w:rPr>
          <w:rStyle w:val="None"/>
          <w:rFonts w:ascii="Times New Roman" w:hAnsi="Times New Roman"/>
          <w:sz w:val="24"/>
          <w:szCs w:val="24"/>
          <w:rtl w:val="0"/>
          <w:lang w:val="es-ES_tradnl"/>
        </w:rPr>
        <w:t>Carlos de Sig</w:t>
      </w:r>
      <w:r>
        <w:rPr>
          <w:rStyle w:val="None"/>
          <w:rFonts w:ascii="Times New Roman" w:hAnsi="Times New Roman" w:hint="default"/>
          <w:sz w:val="24"/>
          <w:szCs w:val="24"/>
          <w:rtl w:val="0"/>
        </w:rPr>
        <w:t>ü</w:t>
      </w:r>
      <w:r>
        <w:rPr>
          <w:rStyle w:val="None"/>
          <w:rFonts w:ascii="Times New Roman" w:hAnsi="Times New Roman"/>
          <w:sz w:val="24"/>
          <w:szCs w:val="24"/>
          <w:rtl w:val="0"/>
          <w:lang w:val="it-IT"/>
        </w:rPr>
        <w:t>enza</w:t>
      </w:r>
      <w:r>
        <w:rPr>
          <w:rStyle w:val="None"/>
          <w:rFonts w:ascii="Times New Roman" w:hAnsi="Times New Roman"/>
          <w:sz w:val="24"/>
          <w:szCs w:val="24"/>
          <w:rtl w:val="0"/>
          <w:lang w:val="en-US"/>
        </w:rPr>
        <w:t>, which illustrates shifting views on the astrology and its practices in the very end of 17th century. However, unlike French, who centred his exploratory research on a key figure crucial to his analysis, Pfeffer uses this case study mainly to support and illustrate her argument.</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In his introduction,</w:t>
      </w:r>
      <w:r>
        <w:rPr>
          <w:rStyle w:val="None"/>
          <w:rFonts w:ascii="Times New Roman" w:hAnsi="Times New Roman"/>
          <w:sz w:val="24"/>
          <w:szCs w:val="24"/>
          <w:rtl w:val="0"/>
        </w:rPr>
        <w:t xml:space="preserve"> </w:t>
      </w:r>
      <w:r>
        <w:rPr>
          <w:rStyle w:val="None"/>
          <w:rFonts w:ascii="Times New Roman" w:hAnsi="Times New Roman"/>
          <w:sz w:val="24"/>
          <w:szCs w:val="24"/>
          <w:rtl w:val="0"/>
          <w:lang w:val="en-US"/>
        </w:rPr>
        <w:t>Roger French sets out to explore the integration of astrology into medieval practices, aiming to provide historical evidence that supports astrology as a useful practical tool rather than as mystical or speculative system. His conclusion closely aligns with his research goal, reaffirming astrology</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role as a pragmatic and functional tool during that period. French maintains his focus throughout his paper, providing solid historical evidence drawn from primary sources, including medical and astrological texts used by medieval physicians. His detailed examination of Roger of Hereford</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life and work, combined with his reliance on concrete historical sources, and a neutral, exploratory style, gives significant weight and credibility to his conclusions. Michelle Pfeffer, in her introduction, clearly states her intention to reassess the marginalisation of astrology and to challenge the view that its decline was a consequence of the Scientific Revolution alone. She aims to examine the body of scholarly research on this subject from the last 15 years. Her conclusion is very consistent with her introduction, as finds that astrology</w:t>
      </w:r>
      <w:r>
        <w:rPr>
          <w:rStyle w:val="None"/>
          <w:rFonts w:cs="Arial Unicode MS" w:eastAsia="Arial Unicode MS" w:hint="default"/>
          <w:sz w:val="24"/>
          <w:szCs w:val="24"/>
          <w:rtl w:val="1"/>
        </w:rPr>
        <w:t>’</w:t>
      </w:r>
      <w:r>
        <w:rPr>
          <w:rStyle w:val="None"/>
          <w:rFonts w:ascii="Times New Roman" w:hAnsi="Times New Roman"/>
          <w:sz w:val="24"/>
          <w:szCs w:val="24"/>
          <w:rtl w:val="0"/>
        </w:rPr>
        <w:t xml:space="preserve">s </w:t>
      </w:r>
      <w:r>
        <w:rPr>
          <w:rStyle w:val="None"/>
          <w:rFonts w:ascii="Times New Roman" w:hAnsi="Times New Roman"/>
          <w:sz w:val="24"/>
          <w:szCs w:val="24"/>
          <w:rtl w:val="0"/>
          <w:lang w:val="en-US"/>
        </w:rPr>
        <w:t>marginalisation was a complex process shaped by social, cultural, and intellectual factors. Pfeffer supports her arguments with a range of secondary sources, historiographical analysis, and case studies, such as that of Carlos de Sig</w:t>
      </w:r>
      <w:r>
        <w:rPr>
          <w:rStyle w:val="None"/>
          <w:rFonts w:ascii="Times New Roman" w:hAnsi="Times New Roman" w:hint="default"/>
          <w:sz w:val="24"/>
          <w:szCs w:val="24"/>
          <w:rtl w:val="0"/>
        </w:rPr>
        <w:t>ü</w:t>
      </w:r>
      <w:r>
        <w:rPr>
          <w:rStyle w:val="None"/>
          <w:rFonts w:ascii="Times New Roman" w:hAnsi="Times New Roman"/>
          <w:sz w:val="24"/>
          <w:szCs w:val="24"/>
          <w:rtl w:val="0"/>
          <w:lang w:val="it-IT"/>
        </w:rPr>
        <w:t>enza</w:t>
      </w:r>
      <w:r>
        <w:rPr>
          <w:rStyle w:val="None"/>
          <w:rFonts w:ascii="Times New Roman" w:hAnsi="Times New Roman"/>
          <w:sz w:val="24"/>
          <w:szCs w:val="24"/>
          <w:rtl w:val="0"/>
          <w:lang w:val="en-US"/>
        </w:rPr>
        <w:t>, which makes her findings both credible and compelling. Both authors have produces a well-structured papers, used strong evidence to support their arguments, brought relevant sources and case studies, and arrived to conclusions that fulfil the aims outlined in their introductions.</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Conclusion</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In conclusion, this essay has aimed to critically compare and contrast two papers examining the development of astrology and its across different historical times, along with their intended audiences, sources, central arguments and approaches. Roger French and Michelle Pfeffer each offer distinct perspectives and methodologies. French</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work explores astrology as a practical tool within medieval medicine, using primary sources to maintain a neutral, exploratory tone. incontrast, Pfeffer uses a historiographical approach, analysing</w:t>
      </w:r>
      <w:r>
        <w:rPr>
          <w:rStyle w:val="None"/>
          <w:rFonts w:ascii="Times New Roman" w:hAnsi="Times New Roman"/>
          <w:sz w:val="24"/>
          <w:szCs w:val="24"/>
          <w:rtl w:val="0"/>
        </w:rPr>
        <w:t xml:space="preserve"> astrology</w:t>
      </w:r>
      <w:r>
        <w:rPr>
          <w:rStyle w:val="None"/>
          <w:rFonts w:cs="Arial Unicode MS" w:eastAsia="Arial Unicode MS" w:hint="default"/>
          <w:sz w:val="24"/>
          <w:szCs w:val="24"/>
          <w:rtl w:val="1"/>
        </w:rPr>
        <w:t>’</w:t>
      </w:r>
      <w:r>
        <w:rPr>
          <w:rStyle w:val="None"/>
          <w:rFonts w:ascii="Times New Roman" w:hAnsi="Times New Roman"/>
          <w:sz w:val="24"/>
          <w:szCs w:val="24"/>
          <w:rtl w:val="0"/>
        </w:rPr>
        <w:t xml:space="preserve">s </w:t>
      </w:r>
      <w:r>
        <w:rPr>
          <w:rStyle w:val="None"/>
          <w:rFonts w:ascii="Times New Roman" w:hAnsi="Times New Roman"/>
          <w:sz w:val="24"/>
          <w:szCs w:val="24"/>
          <w:rtl w:val="0"/>
          <w:lang w:val="en-US"/>
        </w:rPr>
        <w:t>marginalisation as a result of complex social, cultural, and intellectual shifts, reflecting a modern scholarly approach and perspective</w:t>
      </w:r>
      <w:r>
        <w:rPr>
          <w:rStyle w:val="None"/>
          <w:rFonts w:ascii="Times New Roman" w:hAnsi="Times New Roman"/>
          <w:sz w:val="24"/>
          <w:szCs w:val="24"/>
          <w:rtl w:val="0"/>
        </w:rPr>
        <w:t>.</w:t>
      </w:r>
      <w:r>
        <w:rPr>
          <w:rStyle w:val="None"/>
          <w:rFonts w:ascii="Times New Roman" w:hAnsi="Times New Roman"/>
          <w:sz w:val="24"/>
          <w:szCs w:val="24"/>
          <w:rtl w:val="0"/>
          <w:lang w:val="en-US"/>
        </w:rPr>
        <w:t xml:space="preserve"> Both authors have produced a well-structured essays with the writing style suited for their respective journals and target audiences. They support their arguments with strong evidence and case studies, use relevant sources, and remain consistent with the goals outlined in their introductions. </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Bibliography</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Cambridge, </w:t>
      </w:r>
      <w:r>
        <w:rPr>
          <w:rStyle w:val="None"/>
          <w:rFonts w:ascii="Times New Roman" w:hAnsi="Times New Roman"/>
          <w:i w:val="1"/>
          <w:iCs w:val="1"/>
          <w:sz w:val="24"/>
          <w:szCs w:val="24"/>
          <w:rtl w:val="0"/>
          <w:lang w:val="en-US"/>
        </w:rPr>
        <w:t>The Historical Journal</w:t>
      </w:r>
      <w:r>
        <w:rPr>
          <w:rStyle w:val="None"/>
          <w:rFonts w:ascii="Times New Roman" w:hAnsi="Times New Roman"/>
          <w:sz w:val="24"/>
          <w:szCs w:val="24"/>
          <w:rtl w:val="0"/>
          <w:lang w:val="en-US"/>
        </w:rPr>
        <w:t xml:space="preserve"> &lt;</w:t>
      </w:r>
      <w:r>
        <w:rPr>
          <w:rStyle w:val="Hyperlink.1"/>
        </w:rPr>
        <w:fldChar w:fldCharType="begin" w:fldLock="0"/>
      </w:r>
      <w:r>
        <w:rPr>
          <w:rStyle w:val="Hyperlink.1"/>
        </w:rPr>
        <w:instrText xml:space="preserve"> HYPERLINK "https://www.cambridge.org/core/journals/historical-journal/information/about-this-journal"</w:instrText>
      </w:r>
      <w:r>
        <w:rPr>
          <w:rStyle w:val="Hyperlink.1"/>
        </w:rPr>
        <w:fldChar w:fldCharType="separate" w:fldLock="0"/>
      </w:r>
      <w:r>
        <w:rPr>
          <w:rStyle w:val="Hyperlink.1"/>
          <w:rFonts w:cs="Arial Unicode MS" w:eastAsia="Arial Unicode MS"/>
          <w:rtl w:val="0"/>
          <w:lang w:val="en-US"/>
        </w:rPr>
        <w:t>https://www.cambridge.org/core/journals/historical-journal/information/about-this-journal</w:t>
      </w:r>
      <w:r>
        <w:rPr/>
        <w:fldChar w:fldCharType="end" w:fldLock="0"/>
      </w:r>
      <w:r>
        <w:rPr>
          <w:rStyle w:val="Hyperlink.1"/>
          <w:rFonts w:cs="Arial Unicode MS" w:eastAsia="Arial Unicode MS"/>
          <w:rtl w:val="0"/>
          <w:lang w:val="en-US"/>
        </w:rPr>
        <w:t>&gt; [accessed 28 October 2024].</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Hyperlink.1"/>
          <w:rFonts w:cs="Arial Unicode MS" w:eastAsia="Arial Unicode MS"/>
          <w:rtl w:val="0"/>
          <w:lang w:val="en-US"/>
        </w:rPr>
        <w:t>Cunningham, Andrew,</w:t>
      </w:r>
      <w:r>
        <w:rPr>
          <w:rStyle w:val="None"/>
          <w:rFonts w:cs="Arial Unicode MS" w:eastAsia="Arial Unicode MS" w:hint="default"/>
          <w:sz w:val="24"/>
          <w:szCs w:val="24"/>
          <w:rtl w:val="1"/>
        </w:rPr>
        <w:t xml:space="preserve"> ‘</w:t>
      </w:r>
      <w:r>
        <w:rPr>
          <w:rStyle w:val="None"/>
          <w:rFonts w:ascii="Times New Roman" w:hAnsi="Times New Roman"/>
          <w:sz w:val="24"/>
          <w:szCs w:val="24"/>
          <w:rtl w:val="0"/>
          <w:lang w:val="de-DE"/>
        </w:rPr>
        <w:t>Roger French</w:t>
      </w:r>
      <w:r>
        <w:rPr>
          <w:rStyle w:val="Hyperlink.1"/>
          <w:rFonts w:cs="Arial Unicode MS" w:eastAsia="Arial Unicode MS"/>
          <w:rtl w:val="0"/>
          <w:lang w:val="en-US"/>
        </w:rPr>
        <w:t xml:space="preserve"> </w:t>
      </w:r>
      <w:r>
        <w:rPr>
          <w:rStyle w:val="None"/>
          <w:rFonts w:ascii="Times New Roman" w:hAnsi="Times New Roman"/>
          <w:sz w:val="24"/>
          <w:szCs w:val="24"/>
          <w:rtl w:val="0"/>
          <w:lang w:val="it-IT"/>
        </w:rPr>
        <w:t>(12 April 1938</w:t>
      </w:r>
      <w:r>
        <w:rPr>
          <w:rStyle w:val="None"/>
          <w:rFonts w:ascii="Times New Roman" w:hAnsi="Times New Roman" w:hint="default"/>
          <w:sz w:val="24"/>
          <w:szCs w:val="24"/>
          <w:rtl w:val="0"/>
        </w:rPr>
        <w:t>–</w:t>
      </w:r>
      <w:r>
        <w:rPr>
          <w:rStyle w:val="Hyperlink.1"/>
          <w:rFonts w:cs="Arial Unicode MS" w:eastAsia="Arial Unicode MS"/>
          <w:rtl w:val="0"/>
          <w:lang w:val="en-US"/>
        </w:rPr>
        <w:t>14 May 2002)</w:t>
      </w:r>
      <w:r>
        <w:rPr>
          <w:rStyle w:val="None"/>
          <w:rFonts w:cs="Arial Unicode MS" w:eastAsia="Arial Unicode MS" w:hint="default"/>
          <w:sz w:val="24"/>
          <w:szCs w:val="24"/>
          <w:rtl w:val="1"/>
        </w:rPr>
        <w:t>’</w:t>
      </w:r>
      <w:r>
        <w:rPr>
          <w:rStyle w:val="None"/>
          <w:rFonts w:ascii="Times New Roman" w:hAnsi="Times New Roman"/>
          <w:sz w:val="24"/>
          <w:szCs w:val="24"/>
          <w:rtl w:val="0"/>
        </w:rPr>
        <w:t xml:space="preserve">, </w:t>
      </w:r>
      <w:r>
        <w:rPr>
          <w:rStyle w:val="None"/>
          <w:rFonts w:ascii="Times New Roman" w:hAnsi="Times New Roman"/>
          <w:i w:val="1"/>
          <w:iCs w:val="1"/>
          <w:sz w:val="24"/>
          <w:szCs w:val="24"/>
          <w:rtl w:val="0"/>
          <w:lang w:val="en-US"/>
        </w:rPr>
        <w:t>Medical History</w:t>
      </w:r>
      <w:r>
        <w:rPr>
          <w:rStyle w:val="None"/>
          <w:rFonts w:ascii="Times New Roman" w:hAnsi="Times New Roman"/>
          <w:sz w:val="24"/>
          <w:szCs w:val="24"/>
          <w:rtl w:val="0"/>
        </w:rPr>
        <w:t>, 46(4)</w:t>
      </w:r>
      <w:r>
        <w:rPr>
          <w:rStyle w:val="Hyperlink.1"/>
          <w:rFonts w:cs="Arial Unicode MS" w:eastAsia="Arial Unicode MS"/>
          <w:rtl w:val="0"/>
          <w:lang w:val="en-US"/>
        </w:rPr>
        <w:t xml:space="preserve"> </w:t>
      </w:r>
      <w:r>
        <w:rPr>
          <w:rStyle w:val="None"/>
          <w:rFonts w:ascii="Times New Roman" w:hAnsi="Times New Roman"/>
          <w:sz w:val="24"/>
          <w:szCs w:val="24"/>
          <w:rtl w:val="0"/>
        </w:rPr>
        <w:t>(2002), pp. 580</w:t>
      </w:r>
      <w:r>
        <w:rPr>
          <w:rStyle w:val="None"/>
          <w:rFonts w:ascii="Times New Roman" w:hAnsi="Times New Roman" w:hint="default"/>
          <w:sz w:val="24"/>
          <w:szCs w:val="24"/>
          <w:rtl w:val="0"/>
        </w:rPr>
        <w:t>–</w:t>
      </w:r>
      <w:r>
        <w:rPr>
          <w:rStyle w:val="None"/>
          <w:rFonts w:ascii="Times New Roman" w:hAnsi="Times New Roman"/>
          <w:sz w:val="24"/>
          <w:szCs w:val="24"/>
          <w:rtl w:val="0"/>
        </w:rPr>
        <w:t>582.</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None"/>
          <w:rFonts w:ascii="Times New Roman" w:hAnsi="Times New Roman"/>
          <w:sz w:val="24"/>
          <w:szCs w:val="24"/>
          <w:rtl w:val="0"/>
          <w:lang w:val="da-DK"/>
        </w:rPr>
        <w:t xml:space="preserve">Evans, Richard, </w:t>
      </w:r>
      <w:r>
        <w:rPr>
          <w:rStyle w:val="None"/>
          <w:rFonts w:ascii="Times New Roman" w:hAnsi="Times New Roman"/>
          <w:i w:val="1"/>
          <w:iCs w:val="1"/>
          <w:sz w:val="24"/>
          <w:szCs w:val="24"/>
          <w:rtl w:val="0"/>
          <w:lang w:val="en-US"/>
        </w:rPr>
        <w:t>In Defence of History</w:t>
      </w:r>
      <w:r>
        <w:rPr>
          <w:rStyle w:val="Hyperlink.1"/>
          <w:rFonts w:cs="Arial Unicode MS" w:eastAsia="Arial Unicode MS"/>
          <w:rtl w:val="0"/>
          <w:lang w:val="en-US"/>
        </w:rPr>
        <w:t>, London: Granta Books 2018 (</w:t>
      </w:r>
      <w:r>
        <w:rPr>
          <w:rStyle w:val="None"/>
          <w:rFonts w:ascii="Times New Roman" w:hAnsi="Times New Roman"/>
          <w:sz w:val="24"/>
          <w:szCs w:val="24"/>
          <w:rtl w:val="0"/>
        </w:rPr>
        <w:t>1997</w:t>
      </w:r>
      <w:r>
        <w:rPr>
          <w:rStyle w:val="Hyperlink.1"/>
          <w:rFonts w:cs="Arial Unicode MS" w:eastAsia="Arial Unicode MS"/>
          <w:rtl w:val="0"/>
          <w:lang w:val="en-US"/>
        </w:rPr>
        <w:t>)</w:t>
      </w:r>
      <w:r>
        <w:rPr>
          <w:rStyle w:val="None"/>
          <w:rFonts w:ascii="Times New Roman" w:hAnsi="Times New Roman"/>
          <w:sz w:val="24"/>
          <w:szCs w:val="24"/>
          <w:rtl w:val="0"/>
        </w:rPr>
        <w:t xml:space="preserve">, </w:t>
      </w:r>
      <w:r>
        <w:rPr>
          <w:rStyle w:val="Hyperlink.1"/>
          <w:rFonts w:cs="Arial Unicode MS" w:eastAsia="Arial Unicode MS"/>
          <w:rtl w:val="0"/>
          <w:lang w:val="en-US"/>
        </w:rPr>
        <w:t>p. 2</w:t>
      </w:r>
      <w:r>
        <w:rPr>
          <w:rStyle w:val="None"/>
          <w:rFonts w:ascii="Times New Roman" w:hAnsi="Times New Roman"/>
          <w:sz w:val="24"/>
          <w:szCs w:val="24"/>
          <w:rtl w:val="0"/>
        </w:rPr>
        <w:t>.</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Hyperlink.1"/>
          <w:rFonts w:cs="Arial Unicode MS" w:eastAsia="Arial Unicode MS"/>
          <w:rtl w:val="0"/>
          <w:lang w:val="en-US"/>
        </w:rPr>
        <w:t>French, Roger, 'Foretelling the Future: Arabic Astrology and English Medicine in the Late Twelfth Century</w:t>
      </w:r>
      <w:r>
        <w:rPr>
          <w:rStyle w:val="Hyperlink.1"/>
          <w:rFonts w:cs="Arial Unicode MS" w:eastAsia="Arial Unicode MS" w:hint="default"/>
          <w:rtl w:val="0"/>
          <w:lang w:val="en-US"/>
        </w:rPr>
        <w:t>’</w:t>
      </w:r>
      <w:r>
        <w:rPr>
          <w:rStyle w:val="Hyperlink.1"/>
          <w:rFonts w:cs="Arial Unicode MS" w:eastAsia="Arial Unicode MS"/>
          <w:rtl w:val="0"/>
          <w:lang w:val="en-US"/>
        </w:rPr>
        <w:t>,</w:t>
      </w:r>
      <w:r>
        <w:rPr>
          <w:rStyle w:val="None"/>
          <w:rFonts w:ascii="Times New Roman" w:hAnsi="Times New Roman"/>
          <w:sz w:val="24"/>
          <w:szCs w:val="24"/>
          <w:rtl w:val="0"/>
        </w:rPr>
        <w:t xml:space="preserve"> </w:t>
      </w:r>
      <w:r>
        <w:rPr>
          <w:rStyle w:val="Hyperlink.1"/>
          <w:rFonts w:cs="Arial Unicode MS" w:eastAsia="Arial Unicode MS"/>
          <w:rtl w:val="0"/>
          <w:lang w:val="en-US"/>
        </w:rPr>
        <w:t xml:space="preserve">In </w:t>
      </w:r>
      <w:r>
        <w:rPr>
          <w:rStyle w:val="None"/>
          <w:rFonts w:ascii="Times New Roman" w:hAnsi="Times New Roman"/>
          <w:i w:val="1"/>
          <w:iCs w:val="1"/>
          <w:sz w:val="24"/>
          <w:szCs w:val="24"/>
          <w:rtl w:val="0"/>
        </w:rPr>
        <w:t>Isis</w:t>
      </w:r>
      <w:r>
        <w:rPr>
          <w:rStyle w:val="None"/>
          <w:rFonts w:ascii="Times New Roman" w:hAnsi="Times New Roman"/>
          <w:sz w:val="24"/>
          <w:szCs w:val="24"/>
          <w:rtl w:val="0"/>
        </w:rPr>
        <w:t xml:space="preserve"> 87</w:t>
      </w:r>
      <w:r>
        <w:rPr>
          <w:rStyle w:val="Hyperlink.1"/>
          <w:rFonts w:cs="Arial Unicode MS" w:eastAsia="Arial Unicode MS"/>
          <w:rtl w:val="0"/>
          <w:lang w:val="en-US"/>
        </w:rPr>
        <w:t xml:space="preserve"> (</w:t>
      </w:r>
      <w:r>
        <w:rPr>
          <w:rStyle w:val="None"/>
          <w:rFonts w:ascii="Times New Roman" w:hAnsi="Times New Roman"/>
          <w:sz w:val="24"/>
          <w:szCs w:val="24"/>
          <w:rtl w:val="0"/>
        </w:rPr>
        <w:t>3</w:t>
      </w:r>
      <w:r>
        <w:rPr>
          <w:rStyle w:val="Hyperlink.1"/>
          <w:rFonts w:cs="Arial Unicode MS" w:eastAsia="Arial Unicode MS"/>
          <w:rtl w:val="0"/>
          <w:lang w:val="en-US"/>
        </w:rPr>
        <w:t>),</w:t>
      </w:r>
      <w:r>
        <w:rPr>
          <w:rStyle w:val="None"/>
          <w:rFonts w:ascii="Times New Roman" w:hAnsi="Times New Roman"/>
          <w:sz w:val="24"/>
          <w:szCs w:val="24"/>
          <w:rtl w:val="0"/>
        </w:rPr>
        <w:t xml:space="preserve"> (1996)</w:t>
      </w:r>
      <w:r>
        <w:rPr>
          <w:rStyle w:val="Hyperlink.1"/>
          <w:rFonts w:cs="Arial Unicode MS" w:eastAsia="Arial Unicode MS"/>
          <w:rtl w:val="0"/>
          <w:lang w:val="en-US"/>
        </w:rPr>
        <w:t>,</w:t>
      </w:r>
      <w:r>
        <w:rPr>
          <w:rStyle w:val="None"/>
          <w:rFonts w:ascii="Times New Roman" w:hAnsi="Times New Roman"/>
          <w:sz w:val="24"/>
          <w:szCs w:val="24"/>
          <w:rtl w:val="0"/>
        </w:rPr>
        <w:t xml:space="preserve"> </w:t>
      </w:r>
      <w:r>
        <w:rPr>
          <w:rStyle w:val="Hyperlink.1"/>
          <w:rFonts w:cs="Arial Unicode MS" w:eastAsia="Arial Unicode MS"/>
          <w:rtl w:val="0"/>
          <w:lang w:val="en-US"/>
        </w:rPr>
        <w:t xml:space="preserve">pp. </w:t>
      </w:r>
      <w:r>
        <w:rPr>
          <w:rStyle w:val="None"/>
          <w:rFonts w:ascii="Times New Roman" w:hAnsi="Times New Roman"/>
          <w:sz w:val="24"/>
          <w:szCs w:val="24"/>
          <w:rtl w:val="0"/>
        </w:rPr>
        <w:t>453-480</w:t>
      </w:r>
      <w:r>
        <w:rPr>
          <w:rStyle w:val="Hyperlink.1"/>
          <w:rFonts w:cs="Arial Unicode MS" w:eastAsia="Arial Unicode MS"/>
          <w:rtl w:val="0"/>
          <w:lang w:val="en-US"/>
        </w:rPr>
        <w:t>.</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Hyperlink.1"/>
          <w:rFonts w:cs="Arial Unicode MS" w:eastAsia="Arial Unicode MS"/>
          <w:rtl w:val="0"/>
          <w:lang w:val="en-US"/>
        </w:rPr>
        <w:t>History of Science Society, History of the Society &lt; https://hssonline.org/page/history &gt; [accessed 28</w:t>
      </w:r>
      <w:r>
        <w:rPr>
          <w:rStyle w:val="None"/>
          <w:rFonts w:ascii="Times New Roman" w:hAnsi="Times New Roman"/>
          <w:sz w:val="24"/>
          <w:szCs w:val="24"/>
          <w:rtl w:val="0"/>
        </w:rPr>
        <w:t xml:space="preserve"> </w:t>
      </w:r>
      <w:r>
        <w:rPr>
          <w:rStyle w:val="Hyperlink.1"/>
          <w:rFonts w:cs="Arial Unicode MS" w:eastAsia="Arial Unicode MS"/>
          <w:rtl w:val="0"/>
          <w:lang w:val="en-US"/>
        </w:rPr>
        <w:t>October</w:t>
      </w:r>
      <w:r>
        <w:rPr>
          <w:rStyle w:val="None"/>
          <w:rFonts w:ascii="Times New Roman" w:hAnsi="Times New Roman"/>
          <w:sz w:val="24"/>
          <w:szCs w:val="24"/>
          <w:rtl w:val="0"/>
        </w:rPr>
        <w:t xml:space="preserve"> 20</w:t>
      </w:r>
      <w:r>
        <w:rPr>
          <w:rStyle w:val="Hyperlink.1"/>
          <w:rFonts w:cs="Arial Unicode MS" w:eastAsia="Arial Unicode MS"/>
          <w:rtl w:val="0"/>
          <w:lang w:val="en-US"/>
        </w:rPr>
        <w:t>24</w:t>
      </w:r>
      <w:r>
        <w:rPr>
          <w:rStyle w:val="None"/>
          <w:rFonts w:ascii="Times New Roman" w:hAnsi="Times New Roman"/>
          <w:sz w:val="24"/>
          <w:szCs w:val="24"/>
          <w:rtl w:val="0"/>
          <w:lang w:val="pt-PT"/>
        </w:rPr>
        <w:t>].</w:t>
      </w:r>
    </w:p>
    <w:p>
      <w:pPr>
        <w:pStyle w:val="Body A"/>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r>
        <w:rPr>
          <w:rStyle w:val="Hyperlink.1"/>
          <w:rFonts w:cs="Arial Unicode MS" w:eastAsia="Arial Unicode MS"/>
          <w:rtl w:val="0"/>
          <w:lang w:val="en-US"/>
        </w:rPr>
        <w:t>Oxford Centre for the History of Science, Medicine, and Technology &lt;</w:t>
      </w:r>
      <w:r>
        <w:rPr>
          <w:rStyle w:val="None"/>
          <w:rFonts w:ascii="Times New Roman" w:hAnsi="Times New Roman"/>
          <w:sz w:val="24"/>
          <w:szCs w:val="24"/>
          <w:rtl w:val="0"/>
        </w:rPr>
        <w:t xml:space="preserve"> </w:t>
      </w:r>
      <w:r>
        <w:rPr>
          <w:rStyle w:val="Hyperlink.1"/>
        </w:rPr>
        <w:fldChar w:fldCharType="begin" w:fldLock="0"/>
      </w:r>
      <w:r>
        <w:rPr>
          <w:rStyle w:val="Hyperlink.1"/>
        </w:rPr>
        <w:instrText xml:space="preserve"> HYPERLINK "https://www.hsmt.ox.ac.uk/people/dr-michelle-pfeffer"</w:instrText>
      </w:r>
      <w:r>
        <w:rPr>
          <w:rStyle w:val="Hyperlink.1"/>
        </w:rPr>
        <w:fldChar w:fldCharType="separate" w:fldLock="0"/>
      </w:r>
      <w:r>
        <w:rPr>
          <w:rStyle w:val="Hyperlink.1"/>
          <w:rFonts w:cs="Arial Unicode MS" w:eastAsia="Arial Unicode MS"/>
          <w:rtl w:val="0"/>
          <w:lang w:val="en-US"/>
        </w:rPr>
        <w:t>https://www.hsmt.ox.ac.uk/people/dr-michelle-pfeffer</w:t>
      </w:r>
      <w:r>
        <w:rPr/>
        <w:fldChar w:fldCharType="end" w:fldLock="0"/>
      </w:r>
      <w:r>
        <w:rPr>
          <w:rStyle w:val="Hyperlink.1"/>
          <w:rFonts w:cs="Arial Unicode MS" w:eastAsia="Arial Unicode MS"/>
          <w:rtl w:val="0"/>
          <w:lang w:val="en-US"/>
        </w:rPr>
        <w:t>&gt; [accessed 28 October 2024].</w:t>
      </w:r>
    </w:p>
    <w:p>
      <w:pPr>
        <w:pStyle w:val="Body A"/>
        <w:rPr>
          <w:rStyle w:val="None"/>
          <w:rFonts w:ascii="Times New Roman" w:cs="Times New Roman" w:hAnsi="Times New Roman" w:eastAsia="Times New Roman"/>
          <w:sz w:val="24"/>
          <w:szCs w:val="24"/>
        </w:rPr>
      </w:pPr>
    </w:p>
    <w:p>
      <w:pPr>
        <w:pStyle w:val="Body A"/>
      </w:pPr>
      <w:r>
        <w:rPr>
          <w:rStyle w:val="Hyperlink.1"/>
          <w:rFonts w:cs="Arial Unicode MS" w:eastAsia="Arial Unicode MS"/>
          <w:rtl w:val="0"/>
          <w:lang w:val="en-US"/>
        </w:rPr>
        <w:t>Pfeffer, Michelle, 'Reassessing the Marginalisation of Astrology in the Early Modern World</w:t>
      </w:r>
      <w:r>
        <w:rPr>
          <w:rStyle w:val="Hyperlink.1"/>
          <w:rFonts w:cs="Arial Unicode MS" w:eastAsia="Arial Unicode MS" w:hint="default"/>
          <w:rtl w:val="0"/>
          <w:lang w:val="en-US"/>
        </w:rPr>
        <w:t>’</w:t>
      </w:r>
      <w:r>
        <w:rPr>
          <w:rStyle w:val="Hyperlink.1"/>
          <w:rFonts w:cs="Arial Unicode MS" w:eastAsia="Arial Unicode MS"/>
          <w:rtl w:val="0"/>
          <w:lang w:val="en-US"/>
        </w:rPr>
        <w:t>,</w:t>
      </w:r>
      <w:r>
        <w:rPr>
          <w:rStyle w:val="None"/>
          <w:rFonts w:ascii="Times New Roman" w:hAnsi="Times New Roman"/>
          <w:sz w:val="24"/>
          <w:szCs w:val="24"/>
          <w:rtl w:val="0"/>
        </w:rPr>
        <w:t xml:space="preserve"> </w:t>
      </w:r>
      <w:r>
        <w:rPr>
          <w:rStyle w:val="None"/>
          <w:rFonts w:ascii="Times New Roman" w:hAnsi="Times New Roman"/>
          <w:i w:val="1"/>
          <w:iCs w:val="1"/>
          <w:sz w:val="24"/>
          <w:szCs w:val="24"/>
          <w:rtl w:val="0"/>
          <w:lang w:val="en-US"/>
        </w:rPr>
        <w:t>The Historical Journal</w:t>
      </w:r>
      <w:r>
        <w:rPr>
          <w:rStyle w:val="None"/>
          <w:rFonts w:ascii="Times New Roman" w:hAnsi="Times New Roman"/>
          <w:sz w:val="24"/>
          <w:szCs w:val="24"/>
          <w:rtl w:val="0"/>
        </w:rPr>
        <w:t xml:space="preserve"> 66</w:t>
      </w:r>
      <w:r>
        <w:rPr>
          <w:rStyle w:val="Hyperlink.1"/>
          <w:rFonts w:cs="Arial Unicode MS" w:eastAsia="Arial Unicode MS"/>
          <w:rtl w:val="0"/>
          <w:lang w:val="en-US"/>
        </w:rPr>
        <w:t xml:space="preserve"> (</w:t>
      </w:r>
      <w:r>
        <w:rPr>
          <w:rStyle w:val="None"/>
          <w:rFonts w:ascii="Times New Roman" w:hAnsi="Times New Roman"/>
          <w:sz w:val="24"/>
          <w:szCs w:val="24"/>
          <w:rtl w:val="0"/>
        </w:rPr>
        <w:t>5</w:t>
      </w:r>
      <w:r>
        <w:rPr>
          <w:rStyle w:val="Hyperlink.1"/>
          <w:rFonts w:cs="Arial Unicode MS" w:eastAsia="Arial Unicode MS"/>
          <w:rtl w:val="0"/>
          <w:lang w:val="en-US"/>
        </w:rPr>
        <w:t>),</w:t>
      </w:r>
      <w:r>
        <w:rPr>
          <w:rStyle w:val="None"/>
          <w:rFonts w:ascii="Times New Roman" w:hAnsi="Times New Roman"/>
          <w:sz w:val="24"/>
          <w:szCs w:val="24"/>
          <w:rtl w:val="0"/>
        </w:rPr>
        <w:t xml:space="preserve"> (2023)</w:t>
      </w:r>
      <w:r>
        <w:rPr>
          <w:rStyle w:val="Hyperlink.1"/>
          <w:rFonts w:cs="Arial Unicode MS" w:eastAsia="Arial Unicode MS"/>
          <w:rtl w:val="0"/>
          <w:lang w:val="en-US"/>
        </w:rPr>
        <w:t>,</w:t>
      </w:r>
      <w:r>
        <w:rPr>
          <w:rStyle w:val="None"/>
          <w:rFonts w:ascii="Times New Roman" w:hAnsi="Times New Roman"/>
          <w:sz w:val="24"/>
          <w:szCs w:val="24"/>
          <w:rtl w:val="0"/>
        </w:rPr>
        <w:t xml:space="preserve"> </w:t>
      </w:r>
      <w:r>
        <w:rPr>
          <w:rStyle w:val="Hyperlink.1"/>
          <w:rFonts w:cs="Arial Unicode MS" w:eastAsia="Arial Unicode MS"/>
          <w:rtl w:val="0"/>
          <w:lang w:val="en-US"/>
        </w:rPr>
        <w:t xml:space="preserve">pp. </w:t>
      </w:r>
      <w:r>
        <w:rPr>
          <w:rStyle w:val="None"/>
          <w:rFonts w:ascii="Times New Roman" w:hAnsi="Times New Roman"/>
          <w:sz w:val="24"/>
          <w:szCs w:val="24"/>
          <w:rtl w:val="0"/>
        </w:rPr>
        <w:t>1152-1176.</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sz w:val="24"/>
          <w:szCs w:val="24"/>
        </w:rPr>
        <w:footnoteRef/>
      </w:r>
      <w:r>
        <w:rPr>
          <w:rFonts w:cs="Arial Unicode MS" w:eastAsia="Arial Unicode MS"/>
          <w:rtl w:val="0"/>
          <w:lang w:val="en-US"/>
        </w:rPr>
        <w:t xml:space="preserve"> French, Roger, 'Foretelling the Future: Arabic Astrology and English Medicine in the Late Twelfth Century.' </w:t>
      </w:r>
      <w:r>
        <w:rPr>
          <w:rFonts w:cs="Arial Unicode MS" w:eastAsia="Arial Unicode MS"/>
          <w:i w:val="1"/>
          <w:iCs w:val="1"/>
          <w:rtl w:val="0"/>
        </w:rPr>
        <w:t>Isis</w:t>
      </w:r>
      <w:r>
        <w:rPr>
          <w:rFonts w:cs="Arial Unicode MS" w:eastAsia="Arial Unicode MS"/>
          <w:rtl w:val="0"/>
        </w:rPr>
        <w:t xml:space="preserve"> 87, no. 3 (1996): </w:t>
      </w:r>
      <w:r>
        <w:rPr>
          <w:rFonts w:cs="Arial Unicode MS" w:eastAsia="Arial Unicode MS"/>
          <w:rtl w:val="0"/>
          <w:lang w:val="en-US"/>
        </w:rPr>
        <w:t xml:space="preserve">pp. </w:t>
      </w:r>
      <w:r>
        <w:rPr>
          <w:rFonts w:cs="Arial Unicode MS" w:eastAsia="Arial Unicode MS"/>
          <w:rtl w:val="0"/>
        </w:rPr>
        <w:t>453-480</w:t>
      </w:r>
      <w:r>
        <w:rPr>
          <w:rFonts w:cs="Arial Unicode MS" w:eastAsia="Arial Unicode MS"/>
          <w:rtl w:val="0"/>
          <w:lang w:val="en-US"/>
        </w:rPr>
        <w:t>.</w:t>
      </w:r>
    </w:p>
  </w:footnote>
  <w:footnote w:id="2">
    <w:p>
      <w:pPr>
        <w:pStyle w:val="Footnote"/>
      </w:pPr>
      <w:r>
        <w:rPr>
          <w:rFonts w:ascii="Times New Roman" w:cs="Times New Roman" w:hAnsi="Times New Roman" w:eastAsia="Times New Roman"/>
          <w:sz w:val="24"/>
          <w:szCs w:val="24"/>
        </w:rPr>
        <w:footnoteRef/>
      </w:r>
      <w:r>
        <w:rPr>
          <w:rFonts w:cs="Arial Unicode MS" w:eastAsia="Arial Unicode MS"/>
          <w:rtl w:val="0"/>
          <w:lang w:val="en-US"/>
        </w:rPr>
        <w:t xml:space="preserve"> Pfeffer, Michelle, 'Reassessing the Marginalisation of Astrology in the Early Modern World.' </w:t>
      </w:r>
      <w:r>
        <w:rPr>
          <w:rFonts w:cs="Arial Unicode MS" w:eastAsia="Arial Unicode MS"/>
          <w:i w:val="1"/>
          <w:iCs w:val="1"/>
          <w:rtl w:val="0"/>
          <w:lang w:val="en-US"/>
        </w:rPr>
        <w:t>The Historical Journal</w:t>
      </w:r>
      <w:r>
        <w:rPr>
          <w:rFonts w:cs="Arial Unicode MS" w:eastAsia="Arial Unicode MS"/>
          <w:rtl w:val="0"/>
        </w:rPr>
        <w:t xml:space="preserve"> 66, no. 5 (2023): </w:t>
      </w:r>
      <w:r>
        <w:rPr>
          <w:rFonts w:cs="Arial Unicode MS" w:eastAsia="Arial Unicode MS"/>
          <w:rtl w:val="0"/>
          <w:lang w:val="en-US"/>
        </w:rPr>
        <w:t xml:space="preserve">pp. </w:t>
      </w:r>
      <w:r>
        <w:rPr>
          <w:rFonts w:cs="Arial Unicode MS" w:eastAsia="Arial Unicode MS"/>
          <w:rtl w:val="0"/>
        </w:rPr>
        <w:t>1152-1176.</w:t>
      </w:r>
    </w:p>
  </w:footnote>
  <w:footnote w:id="3">
    <w:p>
      <w:pPr>
        <w:pStyle w:val="Footnote"/>
      </w:pPr>
      <w:r>
        <w:rPr>
          <w:rFonts w:ascii="Times New Roman" w:cs="Times New Roman" w:hAnsi="Times New Roman" w:eastAsia="Times New Roman"/>
          <w:sz w:val="24"/>
          <w:szCs w:val="24"/>
        </w:rPr>
        <w:footnoteRef/>
      </w:r>
      <w:r>
        <w:rPr>
          <w:rFonts w:cs="Arial Unicode MS" w:eastAsia="Arial Unicode MS"/>
          <w:rtl w:val="0"/>
        </w:rPr>
        <w:t xml:space="preserve"> </w:t>
      </w:r>
      <w:r>
        <w:rPr>
          <w:rFonts w:cs="Arial Unicode MS" w:eastAsia="Arial Unicode MS"/>
          <w:rtl w:val="0"/>
          <w:lang w:val="en-US"/>
        </w:rPr>
        <w:t xml:space="preserve">History of Science Society, </w:t>
      </w:r>
      <w:r>
        <w:rPr>
          <w:rFonts w:cs="Arial Unicode MS" w:eastAsia="Arial Unicode MS"/>
          <w:i w:val="1"/>
          <w:iCs w:val="1"/>
          <w:rtl w:val="0"/>
          <w:lang w:val="en-US"/>
        </w:rPr>
        <w:t>History of the Society</w:t>
      </w:r>
      <w:r>
        <w:rPr>
          <w:rFonts w:cs="Arial Unicode MS" w:eastAsia="Arial Unicode MS"/>
          <w:rtl w:val="0"/>
          <w:lang w:val="en-US"/>
        </w:rPr>
        <w:t xml:space="preserve"> &lt; https://hssonline.org/page/history &gt; [accessed 28</w:t>
      </w:r>
      <w:r>
        <w:rPr>
          <w:rFonts w:cs="Arial Unicode MS" w:eastAsia="Arial Unicode MS"/>
          <w:rtl w:val="0"/>
        </w:rPr>
        <w:t xml:space="preserve"> </w:t>
      </w:r>
      <w:r>
        <w:rPr>
          <w:rFonts w:cs="Arial Unicode MS" w:eastAsia="Arial Unicode MS"/>
          <w:rtl w:val="0"/>
          <w:lang w:val="en-US"/>
        </w:rPr>
        <w:t>October</w:t>
      </w:r>
      <w:r>
        <w:rPr>
          <w:rFonts w:cs="Arial Unicode MS" w:eastAsia="Arial Unicode MS"/>
          <w:rtl w:val="0"/>
        </w:rPr>
        <w:t xml:space="preserve"> 20</w:t>
      </w:r>
      <w:r>
        <w:rPr>
          <w:rFonts w:cs="Arial Unicode MS" w:eastAsia="Arial Unicode MS"/>
          <w:rtl w:val="0"/>
          <w:lang w:val="en-US"/>
        </w:rPr>
        <w:t>24</w:t>
      </w:r>
      <w:r>
        <w:rPr>
          <w:rFonts w:cs="Arial Unicode MS" w:eastAsia="Arial Unicode MS"/>
          <w:rtl w:val="0"/>
          <w:lang w:val="pt-PT"/>
        </w:rPr>
        <w:t xml:space="preserve">]. </w:t>
      </w:r>
    </w:p>
  </w:footnote>
  <w:footnote w:id="4">
    <w:p>
      <w:pPr>
        <w:pStyle w:val="Footnote"/>
      </w:pPr>
      <w:r>
        <w:rPr>
          <w:rFonts w:ascii="Times New Roman" w:cs="Times New Roman" w:hAnsi="Times New Roman" w:eastAsia="Times New Roman"/>
          <w:sz w:val="24"/>
          <w:szCs w:val="24"/>
        </w:rPr>
        <w:footnoteRef/>
      </w:r>
      <w:r>
        <w:rPr>
          <w:rFonts w:cs="Arial Unicode MS" w:eastAsia="Arial Unicode MS"/>
          <w:rtl w:val="0"/>
        </w:rPr>
        <w:t xml:space="preserve"> </w:t>
      </w:r>
      <w:r>
        <w:rPr>
          <w:rFonts w:cs="Arial Unicode MS" w:eastAsia="Arial Unicode MS"/>
          <w:rtl w:val="0"/>
          <w:lang w:val="en-US"/>
        </w:rPr>
        <w:t xml:space="preserve">Cambridge, </w:t>
      </w:r>
      <w:r>
        <w:rPr>
          <w:rFonts w:cs="Arial Unicode MS" w:eastAsia="Arial Unicode MS"/>
          <w:i w:val="1"/>
          <w:iCs w:val="1"/>
          <w:rtl w:val="0"/>
          <w:lang w:val="en-US"/>
        </w:rPr>
        <w:t xml:space="preserve">The Historical Journal </w:t>
      </w:r>
      <w:r>
        <w:rPr>
          <w:rFonts w:cs="Arial Unicode MS" w:eastAsia="Arial Unicode MS"/>
          <w:rtl w:val="0"/>
          <w:lang w:val="en-US"/>
        </w:rPr>
        <w:t>&lt;</w:t>
      </w:r>
      <w:r>
        <w:rPr>
          <w:rStyle w:val="Hyperlink.0"/>
        </w:rPr>
        <w:fldChar w:fldCharType="begin" w:fldLock="0"/>
      </w:r>
      <w:r>
        <w:rPr>
          <w:rStyle w:val="Hyperlink.0"/>
        </w:rPr>
        <w:instrText xml:space="preserve"> HYPERLINK "https://www.cambridge.org/core/journals/historical-journal/information/about-this-journal"</w:instrText>
      </w:r>
      <w:r>
        <w:rPr>
          <w:rStyle w:val="Hyperlink.0"/>
        </w:rPr>
        <w:fldChar w:fldCharType="separate" w:fldLock="0"/>
      </w:r>
      <w:r>
        <w:rPr>
          <w:rStyle w:val="Hyperlink.0"/>
          <w:rFonts w:cs="Arial Unicode MS" w:eastAsia="Arial Unicode MS"/>
          <w:rtl w:val="0"/>
          <w:lang w:val="en-US"/>
        </w:rPr>
        <w:t>https://www.cambridge.org/core/journals/historical-journal/information/about-this-journal</w:t>
      </w:r>
      <w:r>
        <w:rPr/>
        <w:fldChar w:fldCharType="end" w:fldLock="0"/>
      </w:r>
      <w:r>
        <w:rPr>
          <w:rStyle w:val="None"/>
          <w:rFonts w:cs="Arial Unicode MS" w:eastAsia="Arial Unicode MS"/>
          <w:rtl w:val="0"/>
          <w:lang w:val="en-US"/>
        </w:rPr>
        <w:t xml:space="preserve">&gt; [accessed 28 October 2024]. </w:t>
      </w:r>
    </w:p>
  </w:footnote>
  <w:footnote w:id="5">
    <w:p>
      <w:pPr>
        <w:pStyle w:val="Footnote"/>
      </w:pPr>
      <w:r>
        <w:rPr>
          <w:rStyle w:val="None"/>
          <w:rFonts w:ascii="Times New Roman" w:cs="Times New Roman" w:hAnsi="Times New Roman" w:eastAsia="Times New Roman"/>
          <w:sz w:val="24"/>
          <w:szCs w:val="24"/>
        </w:rPr>
        <w:footnoteRef/>
      </w:r>
      <w:r>
        <w:rPr>
          <w:rStyle w:val="None"/>
          <w:rFonts w:cs="Arial Unicode MS" w:eastAsia="Arial Unicode MS"/>
          <w:rtl w:val="0"/>
          <w:lang w:val="en-US"/>
        </w:rPr>
        <w:t xml:space="preserve"> Cunningham, Andrew,</w:t>
      </w:r>
      <w:r>
        <w:rPr>
          <w:rStyle w:val="None"/>
          <w:rFonts w:ascii="Arial Unicode MS" w:hAnsi="Arial Unicode MS" w:hint="default"/>
          <w:rtl w:val="1"/>
        </w:rPr>
        <w:t xml:space="preserve"> ‘</w:t>
      </w:r>
      <w:r>
        <w:rPr>
          <w:rStyle w:val="None"/>
          <w:rFonts w:cs="Arial Unicode MS" w:eastAsia="Arial Unicode MS"/>
          <w:rtl w:val="0"/>
          <w:lang w:val="de-DE"/>
        </w:rPr>
        <w:t>Roger French</w:t>
      </w:r>
      <w:r>
        <w:rPr>
          <w:rStyle w:val="None"/>
          <w:rFonts w:cs="Arial Unicode MS" w:eastAsia="Arial Unicode MS"/>
          <w:rtl w:val="0"/>
          <w:lang w:val="en-US"/>
        </w:rPr>
        <w:t xml:space="preserve"> </w:t>
      </w:r>
      <w:r>
        <w:rPr>
          <w:rStyle w:val="None"/>
          <w:rFonts w:cs="Arial Unicode MS" w:eastAsia="Arial Unicode MS"/>
          <w:rtl w:val="0"/>
          <w:lang w:val="it-IT"/>
        </w:rPr>
        <w:t>(12 April 1938</w:t>
      </w:r>
      <w:r>
        <w:rPr>
          <w:rStyle w:val="None"/>
          <w:rFonts w:cs="Arial Unicode MS" w:eastAsia="Arial Unicode MS" w:hint="default"/>
          <w:rtl w:val="0"/>
        </w:rPr>
        <w:t>–</w:t>
      </w:r>
      <w:r>
        <w:rPr>
          <w:rStyle w:val="None"/>
          <w:rFonts w:cs="Arial Unicode MS" w:eastAsia="Arial Unicode MS"/>
          <w:rtl w:val="0"/>
          <w:lang w:val="en-US"/>
        </w:rPr>
        <w:t>14 May 2002)</w:t>
      </w:r>
      <w:r>
        <w:rPr>
          <w:rStyle w:val="None"/>
          <w:rFonts w:ascii="Arial Unicode MS" w:hAnsi="Arial Unicode MS" w:hint="default"/>
          <w:rtl w:val="1"/>
        </w:rPr>
        <w:t>’</w:t>
      </w:r>
      <w:r>
        <w:rPr>
          <w:rStyle w:val="None"/>
          <w:rFonts w:cs="Arial Unicode MS" w:eastAsia="Arial Unicode MS"/>
          <w:rtl w:val="0"/>
        </w:rPr>
        <w:t xml:space="preserve">, </w:t>
      </w:r>
      <w:r>
        <w:rPr>
          <w:rStyle w:val="None"/>
          <w:rFonts w:cs="Arial Unicode MS" w:eastAsia="Arial Unicode MS"/>
          <w:i w:val="1"/>
          <w:iCs w:val="1"/>
          <w:rtl w:val="0"/>
          <w:lang w:val="en-US"/>
        </w:rPr>
        <w:t>Medical History</w:t>
      </w:r>
      <w:r>
        <w:rPr>
          <w:rStyle w:val="None"/>
          <w:rFonts w:cs="Arial Unicode MS" w:eastAsia="Arial Unicode MS"/>
          <w:rtl w:val="0"/>
        </w:rPr>
        <w:t>, 46(4)</w:t>
      </w:r>
      <w:r>
        <w:rPr>
          <w:rStyle w:val="None"/>
          <w:rFonts w:cs="Arial Unicode MS" w:eastAsia="Arial Unicode MS"/>
          <w:rtl w:val="0"/>
          <w:lang w:val="en-US"/>
        </w:rPr>
        <w:t xml:space="preserve"> </w:t>
      </w:r>
      <w:r>
        <w:rPr>
          <w:rStyle w:val="None"/>
          <w:rFonts w:cs="Arial Unicode MS" w:eastAsia="Arial Unicode MS"/>
          <w:rtl w:val="0"/>
        </w:rPr>
        <w:t>(2002), pp. 580</w:t>
      </w:r>
      <w:r>
        <w:rPr>
          <w:rStyle w:val="None"/>
          <w:rFonts w:cs="Arial Unicode MS" w:eastAsia="Arial Unicode MS" w:hint="default"/>
          <w:rtl w:val="0"/>
        </w:rPr>
        <w:t>–</w:t>
      </w:r>
      <w:r>
        <w:rPr>
          <w:rStyle w:val="None"/>
          <w:rFonts w:cs="Arial Unicode MS" w:eastAsia="Arial Unicode MS"/>
          <w:rtl w:val="0"/>
        </w:rPr>
        <w:t xml:space="preserve">582. </w:t>
      </w:r>
    </w:p>
  </w:footnote>
  <w:footnote w:id="6">
    <w:p>
      <w:pPr>
        <w:pStyle w:val="Footnote"/>
      </w:pPr>
      <w:r>
        <w:rPr>
          <w:rStyle w:val="None"/>
          <w:rFonts w:ascii="Times New Roman" w:cs="Times New Roman" w:hAnsi="Times New Roman" w:eastAsia="Times New Roman"/>
          <w:sz w:val="24"/>
          <w:szCs w:val="24"/>
        </w:rPr>
        <w:footnoteRef/>
      </w:r>
      <w:r>
        <w:rPr>
          <w:rStyle w:val="None"/>
          <w:rFonts w:cs="Arial Unicode MS" w:eastAsia="Arial Unicode MS"/>
          <w:rtl w:val="0"/>
        </w:rPr>
        <w:t xml:space="preserve"> </w:t>
      </w:r>
      <w:r>
        <w:rPr>
          <w:rStyle w:val="None"/>
          <w:rFonts w:cs="Arial Unicode MS" w:eastAsia="Arial Unicode MS"/>
          <w:rtl w:val="0"/>
          <w:lang w:val="en-US"/>
        </w:rPr>
        <w:t>Oxford Centre for the History of Science, Medicine, and Technology &lt;</w:t>
      </w:r>
      <w:r>
        <w:rPr>
          <w:rStyle w:val="None"/>
          <w:rFonts w:cs="Arial Unicode MS" w:eastAsia="Arial Unicode MS"/>
          <w:rtl w:val="0"/>
        </w:rPr>
        <w:t xml:space="preserve"> </w:t>
      </w:r>
      <w:r>
        <w:rPr>
          <w:rStyle w:val="Hyperlink.0"/>
        </w:rPr>
        <w:fldChar w:fldCharType="begin" w:fldLock="0"/>
      </w:r>
      <w:r>
        <w:rPr>
          <w:rStyle w:val="Hyperlink.0"/>
        </w:rPr>
        <w:instrText xml:space="preserve"> HYPERLINK "https://www.hsmt.ox.ac.uk/people/dr-michelle-pfeffer"</w:instrText>
      </w:r>
      <w:r>
        <w:rPr>
          <w:rStyle w:val="Hyperlink.0"/>
        </w:rPr>
        <w:fldChar w:fldCharType="separate" w:fldLock="0"/>
      </w:r>
      <w:r>
        <w:rPr>
          <w:rStyle w:val="Hyperlink.0"/>
          <w:rFonts w:cs="Arial Unicode MS" w:eastAsia="Arial Unicode MS"/>
          <w:rtl w:val="0"/>
          <w:lang w:val="en-US"/>
        </w:rPr>
        <w:t>https://www.hsmt.ox.ac.uk/people/dr-michelle-pfeffer</w:t>
      </w:r>
      <w:r>
        <w:rPr/>
        <w:fldChar w:fldCharType="end" w:fldLock="0"/>
      </w:r>
      <w:r>
        <w:rPr>
          <w:rStyle w:val="None"/>
          <w:rFonts w:cs="Arial Unicode MS" w:eastAsia="Arial Unicode MS"/>
          <w:rtl w:val="0"/>
          <w:lang w:val="en-US"/>
        </w:rPr>
        <w:t xml:space="preserve">&gt; [accessed 28 October 2024]. </w:t>
      </w:r>
    </w:p>
  </w:footnote>
  <w:footnote w:id="7">
    <w:p>
      <w:pPr>
        <w:pStyle w:val="Footnote"/>
      </w:pPr>
      <w:r>
        <w:rPr>
          <w:rStyle w:val="None"/>
          <w:rFonts w:ascii="Times New Roman" w:cs="Times New Roman" w:hAnsi="Times New Roman" w:eastAsia="Times New Roman"/>
          <w:sz w:val="24"/>
          <w:szCs w:val="24"/>
        </w:rPr>
        <w:footnoteRef/>
      </w:r>
      <w:r>
        <w:rPr>
          <w:rStyle w:val="None"/>
          <w:rFonts w:cs="Arial Unicode MS" w:eastAsia="Arial Unicode MS"/>
          <w:rtl w:val="0"/>
          <w:lang w:val="de-DE"/>
        </w:rPr>
        <w:t xml:space="preserve"> French,</w:t>
      </w:r>
      <w:r>
        <w:rPr>
          <w:rStyle w:val="None"/>
          <w:rFonts w:cs="Arial Unicode MS" w:eastAsia="Arial Unicode MS"/>
          <w:rtl w:val="0"/>
          <w:lang w:val="en-US"/>
        </w:rPr>
        <w:t xml:space="preserve"> </w:t>
      </w:r>
      <w:r>
        <w:rPr>
          <w:rStyle w:val="None"/>
          <w:rFonts w:cs="Arial Unicode MS" w:eastAsia="Arial Unicode MS"/>
          <w:rtl w:val="0"/>
        </w:rPr>
        <w:t xml:space="preserve">(1996): </w:t>
      </w:r>
      <w:r>
        <w:rPr>
          <w:rStyle w:val="None"/>
          <w:rFonts w:cs="Arial Unicode MS" w:eastAsia="Arial Unicode MS"/>
          <w:rtl w:val="0"/>
          <w:lang w:val="en-US"/>
        </w:rPr>
        <w:t xml:space="preserve">p. </w:t>
      </w:r>
      <w:r>
        <w:rPr>
          <w:rStyle w:val="None"/>
          <w:rFonts w:cs="Arial Unicode MS" w:eastAsia="Arial Unicode MS"/>
          <w:rtl w:val="0"/>
        </w:rPr>
        <w:t>45</w:t>
      </w:r>
      <w:r>
        <w:rPr>
          <w:rStyle w:val="None"/>
          <w:rFonts w:cs="Arial Unicode MS" w:eastAsia="Arial Unicode MS"/>
          <w:rtl w:val="0"/>
          <w:lang w:val="en-US"/>
        </w:rPr>
        <w:t>5</w:t>
      </w:r>
      <w:r>
        <w:rPr>
          <w:rStyle w:val="None"/>
          <w:rFonts w:cs="Arial Unicode MS" w:eastAsia="Arial Unicode MS"/>
          <w:rtl w:val="0"/>
        </w:rPr>
        <w:t>.</w:t>
      </w:r>
    </w:p>
  </w:footnote>
  <w:footnote w:id="8">
    <w:p>
      <w:pPr>
        <w:pStyle w:val="Footnote"/>
      </w:pPr>
      <w:r>
        <w:rPr>
          <w:rStyle w:val="None"/>
          <w:rFonts w:ascii="Times New Roman" w:cs="Times New Roman" w:hAnsi="Times New Roman" w:eastAsia="Times New Roman"/>
          <w:sz w:val="24"/>
          <w:szCs w:val="24"/>
        </w:rPr>
        <w:footnoteRef/>
      </w:r>
      <w:r>
        <w:rPr>
          <w:rStyle w:val="None"/>
          <w:rFonts w:cs="Arial Unicode MS" w:eastAsia="Arial Unicode MS"/>
          <w:rtl w:val="0"/>
          <w:lang w:val="de-DE"/>
        </w:rPr>
        <w:t xml:space="preserve"> Pfeffer,</w:t>
      </w:r>
      <w:r>
        <w:rPr>
          <w:rStyle w:val="None"/>
          <w:rFonts w:cs="Arial Unicode MS" w:eastAsia="Arial Unicode MS"/>
          <w:rtl w:val="0"/>
          <w:lang w:val="ru-RU"/>
        </w:rPr>
        <w:t xml:space="preserve"> </w:t>
      </w:r>
      <w:r>
        <w:rPr>
          <w:rStyle w:val="None"/>
          <w:rFonts w:cs="Arial Unicode MS" w:eastAsia="Arial Unicode MS"/>
          <w:rtl w:val="0"/>
        </w:rPr>
        <w:t xml:space="preserve">(2023): </w:t>
      </w:r>
      <w:r>
        <w:rPr>
          <w:rStyle w:val="None"/>
          <w:rFonts w:cs="Arial Unicode MS" w:eastAsia="Arial Unicode MS"/>
          <w:rtl w:val="0"/>
          <w:lang w:val="en-US"/>
        </w:rPr>
        <w:t xml:space="preserve">p. </w:t>
      </w:r>
      <w:r>
        <w:rPr>
          <w:rStyle w:val="None"/>
          <w:rFonts w:cs="Arial Unicode MS" w:eastAsia="Arial Unicode MS"/>
          <w:rtl w:val="0"/>
        </w:rPr>
        <w:t>117</w:t>
      </w:r>
      <w:r>
        <w:rPr>
          <w:rStyle w:val="None"/>
          <w:rFonts w:cs="Arial Unicode MS" w:eastAsia="Arial Unicode MS"/>
          <w:rtl w:val="0"/>
          <w:lang w:val="en-US"/>
        </w:rPr>
        <w:t>5</w:t>
      </w:r>
      <w:r>
        <w:rPr>
          <w:rStyle w:val="None"/>
          <w:rFonts w:cs="Arial Unicode MS" w:eastAsia="Arial Unicode MS"/>
          <w:rtl w:val="0"/>
        </w:rPr>
        <w:t>.</w:t>
      </w:r>
    </w:p>
  </w:footnote>
  <w:footnote w:id="9">
    <w:p>
      <w:pPr>
        <w:pStyle w:val="Footnote"/>
      </w:pPr>
      <w:r>
        <w:rPr>
          <w:rStyle w:val="None"/>
          <w:rFonts w:ascii="Times New Roman" w:cs="Times New Roman" w:hAnsi="Times New Roman" w:eastAsia="Times New Roman"/>
          <w:sz w:val="24"/>
          <w:szCs w:val="24"/>
        </w:rPr>
        <w:footnoteRef/>
      </w:r>
      <w:r>
        <w:rPr>
          <w:rStyle w:val="None"/>
          <w:rFonts w:cs="Arial Unicode MS" w:eastAsia="Arial Unicode MS"/>
          <w:rtl w:val="0"/>
          <w:lang w:val="da-DK"/>
        </w:rPr>
        <w:t xml:space="preserve"> Evans, Richard, </w:t>
      </w:r>
      <w:r>
        <w:rPr>
          <w:rStyle w:val="None"/>
          <w:rFonts w:cs="Arial Unicode MS" w:eastAsia="Arial Unicode MS"/>
          <w:i w:val="1"/>
          <w:iCs w:val="1"/>
          <w:rtl w:val="0"/>
          <w:lang w:val="en-US"/>
        </w:rPr>
        <w:t>In Defence of History</w:t>
      </w:r>
      <w:r>
        <w:rPr>
          <w:rStyle w:val="None"/>
          <w:rFonts w:cs="Arial Unicode MS" w:eastAsia="Arial Unicode MS"/>
          <w:rtl w:val="0"/>
          <w:lang w:val="en-US"/>
        </w:rPr>
        <w:t>, London: Granta Books 2018 (</w:t>
      </w:r>
      <w:r>
        <w:rPr>
          <w:rStyle w:val="None"/>
          <w:rFonts w:cs="Arial Unicode MS" w:eastAsia="Arial Unicode MS"/>
          <w:rtl w:val="0"/>
        </w:rPr>
        <w:t>1997</w:t>
      </w:r>
      <w:r>
        <w:rPr>
          <w:rStyle w:val="None"/>
          <w:rFonts w:cs="Arial Unicode MS" w:eastAsia="Arial Unicode MS"/>
          <w:rtl w:val="0"/>
          <w:lang w:val="en-US"/>
        </w:rPr>
        <w:t>)</w:t>
      </w:r>
      <w:r>
        <w:rPr>
          <w:rStyle w:val="None"/>
          <w:rFonts w:cs="Arial Unicode MS" w:eastAsia="Arial Unicode MS"/>
          <w:rtl w:val="0"/>
        </w:rPr>
        <w:t xml:space="preserve">, </w:t>
      </w:r>
      <w:r>
        <w:rPr>
          <w:rStyle w:val="None"/>
          <w:rFonts w:cs="Arial Unicode MS" w:eastAsia="Arial Unicode MS"/>
          <w:rtl w:val="0"/>
          <w:lang w:val="en-US"/>
        </w:rPr>
        <w:t>p. 2</w:t>
      </w:r>
      <w:r>
        <w:rPr>
          <w:rStyle w:val="None"/>
          <w:rFonts w:cs="Arial Unicode MS" w:eastAsia="Arial Unicode MS"/>
          <w:rtl w:val="0"/>
        </w:rPr>
        <w:t>.</w:t>
      </w:r>
    </w:p>
  </w:footnote>
  <w:footnote w:id="10">
    <w:p>
      <w:pPr>
        <w:pStyle w:val="Footnote"/>
      </w:pPr>
      <w:r>
        <w:rPr>
          <w:rStyle w:val="None"/>
          <w:rFonts w:ascii="Times New Roman" w:cs="Times New Roman" w:hAnsi="Times New Roman" w:eastAsia="Times New Roman"/>
          <w:sz w:val="24"/>
          <w:szCs w:val="24"/>
        </w:rPr>
        <w:footnoteRef/>
      </w:r>
      <w:r>
        <w:rPr>
          <w:rStyle w:val="None"/>
          <w:rFonts w:cs="Arial Unicode MS" w:eastAsia="Arial Unicode MS"/>
          <w:rtl w:val="0"/>
        </w:rPr>
        <w:t xml:space="preserve"> French, (1996): p</w:t>
      </w:r>
      <w:r>
        <w:rPr>
          <w:rStyle w:val="None"/>
          <w:rFonts w:cs="Arial Unicode MS" w:eastAsia="Arial Unicode MS"/>
          <w:rtl w:val="0"/>
          <w:lang w:val="en-US"/>
        </w:rPr>
        <w:t>.</w:t>
      </w:r>
      <w:r>
        <w:rPr>
          <w:rStyle w:val="None"/>
          <w:rFonts w:cs="Arial Unicode MS" w:eastAsia="Arial Unicode MS"/>
          <w:rtl w:val="0"/>
        </w:rPr>
        <w:t xml:space="preserve"> 4</w:t>
      </w:r>
      <w:r>
        <w:rPr>
          <w:rStyle w:val="None"/>
          <w:rFonts w:cs="Arial Unicode MS" w:eastAsia="Arial Unicode MS"/>
          <w:rtl w:val="0"/>
          <w:lang w:val="en-US"/>
        </w:rPr>
        <w:t>67</w:t>
      </w:r>
      <w:r>
        <w:rPr>
          <w:rStyle w:val="None"/>
          <w:rFonts w:cs="Arial Unicode MS" w:eastAsia="Arial Unicode MS"/>
          <w:rtl w:val="0"/>
        </w:rPr>
        <w: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tl w:val="0"/>
        <w:lang w:val="en-US"/>
      </w:rPr>
      <w:t>Rimsha</w:t>
      <w:tab/>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r>
      <w:rPr>
        <w:rtl w:val="0"/>
      </w:rPr>
      <w:tab/>
      <w:t>HPCA7015</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A"/>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u w:val="single"/>
      <w:lang w:val="en-US"/>
    </w:rPr>
  </w:style>
  <w:style w:type="character" w:styleId="Hyperlink.1">
    <w:name w:val="Hyperlink.1"/>
    <w:basedOn w:val="None"/>
    <w:next w:val="Hyperlink.1"/>
    <w:rPr>
      <w:rFonts w:ascii="Times New Roman" w:cs="Times New Roman" w:hAnsi="Times New Roman" w:eastAsia="Times New Roman"/>
      <w:sz w:val="24"/>
      <w:szCs w:val="24"/>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