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076C5" w14:textId="7B02A005" w:rsidR="00466320" w:rsidRDefault="00000000">
      <w:r>
        <w:t>Inclusive leadership is a highly significant skill that needs to be nurtured and tailored to suit the setting that you work in. explains that frequent training and specific qualities need to be obtained and enhanced to ensure this can be followed. Many settings follow a variety of leadership models. The three main leadership styles include autocratic, democratic and laissez-faire (Northouse, 2021).</w:t>
      </w:r>
    </w:p>
    <w:p w14:paraId="052076C6" w14:textId="20407630" w:rsidR="00466320" w:rsidRDefault="00000000">
      <w:r>
        <w:t xml:space="preserve"> The democratic leadership style has been identified as the most influential leadership style, with many early years professionals using it to underpin their working ethic.</w:t>
      </w:r>
      <w:r>
        <w:rPr>
          <w:b/>
          <w:bCs/>
        </w:rPr>
        <w:t xml:space="preserve"> </w:t>
      </w:r>
      <w:r>
        <w:t xml:space="preserve"> This mainly due to its ethos towards effective collaboration, working respectfully when working towards a shared vision for the children and their family, as Bolden (201</w:t>
      </w:r>
      <w:r w:rsidR="00835CFE">
        <w:t>0</w:t>
      </w:r>
      <w:r>
        <w:t>) confirms.</w:t>
      </w:r>
    </w:p>
    <w:p w14:paraId="052076C7" w14:textId="0EFFBE72" w:rsidR="00466320" w:rsidRDefault="00000000">
      <w:r>
        <w:t xml:space="preserve">In relation to this case study, the democratic leadership style appears to benefit both parents and professionals in striving toward the desired outcomes for the child. </w:t>
      </w:r>
      <w:r w:rsidR="002D7BA9">
        <w:t>(K</w:t>
      </w:r>
      <w:r w:rsidR="00F66FB3">
        <w:t>u</w:t>
      </w:r>
      <w:r w:rsidR="002D7BA9">
        <w:t>rowski, 202</w:t>
      </w:r>
      <w:r w:rsidR="00F66FB3">
        <w:t>1).</w:t>
      </w:r>
    </w:p>
    <w:p w14:paraId="052076C8" w14:textId="77777777" w:rsidR="00466320" w:rsidRDefault="00000000">
      <w:r>
        <w:t xml:space="preserve">Health visitors have a duty of care to ensure that all children amongst their caseloads are appropriately cared for and have their basic needs met. Much to the agreement of McLeod (2018), who has showcased this within Maslow’s Hierarchy of Needs Model. The model states that for a child to begin their developmental journey, they must first have their basic food, hygiene and safety needs met, in order to thrive throughout their developmental journey. </w:t>
      </w:r>
    </w:p>
    <w:p w14:paraId="052076C9" w14:textId="3256EA2F" w:rsidR="00466320" w:rsidRDefault="00000000">
      <w:r>
        <w:t>It is good practice to build quality relationships with parents and carers to promote the wellbeing of their children. This may prove difficult where parents fell judged, should professionals identify areas for improvement or suggestions relating to any discrepancies within their children’s care</w:t>
      </w:r>
      <w:r w:rsidR="00FB2DE5">
        <w:t>, Buckler, R (2023), implies.</w:t>
      </w:r>
    </w:p>
    <w:p w14:paraId="052076CA" w14:textId="35BF0F75" w:rsidR="00466320" w:rsidRDefault="00000000">
      <w:r>
        <w:t>In opposition, situations such as disagreements can present opportunities for growth and provide the chance for alternative perspectives (</w:t>
      </w:r>
      <w:r w:rsidR="00F2685D">
        <w:t>Burton and Reid</w:t>
      </w:r>
      <w:r>
        <w:t xml:space="preserve"> 2017). As a result the care of the child does not always need to be compromised. These instances can positively impact the care given to the child and their families as it may unearth ideas that some may not have initially thought of.</w:t>
      </w:r>
    </w:p>
    <w:p w14:paraId="052076CB" w14:textId="528B4C9D" w:rsidR="00466320" w:rsidRDefault="00000000">
      <w:r>
        <w:t>In this case study,</w:t>
      </w:r>
      <w:r w:rsidR="00E8221E">
        <w:t xml:space="preserve"> </w:t>
      </w:r>
      <w:r>
        <w:t xml:space="preserve"> suggests that while attempting to repair relationships appears difficult, these issues must be addressed to rebuild trust. If left unresolved, the child may suffer  emotional, physical, and developmental challenges.</w:t>
      </w:r>
      <w:r w:rsidR="00835BE2">
        <w:t xml:space="preserve"> (Hayes, 2023).</w:t>
      </w:r>
    </w:p>
    <w:p w14:paraId="052076CC" w14:textId="2EB3FB56" w:rsidR="00466320" w:rsidRDefault="00000000">
      <w:r>
        <w:t>In this scenario the Health Visitor may like to revisit certain conversations or incidents, to assess where the break down was first encountered. To be a reflective practitioner can support effective working practice, helping to identify areas for improvement. Reflective model allows for personal and professional progression alongside broadening the understanding of others to take on board family backgrounds (</w:t>
      </w:r>
      <w:r w:rsidR="00B35EC9">
        <w:t>Wilson, 2016).</w:t>
      </w:r>
    </w:p>
    <w:p w14:paraId="052076CD" w14:textId="64451CA1" w:rsidR="00466320" w:rsidRDefault="00000000">
      <w:r>
        <w:lastRenderedPageBreak/>
        <w:t>Finlay (20</w:t>
      </w:r>
      <w:r w:rsidR="00913801">
        <w:t>0</w:t>
      </w:r>
      <w:r>
        <w:t>8) supports this, implying that to consistently assess key incidents to identify where breakdowns in communication or changes within practice has first occurred can help to address areas that need more attention.</w:t>
      </w:r>
    </w:p>
    <w:p w14:paraId="052076CE" w14:textId="3FDF0908" w:rsidR="00466320" w:rsidRDefault="00000000">
      <w:r>
        <w:t>It is evident within this scenario that the Health Visitor may not be informed, lest they may not hold the desire to want to understand aspects of the families beliefs, that differ from their own. This can pose inadequate care for the child being given, resulting in developmental deficit for the child. It has been identified that the Health Visiotr holds a cold and dismissive persona towards the family. This is something</w:t>
      </w:r>
      <w:r w:rsidR="007509C8">
        <w:t xml:space="preserve"> </w:t>
      </w:r>
      <w:r>
        <w:t xml:space="preserve"> </w:t>
      </w:r>
      <w:r w:rsidR="00BD1D00">
        <w:t xml:space="preserve">NSPCC (2023), </w:t>
      </w:r>
      <w:r>
        <w:t>states will only reap negative outcomes.  Likewise, this may result in important discussions, based around the child, not taking place. This may be due to either professionals or families disengaging in the service. These barriers pose significant implications of the child. For example, any additional needs may go unnoticed, should early identification be missed</w:t>
      </w:r>
      <w:r w:rsidR="006067D5">
        <w:t xml:space="preserve"> (Keogal, Keogal, Ashbaugh and Bradshaw, </w:t>
      </w:r>
      <w:r w:rsidR="00DD7A28">
        <w:t xml:space="preserve">2013). </w:t>
      </w:r>
      <w:r>
        <w:t>This throughout the child’s time within any external setting can provide the child with unnecessary difficulties to settle or transition between care providers (Lindon &amp; Brodie, 201</w:t>
      </w:r>
      <w:r w:rsidR="00650898">
        <w:t>2</w:t>
      </w:r>
      <w:r>
        <w:t>, Department for Education 2021).</w:t>
      </w:r>
    </w:p>
    <w:p w14:paraId="052076CF" w14:textId="77777777" w:rsidR="00466320" w:rsidRDefault="00000000">
      <w:r>
        <w:t>NSPCC (2020) highlights the UNCRC’s (1989) that this is a non-negotiable identification tool for children to live a fulfilling life, no matter what their stage or background in relation to child centred care.</w:t>
      </w:r>
    </w:p>
    <w:p w14:paraId="052076D0" w14:textId="39F9B8E4" w:rsidR="00466320" w:rsidRDefault="00000000">
      <w:r>
        <w:t>The health visitor in this case may be neglecting statutory duties, which, as outlined in the Children Act (1989) are in place to ensure the child’s voice and needs are paramount. These circumstances also present an opportunity for professional reflection and development. Practitioners should regularly engage in training to</w:t>
      </w:r>
      <w:r>
        <w:rPr>
          <w:b/>
          <w:bCs/>
        </w:rPr>
        <w:t xml:space="preserve"> </w:t>
      </w:r>
      <w:r>
        <w:t xml:space="preserve">enhance inclusive practices and continue to make changes in accordance to the children’s or settings needs, which </w:t>
      </w:r>
      <w:r w:rsidR="00435344">
        <w:t>the T</w:t>
      </w:r>
      <w:r w:rsidR="00AC26C6">
        <w:t>i</w:t>
      </w:r>
      <w:r w:rsidR="00435344">
        <w:t>c</w:t>
      </w:r>
      <w:r w:rsidR="00AC26C6">
        <w:t xml:space="preserve">kell Review, outlined </w:t>
      </w:r>
      <w:r w:rsidR="002E6864">
        <w:t xml:space="preserve">by </w:t>
      </w:r>
      <w:r w:rsidR="00AC26C6">
        <w:t xml:space="preserve">Department for Education </w:t>
      </w:r>
      <w:r>
        <w:t>(2021</w:t>
      </w:r>
      <w:r w:rsidR="00435344">
        <w:t>b</w:t>
      </w:r>
      <w:r>
        <w:t>) highlights as an area of focus.</w:t>
      </w:r>
    </w:p>
    <w:p w14:paraId="052076D1" w14:textId="30138FCE" w:rsidR="00466320" w:rsidRDefault="00000000">
      <w:r>
        <w:t>Signposting families to focused groups, encouraging positive communication and allowing families a safe space to voice concerns can be useful tools in early years sector. This demonstrates a model of inclusivity in which all stakeholders are heard and respected (Rodd, 201</w:t>
      </w:r>
      <w:r w:rsidR="00DA49CD">
        <w:t>2</w:t>
      </w:r>
      <w:r>
        <w:t>). Likewise, for practitioners, it is good practice to ensure that the setting and its employees are staying current with initiatives that support inclusivity for all care and education settings (Cheeseman</w:t>
      </w:r>
      <w:r w:rsidR="00EF56F0">
        <w:t xml:space="preserve"> and Walker 2018</w:t>
      </w:r>
      <w:r>
        <w:t>).</w:t>
      </w:r>
    </w:p>
    <w:p w14:paraId="052076D2" w14:textId="23947E4A" w:rsidR="00466320" w:rsidRDefault="00000000">
      <w:r>
        <w:t>It is important to consider that intersectionality plays a role in early years services. The early years sector is largely female-dominated – which can lead to complications if some parents/carers feel more comfortable engaging with male practitioners. Nutbrown &amp; Clough (201</w:t>
      </w:r>
      <w:r w:rsidR="0055244E">
        <w:t>4</w:t>
      </w:r>
      <w:r>
        <w:t>), explain that prejudices and gender expectations must be acknowledged and addressed for complete inclusivity within early years practice.</w:t>
      </w:r>
    </w:p>
    <w:p w14:paraId="052076D3" w14:textId="77777777" w:rsidR="00466320" w:rsidRDefault="00000000">
      <w:r>
        <w:lastRenderedPageBreak/>
        <w:t>This  may arise in the form of gender bias in professional roles, also. Current legislation, including the (Equality Act 2010), promotes a non-judgmental and equitable approach, yet these biases still exist and can hinder relationship-building efforts. A This can be for many reasons, for example religion view females as inferior within a work setting. This can result in tension between genders should an element of concern arise (Roberts-Holmes &amp; Bradbury, 2016).</w:t>
      </w:r>
    </w:p>
    <w:p w14:paraId="052076D4" w14:textId="0644EF6C" w:rsidR="00466320" w:rsidRDefault="00000000">
      <w:r>
        <w:t xml:space="preserve">Ultimately, professionals must refer to their training and continue to revisit theoretical frameworks to underpin their practice and remain child-centred and inclusive. As </w:t>
      </w:r>
      <w:r w:rsidR="00F01B90">
        <w:t>Crockett, Billingsley and Bos</w:t>
      </w:r>
      <w:r w:rsidR="007B7B4F">
        <w:t>c</w:t>
      </w:r>
      <w:r w:rsidR="00F01B90">
        <w:t>ardin (</w:t>
      </w:r>
      <w:r w:rsidR="007B7B4F">
        <w:t>2019)</w:t>
      </w:r>
      <w:r>
        <w:t>, offers the notion that effective inclusive leadership to secure a combined understanding amongst practitioners to provide a high quality service to young children and their families, without prejudice or discrimination.</w:t>
      </w:r>
    </w:p>
    <w:p w14:paraId="5795C7E5" w14:textId="31BFCD52" w:rsidR="00176051" w:rsidRDefault="006953EA">
      <w:pPr>
        <w:rPr>
          <w:b/>
          <w:bCs/>
          <w:u w:val="single"/>
        </w:rPr>
      </w:pPr>
      <w:r w:rsidRPr="006953EA">
        <w:rPr>
          <w:b/>
          <w:bCs/>
          <w:u w:val="single"/>
        </w:rPr>
        <w:t>Part 2</w:t>
      </w:r>
    </w:p>
    <w:p w14:paraId="4897B68B" w14:textId="77777777" w:rsidR="002C4844" w:rsidRDefault="006953EA" w:rsidP="006953EA">
      <w:r w:rsidRPr="006953EA">
        <w:t xml:space="preserve">In early years education, making sure every child feels included and supported is really important. This is where inclusive leadership </w:t>
      </w:r>
      <w:r w:rsidR="00544F7A">
        <w:t xml:space="preserve">proves significantly beneficial to create an </w:t>
      </w:r>
      <w:r w:rsidRPr="006953EA">
        <w:t>environment where all children</w:t>
      </w:r>
      <w:r w:rsidR="00544F7A">
        <w:t xml:space="preserve"> (</w:t>
      </w:r>
      <w:r w:rsidRPr="006953EA">
        <w:t>no matter their background, ability, or needs</w:t>
      </w:r>
      <w:r w:rsidR="00544F7A">
        <w:t>)</w:t>
      </w:r>
      <w:r w:rsidRPr="006953EA">
        <w:t xml:space="preserve"> can take part and do well. In Wales, the government has brought in new policies aimed at supp</w:t>
      </w:r>
      <w:r w:rsidR="00246482">
        <w:t>orting l</w:t>
      </w:r>
      <w:r w:rsidRPr="006953EA">
        <w:t xml:space="preserve">eadership </w:t>
      </w:r>
      <w:r w:rsidR="00246482">
        <w:t>in all</w:t>
      </w:r>
      <w:r w:rsidRPr="006953EA">
        <w:t xml:space="preserve"> early years settings</w:t>
      </w:r>
      <w:r w:rsidR="00246482">
        <w:t xml:space="preserve"> and education sector</w:t>
      </w:r>
      <w:r w:rsidRPr="006953EA">
        <w:t>.</w:t>
      </w:r>
    </w:p>
    <w:p w14:paraId="1566B6D5" w14:textId="26E44D32" w:rsidR="006953EA" w:rsidRDefault="002C4844" w:rsidP="006953EA">
      <w:r>
        <w:t xml:space="preserve">Within </w:t>
      </w:r>
      <w:r w:rsidR="006953EA" w:rsidRPr="006953EA">
        <w:t xml:space="preserve"> Wales t</w:t>
      </w:r>
      <w:r>
        <w:t xml:space="preserve">here have been many policies created or adapted to support </w:t>
      </w:r>
      <w:r w:rsidR="00C47FAD">
        <w:t xml:space="preserve">all children and </w:t>
      </w:r>
      <w:r w:rsidR="006953EA" w:rsidRPr="006953EA">
        <w:t>aim to help with inclusive leadership</w:t>
      </w:r>
      <w:r w:rsidR="00C47FAD">
        <w:t xml:space="preserve"> These are </w:t>
      </w:r>
      <w:r w:rsidR="00C47FAD" w:rsidRPr="008A54E7">
        <w:t>T</w:t>
      </w:r>
      <w:r w:rsidR="006953EA" w:rsidRPr="006953EA">
        <w:t>he Curriculum for Wales (202</w:t>
      </w:r>
      <w:r w:rsidR="00EF0A52">
        <w:t>5</w:t>
      </w:r>
      <w:r w:rsidR="006953EA" w:rsidRPr="006953EA">
        <w:t>) and the Additional Learning Needs and Education Tribunal (Wales) Act (2018)</w:t>
      </w:r>
      <w:r w:rsidR="00C47FAD">
        <w:t xml:space="preserve"> (also </w:t>
      </w:r>
      <w:r w:rsidR="006953EA" w:rsidRPr="006953EA">
        <w:t>known as the ALNET Act</w:t>
      </w:r>
      <w:r w:rsidR="00C47FAD">
        <w:t xml:space="preserve">). </w:t>
      </w:r>
    </w:p>
    <w:p w14:paraId="1FC88FA8" w14:textId="3E2B3AB5" w:rsidR="009D0543" w:rsidRPr="009D0543" w:rsidRDefault="009D0543" w:rsidP="009D0543">
      <w:r w:rsidRPr="009D0543">
        <w:t xml:space="preserve">The Curriculum for Wales </w:t>
      </w:r>
      <w:r w:rsidR="00581E75">
        <w:t xml:space="preserve">has given schools autonomy over how they deliver their education and allow more fluidity amongst the staffing and approaches that are implemented, in comparison to </w:t>
      </w:r>
      <w:r w:rsidRPr="009D0543">
        <w:t>previous curriculums. One of the main goals is to support all learners to become healthy, confident, ambitious, and ethical individuals (Welsh Government, 2022a)</w:t>
      </w:r>
      <w:r w:rsidR="00D95CB8">
        <w:t xml:space="preserve">, and provide them opportunities to experience their educational and developmental journey in a way that suits them best. </w:t>
      </w:r>
    </w:p>
    <w:p w14:paraId="6C3BE616" w14:textId="4C72BD47" w:rsidR="009D0543" w:rsidRPr="009D0543" w:rsidRDefault="009D0543" w:rsidP="009D0543">
      <w:r w:rsidRPr="009D0543">
        <w:t>This curriculum encourages teachers and leaders to put children at the centre of learning. That means getting to know each child well, understanding their needs, and adjusting activities to help everyone take part. Donaldson</w:t>
      </w:r>
      <w:r w:rsidR="00306F12">
        <w:t xml:space="preserve"> (</w:t>
      </w:r>
      <w:r w:rsidRPr="009D0543">
        <w:t>2015</w:t>
      </w:r>
      <w:r w:rsidR="00306F12">
        <w:t>), suggests that this can be done through a range of approaches. For example, Providing learners that may display an element of requiring additional support, a One Page Profile or Behavioural profile. Whilst this can prove beneficial it doe</w:t>
      </w:r>
      <w:r w:rsidR="00533E38">
        <w:t>s</w:t>
      </w:r>
      <w:r w:rsidR="00306F12">
        <w:t xml:space="preserve"> not always provide a </w:t>
      </w:r>
      <w:r w:rsidR="00533E38">
        <w:t>holistic</w:t>
      </w:r>
      <w:r w:rsidR="00306F12">
        <w:t xml:space="preserve"> overview on the child. This will come from observing and monitoring the individual to give them the best support.</w:t>
      </w:r>
    </w:p>
    <w:p w14:paraId="28292CFB" w14:textId="290F01E8" w:rsidR="009D0543" w:rsidRPr="009D0543" w:rsidRDefault="009D0543" w:rsidP="009D0543">
      <w:r w:rsidRPr="009D0543">
        <w:t>It also talks a lot about values like fairness, respect, and equity. Terms like “all learners” and “every child” show that it’s meant to be inclusive. It encourages practitioners to be flexible and creative, which can really help children with different needs (Estyn, 2021).</w:t>
      </w:r>
    </w:p>
    <w:p w14:paraId="4EAF5F2B" w14:textId="17322FB7" w:rsidR="009D0543" w:rsidRPr="009D0543" w:rsidRDefault="00533E38" w:rsidP="009D0543">
      <w:r>
        <w:lastRenderedPageBreak/>
        <w:t xml:space="preserve">However, </w:t>
      </w:r>
      <w:r w:rsidR="00E65728" w:rsidRPr="009D0543">
        <w:t>t</w:t>
      </w:r>
      <w:r w:rsidR="00E65728">
        <w:t>hese</w:t>
      </w:r>
      <w:r w:rsidR="00D86B56">
        <w:t xml:space="preserve"> terminologies can overshadow the inclusivity as they are not always </w:t>
      </w:r>
      <w:r w:rsidR="000D149B">
        <w:t>topic</w:t>
      </w:r>
      <w:r w:rsidR="00D86B56">
        <w:t xml:space="preserve"> specific and can leave an element of confusion in terms of what is specifi</w:t>
      </w:r>
      <w:r w:rsidR="004C70F1">
        <w:t xml:space="preserve">cally required of that setting in order to fully support those learners. Also, </w:t>
      </w:r>
      <w:r w:rsidR="009D0543" w:rsidRPr="009D0543">
        <w:t xml:space="preserve"> </w:t>
      </w:r>
      <w:r w:rsidR="004C70F1">
        <w:t xml:space="preserve">to provide support </w:t>
      </w:r>
      <w:r w:rsidR="009D0543" w:rsidRPr="009D0543">
        <w:t>“as far as reasonably practicable”</w:t>
      </w:r>
      <w:r w:rsidR="00D60B75">
        <w:t xml:space="preserve">, </w:t>
      </w:r>
      <w:r w:rsidR="009D0543" w:rsidRPr="009D0543">
        <w:t>can be a bit vague</w:t>
      </w:r>
      <w:r w:rsidR="00D60B75">
        <w:t xml:space="preserve"> and again can create defect responsibility away from what I required of the practitioners</w:t>
      </w:r>
      <w:r w:rsidR="009D0543" w:rsidRPr="009D0543">
        <w:t xml:space="preserve"> (Welsh Government, 2022a). It allows for interpretation, which is helpful in some ways, but it can also mean that inclusion isn’t always a top priority. </w:t>
      </w:r>
    </w:p>
    <w:p w14:paraId="7173F866" w14:textId="6447090C" w:rsidR="00C47FAD" w:rsidRDefault="009D0543" w:rsidP="006953EA">
      <w:r w:rsidRPr="009D0543">
        <w:t xml:space="preserve">Another problem is time and resources. Creating a tailored curriculum takes a lot of effort. Leaders might not have the time, training or support they need to do it properly, especially in smaller or rural settings (Healy, 2022). </w:t>
      </w:r>
      <w:r w:rsidR="00001357">
        <w:t>As a result of inadequate resourcing the setting and staff may not deliver the best quality of care and opportunity</w:t>
      </w:r>
      <w:r w:rsidR="00B87246">
        <w:t xml:space="preserve"> for children to explore their curiosity in order to fully develop in a number of areas.</w:t>
      </w:r>
      <w:r w:rsidR="00E65728">
        <w:t xml:space="preserve"> </w:t>
      </w:r>
    </w:p>
    <w:p w14:paraId="0444495D" w14:textId="112A01D6" w:rsidR="00E65728" w:rsidRDefault="00E65728" w:rsidP="006953EA">
      <w:r>
        <w:t xml:space="preserve">As the curriculum suggests that children lead their learning, it again, opens up for interpretation as to how much allowance is to be had within the </w:t>
      </w:r>
      <w:r w:rsidR="00742267">
        <w:t>settings. This can prove challenging for the practitioners, families and the young children.</w:t>
      </w:r>
    </w:p>
    <w:p w14:paraId="128DAC19" w14:textId="6335E72E" w:rsidR="007B31E4" w:rsidRPr="007B31E4" w:rsidRDefault="007B31E4" w:rsidP="007B31E4">
      <w:r>
        <w:t xml:space="preserve">Working in conjunction with the new curriculum for Wales, </w:t>
      </w:r>
      <w:r w:rsidRPr="007B31E4">
        <w:t>The ALNET Act focuses on children and young people with Additional Learning Needs (ALN)</w:t>
      </w:r>
      <w:r w:rsidR="003B0B0A">
        <w:t xml:space="preserve"> and has </w:t>
      </w:r>
      <w:r w:rsidRPr="007B31E4">
        <w:t>replaced the Special Educational Needs (SEN)</w:t>
      </w:r>
      <w:r w:rsidR="003B0B0A">
        <w:t xml:space="preserve"> in order to allow </w:t>
      </w:r>
      <w:r w:rsidRPr="007B31E4">
        <w:t>Wales</w:t>
      </w:r>
      <w:r w:rsidR="003B0B0A">
        <w:t xml:space="preserve"> and clearer insight into what is required of setting s to support young children and their families that have identified additional needs</w:t>
      </w:r>
      <w:r w:rsidRPr="007B31E4">
        <w:t xml:space="preserve">. A big part of the Act is the introduction of </w:t>
      </w:r>
      <w:r w:rsidRPr="00900785">
        <w:t>Individual Development Plans (IDPs),</w:t>
      </w:r>
      <w:r w:rsidRPr="007B31E4">
        <w:t xml:space="preserve"> which should be available to every child with ALN, starting from age 3 and continuing through to age 25 if needed (Welsh Government, 2018).</w:t>
      </w:r>
    </w:p>
    <w:p w14:paraId="600FFEE4" w14:textId="0697EDDA" w:rsidR="007B31E4" w:rsidRPr="007B31E4" w:rsidRDefault="007474B7" w:rsidP="007B31E4">
      <w:r>
        <w:t xml:space="preserve">The act draws upon </w:t>
      </w:r>
      <w:r w:rsidR="00B63349">
        <w:t xml:space="preserve">articles outlined in the UNCRC (1989) which states that all children have the right to heard, accounted for, valued and respected, amongst </w:t>
      </w:r>
      <w:r w:rsidR="004537E4">
        <w:t>pivotal</w:t>
      </w:r>
      <w:r w:rsidR="00B63349">
        <w:t xml:space="preserve"> movements to support children in partaking in all </w:t>
      </w:r>
      <w:r w:rsidR="004537E4">
        <w:t>activities and opportunities to further their development and quality of life.</w:t>
      </w:r>
      <w:r w:rsidR="007B31E4" w:rsidRPr="007B31E4">
        <w:t xml:space="preserve"> (Florian and Spratt, 2019)</w:t>
      </w:r>
    </w:p>
    <w:p w14:paraId="60B2596D" w14:textId="77777777" w:rsidR="007B31E4" w:rsidRPr="007B31E4" w:rsidRDefault="007B31E4" w:rsidP="007B31E4">
      <w:r w:rsidRPr="007B31E4">
        <w:t>Another strength is that it encourages teamwork between education, health, and social care professionals. Leaders in early years settings are expected to work with others to make sure support is joined up and meets the needs of each child (Gibson and Blandford, 2020). This fits well with what inclusive leadership should look like—collaborative, flexible, and focused on the child.</w:t>
      </w:r>
    </w:p>
    <w:p w14:paraId="4BB5E899" w14:textId="0C63D050" w:rsidR="007B31E4" w:rsidRPr="007B31E4" w:rsidRDefault="007B31E4" w:rsidP="007B31E4">
      <w:r w:rsidRPr="007B31E4">
        <w:t xml:space="preserve">Despite its good intentions, the ALNET Act </w:t>
      </w:r>
      <w:r w:rsidR="009801C3">
        <w:t xml:space="preserve">(2018) </w:t>
      </w:r>
      <w:r w:rsidRPr="007B31E4">
        <w:t>ha</w:t>
      </w:r>
      <w:r w:rsidR="009801C3">
        <w:t xml:space="preserve">s encountered barriers, like all other policies and procedures have. </w:t>
      </w:r>
      <w:r w:rsidRPr="007B31E4">
        <w:t>T</w:t>
      </w:r>
      <w:r w:rsidR="00566633">
        <w:t xml:space="preserve">he amount of staffing resourcing still remains a significant barrier in supporting children and their families with additional needs. </w:t>
      </w:r>
      <w:r w:rsidR="00C10061">
        <w:t>Particularly those within a mainstream setting. There simply are not enough staff to provide the high quality care and attention that may be required of those children.</w:t>
      </w:r>
      <w:r w:rsidRPr="007B31E4">
        <w:t xml:space="preserve"> (Children’s Commissioner for Wales, 2021).</w:t>
      </w:r>
    </w:p>
    <w:p w14:paraId="1CA900E3" w14:textId="3E92DEC6" w:rsidR="007B31E4" w:rsidRPr="007B31E4" w:rsidRDefault="00E85E4C" w:rsidP="007B31E4">
      <w:r>
        <w:lastRenderedPageBreak/>
        <w:t xml:space="preserve">For example, those children requiring external </w:t>
      </w:r>
      <w:r w:rsidR="00377661">
        <w:t>agency</w:t>
      </w:r>
      <w:r>
        <w:t xml:space="preserve"> interventions or </w:t>
      </w:r>
      <w:r w:rsidR="002B64F3">
        <w:t>equally those children awaiting a formal diagnosis to then gain the extra staff they require. These issues are still heavily identified in the modern schooling, despite</w:t>
      </w:r>
      <w:r w:rsidR="00377661">
        <w:t xml:space="preserve"> all the efforts and good will that the new curriculum intended to create.</w:t>
      </w:r>
      <w:r w:rsidR="007B31E4" w:rsidRPr="007B31E4">
        <w:t xml:space="preserve"> (Boyle and Charles, 2021).</w:t>
      </w:r>
    </w:p>
    <w:p w14:paraId="1A93CCFF" w14:textId="162092CB" w:rsidR="007B31E4" w:rsidRPr="007B31E4" w:rsidRDefault="00DD0738" w:rsidP="007B31E4">
      <w:r>
        <w:t>In addition</w:t>
      </w:r>
      <w:r w:rsidR="007B31E4" w:rsidRPr="007B31E4">
        <w:t>, there</w:t>
      </w:r>
      <w:r>
        <w:t xml:space="preserve"> is</w:t>
      </w:r>
      <w:r w:rsidR="007B31E4" w:rsidRPr="007B31E4">
        <w:t xml:space="preserve"> the issue of training.</w:t>
      </w:r>
      <w:r w:rsidR="00C30224">
        <w:t xml:space="preserve"> For example, those children that require the additional paperwork in terms of One Page Profiles or Individual Development Plans</w:t>
      </w:r>
      <w:r>
        <w:t xml:space="preserve">, </w:t>
      </w:r>
      <w:r w:rsidR="007B31E4" w:rsidRPr="007B31E4">
        <w:t xml:space="preserve"> </w:t>
      </w:r>
      <w:r>
        <w:t xml:space="preserve">may not have the qualified staff to create sufficient information to </w:t>
      </w:r>
      <w:r w:rsidR="00451515">
        <w:t>formally</w:t>
      </w:r>
      <w:r>
        <w:t xml:space="preserve"> write and process </w:t>
      </w:r>
      <w:r w:rsidR="00451515">
        <w:t>those</w:t>
      </w:r>
      <w:r>
        <w:t xml:space="preserve"> documents. However, this can always be rectified should a multi – agency approach be implemented. As time is </w:t>
      </w:r>
      <w:r w:rsidR="00FE7F43">
        <w:t xml:space="preserve">difficult to find in order for staff to complete training, it can be beneficial to create an in house </w:t>
      </w:r>
      <w:r w:rsidR="00451515">
        <w:t>strategy</w:t>
      </w:r>
      <w:r w:rsidR="00FE7F43">
        <w:t xml:space="preserve"> to manage the </w:t>
      </w:r>
      <w:r w:rsidR="00451515">
        <w:t>short falls.</w:t>
      </w:r>
      <w:r w:rsidR="007B31E4" w:rsidRPr="007B31E4">
        <w:t>(He</w:t>
      </w:r>
      <w:r w:rsidR="00121436">
        <w:t>an</w:t>
      </w:r>
      <w:r w:rsidR="005D7B2C">
        <w:t>e</w:t>
      </w:r>
      <w:r w:rsidR="00121436">
        <w:t>y and Feeny ,</w:t>
      </w:r>
      <w:r w:rsidR="007B31E4" w:rsidRPr="007B31E4">
        <w:t>202</w:t>
      </w:r>
      <w:r w:rsidR="00121436">
        <w:t>1</w:t>
      </w:r>
      <w:r w:rsidR="007B31E4" w:rsidRPr="007B31E4">
        <w:t>)</w:t>
      </w:r>
    </w:p>
    <w:p w14:paraId="5CA0B2FF" w14:textId="45CABCCC" w:rsidR="002C08ED" w:rsidRPr="002C08ED" w:rsidRDefault="002C08ED" w:rsidP="002C08ED">
      <w:r>
        <w:t>The aim of these policies have the young learners best interest in mind and have the</w:t>
      </w:r>
      <w:r w:rsidR="00AA0EFF">
        <w:t xml:space="preserve"> desire to create an enabling environment for children and their families. </w:t>
      </w:r>
      <w:r w:rsidRPr="002C08ED">
        <w:t xml:space="preserve"> The Curriculum for Wales</w:t>
      </w:r>
      <w:r w:rsidR="003C2294">
        <w:t xml:space="preserve"> (202</w:t>
      </w:r>
      <w:r w:rsidR="00EF0A52">
        <w:t>5</w:t>
      </w:r>
      <w:r w:rsidR="003C2294">
        <w:t xml:space="preserve">), </w:t>
      </w:r>
      <w:r w:rsidRPr="002C08ED">
        <w:t xml:space="preserve">is broad and flexible. It gives </w:t>
      </w:r>
      <w:r w:rsidR="003E7C1E">
        <w:t xml:space="preserve">practitioners </w:t>
      </w:r>
      <w:r w:rsidRPr="002C08ED">
        <w:t>the freedom t</w:t>
      </w:r>
      <w:r w:rsidR="003E7C1E">
        <w:t xml:space="preserve">o tailor </w:t>
      </w:r>
      <w:r w:rsidR="00443A7F">
        <w:t>the way they deliver education and developmental opportunities to best suit their cohort of children, whilst taking into account the comm</w:t>
      </w:r>
      <w:r w:rsidR="0022154B">
        <w:t xml:space="preserve">unity around them - </w:t>
      </w:r>
      <w:r w:rsidRPr="002C08ED">
        <w:t xml:space="preserve">which can </w:t>
      </w:r>
      <w:r w:rsidR="0022154B">
        <w:t>prove a</w:t>
      </w:r>
      <w:r w:rsidRPr="002C08ED">
        <w:t xml:space="preserve"> positive for inclusion</w:t>
      </w:r>
      <w:r w:rsidR="0022154B">
        <w:t xml:space="preserve">. The restriction here </w:t>
      </w:r>
      <w:r w:rsidR="003C2294">
        <w:t>relates to the understanding the staffing structure holds and how educated they are in terms of providing the correct support.</w:t>
      </w:r>
    </w:p>
    <w:p w14:paraId="1BFFC831" w14:textId="37EDE1D6" w:rsidR="002C08ED" w:rsidRPr="002C08ED" w:rsidRDefault="002C08ED" w:rsidP="002C08ED">
      <w:r w:rsidRPr="002C08ED">
        <w:t xml:space="preserve">The ALNET Act </w:t>
      </w:r>
      <w:r w:rsidR="003C2294">
        <w:t xml:space="preserve"> (2018), </w:t>
      </w:r>
      <w:r w:rsidRPr="002C08ED">
        <w:t xml:space="preserve">is more </w:t>
      </w:r>
      <w:r w:rsidR="003C2294">
        <w:t xml:space="preserve">tailored to </w:t>
      </w:r>
      <w:r w:rsidR="00137794">
        <w:t>those</w:t>
      </w:r>
      <w:r w:rsidR="003C2294">
        <w:t xml:space="preserve"> that </w:t>
      </w:r>
      <w:r w:rsidR="00DA136E">
        <w:t xml:space="preserve">are identified as requiring more specific support, which not all settings are equipped for. The </w:t>
      </w:r>
      <w:r w:rsidR="002C653B">
        <w:t>policy</w:t>
      </w:r>
      <w:r w:rsidR="00137794">
        <w:t xml:space="preserve"> embodies</w:t>
      </w:r>
      <w:r w:rsidR="002C653B">
        <w:t xml:space="preserve"> the </w:t>
      </w:r>
      <w:r w:rsidR="00137794">
        <w:t xml:space="preserve">need for vulnerable learners to </w:t>
      </w:r>
      <w:r w:rsidR="00AE0211">
        <w:t>gain the support they need without the struggle or fight to obtain it.</w:t>
      </w:r>
    </w:p>
    <w:p w14:paraId="74CA20BF" w14:textId="0F722373" w:rsidR="00137794" w:rsidRDefault="002C08ED" w:rsidP="002C08ED">
      <w:r w:rsidRPr="002C08ED">
        <w:t>Together, these policies can support inclusive leadershi</w:t>
      </w:r>
      <w:r w:rsidR="00AE0211">
        <w:t>p, providing there is</w:t>
      </w:r>
      <w:r w:rsidRPr="002C08ED">
        <w:t xml:space="preserve"> enough funding, training, and clear guidance,</w:t>
      </w:r>
      <w:r w:rsidR="00AE0211">
        <w:t xml:space="preserve"> to </w:t>
      </w:r>
      <w:r w:rsidR="004A2197">
        <w:t>implement concrete targets for staff to lead and follow by.</w:t>
      </w:r>
      <w:r w:rsidR="00E81410">
        <w:t xml:space="preserve"> </w:t>
      </w:r>
      <w:r w:rsidRPr="002C08ED">
        <w:t>(</w:t>
      </w:r>
      <w:r w:rsidR="00B71820">
        <w:t xml:space="preserve">Harris, Carrington and </w:t>
      </w:r>
      <w:r w:rsidRPr="002C08ED">
        <w:t>Ainscow, 20</w:t>
      </w:r>
      <w:r w:rsidR="00B71820">
        <w:t>17</w:t>
      </w:r>
      <w:r w:rsidRPr="002C08ED">
        <w:t>).</w:t>
      </w:r>
      <w:r w:rsidR="002C653B">
        <w:t xml:space="preserve"> </w:t>
      </w:r>
      <w:r w:rsidR="001361AD">
        <w:t>Both need concise targets without implying that some aspects are simply able to be changed if it does not suit their setting.</w:t>
      </w:r>
    </w:p>
    <w:p w14:paraId="3EAFB453" w14:textId="73596EBC" w:rsidR="002C08ED" w:rsidRPr="002C08ED" w:rsidRDefault="00E81410" w:rsidP="002C08ED">
      <w:r>
        <w:t>To conclude with a positive note, both e</w:t>
      </w:r>
      <w:r w:rsidR="002C653B">
        <w:t>ncompass the nurture that is required of practitioners to fully support the young children and their families</w:t>
      </w:r>
      <w:r w:rsidR="00D13DE3">
        <w:t xml:space="preserve"> as Welsh Government (2024)</w:t>
      </w:r>
      <w:r w:rsidR="00F17243">
        <w:t xml:space="preserve"> outlines.</w:t>
      </w:r>
    </w:p>
    <w:p w14:paraId="42A74434" w14:textId="77777777" w:rsidR="00EE0FC7" w:rsidRDefault="00EE0FC7"/>
    <w:p w14:paraId="052076D6" w14:textId="72019B14" w:rsidR="00466320" w:rsidRDefault="00000000">
      <w:pPr>
        <w:rPr>
          <w:b/>
          <w:bCs/>
          <w:color w:val="000000"/>
          <w:u w:val="single"/>
        </w:rPr>
      </w:pPr>
      <w:r>
        <w:rPr>
          <w:b/>
          <w:bCs/>
          <w:color w:val="000000"/>
          <w:u w:val="single"/>
        </w:rPr>
        <w:t>References</w:t>
      </w:r>
    </w:p>
    <w:p w14:paraId="2EF620BE" w14:textId="77777777" w:rsidR="004274FD" w:rsidRDefault="004274FD">
      <w:r>
        <w:t xml:space="preserve">Bolden, R. (2010) </w:t>
      </w:r>
      <w:r>
        <w:rPr>
          <w:i/>
          <w:iCs/>
        </w:rPr>
        <w:t>Leadership, Management and Organisational Behaviour</w:t>
      </w:r>
      <w:r>
        <w:t>. In: Gower Handbook of Leadership and Organisational Development. 5</w:t>
      </w:r>
      <w:r>
        <w:rPr>
          <w:vertAlign w:val="superscript"/>
        </w:rPr>
        <w:t>th</w:t>
      </w:r>
      <w:r>
        <w:t xml:space="preserve"> Edition. London: Routledge.</w:t>
      </w:r>
    </w:p>
    <w:p w14:paraId="3352DF88" w14:textId="77777777" w:rsidR="004274FD" w:rsidRDefault="004274FD">
      <w:r w:rsidRPr="00FB2DE5">
        <w:lastRenderedPageBreak/>
        <w:t xml:space="preserve">Buckler, R. (2023). </w:t>
      </w:r>
      <w:r w:rsidRPr="00FB2DE5">
        <w:rPr>
          <w:i/>
          <w:iCs/>
        </w:rPr>
        <w:t>Developing Child- Centred Practice for Safeguarding and Child Protection: Strategies for Every Early Years Setting.</w:t>
      </w:r>
      <w:r w:rsidRPr="00FB2DE5">
        <w:t xml:space="preserve"> London: Routledge.</w:t>
      </w:r>
    </w:p>
    <w:p w14:paraId="0D563B54" w14:textId="77777777" w:rsidR="004274FD" w:rsidRDefault="004274FD">
      <w:r>
        <w:t xml:space="preserve">Burton, S., and Reid. (2017) </w:t>
      </w:r>
      <w:r>
        <w:rPr>
          <w:i/>
          <w:iCs/>
        </w:rPr>
        <w:t>Safeguarding and Protecting Children in the Early Years. 2</w:t>
      </w:r>
      <w:r>
        <w:rPr>
          <w:i/>
          <w:iCs/>
          <w:vertAlign w:val="superscript"/>
        </w:rPr>
        <w:t>nd</w:t>
      </w:r>
      <w:r>
        <w:rPr>
          <w:i/>
          <w:iCs/>
        </w:rPr>
        <w:t xml:space="preserve"> Edition</w:t>
      </w:r>
      <w:r>
        <w:t>. London: Routledge.</w:t>
      </w:r>
    </w:p>
    <w:p w14:paraId="402EAD9A" w14:textId="77777777" w:rsidR="004274FD" w:rsidRDefault="004274FD">
      <w:r>
        <w:t xml:space="preserve">Cheeseman, S., and Walker, R. (2018) </w:t>
      </w:r>
      <w:r>
        <w:rPr>
          <w:i/>
          <w:iCs/>
        </w:rPr>
        <w:t>Pedagogies for  Leading  Practice</w:t>
      </w:r>
      <w:r>
        <w:t>. 1</w:t>
      </w:r>
      <w:r>
        <w:rPr>
          <w:vertAlign w:val="superscript"/>
        </w:rPr>
        <w:t>st</w:t>
      </w:r>
      <w:r>
        <w:t xml:space="preserve"> Edition. London: Routledge.</w:t>
      </w:r>
    </w:p>
    <w:p w14:paraId="59C6CD9A" w14:textId="77777777" w:rsidR="004274FD" w:rsidRDefault="004274FD">
      <w:r w:rsidRPr="007B7B4F">
        <w:t>Crockett, J.B., Billingsley, B., and Boscardin, M.L., (2019). Handbook of leadership and Education for Special Education. 2</w:t>
      </w:r>
      <w:r w:rsidRPr="007B7B4F">
        <w:rPr>
          <w:vertAlign w:val="superscript"/>
        </w:rPr>
        <w:t>nd</w:t>
      </w:r>
      <w:r w:rsidRPr="007B7B4F">
        <w:t xml:space="preserve"> Edition. Available at: </w:t>
      </w:r>
      <w:hyperlink r:id="rId7" w:history="1">
        <w:r w:rsidRPr="007B7B4F">
          <w:rPr>
            <w:rStyle w:val="Hyperlink"/>
          </w:rPr>
          <w:t>10.4324_9781315226378_previewpdf.pdf</w:t>
        </w:r>
      </w:hyperlink>
      <w:r w:rsidRPr="007B7B4F">
        <w:t xml:space="preserve"> [Accessed 27</w:t>
      </w:r>
      <w:r w:rsidRPr="007B7B4F">
        <w:rPr>
          <w:vertAlign w:val="superscript"/>
        </w:rPr>
        <w:t>th</w:t>
      </w:r>
      <w:r w:rsidRPr="007B7B4F">
        <w:t xml:space="preserve"> July 2025].</w:t>
      </w:r>
    </w:p>
    <w:p w14:paraId="3ACA72EC" w14:textId="77777777" w:rsidR="004274FD" w:rsidRDefault="004274FD">
      <w:r>
        <w:t xml:space="preserve">Department for Education (DfE) (2021) </w:t>
      </w:r>
      <w:r>
        <w:rPr>
          <w:i/>
          <w:iCs/>
        </w:rPr>
        <w:t>Statutory Framework for the Early Years Foundation Stage</w:t>
      </w:r>
      <w:r>
        <w:t>.</w:t>
      </w:r>
    </w:p>
    <w:p w14:paraId="03A7A9BF" w14:textId="77777777" w:rsidR="004274FD" w:rsidRDefault="004274FD">
      <w:r>
        <w:t xml:space="preserve">Department for Education. (2021b). </w:t>
      </w:r>
      <w:r w:rsidRPr="00607B89">
        <w:rPr>
          <w:i/>
          <w:iCs/>
        </w:rPr>
        <w:t xml:space="preserve">Tickell </w:t>
      </w:r>
      <w:r>
        <w:rPr>
          <w:i/>
          <w:iCs/>
        </w:rPr>
        <w:t>Review of the Early Years Foundation Stage Framework</w:t>
      </w:r>
      <w:r>
        <w:t xml:space="preserve">. Available at: </w:t>
      </w:r>
      <w:hyperlink r:id="rId8" w:history="1">
        <w:r w:rsidRPr="00A94F5B">
          <w:rPr>
            <w:rStyle w:val="Hyperlink"/>
          </w:rPr>
          <w:t>The Early Years Foundation Stage (EYFS) Review</w:t>
        </w:r>
      </w:hyperlink>
      <w:r>
        <w:t xml:space="preserve"> [Accessed: 25</w:t>
      </w:r>
      <w:r w:rsidRPr="00A94F5B">
        <w:rPr>
          <w:vertAlign w:val="superscript"/>
        </w:rPr>
        <w:t>th</w:t>
      </w:r>
      <w:r>
        <w:t xml:space="preserve"> July 2025].</w:t>
      </w:r>
    </w:p>
    <w:p w14:paraId="5227A7FA" w14:textId="77777777" w:rsidR="004274FD" w:rsidRDefault="004274FD">
      <w:r>
        <w:t xml:space="preserve">Finlay, L. (2008) </w:t>
      </w:r>
      <w:r>
        <w:rPr>
          <w:i/>
          <w:iCs/>
        </w:rPr>
        <w:t>Reflecting on Reflective Practice</w:t>
      </w:r>
      <w:r>
        <w:t xml:space="preserve">. Open University Press. Available at: </w:t>
      </w:r>
      <w:hyperlink r:id="rId9" w:history="1">
        <w:r w:rsidRPr="006B2035">
          <w:rPr>
            <w:rStyle w:val="Hyperlink"/>
          </w:rPr>
          <w:t>Finlay, L., (2008) Reflecting on reflective practice. PBPL paper 52</w:t>
        </w:r>
      </w:hyperlink>
      <w:r>
        <w:t>. [Accessed: 27</w:t>
      </w:r>
      <w:r w:rsidRPr="006B2035">
        <w:rPr>
          <w:vertAlign w:val="superscript"/>
        </w:rPr>
        <w:t>th</w:t>
      </w:r>
      <w:r>
        <w:t xml:space="preserve"> July 2025].</w:t>
      </w:r>
    </w:p>
    <w:p w14:paraId="5664065F" w14:textId="77777777" w:rsidR="004274FD" w:rsidRPr="004349F2" w:rsidRDefault="004274FD">
      <w:r w:rsidRPr="00835BE2">
        <w:t xml:space="preserve">Hayes, C. (2023). </w:t>
      </w:r>
      <w:r w:rsidRPr="00835BE2">
        <w:rPr>
          <w:i/>
          <w:iCs/>
        </w:rPr>
        <w:t xml:space="preserve">The Early Years Handbook for Students and Practitioners. </w:t>
      </w:r>
      <w:r w:rsidRPr="00835BE2">
        <w:t>Taylor and Francis.</w:t>
      </w:r>
      <w:r>
        <w:t xml:space="preserve"> </w:t>
      </w:r>
    </w:p>
    <w:p w14:paraId="56556192" w14:textId="77777777" w:rsidR="004274FD" w:rsidRPr="00736E4B" w:rsidRDefault="004274FD">
      <w:r w:rsidRPr="00DD7A28">
        <w:t xml:space="preserve">Koegel, L,K., Koegel,R,L., Ashbaugh, K, and Bradshaw, J., (2013). </w:t>
      </w:r>
      <w:r w:rsidRPr="00DD7A28">
        <w:rPr>
          <w:i/>
          <w:iCs/>
        </w:rPr>
        <w:t>The Importance of Early Identification and Intervention for Children with or at Risk for Autism Spectrum Disorders. In: International Journal of Speech - Language Pathology.</w:t>
      </w:r>
      <w:r w:rsidRPr="00DD7A28">
        <w:t xml:space="preserve"> Available at: </w:t>
      </w:r>
      <w:hyperlink r:id="rId10" w:history="1">
        <w:r w:rsidRPr="00DD7A28">
          <w:rPr>
            <w:rStyle w:val="Hyperlink"/>
          </w:rPr>
          <w:t>The importance of early identification and intervention for children with or at risk for autism spectrum disorders.pdf</w:t>
        </w:r>
      </w:hyperlink>
      <w:r w:rsidRPr="00DD7A28">
        <w:t xml:space="preserve"> [Accessed 25</w:t>
      </w:r>
      <w:r w:rsidRPr="00DD7A28">
        <w:rPr>
          <w:vertAlign w:val="superscript"/>
        </w:rPr>
        <w:t>th</w:t>
      </w:r>
      <w:r w:rsidRPr="00DD7A28">
        <w:t xml:space="preserve"> July 2025].</w:t>
      </w:r>
    </w:p>
    <w:p w14:paraId="248D0FEF" w14:textId="77777777" w:rsidR="004274FD" w:rsidRDefault="004274FD">
      <w:r w:rsidRPr="00D76825">
        <w:t>Kurowski, A. (2021) ‘Transforming early childhood in England: Towards a democratic education’, </w:t>
      </w:r>
      <w:r w:rsidRPr="00D76825">
        <w:rPr>
          <w:i/>
          <w:iCs/>
        </w:rPr>
        <w:t>Contemporary issues in early childhood</w:t>
      </w:r>
      <w:r w:rsidRPr="00D76825">
        <w:t xml:space="preserve">. London, England: SAGE Publications, pp. 100–101. Available at: </w:t>
      </w:r>
      <w:hyperlink r:id="rId11" w:history="1">
        <w:r w:rsidRPr="00EF6D06">
          <w:rPr>
            <w:rStyle w:val="Hyperlink"/>
          </w:rPr>
          <w:t>https://doi.org/10.1177/1463949120971374</w:t>
        </w:r>
      </w:hyperlink>
      <w:r w:rsidRPr="00D76825">
        <w:t>.</w:t>
      </w:r>
    </w:p>
    <w:p w14:paraId="52A8FAE5" w14:textId="77777777" w:rsidR="004274FD" w:rsidRDefault="004274FD">
      <w:r>
        <w:t xml:space="preserve">Lindon, J. and Brodie, K. (2012) </w:t>
      </w:r>
      <w:r>
        <w:rPr>
          <w:i/>
          <w:iCs/>
        </w:rPr>
        <w:t>Understanding Children’s Behaviour 0–11</w:t>
      </w:r>
      <w:r>
        <w:t>. 2</w:t>
      </w:r>
      <w:r w:rsidRPr="008009CE">
        <w:rPr>
          <w:vertAlign w:val="superscript"/>
        </w:rPr>
        <w:t>nd</w:t>
      </w:r>
      <w:r>
        <w:t xml:space="preserve"> Edition London: Hodder Education.</w:t>
      </w:r>
    </w:p>
    <w:p w14:paraId="37AE1070" w14:textId="77777777" w:rsidR="004274FD" w:rsidRDefault="004274FD">
      <w:r>
        <w:t xml:space="preserve">McLeod, S. (2018) </w:t>
      </w:r>
      <w:r>
        <w:rPr>
          <w:i/>
          <w:iCs/>
        </w:rPr>
        <w:t>Maslow’s Hierarchy of Needs</w:t>
      </w:r>
      <w:r>
        <w:t>. Available at: https://www.simplypsychology.org/maslow.html [Accessed 27th July 2025].</w:t>
      </w:r>
    </w:p>
    <w:p w14:paraId="2BB96C16" w14:textId="77777777" w:rsidR="004274FD" w:rsidRDefault="004274FD">
      <w:r>
        <w:t xml:space="preserve">Northouse, P.G.,(2021) </w:t>
      </w:r>
      <w:r>
        <w:rPr>
          <w:i/>
          <w:iCs/>
        </w:rPr>
        <w:t>Leadership: Theory and Practice</w:t>
      </w:r>
      <w:r>
        <w:t>. 9</w:t>
      </w:r>
      <w:r>
        <w:rPr>
          <w:vertAlign w:val="superscript"/>
        </w:rPr>
        <w:t>th</w:t>
      </w:r>
      <w:r>
        <w:t xml:space="preserve"> Edition. London: SAGE.</w:t>
      </w:r>
    </w:p>
    <w:p w14:paraId="037441D7" w14:textId="77777777" w:rsidR="004274FD" w:rsidRDefault="004274FD">
      <w:r>
        <w:t xml:space="preserve">NSPCC (2020) </w:t>
      </w:r>
      <w:r>
        <w:rPr>
          <w:i/>
          <w:iCs/>
        </w:rPr>
        <w:t>UNCRC and Child Protection</w:t>
      </w:r>
      <w:r>
        <w:t>.  Available at: https://learning.nspcc.org.uk [Accessed 27</w:t>
      </w:r>
      <w:r>
        <w:rPr>
          <w:vertAlign w:val="superscript"/>
        </w:rPr>
        <w:t>th</w:t>
      </w:r>
      <w:r>
        <w:t xml:space="preserve"> July 2025].</w:t>
      </w:r>
    </w:p>
    <w:p w14:paraId="1E0E9146" w14:textId="77777777" w:rsidR="004274FD" w:rsidRPr="00DD7A28" w:rsidRDefault="004274FD">
      <w:r w:rsidRPr="00BD1D00">
        <w:lastRenderedPageBreak/>
        <w:t xml:space="preserve">NSPCC. 2023. </w:t>
      </w:r>
      <w:r w:rsidRPr="00BD1D00">
        <w:rPr>
          <w:i/>
          <w:iCs/>
        </w:rPr>
        <w:t>Early Help and Intervention.</w:t>
      </w:r>
      <w:r w:rsidRPr="00BD1D00">
        <w:t xml:space="preserve"> Available at: </w:t>
      </w:r>
      <w:hyperlink r:id="rId12" w:history="1">
        <w:r w:rsidRPr="00DD7A28">
          <w:rPr>
            <w:rStyle w:val="Hyperlink"/>
          </w:rPr>
          <w:t>Early help and early intervention | NSPCC Learning</w:t>
        </w:r>
      </w:hyperlink>
      <w:r w:rsidRPr="00DD7A28">
        <w:t>. [Accessed 25</w:t>
      </w:r>
      <w:r w:rsidRPr="00DD7A28">
        <w:rPr>
          <w:vertAlign w:val="superscript"/>
        </w:rPr>
        <w:t>th</w:t>
      </w:r>
      <w:r w:rsidRPr="00DD7A28">
        <w:t xml:space="preserve"> July 2025].</w:t>
      </w:r>
    </w:p>
    <w:p w14:paraId="2FE7FECD" w14:textId="77777777" w:rsidR="004274FD" w:rsidRDefault="004274FD">
      <w:r>
        <w:t xml:space="preserve">Nutbrown, C. and Clough, P. (2014) </w:t>
      </w:r>
      <w:r>
        <w:rPr>
          <w:i/>
          <w:iCs/>
        </w:rPr>
        <w:t>Early Childhood Education: History, Philosophy and Experience</w:t>
      </w:r>
      <w:r>
        <w:t>. Second  Edition. London: SAGE.</w:t>
      </w:r>
    </w:p>
    <w:p w14:paraId="7226C62D" w14:textId="77777777" w:rsidR="004274FD" w:rsidRDefault="004274FD">
      <w:r>
        <w:t xml:space="preserve">Roberts-Holmes, G. and Bradbury, A. (2016) </w:t>
      </w:r>
      <w:r>
        <w:rPr>
          <w:i/>
          <w:iCs/>
        </w:rPr>
        <w:t>Governance, Accountability and the Datafication of Early Years Education in England</w:t>
      </w:r>
      <w:r>
        <w:t xml:space="preserve">. In: British Educational Research Journal, Available at: </w:t>
      </w:r>
      <w:hyperlink r:id="rId13" w:history="1">
        <w:r>
          <w:rPr>
            <w:rStyle w:val="Hyperlink"/>
          </w:rPr>
          <w:t>Governance, accountability and the datafication of early years education in England - Roberts</w:t>
        </w:r>
        <w:r>
          <w:rPr>
            <w:rStyle w:val="Hyperlink"/>
            <w:rFonts w:ascii="Cambria Math" w:hAnsi="Cambria Math" w:cs="Cambria Math"/>
          </w:rPr>
          <w:t>‐</w:t>
        </w:r>
        <w:r>
          <w:rPr>
            <w:rStyle w:val="Hyperlink"/>
          </w:rPr>
          <w:t>Holmes - 2016 - British Educational Research Journal - Wiley Online Library</w:t>
        </w:r>
      </w:hyperlink>
      <w:r>
        <w:t xml:space="preserve"> [Accessed 27</w:t>
      </w:r>
      <w:r>
        <w:rPr>
          <w:vertAlign w:val="superscript"/>
        </w:rPr>
        <w:t>th</w:t>
      </w:r>
      <w:r>
        <w:t xml:space="preserve"> July 2025].</w:t>
      </w:r>
    </w:p>
    <w:p w14:paraId="548DA608" w14:textId="77777777" w:rsidR="004274FD" w:rsidRDefault="004274FD">
      <w:r>
        <w:t xml:space="preserve">Rodd, J. (2012) </w:t>
      </w:r>
      <w:r>
        <w:rPr>
          <w:i/>
          <w:iCs/>
        </w:rPr>
        <w:t>Leadership in Early Childhood: The Pathway to Professionalism</w:t>
      </w:r>
      <w:r>
        <w:t>. 4th Edition. London: Routledge.</w:t>
      </w:r>
    </w:p>
    <w:p w14:paraId="59275A25" w14:textId="77777777" w:rsidR="004274FD" w:rsidRDefault="004274FD">
      <w:r w:rsidRPr="00B35EC9">
        <w:t>Wilson, T. (2016). Working with Parents, Carers and Families in the Early Years: The Essential Guide. 1</w:t>
      </w:r>
      <w:r w:rsidRPr="00B35EC9">
        <w:rPr>
          <w:vertAlign w:val="superscript"/>
        </w:rPr>
        <w:t>st</w:t>
      </w:r>
      <w:r w:rsidRPr="00B35EC9">
        <w:t xml:space="preserve"> Edition. London: Routledge.</w:t>
      </w:r>
    </w:p>
    <w:p w14:paraId="0FFED5D1" w14:textId="12E5D1B3" w:rsidR="00EE0FC7" w:rsidRDefault="00EE0FC7">
      <w:r>
        <w:t>Curriculum for Wales. (202</w:t>
      </w:r>
      <w:r w:rsidR="00EF0A52">
        <w:t>5</w:t>
      </w:r>
      <w:r>
        <w:t xml:space="preserve">). </w:t>
      </w:r>
    </w:p>
    <w:p w14:paraId="56D7E4CD" w14:textId="0F7D554D" w:rsidR="00A808C2" w:rsidRDefault="00882C2D">
      <w:r>
        <w:t xml:space="preserve">Additional Learning Needs and </w:t>
      </w:r>
      <w:r w:rsidR="008F3701">
        <w:t xml:space="preserve">Education </w:t>
      </w:r>
      <w:r>
        <w:t>Tribunal Act (2018)</w:t>
      </w:r>
    </w:p>
    <w:p w14:paraId="6BD85EE1" w14:textId="1AD75FF3" w:rsidR="00882C2D" w:rsidRDefault="00DB6F47">
      <w:r>
        <w:t xml:space="preserve">Welsh Government (2024). </w:t>
      </w:r>
      <w:r w:rsidR="008F3701">
        <w:t>Implementing</w:t>
      </w:r>
      <w:r>
        <w:t xml:space="preserve"> the Additional Learning Needs and Education Tribunal Act</w:t>
      </w:r>
      <w:r w:rsidR="008F3701">
        <w:t xml:space="preserve">. Available at: </w:t>
      </w:r>
      <w:hyperlink r:id="rId14" w:history="1">
        <w:r w:rsidR="00703C54" w:rsidRPr="00703C54">
          <w:rPr>
            <w:rStyle w:val="Hyperlink"/>
          </w:rPr>
          <w:t>Implementing the Additional Learning Needs and Education Tribunal (Wales) Act 2018: practitioner guide | GOV.WALES</w:t>
        </w:r>
      </w:hyperlink>
      <w:r w:rsidR="008F3701">
        <w:t xml:space="preserve"> [Accessed: 27</w:t>
      </w:r>
      <w:r w:rsidR="008F3701" w:rsidRPr="008F3701">
        <w:rPr>
          <w:vertAlign w:val="superscript"/>
        </w:rPr>
        <w:t>th</w:t>
      </w:r>
      <w:r w:rsidR="008F3701">
        <w:t xml:space="preserve"> July 2025].</w:t>
      </w:r>
    </w:p>
    <w:p w14:paraId="3C3464AB" w14:textId="76C7DD78" w:rsidR="005D7B2C" w:rsidRDefault="005D7B2C">
      <w:r>
        <w:t xml:space="preserve">Heaney, S., and Feeney, S., (2021). </w:t>
      </w:r>
      <w:r w:rsidR="00623305">
        <w:t xml:space="preserve">Wellbeing as Central to all Children in the Early Years. Available at: </w:t>
      </w:r>
      <w:hyperlink r:id="rId15" w:history="1">
        <w:r w:rsidR="00623305" w:rsidRPr="00623305">
          <w:rPr>
            <w:rStyle w:val="Hyperlink"/>
          </w:rPr>
          <w:t>Wellbeing as central to including all children in the early years - Mary Immaculate College</w:t>
        </w:r>
      </w:hyperlink>
      <w:r w:rsidR="004C264E">
        <w:t>.[Accessed 25</w:t>
      </w:r>
      <w:r w:rsidR="004C264E" w:rsidRPr="004C264E">
        <w:rPr>
          <w:vertAlign w:val="superscript"/>
        </w:rPr>
        <w:t>th</w:t>
      </w:r>
      <w:r w:rsidR="004C264E">
        <w:t xml:space="preserve"> July 2025].</w:t>
      </w:r>
    </w:p>
    <w:p w14:paraId="4E91305B" w14:textId="5A016FD8" w:rsidR="00371DDC" w:rsidRDefault="00371DDC">
      <w:r>
        <w:t xml:space="preserve">Harris, J., Carrington, S., and Ainscow,M., (2017). </w:t>
      </w:r>
      <w:r w:rsidR="00CD531D">
        <w:t xml:space="preserve">Promoting Equity in Schools: Collaboration, Enquiry and Ethical Leadership. Available at: </w:t>
      </w:r>
      <w:hyperlink r:id="rId16" w:history="1">
        <w:r w:rsidR="00DA43CA" w:rsidRPr="00DA43CA">
          <w:rPr>
            <w:rStyle w:val="Hyperlink"/>
          </w:rPr>
          <w:t>Promoting equity in schools: collaboration, inquiry and ethical leadership. | Request PDF</w:t>
        </w:r>
      </w:hyperlink>
      <w:r w:rsidR="00DA43CA">
        <w:t>[Accessed: 27</w:t>
      </w:r>
      <w:r w:rsidR="00DA43CA" w:rsidRPr="00DA43CA">
        <w:rPr>
          <w:vertAlign w:val="superscript"/>
        </w:rPr>
        <w:t>th</w:t>
      </w:r>
      <w:r w:rsidR="00DA43CA">
        <w:t xml:space="preserve"> July 2025].</w:t>
      </w:r>
    </w:p>
    <w:sectPr w:rsidR="00371DDC" w:rsidSect="0017605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FA18B" w14:textId="77777777" w:rsidR="00AA4083" w:rsidRDefault="00AA4083">
      <w:pPr>
        <w:spacing w:after="0" w:line="240" w:lineRule="auto"/>
      </w:pPr>
      <w:r>
        <w:separator/>
      </w:r>
    </w:p>
  </w:endnote>
  <w:endnote w:type="continuationSeparator" w:id="0">
    <w:p w14:paraId="5AD9CB10" w14:textId="77777777" w:rsidR="00AA4083" w:rsidRDefault="00AA4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C3D4C" w14:textId="77777777" w:rsidR="00AA4083" w:rsidRDefault="00AA4083">
      <w:pPr>
        <w:spacing w:after="0" w:line="240" w:lineRule="auto"/>
      </w:pPr>
      <w:r>
        <w:rPr>
          <w:color w:val="000000"/>
        </w:rPr>
        <w:separator/>
      </w:r>
    </w:p>
  </w:footnote>
  <w:footnote w:type="continuationSeparator" w:id="0">
    <w:p w14:paraId="369325BD" w14:textId="77777777" w:rsidR="00AA4083" w:rsidRDefault="00AA40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6320"/>
    <w:rsid w:val="00001357"/>
    <w:rsid w:val="0002210E"/>
    <w:rsid w:val="00096383"/>
    <w:rsid w:val="000D149B"/>
    <w:rsid w:val="00121436"/>
    <w:rsid w:val="001361AD"/>
    <w:rsid w:val="00137794"/>
    <w:rsid w:val="00176051"/>
    <w:rsid w:val="0022154B"/>
    <w:rsid w:val="00246482"/>
    <w:rsid w:val="002B64F3"/>
    <w:rsid w:val="002C08ED"/>
    <w:rsid w:val="002C4844"/>
    <w:rsid w:val="002C653B"/>
    <w:rsid w:val="002D7BA9"/>
    <w:rsid w:val="002E6864"/>
    <w:rsid w:val="00306F12"/>
    <w:rsid w:val="00371DDC"/>
    <w:rsid w:val="00377661"/>
    <w:rsid w:val="003B0B0A"/>
    <w:rsid w:val="003C2294"/>
    <w:rsid w:val="003E7C1E"/>
    <w:rsid w:val="004274FD"/>
    <w:rsid w:val="004349F2"/>
    <w:rsid w:val="00435344"/>
    <w:rsid w:val="00443A7F"/>
    <w:rsid w:val="00451515"/>
    <w:rsid w:val="004537E4"/>
    <w:rsid w:val="00466320"/>
    <w:rsid w:val="004A2197"/>
    <w:rsid w:val="004C264E"/>
    <w:rsid w:val="004C70F1"/>
    <w:rsid w:val="00500BD6"/>
    <w:rsid w:val="00533E38"/>
    <w:rsid w:val="00544F7A"/>
    <w:rsid w:val="0055244E"/>
    <w:rsid w:val="00566633"/>
    <w:rsid w:val="00581E75"/>
    <w:rsid w:val="005B4754"/>
    <w:rsid w:val="005C7668"/>
    <w:rsid w:val="005D7B2C"/>
    <w:rsid w:val="006067D5"/>
    <w:rsid w:val="00607B89"/>
    <w:rsid w:val="00623305"/>
    <w:rsid w:val="00635B3E"/>
    <w:rsid w:val="00650898"/>
    <w:rsid w:val="006953EA"/>
    <w:rsid w:val="006B2035"/>
    <w:rsid w:val="006C1AFE"/>
    <w:rsid w:val="006E2ACC"/>
    <w:rsid w:val="00703C54"/>
    <w:rsid w:val="00732227"/>
    <w:rsid w:val="00736E4B"/>
    <w:rsid w:val="00742267"/>
    <w:rsid w:val="007474B7"/>
    <w:rsid w:val="007509C8"/>
    <w:rsid w:val="00777915"/>
    <w:rsid w:val="007B31E4"/>
    <w:rsid w:val="007B7B4F"/>
    <w:rsid w:val="008009CE"/>
    <w:rsid w:val="00835BE2"/>
    <w:rsid w:val="00835CFE"/>
    <w:rsid w:val="00846C26"/>
    <w:rsid w:val="00861192"/>
    <w:rsid w:val="0087050E"/>
    <w:rsid w:val="00882C2D"/>
    <w:rsid w:val="00890BA6"/>
    <w:rsid w:val="008A54E7"/>
    <w:rsid w:val="008C1B98"/>
    <w:rsid w:val="008F1EAE"/>
    <w:rsid w:val="008F3701"/>
    <w:rsid w:val="00900785"/>
    <w:rsid w:val="00913801"/>
    <w:rsid w:val="0097266E"/>
    <w:rsid w:val="009801C3"/>
    <w:rsid w:val="009D0543"/>
    <w:rsid w:val="009D6949"/>
    <w:rsid w:val="00A55F46"/>
    <w:rsid w:val="00A76562"/>
    <w:rsid w:val="00A808C2"/>
    <w:rsid w:val="00A94F5B"/>
    <w:rsid w:val="00AA0EFF"/>
    <w:rsid w:val="00AA4083"/>
    <w:rsid w:val="00AC26C6"/>
    <w:rsid w:val="00AD5BCC"/>
    <w:rsid w:val="00AE0211"/>
    <w:rsid w:val="00B111C6"/>
    <w:rsid w:val="00B35EC9"/>
    <w:rsid w:val="00B63349"/>
    <w:rsid w:val="00B71820"/>
    <w:rsid w:val="00B87246"/>
    <w:rsid w:val="00BC64B8"/>
    <w:rsid w:val="00BD1D00"/>
    <w:rsid w:val="00C10061"/>
    <w:rsid w:val="00C11620"/>
    <w:rsid w:val="00C30224"/>
    <w:rsid w:val="00C315E2"/>
    <w:rsid w:val="00C47FAD"/>
    <w:rsid w:val="00C82E8D"/>
    <w:rsid w:val="00CD522C"/>
    <w:rsid w:val="00CD531D"/>
    <w:rsid w:val="00D13DE3"/>
    <w:rsid w:val="00D2485F"/>
    <w:rsid w:val="00D60B75"/>
    <w:rsid w:val="00D76825"/>
    <w:rsid w:val="00D83E80"/>
    <w:rsid w:val="00D86B56"/>
    <w:rsid w:val="00D95CB8"/>
    <w:rsid w:val="00D96711"/>
    <w:rsid w:val="00DA136E"/>
    <w:rsid w:val="00DA43CA"/>
    <w:rsid w:val="00DA49CD"/>
    <w:rsid w:val="00DB6F47"/>
    <w:rsid w:val="00DD0738"/>
    <w:rsid w:val="00DD7A28"/>
    <w:rsid w:val="00E22770"/>
    <w:rsid w:val="00E35A44"/>
    <w:rsid w:val="00E64389"/>
    <w:rsid w:val="00E65728"/>
    <w:rsid w:val="00E747E2"/>
    <w:rsid w:val="00E81410"/>
    <w:rsid w:val="00E8221E"/>
    <w:rsid w:val="00E85E4C"/>
    <w:rsid w:val="00EE0FC7"/>
    <w:rsid w:val="00EF0A52"/>
    <w:rsid w:val="00EF56F0"/>
    <w:rsid w:val="00F01B90"/>
    <w:rsid w:val="00F0330B"/>
    <w:rsid w:val="00F10CEB"/>
    <w:rsid w:val="00F10EE2"/>
    <w:rsid w:val="00F17243"/>
    <w:rsid w:val="00F2685D"/>
    <w:rsid w:val="00F36FC1"/>
    <w:rsid w:val="00F66FB3"/>
    <w:rsid w:val="00FB2DE5"/>
    <w:rsid w:val="00FE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076C5"/>
  <w15:docId w15:val="{7C01562E-7036-4E2D-8711-BF60AF254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semiHidden/>
    <w:unhideWhenUsed/>
    <w:rsid w:val="007B31E4"/>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6248115">
      <w:bodyDiv w:val="1"/>
      <w:marLeft w:val="0"/>
      <w:marRight w:val="0"/>
      <w:marTop w:val="0"/>
      <w:marBottom w:val="0"/>
      <w:divBdr>
        <w:top w:val="none" w:sz="0" w:space="0" w:color="auto"/>
        <w:left w:val="none" w:sz="0" w:space="0" w:color="auto"/>
        <w:bottom w:val="none" w:sz="0" w:space="0" w:color="auto"/>
        <w:right w:val="none" w:sz="0" w:space="0" w:color="auto"/>
      </w:divBdr>
    </w:div>
    <w:div w:id="734012707">
      <w:bodyDiv w:val="1"/>
      <w:marLeft w:val="0"/>
      <w:marRight w:val="0"/>
      <w:marTop w:val="0"/>
      <w:marBottom w:val="0"/>
      <w:divBdr>
        <w:top w:val="none" w:sz="0" w:space="0" w:color="auto"/>
        <w:left w:val="none" w:sz="0" w:space="0" w:color="auto"/>
        <w:bottom w:val="none" w:sz="0" w:space="0" w:color="auto"/>
        <w:right w:val="none" w:sz="0" w:space="0" w:color="auto"/>
      </w:divBdr>
    </w:div>
    <w:div w:id="1031881644">
      <w:bodyDiv w:val="1"/>
      <w:marLeft w:val="0"/>
      <w:marRight w:val="0"/>
      <w:marTop w:val="0"/>
      <w:marBottom w:val="0"/>
      <w:divBdr>
        <w:top w:val="none" w:sz="0" w:space="0" w:color="auto"/>
        <w:left w:val="none" w:sz="0" w:space="0" w:color="auto"/>
        <w:bottom w:val="none" w:sz="0" w:space="0" w:color="auto"/>
        <w:right w:val="none" w:sz="0" w:space="0" w:color="auto"/>
      </w:divBdr>
    </w:div>
    <w:div w:id="1258909310">
      <w:bodyDiv w:val="1"/>
      <w:marLeft w:val="0"/>
      <w:marRight w:val="0"/>
      <w:marTop w:val="0"/>
      <w:marBottom w:val="0"/>
      <w:divBdr>
        <w:top w:val="none" w:sz="0" w:space="0" w:color="auto"/>
        <w:left w:val="none" w:sz="0" w:space="0" w:color="auto"/>
        <w:bottom w:val="none" w:sz="0" w:space="0" w:color="auto"/>
        <w:right w:val="none" w:sz="0" w:space="0" w:color="auto"/>
      </w:divBdr>
    </w:div>
    <w:div w:id="1580485457">
      <w:bodyDiv w:val="1"/>
      <w:marLeft w:val="0"/>
      <w:marRight w:val="0"/>
      <w:marTop w:val="0"/>
      <w:marBottom w:val="0"/>
      <w:divBdr>
        <w:top w:val="none" w:sz="0" w:space="0" w:color="auto"/>
        <w:left w:val="none" w:sz="0" w:space="0" w:color="auto"/>
        <w:bottom w:val="none" w:sz="0" w:space="0" w:color="auto"/>
        <w:right w:val="none" w:sz="0" w:space="0" w:color="auto"/>
      </w:divBdr>
    </w:div>
    <w:div w:id="1592740274">
      <w:bodyDiv w:val="1"/>
      <w:marLeft w:val="0"/>
      <w:marRight w:val="0"/>
      <w:marTop w:val="0"/>
      <w:marBottom w:val="0"/>
      <w:divBdr>
        <w:top w:val="none" w:sz="0" w:space="0" w:color="auto"/>
        <w:left w:val="none" w:sz="0" w:space="0" w:color="auto"/>
        <w:bottom w:val="none" w:sz="0" w:space="0" w:color="auto"/>
        <w:right w:val="none" w:sz="0" w:space="0" w:color="auto"/>
      </w:divBdr>
    </w:div>
    <w:div w:id="1699545578">
      <w:bodyDiv w:val="1"/>
      <w:marLeft w:val="0"/>
      <w:marRight w:val="0"/>
      <w:marTop w:val="0"/>
      <w:marBottom w:val="0"/>
      <w:divBdr>
        <w:top w:val="none" w:sz="0" w:space="0" w:color="auto"/>
        <w:left w:val="none" w:sz="0" w:space="0" w:color="auto"/>
        <w:bottom w:val="none" w:sz="0" w:space="0" w:color="auto"/>
        <w:right w:val="none" w:sz="0" w:space="0" w:color="auto"/>
      </w:divBdr>
    </w:div>
    <w:div w:id="19675403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80f02fed915d74e62314c2/The_early_years_foundation_stage_review_report_on_the_evidence.pdf" TargetMode="External"/><Relationship Id="rId13" Type="http://schemas.openxmlformats.org/officeDocument/2006/relationships/hyperlink" Target="https://bera-journals.onlinelibrary.wiley.com/doi/abs/10.1002/berj.322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domin\Downloads\10.4324_9781315226378_previewpdf.pdf" TargetMode="External"/><Relationship Id="rId12" Type="http://schemas.openxmlformats.org/officeDocument/2006/relationships/hyperlink" Target="https://learning.nspcc.org.uk/safeguarding-child-protection/early-help-and-early-interven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ublication/319310746_Promoting_equity_in_schools_collaboration_inquiry_and_ethical_leadershi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1463949120971374" TargetMode="External"/><Relationship Id="rId5" Type="http://schemas.openxmlformats.org/officeDocument/2006/relationships/footnotes" Target="footnotes.xml"/><Relationship Id="rId15" Type="http://schemas.openxmlformats.org/officeDocument/2006/relationships/hyperlink" Target="https://mic.elsevierpure.com/en/publications/wellbeing-as-central-to-including-all-children-in-the-early-years" TargetMode="External"/><Relationship Id="rId10" Type="http://schemas.openxmlformats.org/officeDocument/2006/relationships/hyperlink" Target="file:///C:\Users\domin\Downloads\The%20importance%20of%20early%20identification%20and%20intervention%20for%20children%20with%20or%20at%20risk%20for%20autism%20spectrum%20disorders.pdf" TargetMode="External"/><Relationship Id="rId4" Type="http://schemas.openxmlformats.org/officeDocument/2006/relationships/webSettings" Target="webSettings.xml"/><Relationship Id="rId9" Type="http://schemas.openxmlformats.org/officeDocument/2006/relationships/hyperlink" Target="https://oro.open.ac.uk/68945/1/Finlay-%282008%29-Reflecting-on-reflective-practice-PBPL-paper-52.pdf" TargetMode="External"/><Relationship Id="rId14" Type="http://schemas.openxmlformats.org/officeDocument/2006/relationships/hyperlink" Target="https://www.gov.wales/implementing-additional-learning-needs-and-education-tribunal-wales-act-2018-practitioner-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4AAC4-14CE-46DA-ADAB-DDB40A626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2891</Words>
  <Characters>16479</Characters>
  <Application>Microsoft Office Word</Application>
  <DocSecurity>0</DocSecurity>
  <Lines>137</Lines>
  <Paragraphs>38</Paragraphs>
  <ScaleCrop>false</ScaleCrop>
  <Company/>
  <LinksUpToDate>false</LinksUpToDate>
  <CharactersWithSpaces>19332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Dominique Pearce</dc:creator>
  <dc:description/>
  <cp:lastModifiedBy>Dominique Pearce</cp:lastModifiedBy>
  <cp:revision>132</cp:revision>
  <dcterms:created xsi:type="dcterms:W3CDTF">2025-07-27T20:52:00Z</dcterms:created>
  <dcterms:modified xsi:type="dcterms:W3CDTF">2025-07-27T22:50:00Z</dcterms:modified>
</cp:coreProperties>
</file>