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110" w:type="dxa"/>
        <w:tblInd w:w="-601" w:type="dxa"/>
        <w:tblBorders>
          <w:top w:val="single" w:color="auto" w:sz="4" w:space="0"/>
          <w:left w:val="single" w:color="auto" w:sz="4" w:space="0"/>
          <w:bottom w:val="single" w:color="auto" w:sz="4" w:space="0"/>
          <w:right w:val="single" w:color="auto" w:sz="4" w:space="0"/>
          <w:insideH w:val="single" w:color="auto" w:sz="6" w:space="0"/>
          <w:insideV w:val="single" w:color="auto" w:sz="6" w:space="0"/>
        </w:tblBorders>
        <w:tblLook w:val="01E0" w:firstRow="1" w:lastRow="1" w:firstColumn="1" w:lastColumn="1" w:noHBand="0" w:noVBand="0"/>
      </w:tblPr>
      <w:tblGrid>
        <w:gridCol w:w="10137"/>
      </w:tblGrid>
      <w:tr w:rsidRPr="00210378" w:rsidR="00C66CFD" w:rsidTr="74718914" w14:paraId="064FF62D" w14:textId="77777777">
        <w:trPr>
          <w:trHeight w:val="715"/>
        </w:trPr>
        <w:tc>
          <w:tcPr>
            <w:tcW w:w="10110" w:type="dxa"/>
            <w:shd w:val="clear" w:color="auto" w:fill="auto"/>
            <w:tcMar/>
          </w:tcPr>
          <w:p w:rsidRPr="00E5484A" w:rsidR="00C66CFD" w:rsidP="00C66CFD" w:rsidRDefault="009A0F00" w14:paraId="416C51F8" w14:textId="20F135EA">
            <w:pPr>
              <w:pStyle w:val="Formlabel"/>
              <w:jc w:val="center"/>
              <w:rPr>
                <w:b/>
                <w:sz w:val="24"/>
              </w:rPr>
            </w:pPr>
            <w:r>
              <w:rPr>
                <w:b/>
                <w:sz w:val="24"/>
              </w:rPr>
              <w:t>B</w:t>
            </w:r>
            <w:r w:rsidRPr="00E5484A" w:rsidR="00C66CFD">
              <w:rPr>
                <w:b/>
                <w:sz w:val="24"/>
              </w:rPr>
              <w:t>Sc Applied Psychology</w:t>
            </w:r>
          </w:p>
          <w:p w:rsidR="00991612" w:rsidP="00C66CFD" w:rsidRDefault="009A0F00" w14:paraId="63ACAD1D" w14:textId="77777777">
            <w:pPr>
              <w:pStyle w:val="Formlabel"/>
              <w:jc w:val="center"/>
              <w:rPr>
                <w:b/>
                <w:sz w:val="24"/>
              </w:rPr>
            </w:pPr>
            <w:r>
              <w:rPr>
                <w:b/>
                <w:sz w:val="24"/>
              </w:rPr>
              <w:t>ECAP6003 Forensic Psychology and the Criminal Mind</w:t>
            </w:r>
            <w:r w:rsidRPr="00E5484A" w:rsidR="00E5484A">
              <w:rPr>
                <w:b/>
                <w:sz w:val="24"/>
              </w:rPr>
              <w:t xml:space="preserve">: </w:t>
            </w:r>
          </w:p>
          <w:p w:rsidRPr="00E5484A" w:rsidR="00C66CFD" w:rsidP="00C66CFD" w:rsidRDefault="00E5484A" w14:paraId="739169BD" w14:textId="2CAF7F20">
            <w:pPr>
              <w:pStyle w:val="Formlabel"/>
              <w:jc w:val="center"/>
              <w:rPr>
                <w:b/>
                <w:sz w:val="24"/>
              </w:rPr>
            </w:pPr>
            <w:r w:rsidRPr="00E5484A">
              <w:rPr>
                <w:b/>
                <w:sz w:val="24"/>
              </w:rPr>
              <w:t>Re</w:t>
            </w:r>
            <w:r w:rsidR="009A0F00">
              <w:rPr>
                <w:b/>
                <w:sz w:val="24"/>
              </w:rPr>
              <w:t>habilitative</w:t>
            </w:r>
            <w:r w:rsidRPr="00E5484A">
              <w:rPr>
                <w:b/>
                <w:sz w:val="24"/>
              </w:rPr>
              <w:t xml:space="preserve"> Proposal </w:t>
            </w:r>
          </w:p>
          <w:p w:rsidRPr="00210378" w:rsidR="00E5484A" w:rsidP="00C66CFD" w:rsidRDefault="00E5484A" w14:paraId="2C925EEA" w14:textId="77777777">
            <w:pPr>
              <w:pStyle w:val="Formlabel"/>
              <w:jc w:val="center"/>
              <w:rPr>
                <w:b/>
                <w:sz w:val="22"/>
                <w:szCs w:val="22"/>
              </w:rPr>
            </w:pPr>
          </w:p>
        </w:tc>
      </w:tr>
      <w:tr w:rsidRPr="00210378" w:rsidR="000F5955" w:rsidTr="74718914" w14:paraId="6023DF48" w14:textId="77777777">
        <w:trPr>
          <w:trHeight w:val="715"/>
        </w:trPr>
        <w:tc>
          <w:tcPr>
            <w:tcW w:w="10110" w:type="dxa"/>
            <w:shd w:val="clear" w:color="auto" w:fill="auto"/>
            <w:tcMar/>
          </w:tcPr>
          <w:p w:rsidRPr="00F10A84" w:rsidR="00991612" w:rsidP="194E39BE" w:rsidRDefault="5757D6B9" w14:paraId="32E198A4" w14:textId="3C783ABA">
            <w:pPr>
              <w:spacing w:before="0" w:beforeAutospacing="off" w:after="0" w:afterAutospacing="off" w:line="259" w:lineRule="auto"/>
            </w:pPr>
            <w:r w:rsidRPr="194E39BE" w:rsidR="163BABFF">
              <w:rPr>
                <w:rFonts w:ascii="Arial" w:hAnsi="Arial" w:eastAsia="Arial" w:cs="Arial"/>
                <w:b w:val="1"/>
                <w:bCs w:val="1"/>
                <w:noProof w:val="0"/>
                <w:color w:val="0E101A"/>
                <w:sz w:val="22"/>
                <w:szCs w:val="22"/>
                <w:lang w:val="en-GB"/>
              </w:rPr>
              <w:t>Proposal title:</w:t>
            </w:r>
            <w:r w:rsidRPr="194E39BE" w:rsidR="163BABFF">
              <w:rPr>
                <w:rFonts w:ascii="Arial" w:hAnsi="Arial" w:eastAsia="Arial" w:cs="Arial"/>
                <w:noProof w:val="0"/>
                <w:color w:val="0E101A"/>
                <w:sz w:val="22"/>
                <w:szCs w:val="22"/>
                <w:lang w:val="en-GB"/>
              </w:rPr>
              <w:t xml:space="preserve"> </w:t>
            </w:r>
          </w:p>
          <w:p w:rsidRPr="00F10A84" w:rsidR="00991612" w:rsidP="194E39BE" w:rsidRDefault="5757D6B9" w14:paraId="467F30B4" w14:textId="64388565">
            <w:pPr>
              <w:pStyle w:val="Normal"/>
              <w:spacing w:before="0" w:beforeAutospacing="off" w:after="0" w:afterAutospacing="off" w:line="259" w:lineRule="auto"/>
              <w:rPr>
                <w:rFonts w:ascii="Arial" w:hAnsi="Arial" w:eastAsia="Arial" w:cs="Arial"/>
                <w:noProof w:val="0"/>
                <w:color w:val="auto"/>
                <w:sz w:val="22"/>
                <w:szCs w:val="22"/>
                <w:lang w:val="en-GB"/>
              </w:rPr>
            </w:pPr>
          </w:p>
          <w:p w:rsidRPr="00F10A84" w:rsidR="00991612" w:rsidP="194E39BE" w:rsidRDefault="5757D6B9" w14:paraId="086421A0" w14:textId="3DE6A3D2">
            <w:pPr>
              <w:pStyle w:val="Normal"/>
              <w:spacing w:before="0" w:beforeAutospacing="off" w:after="0" w:afterAutospacing="off" w:line="259" w:lineRule="auto"/>
              <w:rPr>
                <w:rFonts w:ascii="Arial" w:hAnsi="Arial" w:eastAsia="Arial" w:cs="Arial"/>
                <w:noProof w:val="0"/>
                <w:color w:val="auto"/>
                <w:sz w:val="22"/>
                <w:szCs w:val="22"/>
                <w:lang w:val="en-GB"/>
              </w:rPr>
            </w:pPr>
            <w:r w:rsidRPr="194E39BE" w:rsidR="6546EC84">
              <w:rPr>
                <w:rFonts w:ascii="Arial" w:hAnsi="Arial" w:eastAsia="Arial" w:cs="Arial"/>
                <w:noProof w:val="0"/>
                <w:color w:val="auto"/>
                <w:sz w:val="22"/>
                <w:szCs w:val="22"/>
                <w:lang w:val="en-GB"/>
              </w:rPr>
              <w:t>"Breaking Chains" a holistic rehabilitation programme for youth offenders involved in assault-related crimes associated with substance abuse and mental health issues.</w:t>
            </w:r>
          </w:p>
          <w:p w:rsidRPr="00F10A84" w:rsidR="00991612" w:rsidP="194E39BE" w:rsidRDefault="5757D6B9" w14:paraId="266DDF7F" w14:textId="0D5D4883">
            <w:pPr>
              <w:pStyle w:val="Normal"/>
              <w:spacing w:before="0" w:beforeAutospacing="off" w:after="0" w:afterAutospacing="off" w:line="259" w:lineRule="auto"/>
              <w:rPr>
                <w:rFonts w:ascii="Arial" w:hAnsi="Arial" w:eastAsia="Arial" w:cs="Arial"/>
                <w:noProof w:val="0"/>
                <w:color w:val="0E101A"/>
                <w:sz w:val="22"/>
                <w:szCs w:val="22"/>
                <w:lang w:val="en-GB"/>
              </w:rPr>
            </w:pPr>
          </w:p>
        </w:tc>
      </w:tr>
      <w:tr w:rsidRPr="00210378" w:rsidR="00991612" w:rsidTr="74718914" w14:paraId="422E707E" w14:textId="77777777">
        <w:trPr>
          <w:trHeight w:val="715"/>
        </w:trPr>
        <w:tc>
          <w:tcPr>
            <w:tcW w:w="10110" w:type="dxa"/>
            <w:shd w:val="clear" w:color="auto" w:fill="auto"/>
            <w:tcMar/>
          </w:tcPr>
          <w:p w:rsidR="69116599" w:rsidP="1C7DCB0F" w:rsidRDefault="00991612" w14:paraId="016A3565" w14:textId="22FCB311">
            <w:pPr>
              <w:pStyle w:val="Formlabel"/>
              <w:rPr>
                <w:b/>
                <w:bCs/>
                <w:sz w:val="22"/>
                <w:szCs w:val="22"/>
              </w:rPr>
            </w:pPr>
            <w:r w:rsidRPr="1C7DCB0F">
              <w:rPr>
                <w:b/>
                <w:bCs/>
                <w:sz w:val="22"/>
                <w:szCs w:val="22"/>
              </w:rPr>
              <w:t>Proposal theme:</w:t>
            </w:r>
          </w:p>
          <w:p w:rsidR="00F10A84" w:rsidP="7BAEF637" w:rsidRDefault="00F10A84" w14:paraId="6E222CA9" w14:textId="77777777">
            <w:pPr>
              <w:pStyle w:val="Formlabel"/>
              <w:rPr>
                <w:sz w:val="22"/>
                <w:szCs w:val="22"/>
              </w:rPr>
            </w:pPr>
          </w:p>
          <w:p w:rsidRPr="00210378" w:rsidR="00991612" w:rsidP="6A915056" w:rsidRDefault="00991612" w14:paraId="60E166B7" w14:textId="04A9BF24">
            <w:pPr>
              <w:pStyle w:val="Formlabel"/>
              <w:rPr>
                <w:sz w:val="22"/>
                <w:szCs w:val="22"/>
              </w:rPr>
            </w:pPr>
            <w:r w:rsidRPr="74718914" w:rsidR="7C2DFD1D">
              <w:rPr>
                <w:sz w:val="22"/>
                <w:szCs w:val="22"/>
              </w:rPr>
              <w:t>The proposed rehabilitation for young offenders aged 11-17 is a tailored, dynamic program</w:t>
            </w:r>
            <w:r w:rsidRPr="74718914" w:rsidR="00F56D46">
              <w:rPr>
                <w:sz w:val="22"/>
                <w:szCs w:val="22"/>
              </w:rPr>
              <w:t>me</w:t>
            </w:r>
            <w:r w:rsidRPr="74718914" w:rsidR="7C2DFD1D">
              <w:rPr>
                <w:sz w:val="22"/>
                <w:szCs w:val="22"/>
              </w:rPr>
              <w:t xml:space="preserve"> utili</w:t>
            </w:r>
            <w:r w:rsidRPr="74718914" w:rsidR="00F56D46">
              <w:rPr>
                <w:sz w:val="22"/>
                <w:szCs w:val="22"/>
              </w:rPr>
              <w:t>s</w:t>
            </w:r>
            <w:r w:rsidRPr="74718914" w:rsidR="7C2DFD1D">
              <w:rPr>
                <w:sz w:val="22"/>
                <w:szCs w:val="22"/>
              </w:rPr>
              <w:t>ing a mixed-methods approach, incorporating both quantitative and qualitative data through evidence-based practices like the Good Lives Model (GLM). Addressing substance abuse, psychological, physical, domestic, and mental health</w:t>
            </w:r>
            <w:r w:rsidRPr="74718914" w:rsidR="36F1AC2D">
              <w:rPr>
                <w:sz w:val="22"/>
                <w:szCs w:val="22"/>
              </w:rPr>
              <w:t xml:space="preserve"> challenges</w:t>
            </w:r>
            <w:r w:rsidRPr="74718914" w:rsidR="7C2DFD1D">
              <w:rPr>
                <w:sz w:val="22"/>
                <w:szCs w:val="22"/>
              </w:rPr>
              <w:t>, participants are selected based on willingness to engage and express a desire for change. The recruitment involves collaboration with criminal justice, community outreach, and mental health clinics. The multifaceted approach includes Cognitive-</w:t>
            </w:r>
            <w:r w:rsidRPr="74718914" w:rsidR="00F10A84">
              <w:rPr>
                <w:sz w:val="22"/>
                <w:szCs w:val="22"/>
              </w:rPr>
              <w:t>Behavioural</w:t>
            </w:r>
            <w:r w:rsidRPr="74718914" w:rsidR="7C2DFD1D">
              <w:rPr>
                <w:sz w:val="22"/>
                <w:szCs w:val="22"/>
              </w:rPr>
              <w:t xml:space="preserve"> Therapy (CBT), anger management, structured weekly sessions, and Social Skills Training (SST) for effective reintegration, focusing on root causes, essential life skills, and practical training. The </w:t>
            </w:r>
            <w:r w:rsidRPr="74718914" w:rsidR="7C2DFD1D">
              <w:rPr>
                <w:sz w:val="22"/>
                <w:szCs w:val="22"/>
              </w:rPr>
              <w:t>methodology</w:t>
            </w:r>
            <w:r w:rsidRPr="74718914" w:rsidR="7C2DFD1D">
              <w:rPr>
                <w:sz w:val="22"/>
                <w:szCs w:val="22"/>
              </w:rPr>
              <w:t xml:space="preserve"> outlines emergency procedures, consent forms, SAVRY assessments, suitable facility rooms, and involves qualified professionals. The 12 to 16-week </w:t>
            </w:r>
            <w:r w:rsidRPr="74718914" w:rsidR="7C2DFD1D">
              <w:rPr>
                <w:sz w:val="22"/>
                <w:szCs w:val="22"/>
              </w:rPr>
              <w:t>timeframe</w:t>
            </w:r>
            <w:r w:rsidRPr="74718914" w:rsidR="7C2DFD1D">
              <w:rPr>
                <w:sz w:val="22"/>
                <w:szCs w:val="22"/>
              </w:rPr>
              <w:t xml:space="preserve"> incorporates evidence-based assessments and regular evaluations for an adaptive and effective rehabilitative strategy, aligning with empirical studies on cultural competence, ethics, and sustained participant engagement.</w:t>
            </w:r>
          </w:p>
        </w:tc>
      </w:tr>
      <w:tr w:rsidRPr="00210378" w:rsidR="009E10F9" w:rsidTr="74718914" w14:paraId="2342E4C2" w14:textId="77777777">
        <w:trPr>
          <w:trHeight w:val="715"/>
        </w:trPr>
        <w:tc>
          <w:tcPr>
            <w:tcW w:w="10110" w:type="dxa"/>
            <w:shd w:val="clear" w:color="auto" w:fill="auto"/>
            <w:tcMar/>
          </w:tcPr>
          <w:p w:rsidR="1E06F883" w:rsidP="194E39BE" w:rsidRDefault="1E06F883" w14:paraId="5E48603A" w14:textId="3138A146">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b w:val="1"/>
                <w:bCs w:val="1"/>
                <w:noProof w:val="0"/>
                <w:color w:val="0E101A"/>
                <w:sz w:val="22"/>
                <w:szCs w:val="22"/>
                <w:lang w:val="en-GB"/>
              </w:rPr>
              <w:t>Background literature review:</w:t>
            </w:r>
            <w:r w:rsidRPr="194E39BE" w:rsidR="1E06F883">
              <w:rPr>
                <w:rFonts w:ascii="Arial" w:hAnsi="Arial" w:eastAsia="Arial" w:cs="Arial"/>
                <w:noProof w:val="0"/>
                <w:color w:val="0E101A"/>
                <w:sz w:val="22"/>
                <w:szCs w:val="22"/>
                <w:lang w:val="en-GB"/>
              </w:rPr>
              <w:t xml:space="preserve"> </w:t>
            </w:r>
          </w:p>
          <w:p w:rsidR="1E06F883" w:rsidP="194E39BE" w:rsidRDefault="1E06F883" w14:paraId="5152CBA0" w14:textId="5A49DF00">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 xml:space="preserve"> </w:t>
            </w:r>
          </w:p>
          <w:p w:rsidR="1E06F883" w:rsidP="194E39BE" w:rsidRDefault="1E06F883" w14:paraId="109E8181" w14:textId="56DA96AD">
            <w:pPr>
              <w:spacing w:before="0" w:beforeAutospacing="off" w:after="0" w:afterAutospacing="off"/>
              <w:jc w:val="both"/>
              <w:rPr>
                <w:rFonts w:ascii="Arial" w:hAnsi="Arial" w:eastAsia="Arial" w:cs="Arial"/>
                <w:noProof w:val="0"/>
                <w:color w:val="0E101A"/>
                <w:sz w:val="22"/>
                <w:szCs w:val="22"/>
                <w:lang w:val="en-GB"/>
              </w:rPr>
            </w:pPr>
            <w:r w:rsidRPr="74718914" w:rsidR="1E06F883">
              <w:rPr>
                <w:rFonts w:ascii="Arial" w:hAnsi="Arial" w:eastAsia="Arial" w:cs="Arial"/>
                <w:noProof w:val="0"/>
                <w:color w:val="0E101A"/>
                <w:sz w:val="22"/>
                <w:szCs w:val="22"/>
                <w:lang w:val="en-GB"/>
              </w:rPr>
              <w:t xml:space="preserve">Childhood often serves as the origin of criminality, linked to conduct disorders and specific risk factors that pose threats to children; childhood maltreatment and inadequate parental practices, according to </w:t>
            </w:r>
            <w:r w:rsidRPr="74718914" w:rsidR="1E06F883">
              <w:rPr>
                <w:rFonts w:ascii="Arial" w:hAnsi="Arial" w:eastAsia="Arial" w:cs="Arial"/>
                <w:noProof w:val="0"/>
                <w:color w:val="0E101A"/>
                <w:sz w:val="22"/>
                <w:szCs w:val="22"/>
                <w:lang w:val="en-GB"/>
              </w:rPr>
              <w:t>Baglivio</w:t>
            </w:r>
            <w:r w:rsidRPr="74718914" w:rsidR="1E06F883">
              <w:rPr>
                <w:rFonts w:ascii="Arial" w:hAnsi="Arial" w:eastAsia="Arial" w:cs="Arial"/>
                <w:noProof w:val="0"/>
                <w:color w:val="0E101A"/>
                <w:sz w:val="22"/>
                <w:szCs w:val="22"/>
                <w:lang w:val="en-GB"/>
              </w:rPr>
              <w:t xml:space="preserve"> et al. (2020), are linked to early and severe childhood and adolescent aggression, playing significant roles in the foundations of lifelong antisocial behaviour (Fox et al., 2015). Cho et al. (2019) revealed that young individuals with a history of maltreatment are prone to entering the juvenile justice system at younger ages in comparison to their peers who have not experienced maltreatment. This early engagement in the juvenile justice system is notable and amplifies the risk of adverse developmental outcomes, such as severe and sustained delinquent behaviour (Aguilar et al., 2022). The research </w:t>
            </w:r>
            <w:r w:rsidRPr="74718914" w:rsidR="1E06F883">
              <w:rPr>
                <w:rFonts w:ascii="Arial" w:hAnsi="Arial" w:eastAsia="Arial" w:cs="Arial"/>
                <w:noProof w:val="0"/>
                <w:color w:val="0E101A"/>
                <w:sz w:val="22"/>
                <w:szCs w:val="22"/>
                <w:lang w:val="en-GB"/>
              </w:rPr>
              <w:t>identifies</w:t>
            </w:r>
            <w:r w:rsidRPr="74718914" w:rsidR="1E06F883">
              <w:rPr>
                <w:rFonts w:ascii="Arial" w:hAnsi="Arial" w:eastAsia="Arial" w:cs="Arial"/>
                <w:noProof w:val="0"/>
                <w:color w:val="0E101A"/>
                <w:sz w:val="22"/>
                <w:szCs w:val="22"/>
                <w:lang w:val="en-GB"/>
              </w:rPr>
              <w:t xml:space="preserve"> notable risk factors associated with the early onset of delinquency in maltreated youth, highlighting the significance of creating interventions within the juvenile system that are not only attuned to developmental needs but also effective in addressing risk factors across various domains (Cho et al., 2019)</w:t>
            </w:r>
            <w:r w:rsidRPr="74718914" w:rsidR="579F3994">
              <w:rPr>
                <w:rFonts w:ascii="Arial" w:hAnsi="Arial" w:eastAsia="Arial" w:cs="Arial"/>
                <w:noProof w:val="0"/>
                <w:color w:val="0E101A"/>
                <w:sz w:val="22"/>
                <w:szCs w:val="22"/>
                <w:lang w:val="en-GB"/>
              </w:rPr>
              <w:t>,</w:t>
            </w:r>
            <w:r w:rsidRPr="74718914" w:rsidR="1E06F883">
              <w:rPr>
                <w:rFonts w:ascii="Arial" w:hAnsi="Arial" w:eastAsia="Arial" w:cs="Arial"/>
                <w:noProof w:val="0"/>
                <w:color w:val="0E101A"/>
                <w:sz w:val="22"/>
                <w:szCs w:val="22"/>
                <w:lang w:val="en-GB"/>
              </w:rPr>
              <w:t xml:space="preserve"> thus supporting the effectiveness of early intervention in aiding at-risk youths</w:t>
            </w:r>
            <w:r w:rsidRPr="74718914" w:rsidR="1E06F883">
              <w:rPr>
                <w:rFonts w:ascii="Arial" w:hAnsi="Arial" w:eastAsia="Arial" w:cs="Arial"/>
                <w:noProof w:val="0"/>
                <w:color w:val="0E101A"/>
                <w:sz w:val="22"/>
                <w:szCs w:val="22"/>
                <w:lang w:val="en-GB"/>
              </w:rPr>
              <w:t xml:space="preserve">.  </w:t>
            </w:r>
            <w:r w:rsidRPr="74718914" w:rsidR="1E06F883">
              <w:rPr>
                <w:rFonts w:ascii="Arial" w:hAnsi="Arial" w:eastAsia="Arial" w:cs="Arial"/>
                <w:noProof w:val="0"/>
                <w:color w:val="0E101A"/>
                <w:sz w:val="22"/>
                <w:szCs w:val="22"/>
                <w:lang w:val="en-GB"/>
              </w:rPr>
              <w:t xml:space="preserve">  </w:t>
            </w:r>
          </w:p>
          <w:p w:rsidR="1E06F883" w:rsidP="194E39BE" w:rsidRDefault="1E06F883" w14:paraId="0F7C7389" w14:textId="2B7F748A">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 xml:space="preserve">The targeted age range for intervention is substantiated by empirical evidence recognising the critical role of intervention during the ages of 11-17, the pertinent transitional phase to adulthood (Villeneuve et al., 2019). Acknowledged as influential contributors to criminal behaviour, Adverse Childhood Experiences (ACEs) and protective factors, like cheerful family and community support, are crucial during adolescence (Moore &amp; N Ramirez, 2016). Several studies, including those conducted by Wolff and </w:t>
            </w:r>
            <w:r w:rsidRPr="194E39BE" w:rsidR="1E06F883">
              <w:rPr>
                <w:rFonts w:ascii="Arial" w:hAnsi="Arial" w:eastAsia="Arial" w:cs="Arial"/>
                <w:noProof w:val="0"/>
                <w:color w:val="0E101A"/>
                <w:sz w:val="22"/>
                <w:szCs w:val="22"/>
                <w:lang w:val="en-GB"/>
              </w:rPr>
              <w:t>Baglivio</w:t>
            </w:r>
            <w:r w:rsidRPr="194E39BE" w:rsidR="1E06F883">
              <w:rPr>
                <w:rFonts w:ascii="Arial" w:hAnsi="Arial" w:eastAsia="Arial" w:cs="Arial"/>
                <w:noProof w:val="0"/>
                <w:color w:val="0E101A"/>
                <w:sz w:val="22"/>
                <w:szCs w:val="22"/>
                <w:lang w:val="en-GB"/>
              </w:rPr>
              <w:t xml:space="preserve"> (2017) and Wolff et al. (2017), have explored the correlation between ACEs and recidivism in juvenile offenders. </w:t>
            </w:r>
            <w:r w:rsidRPr="194E39BE" w:rsidR="1E06F883">
              <w:rPr>
                <w:rFonts w:ascii="Arial" w:hAnsi="Arial" w:eastAsia="Arial" w:cs="Arial"/>
                <w:noProof w:val="0"/>
                <w:color w:val="0E101A"/>
                <w:sz w:val="22"/>
                <w:szCs w:val="22"/>
                <w:lang w:val="en-GB"/>
              </w:rPr>
              <w:t>Previous</w:t>
            </w:r>
            <w:r w:rsidRPr="194E39BE" w:rsidR="1E06F883">
              <w:rPr>
                <w:rFonts w:ascii="Arial" w:hAnsi="Arial" w:eastAsia="Arial" w:cs="Arial"/>
                <w:noProof w:val="0"/>
                <w:color w:val="0E101A"/>
                <w:sz w:val="22"/>
                <w:szCs w:val="22"/>
                <w:lang w:val="en-GB"/>
              </w:rPr>
              <w:t xml:space="preserve"> research </w:t>
            </w:r>
            <w:r w:rsidRPr="194E39BE" w:rsidR="1E06F883">
              <w:rPr>
                <w:rFonts w:ascii="Arial" w:hAnsi="Arial" w:eastAsia="Arial" w:cs="Arial"/>
                <w:noProof w:val="0"/>
                <w:color w:val="0E101A"/>
                <w:sz w:val="22"/>
                <w:szCs w:val="22"/>
                <w:lang w:val="en-GB"/>
              </w:rPr>
              <w:t>indicates</w:t>
            </w:r>
            <w:r w:rsidRPr="194E39BE" w:rsidR="1E06F883">
              <w:rPr>
                <w:rFonts w:ascii="Arial" w:hAnsi="Arial" w:eastAsia="Arial" w:cs="Arial"/>
                <w:noProof w:val="0"/>
                <w:color w:val="0E101A"/>
                <w:sz w:val="22"/>
                <w:szCs w:val="22"/>
                <w:lang w:val="en-GB"/>
              </w:rPr>
              <w:t xml:space="preserve"> that male juvenile offenders who have experienced violence tend to show increased risk factors and less protective factors aligned with delinquent behaviour compared to those without such exposure (Bender, 2010; Mrug et al., 2008). Given that risk factors are linked to both initial offences and reoffending (Hoge et al., 2015), research Indicates an increased probability of reoffending in male juvenile offenders who have been subjected to family violence, with these individuals being more prone to committing their first re-offence at a younger age (</w:t>
            </w:r>
            <w:r w:rsidRPr="194E39BE" w:rsidR="1E06F883">
              <w:rPr>
                <w:rFonts w:ascii="Arial" w:hAnsi="Arial" w:eastAsia="Arial" w:cs="Arial"/>
                <w:noProof w:val="0"/>
                <w:color w:val="0E101A"/>
                <w:sz w:val="22"/>
                <w:szCs w:val="22"/>
                <w:lang w:val="en-GB"/>
              </w:rPr>
              <w:t>Cénat</w:t>
            </w:r>
            <w:r w:rsidRPr="194E39BE" w:rsidR="1E06F883">
              <w:rPr>
                <w:rFonts w:ascii="Arial" w:hAnsi="Arial" w:eastAsia="Arial" w:cs="Arial"/>
                <w:noProof w:val="0"/>
                <w:color w:val="0E101A"/>
                <w:sz w:val="22"/>
                <w:szCs w:val="22"/>
                <w:lang w:val="en-GB"/>
              </w:rPr>
              <w:t xml:space="preserve"> et al., 2015)</w:t>
            </w:r>
            <w:r w:rsidRPr="194E39BE" w:rsidR="1E06F883">
              <w:rPr>
                <w:rFonts w:ascii="Arial" w:hAnsi="Arial" w:eastAsia="Arial" w:cs="Arial"/>
                <w:noProof w:val="0"/>
                <w:color w:val="0E101A"/>
                <w:sz w:val="22"/>
                <w:szCs w:val="22"/>
                <w:lang w:val="en-GB"/>
              </w:rPr>
              <w:t xml:space="preserve">.  </w:t>
            </w:r>
          </w:p>
          <w:p w:rsidR="1E06F883" w:rsidP="194E39BE" w:rsidRDefault="1E06F883" w14:paraId="59E7647E" w14:textId="3210FC06">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 xml:space="preserve">Tailored interventions in this period address specific risks and enhance protective factors, reducing the likelihood of further criminal involvement (Carl et al., 2020). Research, including the Pathways to Desistance study (2003), </w:t>
            </w:r>
            <w:r w:rsidRPr="194E39BE" w:rsidR="1E06F883">
              <w:rPr>
                <w:rFonts w:ascii="Arial" w:hAnsi="Arial" w:eastAsia="Arial" w:cs="Arial"/>
                <w:noProof w:val="0"/>
                <w:color w:val="0E101A"/>
                <w:sz w:val="22"/>
                <w:szCs w:val="22"/>
                <w:lang w:val="en-GB"/>
              </w:rPr>
              <w:t>indicates</w:t>
            </w:r>
            <w:r w:rsidRPr="194E39BE" w:rsidR="1E06F883">
              <w:rPr>
                <w:rFonts w:ascii="Arial" w:hAnsi="Arial" w:eastAsia="Arial" w:cs="Arial"/>
                <w:noProof w:val="0"/>
                <w:color w:val="0E101A"/>
                <w:sz w:val="22"/>
                <w:szCs w:val="22"/>
                <w:lang w:val="en-GB"/>
              </w:rPr>
              <w:t xml:space="preserve"> that adolescent interventions significantly reduce reoffending than those </w:t>
            </w:r>
            <w:r w:rsidRPr="194E39BE" w:rsidR="1E06F883">
              <w:rPr>
                <w:rFonts w:ascii="Arial" w:hAnsi="Arial" w:eastAsia="Arial" w:cs="Arial"/>
                <w:noProof w:val="0"/>
                <w:color w:val="0E101A"/>
                <w:sz w:val="22"/>
                <w:szCs w:val="22"/>
                <w:lang w:val="en-GB"/>
              </w:rPr>
              <w:t>initiated</w:t>
            </w:r>
            <w:r w:rsidRPr="194E39BE" w:rsidR="1E06F883">
              <w:rPr>
                <w:rFonts w:ascii="Arial" w:hAnsi="Arial" w:eastAsia="Arial" w:cs="Arial"/>
                <w:noProof w:val="0"/>
                <w:color w:val="0E101A"/>
                <w:sz w:val="22"/>
                <w:szCs w:val="22"/>
                <w:lang w:val="en-GB"/>
              </w:rPr>
              <w:t xml:space="preserve"> later in life (Mulvey, 2004). Neuroscientific research also suggests significant development in the adolescent brain, offering an opportune time for effective intervention in reshaping cognitive patterns and behaviours (Steinberg et al., 2015)</w:t>
            </w:r>
            <w:r w:rsidRPr="194E39BE" w:rsidR="1E06F883">
              <w:rPr>
                <w:rFonts w:ascii="Arial" w:hAnsi="Arial" w:eastAsia="Arial" w:cs="Arial"/>
                <w:noProof w:val="0"/>
                <w:color w:val="0E101A"/>
                <w:sz w:val="22"/>
                <w:szCs w:val="22"/>
                <w:lang w:val="en-GB"/>
              </w:rPr>
              <w:t xml:space="preserve">.  </w:t>
            </w:r>
          </w:p>
          <w:p w:rsidR="1E06F883" w:rsidP="194E39BE" w:rsidRDefault="1E06F883" w14:paraId="7533DF67" w14:textId="6F445F84">
            <w:pPr>
              <w:spacing w:before="0" w:beforeAutospacing="off" w:after="0" w:afterAutospacing="off"/>
              <w:jc w:val="both"/>
              <w:rPr>
                <w:rFonts w:ascii="Arial" w:hAnsi="Arial" w:eastAsia="Arial" w:cs="Arial"/>
                <w:noProof w:val="0"/>
                <w:color w:val="0E101A"/>
                <w:sz w:val="22"/>
                <w:szCs w:val="22"/>
                <w:lang w:val="en-GB"/>
              </w:rPr>
            </w:pPr>
            <w:r w:rsidRPr="74718914" w:rsidR="1E06F883">
              <w:rPr>
                <w:rFonts w:ascii="Arial" w:hAnsi="Arial" w:eastAsia="Arial" w:cs="Arial"/>
                <w:noProof w:val="0"/>
                <w:color w:val="0E101A"/>
                <w:sz w:val="22"/>
                <w:szCs w:val="22"/>
                <w:lang w:val="en-GB"/>
              </w:rPr>
              <w:t>Young offenders grappling with substance abuse often face a complex web of challenges, as their addictive behaviours often intertwine with underlying mental health issues (Turner et al., 2021). The pattern of substance abuse has the potential to worsen pre-existing mental health issues or instigate the development of new ones, presenting a significant obstacle to the rehabilitation process (Steeves, 2022). Adolescents may resort to substances as a coping mechanism for their unresolved psychological struggles, perpetuating a vicious cycle of criminal behaviour and addiction (Wilson, 2023). An integrative approach that combines evidence-based practices is essential to break this cycle. By addressing the root causes of criminal behaviour and concurrently focusing on mental health, interventions can pave the way for a more comprehensive and sustainable recovery (Skewes et al., 2019)</w:t>
            </w:r>
            <w:r w:rsidRPr="74718914" w:rsidR="1E06F883">
              <w:rPr>
                <w:rFonts w:ascii="Arial" w:hAnsi="Arial" w:eastAsia="Arial" w:cs="Arial"/>
                <w:noProof w:val="0"/>
                <w:color w:val="0E101A"/>
                <w:sz w:val="22"/>
                <w:szCs w:val="22"/>
                <w:lang w:val="en-GB"/>
              </w:rPr>
              <w:t xml:space="preserve">.  </w:t>
            </w:r>
            <w:r w:rsidRPr="74718914" w:rsidR="1E06F883">
              <w:rPr>
                <w:rFonts w:ascii="Arial" w:hAnsi="Arial" w:eastAsia="Arial" w:cs="Arial"/>
                <w:noProof w:val="0"/>
                <w:color w:val="0E101A"/>
                <w:sz w:val="22"/>
                <w:szCs w:val="22"/>
                <w:lang w:val="en-GB"/>
              </w:rPr>
              <w:t xml:space="preserve"> </w:t>
            </w:r>
          </w:p>
          <w:p w:rsidR="31E46AFF" w:rsidP="74718914" w:rsidRDefault="31E46AFF" w14:paraId="7655C8AE" w14:textId="638C5902">
            <w:pPr>
              <w:pStyle w:val="Normal"/>
              <w:spacing w:before="0" w:beforeAutospacing="off" w:after="0" w:afterAutospacing="off"/>
              <w:jc w:val="both"/>
              <w:rPr>
                <w:rFonts w:ascii="Arial" w:hAnsi="Arial" w:eastAsia="Arial" w:cs="Arial"/>
                <w:noProof w:val="0"/>
                <w:color w:val="0E101A"/>
                <w:sz w:val="22"/>
                <w:szCs w:val="22"/>
                <w:lang w:val="en-GB"/>
              </w:rPr>
            </w:pPr>
            <w:r w:rsidRPr="74718914" w:rsidR="31E46AFF">
              <w:rPr>
                <w:rFonts w:ascii="Arial" w:hAnsi="Arial" w:eastAsia="Arial" w:cs="Arial"/>
                <w:noProof w:val="0"/>
                <w:color w:val="0E101A"/>
                <w:sz w:val="22"/>
                <w:szCs w:val="22"/>
                <w:lang w:val="en-GB"/>
              </w:rPr>
              <w:t xml:space="preserve">A victim impact statement is seen as integral to the rehabilitation process, offering a first-hand of the crime's consequences on the victim (Mundy, 2020). This insight fosters empathy among offenders, helping them grasp the pain, trauma, and suffering inflicted. This emotional connection becomes a potent motivator for individuals in rehabilitation, encouraging them to </w:t>
            </w:r>
            <w:r w:rsidRPr="74718914" w:rsidR="31E46AFF">
              <w:rPr>
                <w:rFonts w:ascii="Arial" w:hAnsi="Arial" w:eastAsia="Arial" w:cs="Arial"/>
                <w:noProof w:val="0"/>
                <w:color w:val="0E101A"/>
                <w:sz w:val="22"/>
                <w:szCs w:val="22"/>
                <w:lang w:val="en-GB"/>
              </w:rPr>
              <w:t>comprehend</w:t>
            </w:r>
            <w:r w:rsidRPr="74718914" w:rsidR="31E46AFF">
              <w:rPr>
                <w:rFonts w:ascii="Arial" w:hAnsi="Arial" w:eastAsia="Arial" w:cs="Arial"/>
                <w:noProof w:val="0"/>
                <w:color w:val="0E101A"/>
                <w:sz w:val="22"/>
                <w:szCs w:val="22"/>
                <w:lang w:val="en-GB"/>
              </w:rPr>
              <w:t xml:space="preserve"> the repercussions of their actions </w:t>
            </w:r>
            <w:r w:rsidRPr="74718914" w:rsidR="5291F866">
              <w:rPr>
                <w:rFonts w:ascii="Arial" w:hAnsi="Arial" w:eastAsia="Arial" w:cs="Arial"/>
                <w:noProof w:val="0"/>
                <w:color w:val="0E101A"/>
                <w:sz w:val="22"/>
                <w:szCs w:val="22"/>
                <w:lang w:val="en-GB"/>
              </w:rPr>
              <w:t>(Spacey</w:t>
            </w:r>
            <w:r w:rsidRPr="74718914" w:rsidR="31E46AFF">
              <w:rPr>
                <w:rFonts w:ascii="Arial" w:hAnsi="Arial" w:eastAsia="Arial" w:cs="Arial"/>
                <w:noProof w:val="0"/>
                <w:color w:val="0E101A"/>
                <w:sz w:val="22"/>
                <w:szCs w:val="22"/>
                <w:lang w:val="en-GB"/>
              </w:rPr>
              <w:t xml:space="preserve"> et al., 2022). Recognising the impact on victims serves as a powerful incentive for active engagement in rehabilitation efforts, often evoking feelings of remorse and a genuine desire to change (Johnson, 2022). Incorporating victim statements allows programmes to gauge success not just in reduced recidivism but also in the positive impact on victims. </w:t>
            </w:r>
            <w:r w:rsidRPr="74718914" w:rsidR="269CA43F">
              <w:rPr>
                <w:rFonts w:ascii="Arial" w:hAnsi="Arial" w:eastAsia="Arial" w:cs="Arial"/>
                <w:noProof w:val="0"/>
                <w:color w:val="0E101A"/>
                <w:sz w:val="22"/>
                <w:szCs w:val="22"/>
                <w:lang w:val="en-GB"/>
              </w:rPr>
              <w:t>Farrokhi (</w:t>
            </w:r>
            <w:r w:rsidRPr="74718914" w:rsidR="31E46AFF">
              <w:rPr>
                <w:rFonts w:ascii="Arial" w:hAnsi="Arial" w:eastAsia="Arial" w:cs="Arial"/>
                <w:noProof w:val="0"/>
                <w:color w:val="0E101A"/>
                <w:sz w:val="22"/>
                <w:szCs w:val="22"/>
                <w:lang w:val="en-GB"/>
              </w:rPr>
              <w:t xml:space="preserve">2021) suggests victim impact statements are invaluable in humanising the consequences of criminal behaviour, instilling accountability, and </w:t>
            </w:r>
            <w:r w:rsidRPr="74718914" w:rsidR="31E46AFF">
              <w:rPr>
                <w:rFonts w:ascii="Arial" w:hAnsi="Arial" w:eastAsia="Arial" w:cs="Arial"/>
                <w:noProof w:val="0"/>
                <w:color w:val="0E101A"/>
                <w:sz w:val="22"/>
                <w:szCs w:val="22"/>
                <w:lang w:val="en-GB"/>
              </w:rPr>
              <w:t>establishing</w:t>
            </w:r>
            <w:r w:rsidRPr="74718914" w:rsidR="31E46AFF">
              <w:rPr>
                <w:rFonts w:ascii="Arial" w:hAnsi="Arial" w:eastAsia="Arial" w:cs="Arial"/>
                <w:noProof w:val="0"/>
                <w:color w:val="0E101A"/>
                <w:sz w:val="22"/>
                <w:szCs w:val="22"/>
                <w:lang w:val="en-GB"/>
              </w:rPr>
              <w:t xml:space="preserve"> a foundation for meaningful and enduring change in offenders' lives.</w:t>
            </w:r>
          </w:p>
          <w:p w:rsidR="1E06F883" w:rsidP="194E39BE" w:rsidRDefault="1E06F883" w14:paraId="54F82819" w14:textId="76687CDA">
            <w:pPr>
              <w:spacing w:before="0" w:beforeAutospacing="off" w:after="0" w:afterAutospacing="off"/>
              <w:jc w:val="both"/>
              <w:rPr>
                <w:rFonts w:ascii="Arial" w:hAnsi="Arial" w:eastAsia="Arial" w:cs="Arial"/>
                <w:noProof w:val="0"/>
                <w:color w:val="0E101A"/>
                <w:sz w:val="22"/>
                <w:szCs w:val="22"/>
                <w:lang w:val="en-GB"/>
              </w:rPr>
            </w:pPr>
            <w:r w:rsidRPr="74718914" w:rsidR="1E06F883">
              <w:rPr>
                <w:rFonts w:ascii="Arial" w:hAnsi="Arial" w:eastAsia="Arial" w:cs="Arial"/>
                <w:noProof w:val="0"/>
                <w:color w:val="0E101A"/>
                <w:sz w:val="22"/>
                <w:szCs w:val="22"/>
                <w:lang w:val="en-GB"/>
              </w:rPr>
              <w:t>A holistic approach</w:t>
            </w:r>
            <w:r w:rsidRPr="74718914" w:rsidR="1E06F883">
              <w:rPr>
                <w:rFonts w:ascii="Arial" w:hAnsi="Arial" w:eastAsia="Arial" w:cs="Arial"/>
                <w:noProof w:val="0"/>
                <w:color w:val="0E101A"/>
                <w:sz w:val="22"/>
                <w:szCs w:val="22"/>
                <w:lang w:val="en-GB"/>
              </w:rPr>
              <w:t xml:space="preserve"> recognises the interconnected nature of substance abuse and mental health, striving to empower young offenders with the tools they need for lasting transformation and reintegration into society (Menon &amp; Cheung, 2018). Consistent with the literature, CBT has effectively reduced repetition among young offenders by addressing cognitive distortions and fostering coping mechanisms (Gaffney et al., 2021). Riise et al. (2021) reported that CBT programmes will </w:t>
            </w:r>
            <w:r w:rsidRPr="74718914" w:rsidR="1E06F883">
              <w:rPr>
                <w:rFonts w:ascii="Arial" w:hAnsi="Arial" w:eastAsia="Arial" w:cs="Arial"/>
                <w:noProof w:val="0"/>
                <w:color w:val="0E101A"/>
                <w:sz w:val="22"/>
                <w:szCs w:val="22"/>
                <w:lang w:val="en-GB"/>
              </w:rPr>
              <w:t>likely take</w:t>
            </w:r>
            <w:r w:rsidRPr="74718914" w:rsidR="1E06F883">
              <w:rPr>
                <w:rFonts w:ascii="Arial" w:hAnsi="Arial" w:eastAsia="Arial" w:cs="Arial"/>
                <w:noProof w:val="0"/>
                <w:color w:val="0E101A"/>
                <w:sz w:val="22"/>
                <w:szCs w:val="22"/>
                <w:lang w:val="en-GB"/>
              </w:rPr>
              <w:t xml:space="preserve"> place over an average of 15 weeks for a positive outcome</w:t>
            </w:r>
            <w:r w:rsidRPr="74718914" w:rsidR="1E06F883">
              <w:rPr>
                <w:rFonts w:ascii="Arial" w:hAnsi="Arial" w:eastAsia="Arial" w:cs="Arial"/>
                <w:noProof w:val="0"/>
                <w:color w:val="0E101A"/>
                <w:sz w:val="22"/>
                <w:szCs w:val="22"/>
                <w:lang w:val="en-GB"/>
              </w:rPr>
              <w:t xml:space="preserve">. </w:t>
            </w:r>
            <w:r w:rsidRPr="74718914" w:rsidR="4E56EE75">
              <w:rPr>
                <w:rFonts w:ascii="Arial" w:hAnsi="Arial" w:eastAsia="Arial" w:cs="Arial"/>
                <w:noProof w:val="0"/>
                <w:color w:val="0E101A"/>
                <w:sz w:val="22"/>
                <w:szCs w:val="22"/>
                <w:lang w:val="en-GB"/>
              </w:rPr>
              <w:t>According to O'Connor et al. (201</w:t>
            </w:r>
            <w:r w:rsidRPr="74718914" w:rsidR="3D2CC373">
              <w:rPr>
                <w:rFonts w:ascii="Arial" w:hAnsi="Arial" w:eastAsia="Arial" w:cs="Arial"/>
                <w:noProof w:val="0"/>
                <w:color w:val="0E101A"/>
                <w:sz w:val="22"/>
                <w:szCs w:val="22"/>
                <w:lang w:val="en-GB"/>
              </w:rPr>
              <w:t>5</w:t>
            </w:r>
            <w:r w:rsidRPr="74718914" w:rsidR="4E56EE75">
              <w:rPr>
                <w:rFonts w:ascii="Arial" w:hAnsi="Arial" w:eastAsia="Arial" w:cs="Arial"/>
                <w:noProof w:val="0"/>
                <w:color w:val="0E101A"/>
                <w:sz w:val="22"/>
                <w:szCs w:val="22"/>
                <w:lang w:val="en-GB"/>
              </w:rPr>
              <w:t xml:space="preserve">), the youth re-offending programmes that </w:t>
            </w:r>
            <w:r w:rsidRPr="74718914" w:rsidR="4E56EE75">
              <w:rPr>
                <w:rFonts w:ascii="Arial" w:hAnsi="Arial" w:eastAsia="Arial" w:cs="Arial"/>
                <w:noProof w:val="0"/>
                <w:color w:val="0E101A"/>
                <w:sz w:val="22"/>
                <w:szCs w:val="22"/>
                <w:lang w:val="en-GB"/>
              </w:rPr>
              <w:t>demonstrated</w:t>
            </w:r>
            <w:r w:rsidRPr="74718914" w:rsidR="4E56EE75">
              <w:rPr>
                <w:rFonts w:ascii="Arial" w:hAnsi="Arial" w:eastAsia="Arial" w:cs="Arial"/>
                <w:noProof w:val="0"/>
                <w:color w:val="0E101A"/>
                <w:sz w:val="22"/>
                <w:szCs w:val="22"/>
                <w:lang w:val="en-GB"/>
              </w:rPr>
              <w:t xml:space="preserve"> the highest success rates incorporated CBT along with social skills training. Conversely, programmes centred around job-related skills were identified as the least effective in reducing re-offending among youths</w:t>
            </w:r>
            <w:r w:rsidRPr="74718914" w:rsidR="2059432F">
              <w:rPr>
                <w:rFonts w:ascii="Arial" w:hAnsi="Arial" w:eastAsia="Arial" w:cs="Arial"/>
                <w:noProof w:val="0"/>
                <w:color w:val="0E101A"/>
                <w:sz w:val="22"/>
                <w:szCs w:val="22"/>
                <w:lang w:val="en-GB"/>
              </w:rPr>
              <w:t xml:space="preserve"> (Roberts et al., 2019).</w:t>
            </w:r>
          </w:p>
          <w:p w:rsidR="1E06F883" w:rsidP="194E39BE" w:rsidRDefault="1E06F883" w14:paraId="7FBE0B9B" w14:textId="69570D72">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 xml:space="preserve">Similarly, the Structured Assessment of Violence Risk in Youth (SAVRY) </w:t>
            </w:r>
            <w:r w:rsidRPr="194E39BE" w:rsidR="1E06F883">
              <w:rPr>
                <w:rFonts w:ascii="Arial" w:hAnsi="Arial" w:eastAsia="Arial" w:cs="Arial"/>
                <w:noProof w:val="0"/>
                <w:color w:val="0E101A"/>
                <w:sz w:val="22"/>
                <w:szCs w:val="22"/>
                <w:lang w:val="en-GB"/>
              </w:rPr>
              <w:t>facilitates</w:t>
            </w:r>
            <w:r w:rsidRPr="194E39BE" w:rsidR="1E06F883">
              <w:rPr>
                <w:rFonts w:ascii="Arial" w:hAnsi="Arial" w:eastAsia="Arial" w:cs="Arial"/>
                <w:noProof w:val="0"/>
                <w:color w:val="0E101A"/>
                <w:sz w:val="22"/>
                <w:szCs w:val="22"/>
                <w:lang w:val="en-GB"/>
              </w:rPr>
              <w:t xml:space="preserve"> personalised risk assessment, improving precision in intervention planning (Borum et al., 2020). Interventions use the SAVRY, enabling a comprehensive analysis of recidivism risk and protective factors and are employed to manage young offenders' delinquent behaviour risk</w:t>
            </w:r>
            <w:r w:rsidRPr="194E39BE" w:rsidR="1E06F883">
              <w:rPr>
                <w:rFonts w:ascii="Arial" w:hAnsi="Arial" w:eastAsia="Arial" w:cs="Arial"/>
                <w:noProof w:val="0"/>
                <w:color w:val="0E101A"/>
                <w:sz w:val="22"/>
                <w:szCs w:val="22"/>
                <w:lang w:val="en-GB"/>
              </w:rPr>
              <w:t xml:space="preserve">.  </w:t>
            </w:r>
            <w:r w:rsidRPr="194E39BE" w:rsidR="1E06F883">
              <w:rPr>
                <w:rFonts w:ascii="Arial" w:hAnsi="Arial" w:eastAsia="Arial" w:cs="Arial"/>
                <w:noProof w:val="0"/>
                <w:color w:val="0E101A"/>
                <w:sz w:val="22"/>
                <w:szCs w:val="22"/>
                <w:lang w:val="en-GB"/>
              </w:rPr>
              <w:t xml:space="preserve"> </w:t>
            </w:r>
          </w:p>
          <w:p w:rsidR="1E06F883" w:rsidP="194E39BE" w:rsidRDefault="1E06F883" w14:paraId="2164CE4F" w14:textId="2D2C74D0">
            <w:pPr>
              <w:spacing w:before="0" w:beforeAutospacing="off" w:after="0" w:afterAutospacing="off"/>
              <w:jc w:val="both"/>
              <w:rPr>
                <w:rFonts w:ascii="Arial" w:hAnsi="Arial" w:eastAsia="Arial" w:cs="Arial"/>
                <w:noProof w:val="0"/>
                <w:color w:val="0E101A"/>
                <w:sz w:val="22"/>
                <w:szCs w:val="22"/>
                <w:lang w:val="en-GB"/>
              </w:rPr>
            </w:pPr>
            <w:r w:rsidRPr="74718914" w:rsidR="1E06F883">
              <w:rPr>
                <w:rFonts w:ascii="Arial" w:hAnsi="Arial" w:eastAsia="Arial" w:cs="Arial"/>
                <w:noProof w:val="0"/>
                <w:color w:val="0E101A"/>
                <w:sz w:val="22"/>
                <w:szCs w:val="22"/>
                <w:lang w:val="en-GB"/>
              </w:rPr>
              <w:t xml:space="preserve">The proposed intervention draws on evidence-based practices and is inspired by the GLM, which emphasises guiding individuals towards fulfilling lives, advocating interventions exceeding risk mitigation and criminogenic needs, encouraging positive behaviour fostering and the pursuit of a meaningful existence (Wainwright &amp; Nee, 2014). Moreover, SST is seen as effective in improving youth offenders' interpersonal competence and reducing antisocial behaviour (Hoge et al., 2015; Goldstein &amp; Glick, 1987). Aligned with Albert Bandura's Social Learning Theory, the intervention highlights observational learning, enabling youth offenders to </w:t>
            </w:r>
            <w:r w:rsidRPr="74718914" w:rsidR="1E06F883">
              <w:rPr>
                <w:rFonts w:ascii="Arial" w:hAnsi="Arial" w:eastAsia="Arial" w:cs="Arial"/>
                <w:noProof w:val="0"/>
                <w:color w:val="0E101A"/>
                <w:sz w:val="22"/>
                <w:szCs w:val="22"/>
                <w:lang w:val="en-GB"/>
              </w:rPr>
              <w:t>acquire</w:t>
            </w:r>
            <w:r w:rsidRPr="74718914" w:rsidR="1E06F883">
              <w:rPr>
                <w:rFonts w:ascii="Arial" w:hAnsi="Arial" w:eastAsia="Arial" w:cs="Arial"/>
                <w:noProof w:val="0"/>
                <w:color w:val="0E101A"/>
                <w:sz w:val="22"/>
                <w:szCs w:val="22"/>
                <w:lang w:val="en-GB"/>
              </w:rPr>
              <w:t xml:space="preserve"> positive behaviours through observation, imitation, and reinforcement. The structured sessions in rehabilitation programmes include role-playing, group discussions, and real-life scenarios to teach and reinforce skills. The intervention addresses factors contributing to delinquency, focusing on prosocial behaviour development, aligning with the notion that behaviour change involves reducing negative behaviours and promoting positive alternatives (Bandura, 1977)</w:t>
            </w:r>
            <w:r w:rsidRPr="74718914" w:rsidR="1E06F883">
              <w:rPr>
                <w:rFonts w:ascii="Arial" w:hAnsi="Arial" w:eastAsia="Arial" w:cs="Arial"/>
                <w:noProof w:val="0"/>
                <w:color w:val="0E101A"/>
                <w:sz w:val="22"/>
                <w:szCs w:val="22"/>
                <w:lang w:val="en-GB"/>
              </w:rPr>
              <w:t xml:space="preserve">.  </w:t>
            </w:r>
          </w:p>
          <w:p w:rsidR="1E06F883" w:rsidP="194E39BE" w:rsidRDefault="1E06F883" w14:paraId="600F0F24" w14:textId="0870F402">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Aligned to transcend conventional approaches, the GLM equipped with SST underscores comprehensive personal development and holistic recovery in rehabilitation settings (George, 2016)</w:t>
            </w:r>
            <w:r w:rsidRPr="194E39BE" w:rsidR="1E06F883">
              <w:rPr>
                <w:rFonts w:ascii="Arial" w:hAnsi="Arial" w:eastAsia="Arial" w:cs="Arial"/>
                <w:noProof w:val="0"/>
                <w:color w:val="0E101A"/>
                <w:sz w:val="22"/>
                <w:szCs w:val="22"/>
                <w:lang w:val="en-GB"/>
              </w:rPr>
              <w:t xml:space="preserve">.  </w:t>
            </w:r>
          </w:p>
          <w:p w:rsidR="1E06F883" w:rsidP="194E39BE" w:rsidRDefault="1E06F883" w14:paraId="1BC8A740" w14:textId="19B4C6F5">
            <w:pPr>
              <w:spacing w:before="0" w:beforeAutospacing="off" w:after="0" w:afterAutospacing="off"/>
              <w:jc w:val="both"/>
              <w:rPr>
                <w:rFonts w:ascii="Arial" w:hAnsi="Arial" w:eastAsia="Arial" w:cs="Arial"/>
                <w:noProof w:val="0"/>
                <w:color w:val="0E101A"/>
                <w:sz w:val="22"/>
                <w:szCs w:val="22"/>
                <w:lang w:val="en-GB"/>
              </w:rPr>
            </w:pPr>
            <w:r w:rsidRPr="194E39BE" w:rsidR="1E06F883">
              <w:rPr>
                <w:rFonts w:ascii="Arial" w:hAnsi="Arial" w:eastAsia="Arial" w:cs="Arial"/>
                <w:noProof w:val="0"/>
                <w:color w:val="0E101A"/>
                <w:sz w:val="22"/>
                <w:szCs w:val="22"/>
                <w:lang w:val="en-GB"/>
              </w:rPr>
              <w:t xml:space="preserve">The aim is to </w:t>
            </w:r>
            <w:r w:rsidRPr="194E39BE" w:rsidR="1E06F883">
              <w:rPr>
                <w:rFonts w:ascii="Arial" w:hAnsi="Arial" w:eastAsia="Arial" w:cs="Arial"/>
                <w:noProof w:val="0"/>
                <w:color w:val="0E101A"/>
                <w:sz w:val="22"/>
                <w:szCs w:val="22"/>
                <w:lang w:val="en-GB"/>
              </w:rPr>
              <w:t>provide</w:t>
            </w:r>
            <w:r w:rsidRPr="194E39BE" w:rsidR="1E06F883">
              <w:rPr>
                <w:rFonts w:ascii="Arial" w:hAnsi="Arial" w:eastAsia="Arial" w:cs="Arial"/>
                <w:noProof w:val="0"/>
                <w:color w:val="0E101A"/>
                <w:sz w:val="22"/>
                <w:szCs w:val="22"/>
                <w:lang w:val="en-GB"/>
              </w:rPr>
              <w:t xml:space="preserve"> targeted and evidence-based interventions for young offenders aged 11 to 17, considering the unique challenges and opportunities presented during the critical transitional phase to adulthood. The rationale for this approach is grounded in empirical evidence </w:t>
            </w:r>
            <w:r w:rsidRPr="194E39BE" w:rsidR="1E06F883">
              <w:rPr>
                <w:rFonts w:ascii="Arial" w:hAnsi="Arial" w:eastAsia="Arial" w:cs="Arial"/>
                <w:noProof w:val="0"/>
                <w:color w:val="0E101A"/>
                <w:sz w:val="22"/>
                <w:szCs w:val="22"/>
                <w:lang w:val="en-GB"/>
              </w:rPr>
              <w:t>demonstrating</w:t>
            </w:r>
            <w:r w:rsidRPr="194E39BE" w:rsidR="1E06F883">
              <w:rPr>
                <w:rFonts w:ascii="Arial" w:hAnsi="Arial" w:eastAsia="Arial" w:cs="Arial"/>
                <w:noProof w:val="0"/>
                <w:color w:val="0E101A"/>
                <w:sz w:val="22"/>
                <w:szCs w:val="22"/>
                <w:lang w:val="en-GB"/>
              </w:rPr>
              <w:t xml:space="preserve"> the efficacy of early interventions, the significance of addressing specific risk factors, and the suitability of CBT, </w:t>
            </w:r>
            <w:r w:rsidRPr="194E39BE" w:rsidR="1E06F883">
              <w:rPr>
                <w:rFonts w:ascii="Arial" w:hAnsi="Arial" w:eastAsia="Arial" w:cs="Arial"/>
                <w:noProof w:val="0"/>
                <w:color w:val="0E101A"/>
                <w:sz w:val="22"/>
                <w:szCs w:val="22"/>
                <w:lang w:val="en-GB"/>
              </w:rPr>
              <w:t>SST</w:t>
            </w:r>
            <w:r w:rsidRPr="194E39BE" w:rsidR="1E06F883">
              <w:rPr>
                <w:rFonts w:ascii="Arial" w:hAnsi="Arial" w:eastAsia="Arial" w:cs="Arial"/>
                <w:noProof w:val="0"/>
                <w:color w:val="0E101A"/>
                <w:sz w:val="22"/>
                <w:szCs w:val="22"/>
                <w:lang w:val="en-GB"/>
              </w:rPr>
              <w:t xml:space="preserve"> and risk assessment tools like SAVRY. The proposed intervention aligns to foster comprehensive personal development and holistic recovery, transcending traditional approaches in rehabilitation settings.</w:t>
            </w:r>
          </w:p>
          <w:p w:rsidR="194E39BE" w:rsidP="194E39BE" w:rsidRDefault="194E39BE" w14:paraId="73072070" w14:textId="2B7A5549">
            <w:pPr>
              <w:pStyle w:val="Formlabel"/>
              <w:jc w:val="both"/>
              <w:rPr>
                <w:sz w:val="22"/>
                <w:szCs w:val="22"/>
              </w:rPr>
            </w:pPr>
          </w:p>
          <w:p w:rsidR="007800D4" w:rsidP="0578A328" w:rsidRDefault="007800D4" w14:paraId="3BA8B4B6" w14:textId="52306223">
            <w:pPr>
              <w:pStyle w:val="Formlabel"/>
              <w:jc w:val="both"/>
              <w:rPr>
                <w:color w:val="FF0000"/>
                <w:sz w:val="22"/>
                <w:szCs w:val="22"/>
              </w:rPr>
            </w:pPr>
          </w:p>
          <w:p w:rsidRPr="009A0F00" w:rsidR="00991612" w:rsidP="6A915056" w:rsidRDefault="00991612" w14:paraId="392A3513" w14:textId="00AADCBB">
            <w:pPr>
              <w:pStyle w:val="Formlabel"/>
              <w:rPr>
                <w:b/>
                <w:bCs/>
                <w:sz w:val="22"/>
                <w:szCs w:val="22"/>
              </w:rPr>
            </w:pPr>
          </w:p>
        </w:tc>
      </w:tr>
      <w:tr w:rsidRPr="00210378" w:rsidR="009E10F9" w:rsidTr="74718914" w14:paraId="0696DE9E" w14:textId="77777777">
        <w:trPr>
          <w:trHeight w:val="2481"/>
        </w:trPr>
        <w:tc>
          <w:tcPr>
            <w:tcW w:w="10110" w:type="dxa"/>
            <w:shd w:val="clear" w:color="auto" w:fill="auto"/>
            <w:tcMar/>
          </w:tcPr>
          <w:p w:rsidR="3EED5657" w:rsidP="194E39BE" w:rsidRDefault="3EED5657" w14:paraId="23356DD0" w14:textId="30E49F9E">
            <w:pPr>
              <w:spacing w:before="0" w:beforeAutospacing="off" w:after="0" w:afterAutospacing="off"/>
            </w:pPr>
            <w:r w:rsidRPr="194E39BE" w:rsidR="3EED5657">
              <w:rPr>
                <w:rFonts w:ascii="Arial" w:hAnsi="Arial" w:eastAsia="Arial" w:cs="Arial"/>
                <w:b w:val="1"/>
                <w:bCs w:val="1"/>
                <w:noProof w:val="0"/>
                <w:color w:val="0E101A"/>
                <w:sz w:val="22"/>
                <w:szCs w:val="22"/>
                <w:lang w:val="en-GB"/>
              </w:rPr>
              <w:t xml:space="preserve">Proposed </w:t>
            </w:r>
            <w:r w:rsidRPr="194E39BE" w:rsidR="3EED5657">
              <w:rPr>
                <w:rFonts w:ascii="Arial" w:hAnsi="Arial" w:eastAsia="Arial" w:cs="Arial"/>
                <w:b w:val="1"/>
                <w:bCs w:val="1"/>
                <w:noProof w:val="0"/>
                <w:color w:val="0E101A"/>
                <w:sz w:val="22"/>
                <w:szCs w:val="22"/>
                <w:lang w:val="en-GB"/>
              </w:rPr>
              <w:t>methodology</w:t>
            </w:r>
            <w:r w:rsidRPr="194E39BE" w:rsidR="3EED5657">
              <w:rPr>
                <w:rFonts w:ascii="Arial" w:hAnsi="Arial" w:eastAsia="Arial" w:cs="Arial"/>
                <w:b w:val="1"/>
                <w:bCs w:val="1"/>
                <w:noProof w:val="0"/>
                <w:color w:val="0E101A"/>
                <w:sz w:val="22"/>
                <w:szCs w:val="22"/>
                <w:lang w:val="en-GB"/>
              </w:rPr>
              <w:t xml:space="preserve">: </w:t>
            </w:r>
            <w:r w:rsidRPr="194E39BE" w:rsidR="3EED5657">
              <w:rPr>
                <w:rFonts w:ascii="Arial" w:hAnsi="Arial" w:eastAsia="Arial" w:cs="Arial"/>
                <w:noProof w:val="0"/>
                <w:color w:val="0E101A"/>
                <w:sz w:val="22"/>
                <w:szCs w:val="22"/>
                <w:lang w:val="en-GB"/>
              </w:rPr>
              <w:t xml:space="preserve"> </w:t>
            </w:r>
          </w:p>
          <w:p w:rsidR="194E39BE" w:rsidP="194E39BE" w:rsidRDefault="194E39BE" w14:paraId="76BA4A8C" w14:textId="5E76E18F">
            <w:pPr>
              <w:pStyle w:val="Normal"/>
              <w:spacing w:before="0" w:beforeAutospacing="off" w:after="0" w:afterAutospacing="off"/>
              <w:rPr>
                <w:rFonts w:ascii="Arial" w:hAnsi="Arial" w:eastAsia="Arial" w:cs="Arial"/>
                <w:noProof w:val="0"/>
                <w:color w:val="0E101A"/>
                <w:sz w:val="22"/>
                <w:szCs w:val="22"/>
                <w:lang w:val="en-GB"/>
              </w:rPr>
            </w:pPr>
          </w:p>
          <w:p w:rsidR="3EED5657" w:rsidP="194E39BE" w:rsidRDefault="3EED5657" w14:paraId="5948CF65" w14:textId="65E1CE9F">
            <w:pPr>
              <w:spacing w:before="0" w:beforeAutospacing="off" w:after="0" w:afterAutospacing="off"/>
              <w:jc w:val="both"/>
            </w:pPr>
            <w:r w:rsidRPr="194E39BE" w:rsidR="3EED5657">
              <w:rPr>
                <w:rFonts w:ascii="Arial" w:hAnsi="Arial" w:eastAsia="Arial" w:cs="Arial"/>
                <w:noProof w:val="0"/>
                <w:color w:val="0E101A"/>
                <w:sz w:val="22"/>
                <w:szCs w:val="22"/>
                <w:lang w:val="en-GB"/>
              </w:rPr>
              <w:t xml:space="preserve">The proposed </w:t>
            </w:r>
            <w:r w:rsidRPr="194E39BE" w:rsidR="3EED5657">
              <w:rPr>
                <w:rFonts w:ascii="Arial" w:hAnsi="Arial" w:eastAsia="Arial" w:cs="Arial"/>
                <w:noProof w:val="0"/>
                <w:color w:val="0E101A"/>
                <w:sz w:val="22"/>
                <w:szCs w:val="22"/>
                <w:lang w:val="en-GB"/>
              </w:rPr>
              <w:t>methodology</w:t>
            </w:r>
            <w:r w:rsidRPr="194E39BE" w:rsidR="3EED5657">
              <w:rPr>
                <w:rFonts w:ascii="Arial" w:hAnsi="Arial" w:eastAsia="Arial" w:cs="Arial"/>
                <w:noProof w:val="0"/>
                <w:color w:val="0E101A"/>
                <w:sz w:val="22"/>
                <w:szCs w:val="22"/>
                <w:lang w:val="en-GB"/>
              </w:rPr>
              <w:t xml:space="preserve"> adopts a flexible mixed-methods approach tailored to the unique needs of each participant. By integrating both quantitative and qualitative data using evidence-based methods, the intervention aims to comprehensively address substance abuse, psychological, physical, domestic abuse, and mental health challenges. Weekly sessions, incorporating CBT and anger management, will be structured with adaptability based on individual progress, and SST will equip participants with tools for successful reintegration into society. The analysis will start by utilising descriptive statistics to offer a comprehensive overview of participant characteristics, including demographics and crucial variables associated with mental health and a history of violence. Subsequently, regression analysis is used to delve into potential predictors of targeted outcomes, aiming to </w:t>
            </w:r>
            <w:r w:rsidRPr="194E39BE" w:rsidR="3EED5657">
              <w:rPr>
                <w:rFonts w:ascii="Arial" w:hAnsi="Arial" w:eastAsia="Arial" w:cs="Arial"/>
                <w:noProof w:val="0"/>
                <w:color w:val="0E101A"/>
                <w:sz w:val="22"/>
                <w:szCs w:val="22"/>
                <w:lang w:val="en-GB"/>
              </w:rPr>
              <w:t>identify</w:t>
            </w:r>
            <w:r w:rsidRPr="194E39BE" w:rsidR="3EED5657">
              <w:rPr>
                <w:rFonts w:ascii="Arial" w:hAnsi="Arial" w:eastAsia="Arial" w:cs="Arial"/>
                <w:noProof w:val="0"/>
                <w:color w:val="0E101A"/>
                <w:sz w:val="22"/>
                <w:szCs w:val="22"/>
                <w:lang w:val="en-GB"/>
              </w:rPr>
              <w:t xml:space="preserve"> factors that could be instrumental in fostering enhanced mental well-being or mitigating violent behaviour. The qualitative </w:t>
            </w:r>
            <w:r w:rsidRPr="194E39BE" w:rsidR="3EED5657">
              <w:rPr>
                <w:rFonts w:ascii="Arial" w:hAnsi="Arial" w:eastAsia="Arial" w:cs="Arial"/>
                <w:noProof w:val="0"/>
                <w:color w:val="0E101A"/>
                <w:sz w:val="22"/>
                <w:szCs w:val="22"/>
                <w:lang w:val="en-GB"/>
              </w:rPr>
              <w:t>component</w:t>
            </w:r>
            <w:r w:rsidRPr="194E39BE" w:rsidR="3EED5657">
              <w:rPr>
                <w:rFonts w:ascii="Arial" w:hAnsi="Arial" w:eastAsia="Arial" w:cs="Arial"/>
                <w:noProof w:val="0"/>
                <w:color w:val="0E101A"/>
                <w:sz w:val="22"/>
                <w:szCs w:val="22"/>
                <w:lang w:val="en-GB"/>
              </w:rPr>
              <w:t xml:space="preserve"> will analyse participant narratives to better understand their experiences, challenges, and transformations during and after the intervention. Conducting in-depth interviews will further explore individual experiences, </w:t>
            </w:r>
            <w:r w:rsidRPr="194E39BE" w:rsidR="3EED5657">
              <w:rPr>
                <w:rFonts w:ascii="Arial" w:hAnsi="Arial" w:eastAsia="Arial" w:cs="Arial"/>
                <w:noProof w:val="0"/>
                <w:color w:val="0E101A"/>
                <w:sz w:val="22"/>
                <w:szCs w:val="22"/>
                <w:lang w:val="en-GB"/>
              </w:rPr>
              <w:t>perceptions</w:t>
            </w:r>
            <w:r w:rsidRPr="194E39BE" w:rsidR="3EED5657">
              <w:rPr>
                <w:rFonts w:ascii="Arial" w:hAnsi="Arial" w:eastAsia="Arial" w:cs="Arial"/>
                <w:noProof w:val="0"/>
                <w:color w:val="0E101A"/>
                <w:sz w:val="22"/>
                <w:szCs w:val="22"/>
                <w:lang w:val="en-GB"/>
              </w:rPr>
              <w:t xml:space="preserve"> of the intervention, and its impact on mental health and behaviour. </w:t>
            </w:r>
          </w:p>
          <w:p w:rsidR="3EED5657" w:rsidP="194E39BE" w:rsidRDefault="3EED5657" w14:paraId="772BBE4F" w14:textId="69ED4070">
            <w:pPr>
              <w:spacing w:before="0" w:beforeAutospacing="off" w:after="0" w:afterAutospacing="off"/>
              <w:jc w:val="both"/>
            </w:pPr>
            <w:r w:rsidRPr="194E39BE" w:rsidR="3EED5657">
              <w:rPr>
                <w:rFonts w:ascii="Arial" w:hAnsi="Arial" w:eastAsia="Arial" w:cs="Arial"/>
                <w:noProof w:val="0"/>
                <w:color w:val="0E101A"/>
                <w:sz w:val="22"/>
                <w:szCs w:val="22"/>
                <w:lang w:val="en-GB"/>
              </w:rPr>
              <w:t>This personalised rehabilitation approach encourages positive behavioural changes and holistic recovery, surpassing the limitations of a one-size-fits-all model.</w:t>
            </w:r>
          </w:p>
          <w:p w:rsidR="194E39BE" w:rsidP="194E39BE" w:rsidRDefault="194E39BE" w14:paraId="14F00E79" w14:textId="607C61F1">
            <w:pPr>
              <w:pStyle w:val="Normal"/>
              <w:rPr>
                <w:rFonts w:ascii="Arial" w:hAnsi="Arial" w:eastAsia="Arial" w:cs="Arial"/>
                <w:color w:val="0E101A"/>
                <w:sz w:val="22"/>
                <w:szCs w:val="22"/>
              </w:rPr>
            </w:pPr>
          </w:p>
          <w:p w:rsidR="1572E69B" w:rsidP="0578A328" w:rsidRDefault="1572E69B" w14:paraId="45A858B8" w14:textId="69FF254C">
            <w:r w:rsidRPr="0578A328">
              <w:rPr>
                <w:rFonts w:ascii="Arial" w:hAnsi="Arial" w:eastAsia="Arial" w:cs="Arial"/>
                <w:color w:val="0E101A"/>
                <w:sz w:val="22"/>
                <w:szCs w:val="22"/>
              </w:rPr>
              <w:t xml:space="preserve">  </w:t>
            </w:r>
          </w:p>
          <w:p w:rsidR="1572E69B" w:rsidP="194E39BE" w:rsidRDefault="1572E69B" w14:paraId="36B7AD33" w14:textId="5EBD579D" w14:noSpellErr="1">
            <w:pPr>
              <w:jc w:val="both"/>
            </w:pPr>
            <w:r w:rsidRPr="194E39BE" w:rsidR="1572E69B">
              <w:rPr>
                <w:rFonts w:ascii="Arial" w:hAnsi="Arial" w:eastAsia="Arial" w:cs="Arial"/>
                <w:b w:val="1"/>
                <w:bCs w:val="1"/>
                <w:color w:val="0E101A"/>
                <w:sz w:val="22"/>
                <w:szCs w:val="22"/>
              </w:rPr>
              <w:t>The rehabilitative intervention design:</w:t>
            </w:r>
            <w:r w:rsidRPr="194E39BE" w:rsidR="1572E69B">
              <w:rPr>
                <w:rFonts w:ascii="Arial" w:hAnsi="Arial" w:eastAsia="Arial" w:cs="Arial"/>
                <w:color w:val="0E101A"/>
                <w:sz w:val="22"/>
                <w:szCs w:val="22"/>
              </w:rPr>
              <w:t xml:space="preserve"> </w:t>
            </w:r>
          </w:p>
          <w:p w:rsidR="1572E69B" w:rsidP="194E39BE" w:rsidRDefault="1572E69B" w14:paraId="049A4252" w14:textId="28ABACDE" w14:noSpellErr="1">
            <w:pPr>
              <w:jc w:val="both"/>
            </w:pPr>
            <w:r w:rsidRPr="194E39BE" w:rsidR="1572E69B">
              <w:rPr>
                <w:rFonts w:ascii="Arial" w:hAnsi="Arial" w:eastAsia="Arial" w:cs="Arial"/>
                <w:color w:val="0E101A"/>
                <w:sz w:val="22"/>
                <w:szCs w:val="22"/>
              </w:rPr>
              <w:t xml:space="preserve">The intervention is designed to be intensive and supportive, consisting of three individual sessions per week for each participant and one group session per week over 16 weeks. This frequency allows for focused attention on the individual needs of the young offender and </w:t>
            </w:r>
            <w:r w:rsidRPr="194E39BE" w:rsidR="1572E69B">
              <w:rPr>
                <w:rFonts w:ascii="Arial" w:hAnsi="Arial" w:eastAsia="Arial" w:cs="Arial"/>
                <w:color w:val="0E101A"/>
                <w:sz w:val="22"/>
                <w:szCs w:val="22"/>
              </w:rPr>
              <w:t>facilitates</w:t>
            </w:r>
            <w:r w:rsidRPr="194E39BE" w:rsidR="1572E69B">
              <w:rPr>
                <w:rFonts w:ascii="Arial" w:hAnsi="Arial" w:eastAsia="Arial" w:cs="Arial"/>
                <w:color w:val="0E101A"/>
                <w:sz w:val="22"/>
                <w:szCs w:val="22"/>
              </w:rPr>
              <w:t xml:space="preserve"> a more personalised approach to intervention. </w:t>
            </w:r>
          </w:p>
          <w:p w:rsidR="1572E69B" w:rsidP="194E39BE" w:rsidRDefault="1572E69B" w14:paraId="799698CF" w14:textId="4194B9C1" w14:noSpellErr="1">
            <w:pPr>
              <w:jc w:val="both"/>
            </w:pPr>
            <w:r w:rsidRPr="194E39BE" w:rsidR="1572E69B">
              <w:rPr>
                <w:rFonts w:ascii="Arial" w:hAnsi="Arial" w:eastAsia="Arial" w:cs="Arial"/>
                <w:color w:val="0E101A"/>
                <w:sz w:val="22"/>
                <w:szCs w:val="22"/>
              </w:rPr>
              <w:t xml:space="preserve"> </w:t>
            </w:r>
          </w:p>
          <w:p w:rsidR="1572E69B" w:rsidP="194E39BE" w:rsidRDefault="1572E69B" w14:paraId="6BA17207" w14:textId="045FC689">
            <w:pPr>
              <w:jc w:val="both"/>
            </w:pPr>
            <w:r w:rsidRPr="194E39BE" w:rsidR="1572E69B">
              <w:rPr>
                <w:rFonts w:ascii="Arial" w:hAnsi="Arial" w:eastAsia="Arial" w:cs="Arial"/>
                <w:color w:val="0E101A"/>
                <w:sz w:val="22"/>
                <w:szCs w:val="22"/>
              </w:rPr>
              <w:t xml:space="preserve">While individual sessions are a cornerstone of the intervention, the weekly group sessions will promote peer support, social skills development, and a sense of community. The group size will be limited to </w:t>
            </w:r>
            <w:r w:rsidRPr="194E39BE" w:rsidR="034D08B5">
              <w:rPr>
                <w:rFonts w:ascii="Arial" w:hAnsi="Arial" w:eastAsia="Arial" w:cs="Arial"/>
                <w:color w:val="0E101A"/>
                <w:sz w:val="22"/>
                <w:szCs w:val="22"/>
              </w:rPr>
              <w:t>six</w:t>
            </w:r>
            <w:r w:rsidRPr="194E39BE" w:rsidR="1572E69B">
              <w:rPr>
                <w:rFonts w:ascii="Arial" w:hAnsi="Arial" w:eastAsia="Arial" w:cs="Arial"/>
                <w:color w:val="0E101A"/>
                <w:sz w:val="22"/>
                <w:szCs w:val="22"/>
              </w:rPr>
              <w:t>-</w:t>
            </w:r>
            <w:r w:rsidRPr="194E39BE" w:rsidR="433802B4">
              <w:rPr>
                <w:rFonts w:ascii="Arial" w:hAnsi="Arial" w:eastAsia="Arial" w:cs="Arial"/>
                <w:color w:val="0E101A"/>
                <w:sz w:val="22"/>
                <w:szCs w:val="22"/>
              </w:rPr>
              <w:t>eight</w:t>
            </w:r>
            <w:r w:rsidRPr="194E39BE" w:rsidR="1572E69B">
              <w:rPr>
                <w:rFonts w:ascii="Arial" w:hAnsi="Arial" w:eastAsia="Arial" w:cs="Arial"/>
                <w:color w:val="0E101A"/>
                <w:sz w:val="22"/>
                <w:szCs w:val="22"/>
              </w:rPr>
              <w:t xml:space="preserve"> participants to ensure meaningful engagement and personalised interaction within the group dynamics. </w:t>
            </w:r>
          </w:p>
          <w:p w:rsidR="1572E69B" w:rsidP="0578A328" w:rsidRDefault="1572E69B" w14:paraId="4A39F600" w14:textId="11A51390">
            <w:r w:rsidRPr="0578A328">
              <w:rPr>
                <w:rFonts w:ascii="Arial" w:hAnsi="Arial" w:eastAsia="Arial" w:cs="Arial"/>
                <w:color w:val="0E101A"/>
                <w:sz w:val="22"/>
                <w:szCs w:val="22"/>
              </w:rPr>
              <w:t xml:space="preserve"> </w:t>
            </w:r>
          </w:p>
          <w:p w:rsidR="1572E69B" w:rsidP="0578A328" w:rsidRDefault="1572E69B" w14:paraId="50D3DF75" w14:textId="38CCBB55">
            <w:r w:rsidRPr="0578A328">
              <w:rPr>
                <w:rFonts w:ascii="Arial" w:hAnsi="Arial" w:eastAsia="Arial" w:cs="Arial"/>
                <w:b/>
                <w:bCs/>
                <w:color w:val="0E101A"/>
                <w:sz w:val="22"/>
                <w:szCs w:val="22"/>
              </w:rPr>
              <w:t>Individual Components of the Program</w:t>
            </w:r>
            <w:r w:rsidR="005D22D9">
              <w:rPr>
                <w:rFonts w:ascii="Arial" w:hAnsi="Arial" w:eastAsia="Arial" w:cs="Arial"/>
                <w:b/>
                <w:bCs/>
                <w:color w:val="0E101A"/>
                <w:sz w:val="22"/>
                <w:szCs w:val="22"/>
              </w:rPr>
              <w:t>me</w:t>
            </w:r>
            <w:r w:rsidRPr="0578A328">
              <w:rPr>
                <w:rFonts w:ascii="Arial" w:hAnsi="Arial" w:eastAsia="Arial" w:cs="Arial"/>
                <w:b/>
                <w:bCs/>
                <w:color w:val="0E101A"/>
                <w:sz w:val="22"/>
                <w:szCs w:val="22"/>
              </w:rPr>
              <w:t>:</w:t>
            </w:r>
            <w:r w:rsidRPr="0578A328">
              <w:rPr>
                <w:rFonts w:ascii="Arial" w:hAnsi="Arial" w:eastAsia="Arial" w:cs="Arial"/>
                <w:color w:val="0E101A"/>
                <w:sz w:val="22"/>
                <w:szCs w:val="22"/>
              </w:rPr>
              <w:t xml:space="preserve"> </w:t>
            </w:r>
          </w:p>
          <w:p w:rsidR="1572E69B" w:rsidP="0578A328" w:rsidRDefault="1572E69B" w14:paraId="0B8DC420" w14:textId="11DFBCD1">
            <w:r w:rsidRPr="0578A328">
              <w:rPr>
                <w:rFonts w:ascii="Arial" w:hAnsi="Arial" w:eastAsia="Arial" w:cs="Arial"/>
                <w:color w:val="0E101A"/>
                <w:sz w:val="22"/>
                <w:szCs w:val="22"/>
              </w:rPr>
              <w:t xml:space="preserve"> </w:t>
            </w:r>
          </w:p>
          <w:p w:rsidRPr="005D22D9" w:rsidR="1572E69B" w:rsidP="0578A328" w:rsidRDefault="1572E69B" w14:paraId="190266E3" w14:textId="7EA6803C">
            <w:r w:rsidRPr="005D22D9">
              <w:rPr>
                <w:rFonts w:ascii="Arial" w:hAnsi="Arial" w:eastAsia="Arial" w:cs="Arial"/>
                <w:sz w:val="22"/>
                <w:szCs w:val="22"/>
              </w:rPr>
              <w:t xml:space="preserve">1. Cognitive-behavioural therapy (CBT) </w:t>
            </w:r>
            <w:r w:rsidRPr="005D22D9" w:rsidR="005D22D9">
              <w:rPr>
                <w:rFonts w:ascii="Arial" w:hAnsi="Arial" w:cs="Arial"/>
                <w:sz w:val="22"/>
                <w:szCs w:val="22"/>
              </w:rPr>
              <w:t>Implementing evidence-based techniques to address and modify negative thought patterns and behaviours.</w:t>
            </w:r>
          </w:p>
          <w:p w:rsidRPr="005D22D9" w:rsidR="1572E69B" w:rsidP="0578A328" w:rsidRDefault="1572E69B" w14:paraId="0E4F294A" w14:textId="52F63B9A">
            <w:r w:rsidRPr="005D22D9">
              <w:rPr>
                <w:rFonts w:ascii="Arial" w:hAnsi="Arial" w:eastAsia="Arial" w:cs="Arial"/>
                <w:sz w:val="22"/>
                <w:szCs w:val="22"/>
              </w:rPr>
              <w:t xml:space="preserve"> </w:t>
            </w:r>
          </w:p>
          <w:p w:rsidRPr="005D22D9" w:rsidR="1572E69B" w:rsidP="0578A328" w:rsidRDefault="1572E69B" w14:paraId="4346218F" w14:textId="06D9CE0F">
            <w:pPr>
              <w:rPr>
                <w:rFonts w:ascii="Arial" w:hAnsi="Arial" w:cs="Arial"/>
                <w:sz w:val="22"/>
                <w:szCs w:val="22"/>
              </w:rPr>
            </w:pPr>
            <w:r w:rsidRPr="005D22D9">
              <w:rPr>
                <w:rFonts w:ascii="Arial" w:hAnsi="Arial" w:eastAsia="Arial" w:cs="Arial"/>
                <w:sz w:val="22"/>
                <w:szCs w:val="22"/>
              </w:rPr>
              <w:t xml:space="preserve">2. Anger Management Sessions: </w:t>
            </w:r>
            <w:r w:rsidRPr="005D22D9" w:rsidR="005D22D9">
              <w:rPr>
                <w:rFonts w:ascii="Arial" w:hAnsi="Arial" w:cs="Arial"/>
                <w:sz w:val="22"/>
                <w:szCs w:val="22"/>
              </w:rPr>
              <w:t>Providing strategies and tools to help individuals recogni</w:t>
            </w:r>
            <w:r w:rsidR="005D22D9">
              <w:rPr>
                <w:rFonts w:ascii="Arial" w:hAnsi="Arial" w:cs="Arial"/>
                <w:sz w:val="22"/>
                <w:szCs w:val="22"/>
              </w:rPr>
              <w:t>s</w:t>
            </w:r>
            <w:r w:rsidRPr="005D22D9" w:rsidR="005D22D9">
              <w:rPr>
                <w:rFonts w:ascii="Arial" w:hAnsi="Arial" w:cs="Arial"/>
                <w:sz w:val="22"/>
                <w:szCs w:val="22"/>
              </w:rPr>
              <w:t>e, manage, and express anger in a constructive manner.</w:t>
            </w:r>
          </w:p>
          <w:p w:rsidRPr="005D22D9" w:rsidR="1572E69B" w:rsidP="0578A328" w:rsidRDefault="1572E69B" w14:paraId="7D027077" w14:textId="7E484517">
            <w:pPr>
              <w:rPr>
                <w:rFonts w:ascii="Arial" w:hAnsi="Arial" w:cs="Arial"/>
                <w:sz w:val="22"/>
                <w:szCs w:val="22"/>
              </w:rPr>
            </w:pPr>
            <w:r w:rsidRPr="005D22D9">
              <w:rPr>
                <w:rFonts w:ascii="Arial" w:hAnsi="Arial" w:eastAsia="Arial" w:cs="Arial"/>
                <w:sz w:val="22"/>
                <w:szCs w:val="22"/>
              </w:rPr>
              <w:t xml:space="preserve"> </w:t>
            </w:r>
          </w:p>
          <w:p w:rsidRPr="005D22D9" w:rsidR="1572E69B" w:rsidP="0578A328" w:rsidRDefault="1572E69B" w14:paraId="2222B02D" w14:textId="22ACE890">
            <w:pPr>
              <w:rPr>
                <w:rFonts w:ascii="Arial" w:hAnsi="Arial" w:cs="Arial"/>
                <w:sz w:val="22"/>
                <w:szCs w:val="22"/>
              </w:rPr>
            </w:pPr>
            <w:r w:rsidRPr="005D22D9">
              <w:rPr>
                <w:rFonts w:ascii="Arial" w:hAnsi="Arial" w:eastAsia="Arial" w:cs="Arial"/>
                <w:sz w:val="22"/>
                <w:szCs w:val="22"/>
              </w:rPr>
              <w:t xml:space="preserve">3. Therapeutic Counselling: </w:t>
            </w:r>
            <w:r w:rsidRPr="005D22D9" w:rsidR="005D22D9">
              <w:rPr>
                <w:rFonts w:ascii="Arial" w:hAnsi="Arial" w:cs="Arial"/>
                <w:sz w:val="22"/>
                <w:szCs w:val="22"/>
              </w:rPr>
              <w:t>Offering individuali</w:t>
            </w:r>
            <w:r w:rsidR="005D22D9">
              <w:rPr>
                <w:rFonts w:ascii="Arial" w:hAnsi="Arial" w:cs="Arial"/>
                <w:sz w:val="22"/>
                <w:szCs w:val="22"/>
              </w:rPr>
              <w:t>s</w:t>
            </w:r>
            <w:r w:rsidRPr="005D22D9" w:rsidR="005D22D9">
              <w:rPr>
                <w:rFonts w:ascii="Arial" w:hAnsi="Arial" w:cs="Arial"/>
                <w:sz w:val="22"/>
                <w:szCs w:val="22"/>
              </w:rPr>
              <w:t>ed therapeutic support to explore and address emotional challenges, fostering personal growth.</w:t>
            </w:r>
          </w:p>
          <w:p w:rsidRPr="005D22D9" w:rsidR="1572E69B" w:rsidP="0578A328" w:rsidRDefault="1572E69B" w14:paraId="1F557D2D" w14:textId="5991E4C5">
            <w:pPr>
              <w:rPr>
                <w:rFonts w:ascii="Arial" w:hAnsi="Arial" w:cs="Arial"/>
                <w:sz w:val="22"/>
                <w:szCs w:val="22"/>
              </w:rPr>
            </w:pPr>
            <w:r w:rsidRPr="005D22D9">
              <w:rPr>
                <w:rFonts w:ascii="Arial" w:hAnsi="Arial" w:eastAsia="Arial" w:cs="Arial"/>
                <w:sz w:val="22"/>
                <w:szCs w:val="22"/>
              </w:rPr>
              <w:t xml:space="preserve">    </w:t>
            </w:r>
          </w:p>
          <w:p w:rsidRPr="005D22D9" w:rsidR="1572E69B" w:rsidP="0578A328" w:rsidRDefault="1572E69B" w14:paraId="2397F780" w14:textId="6A635D17">
            <w:pPr>
              <w:rPr>
                <w:rFonts w:ascii="Arial" w:hAnsi="Arial" w:cs="Arial"/>
                <w:sz w:val="22"/>
                <w:szCs w:val="22"/>
              </w:rPr>
            </w:pPr>
            <w:r w:rsidRPr="005D22D9">
              <w:rPr>
                <w:rFonts w:ascii="Arial" w:hAnsi="Arial" w:eastAsia="Arial" w:cs="Arial"/>
                <w:sz w:val="22"/>
                <w:szCs w:val="22"/>
              </w:rPr>
              <w:t xml:space="preserve">4. Skill Development workshops (SST) </w:t>
            </w:r>
            <w:r w:rsidRPr="005D22D9" w:rsidR="005D22D9">
              <w:rPr>
                <w:rFonts w:ascii="Arial" w:hAnsi="Arial" w:cs="Arial"/>
                <w:sz w:val="22"/>
                <w:szCs w:val="22"/>
              </w:rPr>
              <w:t>Group Sessions: Facilitating group workshops to enhance participants' practical skills, promoting successful reintegration into society.</w:t>
            </w:r>
          </w:p>
          <w:p w:rsidRPr="005D22D9" w:rsidR="1572E69B" w:rsidP="0578A328" w:rsidRDefault="1572E69B" w14:paraId="58A1059A" w14:textId="1C7D4F07">
            <w:pPr>
              <w:rPr>
                <w:rFonts w:ascii="Arial" w:hAnsi="Arial" w:cs="Arial"/>
                <w:sz w:val="22"/>
                <w:szCs w:val="22"/>
              </w:rPr>
            </w:pPr>
            <w:r w:rsidRPr="005D22D9">
              <w:rPr>
                <w:rFonts w:ascii="Arial" w:hAnsi="Arial" w:eastAsia="Arial" w:cs="Arial"/>
                <w:sz w:val="22"/>
                <w:szCs w:val="22"/>
              </w:rPr>
              <w:t xml:space="preserve">    </w:t>
            </w:r>
          </w:p>
          <w:p w:rsidR="1572E69B" w:rsidP="194E39BE" w:rsidRDefault="1572E69B" w14:paraId="472DFB86" w14:textId="57585AA6" w14:noSpellErr="1">
            <w:pPr>
              <w:jc w:val="both"/>
            </w:pPr>
            <w:r w:rsidRPr="194E39BE" w:rsidR="1572E69B">
              <w:rPr>
                <w:rFonts w:ascii="Arial" w:hAnsi="Arial" w:eastAsia="Arial" w:cs="Arial"/>
                <w:b w:val="1"/>
                <w:bCs w:val="1"/>
                <w:color w:val="0E101A"/>
                <w:sz w:val="22"/>
                <w:szCs w:val="22"/>
              </w:rPr>
              <w:t>Progress Evaluation:</w:t>
            </w:r>
            <w:r w:rsidRPr="194E39BE" w:rsidR="1572E69B">
              <w:rPr>
                <w:rFonts w:ascii="Arial" w:hAnsi="Arial" w:eastAsia="Arial" w:cs="Arial"/>
                <w:color w:val="0E101A"/>
                <w:sz w:val="22"/>
                <w:szCs w:val="22"/>
              </w:rPr>
              <w:t xml:space="preserve"> </w:t>
            </w:r>
          </w:p>
          <w:p w:rsidR="1572E69B" w:rsidP="194E39BE" w:rsidRDefault="1572E69B" w14:paraId="5794A735" w14:textId="64DB9372">
            <w:pPr>
              <w:jc w:val="both"/>
              <w:rPr>
                <w:rFonts w:ascii="Arial" w:hAnsi="Arial" w:eastAsia="Arial" w:cs="Arial"/>
                <w:color w:val="0E101A"/>
                <w:sz w:val="22"/>
                <w:szCs w:val="22"/>
              </w:rPr>
            </w:pPr>
            <w:r w:rsidRPr="194E39BE" w:rsidR="1572E69B">
              <w:rPr>
                <w:rFonts w:ascii="Arial" w:hAnsi="Arial" w:eastAsia="Arial" w:cs="Arial"/>
                <w:color w:val="0E101A"/>
                <w:sz w:val="22"/>
                <w:szCs w:val="22"/>
              </w:rPr>
              <w:t>Progress will be regularly assessed throughout the intervention through self-report measures, behavioural observations, and feedback sessions. Adjustments to the program</w:t>
            </w:r>
            <w:r w:rsidRPr="194E39BE" w:rsidR="4E34C0CE">
              <w:rPr>
                <w:rFonts w:ascii="Arial" w:hAnsi="Arial" w:eastAsia="Arial" w:cs="Arial"/>
                <w:color w:val="0E101A"/>
                <w:sz w:val="22"/>
                <w:szCs w:val="22"/>
              </w:rPr>
              <w:t>me</w:t>
            </w:r>
            <w:r w:rsidRPr="194E39BE" w:rsidR="1572E69B">
              <w:rPr>
                <w:rFonts w:ascii="Arial" w:hAnsi="Arial" w:eastAsia="Arial" w:cs="Arial"/>
                <w:color w:val="0E101A"/>
                <w:sz w:val="22"/>
                <w:szCs w:val="22"/>
              </w:rPr>
              <w:t xml:space="preserve"> will be made based on individual needs and responses to the intervention</w:t>
            </w:r>
            <w:r w:rsidRPr="194E39BE" w:rsidR="1572E69B">
              <w:rPr>
                <w:rFonts w:ascii="Arial" w:hAnsi="Arial" w:eastAsia="Arial" w:cs="Arial"/>
                <w:color w:val="0E101A"/>
                <w:sz w:val="22"/>
                <w:szCs w:val="22"/>
              </w:rPr>
              <w:t xml:space="preserve">.  </w:t>
            </w:r>
          </w:p>
          <w:p w:rsidR="1572E69B" w:rsidP="194E39BE" w:rsidRDefault="1572E69B" w14:paraId="4C04379D" w14:textId="4C24DAC3" w14:noSpellErr="1">
            <w:pPr>
              <w:jc w:val="both"/>
            </w:pPr>
            <w:r w:rsidRPr="194E39BE" w:rsidR="1572E69B">
              <w:rPr>
                <w:rFonts w:ascii="Arial" w:hAnsi="Arial" w:eastAsia="Arial" w:cs="Arial"/>
                <w:color w:val="0E101A"/>
                <w:sz w:val="22"/>
                <w:szCs w:val="22"/>
              </w:rPr>
              <w:t xml:space="preserve"> </w:t>
            </w:r>
          </w:p>
          <w:p w:rsidR="1572E69B" w:rsidP="0578A328" w:rsidRDefault="1572E69B" w14:paraId="397B4BAC" w14:textId="3DD8E439">
            <w:r w:rsidRPr="0578A328">
              <w:rPr>
                <w:rFonts w:ascii="Arial" w:hAnsi="Arial" w:eastAsia="Arial" w:cs="Arial"/>
                <w:color w:val="0E101A"/>
                <w:sz w:val="22"/>
                <w:szCs w:val="22"/>
              </w:rPr>
              <w:t xml:space="preserve"> </w:t>
            </w:r>
          </w:p>
          <w:p w:rsidR="1572E69B" w:rsidP="0578A328" w:rsidRDefault="1572E69B" w14:paraId="6B89324C" w14:textId="5418A559">
            <w:r w:rsidRPr="0578A328">
              <w:rPr>
                <w:rFonts w:ascii="Arial" w:hAnsi="Arial" w:eastAsia="Arial" w:cs="Arial"/>
                <w:b/>
                <w:bCs/>
                <w:color w:val="0E101A"/>
                <w:sz w:val="22"/>
                <w:szCs w:val="22"/>
              </w:rPr>
              <w:t>The target population and recruitment:</w:t>
            </w:r>
            <w:r w:rsidRPr="0578A328">
              <w:rPr>
                <w:rFonts w:ascii="Arial" w:hAnsi="Arial" w:eastAsia="Arial" w:cs="Arial"/>
                <w:color w:val="0E101A"/>
                <w:sz w:val="22"/>
                <w:szCs w:val="22"/>
              </w:rPr>
              <w:t xml:space="preserve"> </w:t>
            </w:r>
          </w:p>
          <w:p w:rsidR="1572E69B" w:rsidP="0578A328" w:rsidRDefault="1572E69B" w14:paraId="01DCB179" w14:textId="7A573FEF">
            <w:r w:rsidRPr="1C7DCB0F">
              <w:rPr>
                <w:rFonts w:ascii="Arial" w:hAnsi="Arial" w:eastAsia="Arial" w:cs="Arial"/>
                <w:color w:val="0E101A"/>
                <w:sz w:val="22"/>
                <w:szCs w:val="22"/>
              </w:rPr>
              <w:t xml:space="preserve"> </w:t>
            </w:r>
          </w:p>
          <w:p w:rsidR="00F10A84" w:rsidP="194E39BE" w:rsidRDefault="757CA7BB" w14:paraId="5779A270" w14:textId="7C2FE39A">
            <w:pPr>
              <w:jc w:val="both"/>
              <w:rPr>
                <w:rFonts w:ascii="Arial" w:hAnsi="Arial" w:eastAsia="Arial" w:cs="Arial"/>
                <w:color w:val="0E101A"/>
                <w:sz w:val="22"/>
                <w:szCs w:val="22"/>
              </w:rPr>
            </w:pPr>
            <w:r w:rsidRPr="194E39BE" w:rsidR="757CA7BB">
              <w:rPr>
                <w:rFonts w:ascii="Arial" w:hAnsi="Arial" w:eastAsia="Arial" w:cs="Arial"/>
                <w:color w:val="0E101A"/>
                <w:sz w:val="22"/>
                <w:szCs w:val="22"/>
              </w:rPr>
              <w:t>The program</w:t>
            </w:r>
            <w:r w:rsidRPr="194E39BE" w:rsidR="2D7B7108">
              <w:rPr>
                <w:rFonts w:ascii="Arial" w:hAnsi="Arial" w:eastAsia="Arial" w:cs="Arial"/>
                <w:color w:val="0E101A"/>
                <w:sz w:val="22"/>
                <w:szCs w:val="22"/>
              </w:rPr>
              <w:t>me</w:t>
            </w:r>
            <w:r w:rsidRPr="194E39BE" w:rsidR="757CA7BB">
              <w:rPr>
                <w:rFonts w:ascii="Arial" w:hAnsi="Arial" w:eastAsia="Arial" w:cs="Arial"/>
                <w:color w:val="0E101A"/>
                <w:sz w:val="22"/>
                <w:szCs w:val="22"/>
              </w:rPr>
              <w:t xml:space="preserve"> is designed for adolescents between 11 and 17 years old, a pivotal transitional period, with specific eligibility criteria including substance dependency</w:t>
            </w:r>
            <w:r w:rsidRPr="194E39BE" w:rsidR="0ADD9ACF">
              <w:rPr>
                <w:rFonts w:ascii="Arial" w:hAnsi="Arial" w:eastAsia="Arial" w:cs="Arial"/>
                <w:color w:val="0E101A"/>
                <w:sz w:val="22"/>
                <w:szCs w:val="22"/>
              </w:rPr>
              <w:t xml:space="preserve"> </w:t>
            </w:r>
            <w:r w:rsidRPr="194E39BE" w:rsidR="757CA7BB">
              <w:rPr>
                <w:rFonts w:ascii="Arial" w:hAnsi="Arial" w:eastAsia="Arial" w:cs="Arial"/>
                <w:color w:val="0E101A"/>
                <w:sz w:val="22"/>
                <w:szCs w:val="22"/>
              </w:rPr>
              <w:t>and diagnosed or suspected mental health issues. Participation requires a voluntary commitment and a genuine desire for transformation.</w:t>
            </w:r>
            <w:r w:rsidRPr="194E39BE" w:rsidR="757CA7BB">
              <w:rPr>
                <w:rFonts w:ascii="Arial" w:hAnsi="Arial" w:eastAsia="Arial" w:cs="Arial"/>
                <w:color w:val="0E101A"/>
                <w:sz w:val="22"/>
                <w:szCs w:val="22"/>
              </w:rPr>
              <w:t xml:space="preserve"> </w:t>
            </w:r>
            <w:r w:rsidRPr="194E39BE" w:rsidR="757CA7BB">
              <w:rPr>
                <w:rFonts w:ascii="Arial" w:hAnsi="Arial" w:eastAsia="Arial" w:cs="Arial"/>
                <w:color w:val="0E101A"/>
                <w:sz w:val="22"/>
                <w:szCs w:val="22"/>
              </w:rPr>
              <w:t>Selectio</w:t>
            </w:r>
            <w:r w:rsidRPr="194E39BE" w:rsidR="757CA7BB">
              <w:rPr>
                <w:rFonts w:ascii="Arial" w:hAnsi="Arial" w:eastAsia="Arial" w:cs="Arial"/>
                <w:color w:val="0E101A"/>
                <w:sz w:val="22"/>
                <w:szCs w:val="22"/>
              </w:rPr>
              <w:t>n</w:t>
            </w:r>
            <w:r w:rsidRPr="194E39BE" w:rsidR="757CA7BB">
              <w:rPr>
                <w:rFonts w:ascii="Arial" w:hAnsi="Arial" w:eastAsia="Arial" w:cs="Arial"/>
                <w:color w:val="0E101A"/>
                <w:sz w:val="22"/>
                <w:szCs w:val="22"/>
              </w:rPr>
              <w:t xml:space="preserve"> prioriti</w:t>
            </w:r>
            <w:r w:rsidRPr="194E39BE" w:rsidR="5757B48D">
              <w:rPr>
                <w:rFonts w:ascii="Arial" w:hAnsi="Arial" w:eastAsia="Arial" w:cs="Arial"/>
                <w:color w:val="0E101A"/>
                <w:sz w:val="22"/>
                <w:szCs w:val="22"/>
              </w:rPr>
              <w:t>s</w:t>
            </w:r>
            <w:r w:rsidRPr="194E39BE" w:rsidR="757CA7BB">
              <w:rPr>
                <w:rFonts w:ascii="Arial" w:hAnsi="Arial" w:eastAsia="Arial" w:cs="Arial"/>
                <w:color w:val="0E101A"/>
                <w:sz w:val="22"/>
                <w:szCs w:val="22"/>
              </w:rPr>
              <w:t>es those with a moderate to</w:t>
            </w:r>
            <w:r w:rsidRPr="194E39BE" w:rsidR="757CA7BB">
              <w:rPr>
                <w:rFonts w:ascii="Arial" w:hAnsi="Arial" w:eastAsia="Arial" w:cs="Arial"/>
                <w:color w:val="0E101A"/>
                <w:sz w:val="22"/>
                <w:szCs w:val="22"/>
              </w:rPr>
              <w:t xml:space="preserve"> </w:t>
            </w:r>
            <w:r w:rsidRPr="194E39BE" w:rsidR="757CA7BB">
              <w:rPr>
                <w:rFonts w:ascii="Arial" w:hAnsi="Arial" w:eastAsia="Arial" w:cs="Arial"/>
                <w:color w:val="0E101A"/>
                <w:sz w:val="22"/>
                <w:szCs w:val="22"/>
              </w:rPr>
              <w:t>high ris</w:t>
            </w:r>
            <w:r w:rsidRPr="194E39BE" w:rsidR="757CA7BB">
              <w:rPr>
                <w:rFonts w:ascii="Arial" w:hAnsi="Arial" w:eastAsia="Arial" w:cs="Arial"/>
                <w:color w:val="0E101A"/>
                <w:sz w:val="22"/>
                <w:szCs w:val="22"/>
              </w:rPr>
              <w:t>k</w:t>
            </w:r>
            <w:r w:rsidRPr="194E39BE" w:rsidR="757CA7BB">
              <w:rPr>
                <w:rFonts w:ascii="Arial" w:hAnsi="Arial" w:eastAsia="Arial" w:cs="Arial"/>
                <w:color w:val="0E101A"/>
                <w:sz w:val="22"/>
                <w:szCs w:val="22"/>
              </w:rPr>
              <w:t xml:space="preserve"> of reoffending, assessed through validated tools like SAVRY. The recruitment strategy involves collaboration with the criminal justice system, community outreach, mental health clinics, and incentives such as reduced probation periods. This comprehensive approach aims to</w:t>
            </w:r>
            <w:r w:rsidRPr="194E39BE" w:rsidR="757CA7BB">
              <w:rPr>
                <w:rFonts w:ascii="Arial" w:hAnsi="Arial" w:eastAsia="Arial" w:cs="Arial"/>
                <w:color w:val="0E101A"/>
                <w:sz w:val="22"/>
                <w:szCs w:val="22"/>
              </w:rPr>
              <w:t xml:space="preserve"> </w:t>
            </w:r>
            <w:r w:rsidRPr="194E39BE" w:rsidR="757CA7BB">
              <w:rPr>
                <w:rFonts w:ascii="Arial" w:hAnsi="Arial" w:eastAsia="Arial" w:cs="Arial"/>
                <w:color w:val="0E101A"/>
                <w:sz w:val="22"/>
                <w:szCs w:val="22"/>
              </w:rPr>
              <w:t>identif</w:t>
            </w:r>
            <w:r w:rsidRPr="194E39BE" w:rsidR="757CA7BB">
              <w:rPr>
                <w:rFonts w:ascii="Arial" w:hAnsi="Arial" w:eastAsia="Arial" w:cs="Arial"/>
                <w:color w:val="0E101A"/>
                <w:sz w:val="22"/>
                <w:szCs w:val="22"/>
              </w:rPr>
              <w:t>y</w:t>
            </w:r>
            <w:r w:rsidRPr="194E39BE" w:rsidR="757CA7BB">
              <w:rPr>
                <w:rFonts w:ascii="Arial" w:hAnsi="Arial" w:eastAsia="Arial" w:cs="Arial"/>
                <w:color w:val="0E101A"/>
                <w:sz w:val="22"/>
                <w:szCs w:val="22"/>
              </w:rPr>
              <w:t xml:space="preserve"> and refer suitable youth offenders, encouraging active involvement in the program</w:t>
            </w:r>
            <w:r w:rsidRPr="194E39BE" w:rsidR="780541F4">
              <w:rPr>
                <w:rFonts w:ascii="Arial" w:hAnsi="Arial" w:eastAsia="Arial" w:cs="Arial"/>
                <w:color w:val="0E101A"/>
                <w:sz w:val="22"/>
                <w:szCs w:val="22"/>
              </w:rPr>
              <w:t>me</w:t>
            </w:r>
            <w:r w:rsidRPr="194E39BE" w:rsidR="757CA7BB">
              <w:rPr>
                <w:rFonts w:ascii="Arial" w:hAnsi="Arial" w:eastAsia="Arial" w:cs="Arial"/>
                <w:color w:val="0E101A"/>
                <w:sz w:val="22"/>
                <w:szCs w:val="22"/>
              </w:rPr>
              <w:t xml:space="preserve">. The willingness of individuals to engage is crucial for achieving positive outcomes and </w:t>
            </w:r>
            <w:r w:rsidRPr="194E39BE" w:rsidR="757CA7BB">
              <w:rPr>
                <w:rFonts w:ascii="Arial" w:hAnsi="Arial" w:eastAsia="Arial" w:cs="Arial"/>
                <w:color w:val="0E101A"/>
                <w:sz w:val="22"/>
                <w:szCs w:val="22"/>
              </w:rPr>
              <w:t>optimi</w:t>
            </w:r>
            <w:r w:rsidRPr="194E39BE" w:rsidR="7C40D480">
              <w:rPr>
                <w:rFonts w:ascii="Arial" w:hAnsi="Arial" w:eastAsia="Arial" w:cs="Arial"/>
                <w:color w:val="0E101A"/>
                <w:sz w:val="22"/>
                <w:szCs w:val="22"/>
              </w:rPr>
              <w:t>s</w:t>
            </w:r>
            <w:r w:rsidRPr="194E39BE" w:rsidR="757CA7BB">
              <w:rPr>
                <w:rFonts w:ascii="Arial" w:hAnsi="Arial" w:eastAsia="Arial" w:cs="Arial"/>
                <w:color w:val="0E101A"/>
                <w:sz w:val="22"/>
                <w:szCs w:val="22"/>
              </w:rPr>
              <w:t>ing</w:t>
            </w:r>
            <w:r w:rsidRPr="194E39BE" w:rsidR="757CA7BB">
              <w:rPr>
                <w:rFonts w:ascii="Arial" w:hAnsi="Arial" w:eastAsia="Arial" w:cs="Arial"/>
                <w:color w:val="0E101A"/>
                <w:sz w:val="22"/>
                <w:szCs w:val="22"/>
              </w:rPr>
              <w:t xml:space="preserve"> the cost-effectiveness of service delivery.</w:t>
            </w:r>
          </w:p>
          <w:p w:rsidR="00F10A84" w:rsidP="008C59A3" w:rsidRDefault="00F10A84" w14:paraId="54B14105" w14:textId="77777777">
            <w:pPr>
              <w:pStyle w:val="ListParagraph"/>
              <w:spacing w:line="240" w:lineRule="auto"/>
              <w:ind w:left="0"/>
              <w:rPr>
                <w:rFonts w:ascii="Arial" w:hAnsi="Arial" w:cs="Arial"/>
                <w:b/>
                <w:bCs/>
              </w:rPr>
            </w:pPr>
          </w:p>
          <w:p w:rsidR="00991612" w:rsidP="008C59A3" w:rsidRDefault="69116599" w14:paraId="5DDD7FB0" w14:textId="13198287">
            <w:pPr>
              <w:pStyle w:val="ListParagraph"/>
              <w:spacing w:line="240" w:lineRule="auto"/>
              <w:ind w:left="0"/>
              <w:rPr>
                <w:rFonts w:ascii="Arial" w:hAnsi="Arial" w:cs="Arial"/>
                <w:b/>
                <w:bCs/>
              </w:rPr>
            </w:pPr>
            <w:r w:rsidRPr="7BAEF637">
              <w:rPr>
                <w:rFonts w:ascii="Arial" w:hAnsi="Arial" w:cs="Arial"/>
                <w:b/>
                <w:bCs/>
              </w:rPr>
              <w:t xml:space="preserve">Materials/measures: </w:t>
            </w:r>
          </w:p>
          <w:p w:rsidRPr="00926260" w:rsidR="00991612" w:rsidP="0578A328" w:rsidRDefault="00991612" w14:paraId="149BDB03" w14:textId="6ADE7034">
            <w:pPr>
              <w:pStyle w:val="ListParagraph"/>
              <w:spacing w:line="240" w:lineRule="auto"/>
              <w:ind w:left="0"/>
              <w:rPr>
                <w:rFonts w:ascii="Arial" w:hAnsi="Arial" w:cs="Arial"/>
                <w:b/>
                <w:bCs/>
              </w:rPr>
            </w:pPr>
          </w:p>
          <w:p w:rsidR="45D3E129" w:rsidP="194E39BE" w:rsidRDefault="45D3E129" w14:paraId="064D9E94" w14:textId="67F41F52">
            <w:pPr>
              <w:pStyle w:val="ListParagraph"/>
              <w:spacing w:line="240" w:lineRule="auto"/>
              <w:ind w:left="0"/>
              <w:jc w:val="both"/>
              <w:rPr>
                <w:rFonts w:ascii="Arial" w:hAnsi="Arial" w:cs="Arial"/>
              </w:rPr>
            </w:pPr>
            <w:r w:rsidRPr="194E39BE" w:rsidR="45D3E129">
              <w:rPr>
                <w:rFonts w:ascii="Arial" w:hAnsi="Arial" w:cs="Arial"/>
              </w:rPr>
              <w:t xml:space="preserve">The 16-week intervention programme will utilise various materials and resources, including essential documentation such as emergency contacts, crisis procedures, consent forms, and attendance sheets. SAVRY assessment forms, participant manuals, and educational materials will be provided. Suitable facility rooms equipped with audiovisual tools like laptops and presentation screens, recording equipment or transcription services for qualitative interviews, and software for qualitative data organisation and analysis will be available. Customised intervention plans based on SAVRY assessments will be developed for each participant. Programme manuals will outline the structure, goals, expectations, worksheets, and journals for participant self-assessments. Qualified professionals, including psychologists, counsellors, and social workers trained in SAVRY administration, CBT, SST, and group sessions, will be supported by administrative staff. Communication channels for staff-participant interaction between sessions will be </w:t>
            </w:r>
            <w:r w:rsidRPr="194E39BE" w:rsidR="45D3E129">
              <w:rPr>
                <w:rFonts w:ascii="Arial" w:hAnsi="Arial" w:cs="Arial"/>
              </w:rPr>
              <w:t>established</w:t>
            </w:r>
            <w:r w:rsidRPr="194E39BE" w:rsidR="45D3E129">
              <w:rPr>
                <w:rFonts w:ascii="Arial" w:hAnsi="Arial" w:cs="Arial"/>
              </w:rPr>
              <w:t>. Tools for monitoring participant progress, feedback evaluation forms, post-programme access to information and resources, and referral lists for ongoing support will also be implemented.</w:t>
            </w:r>
          </w:p>
          <w:p w:rsidRPr="00991612" w:rsidR="00991612" w:rsidP="0578A328" w:rsidRDefault="00991612" w14:paraId="53267D04" w14:textId="5C61AFAB">
            <w:pPr>
              <w:pStyle w:val="ListParagraph"/>
              <w:spacing w:line="240" w:lineRule="auto"/>
              <w:ind w:left="0"/>
              <w:rPr>
                <w:rFonts w:ascii="Arial" w:hAnsi="Arial" w:cs="Arial"/>
                <w:color w:val="FF0000"/>
              </w:rPr>
            </w:pPr>
          </w:p>
        </w:tc>
      </w:tr>
      <w:tr w:rsidRPr="00210378" w:rsidR="009E10F9" w:rsidTr="74718914" w14:paraId="6FD11615" w14:textId="77777777">
        <w:trPr>
          <w:trHeight w:val="2660"/>
        </w:trPr>
        <w:tc>
          <w:tcPr>
            <w:tcW w:w="10110" w:type="dxa"/>
            <w:shd w:val="clear" w:color="auto" w:fill="auto"/>
            <w:tcMar/>
          </w:tcPr>
          <w:p w:rsidRPr="00FD04DE" w:rsidR="00FD04DE" w:rsidP="00FD04DE" w:rsidRDefault="00FD04DE" w14:paraId="4F48D75A" w14:textId="77777777"/>
          <w:p w:rsidRPr="008C1B8E" w:rsidR="00991612" w:rsidP="00CC53AF" w:rsidRDefault="00991612" w14:paraId="6B9ADD03" w14:textId="2D552A6C">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p>
          <w:p w:rsidR="7BAEF637" w:rsidP="7BAEF637" w:rsidRDefault="7BAEF637" w14:paraId="43F303CB" w14:textId="1375DA49">
            <w:pPr>
              <w:pStyle w:val="ListParagraph"/>
              <w:spacing w:after="0" w:line="240" w:lineRule="auto"/>
              <w:ind w:left="0"/>
              <w:rPr>
                <w:rFonts w:ascii="Arial" w:hAnsi="Arial" w:cs="Arial"/>
                <w:i/>
                <w:iCs/>
                <w:sz w:val="20"/>
                <w:szCs w:val="20"/>
              </w:rPr>
            </w:pPr>
          </w:p>
          <w:p w:rsidRPr="00210378" w:rsidR="0028612F" w:rsidP="194E39BE" w:rsidRDefault="14798046" w14:paraId="5FB7EFB1" w14:textId="3A376B95">
            <w:pPr>
              <w:jc w:val="both"/>
              <w:rPr>
                <w:rFonts w:ascii="Arial" w:hAnsi="Arial" w:eastAsia="Arial" w:cs="Arial"/>
                <w:color w:val="0E101A"/>
                <w:sz w:val="22"/>
                <w:szCs w:val="22"/>
              </w:rPr>
            </w:pPr>
            <w:r w:rsidRPr="194E39BE" w:rsidR="4CF12461">
              <w:rPr>
                <w:rFonts w:ascii="Arial" w:hAnsi="Arial" w:eastAsia="Arial" w:cs="Arial"/>
                <w:color w:val="0E101A"/>
                <w:sz w:val="22"/>
                <w:szCs w:val="22"/>
              </w:rPr>
              <w:t xml:space="preserve">person-centred approach and collaboration. Starting with referrals from probation, juvenile justice, and community centres leads to eligibility assessments and the use of the SAVRY. Suitable individuals will attend an orientation session with informed consent and assent when </w:t>
            </w:r>
            <w:r w:rsidRPr="194E39BE" w:rsidR="4CF12461">
              <w:rPr>
                <w:rFonts w:ascii="Arial" w:hAnsi="Arial" w:eastAsia="Arial" w:cs="Arial"/>
                <w:color w:val="0E101A"/>
                <w:sz w:val="22"/>
                <w:szCs w:val="22"/>
              </w:rPr>
              <w:t>required</w:t>
            </w:r>
            <w:r w:rsidRPr="194E39BE" w:rsidR="4CF12461">
              <w:rPr>
                <w:rFonts w:ascii="Arial" w:hAnsi="Arial" w:eastAsia="Arial" w:cs="Arial"/>
                <w:color w:val="0E101A"/>
                <w:sz w:val="22"/>
                <w:szCs w:val="22"/>
              </w:rPr>
              <w:t xml:space="preserve">. An individualised plan will be developed. Sessions include CBT, anger management, and skill development in the structure of SST. Family involvement, where suitable, will apply, strengthening social networks. Transition planning will prepare participants for reintegration into society, focusing on relapse prevention and coping strategies. Support is provided upon completion for a smooth transition back into everyday </w:t>
            </w:r>
            <w:r w:rsidRPr="194E39BE" w:rsidR="4CF12461">
              <w:rPr>
                <w:rFonts w:ascii="Arial" w:hAnsi="Arial" w:eastAsia="Arial" w:cs="Arial"/>
                <w:color w:val="0E101A"/>
                <w:sz w:val="22"/>
                <w:szCs w:val="22"/>
              </w:rPr>
              <w:t>living</w:t>
            </w:r>
            <w:r w:rsidRPr="194E39BE" w:rsidR="14798046">
              <w:rPr>
                <w:rFonts w:ascii="Arial" w:hAnsi="Arial" w:eastAsia="Arial" w:cs="Arial"/>
                <w:color w:val="0E101A"/>
                <w:sz w:val="22"/>
                <w:szCs w:val="22"/>
              </w:rPr>
              <w:t>.</w:t>
            </w:r>
            <w:r w:rsidRPr="194E39BE" w:rsidR="14798046">
              <w:rPr>
                <w:rFonts w:ascii="Arial" w:hAnsi="Arial" w:eastAsia="Arial" w:cs="Arial"/>
                <w:color w:val="0E101A"/>
                <w:sz w:val="22"/>
                <w:szCs w:val="22"/>
              </w:rPr>
              <w:t xml:space="preserve"> </w:t>
            </w:r>
          </w:p>
          <w:p w:rsidRPr="00210378" w:rsidR="0028612F" w:rsidP="0578A328" w:rsidRDefault="14798046" w14:paraId="64C7D54E" w14:textId="4213E857">
            <w:pPr>
              <w:rPr>
                <w:rFonts w:ascii="Arial" w:hAnsi="Arial" w:eastAsia="Arial" w:cs="Arial"/>
                <w:color w:val="0E101A"/>
                <w:sz w:val="22"/>
                <w:szCs w:val="22"/>
              </w:rPr>
            </w:pPr>
            <w:r w:rsidRPr="0578A328">
              <w:rPr>
                <w:rFonts w:ascii="Arial" w:hAnsi="Arial" w:eastAsia="Arial" w:cs="Arial"/>
                <w:color w:val="0E101A"/>
                <w:sz w:val="22"/>
                <w:szCs w:val="22"/>
              </w:rPr>
              <w:t xml:space="preserve"> </w:t>
            </w:r>
          </w:p>
          <w:p w:rsidRPr="00210378" w:rsidR="0028612F" w:rsidP="0578A328" w:rsidRDefault="14798046" w14:paraId="05056762" w14:textId="5AD0563A">
            <w:pPr>
              <w:rPr>
                <w:rFonts w:ascii="Arial" w:hAnsi="Arial" w:eastAsia="Arial" w:cs="Arial"/>
                <w:color w:val="0E101A"/>
                <w:sz w:val="22"/>
                <w:szCs w:val="22"/>
              </w:rPr>
            </w:pPr>
            <w:r w:rsidRPr="0578A328">
              <w:rPr>
                <w:rFonts w:ascii="Arial" w:hAnsi="Arial" w:eastAsia="Arial" w:cs="Arial"/>
                <w:b/>
                <w:bCs/>
                <w:color w:val="0E101A"/>
                <w:sz w:val="22"/>
                <w:szCs w:val="22"/>
              </w:rPr>
              <w:t>Week-by-Week Breakdown:</w:t>
            </w:r>
            <w:r w:rsidRPr="0578A328">
              <w:rPr>
                <w:rFonts w:ascii="Arial" w:hAnsi="Arial" w:eastAsia="Arial" w:cs="Arial"/>
                <w:color w:val="0E101A"/>
                <w:sz w:val="22"/>
                <w:szCs w:val="22"/>
              </w:rPr>
              <w:t xml:space="preserve"> </w:t>
            </w:r>
          </w:p>
          <w:p w:rsidRPr="00210378" w:rsidR="0028612F" w:rsidP="0578A328" w:rsidRDefault="14798046" w14:paraId="27BBF538" w14:textId="51753A39">
            <w:pPr>
              <w:pStyle w:val="ListParagraph"/>
              <w:numPr>
                <w:ilvl w:val="0"/>
                <w:numId w:val="2"/>
              </w:numPr>
              <w:spacing w:after="0" w:line="240" w:lineRule="auto"/>
              <w:rPr>
                <w:rFonts w:ascii="Arial" w:hAnsi="Arial" w:eastAsia="Arial" w:cs="Arial"/>
                <w:color w:val="0E101A"/>
              </w:rPr>
            </w:pPr>
            <w:r w:rsidRPr="0578A328">
              <w:rPr>
                <w:rFonts w:ascii="Arial" w:hAnsi="Arial" w:eastAsia="Arial" w:cs="Arial"/>
                <w:b/>
                <w:bCs/>
                <w:color w:val="0E101A"/>
              </w:rPr>
              <w:t>Weeks 1-4: Initial Assessment and Establishing Foundations</w:t>
            </w:r>
            <w:r w:rsidRPr="0578A328">
              <w:rPr>
                <w:rFonts w:ascii="Arial" w:hAnsi="Arial" w:eastAsia="Arial" w:cs="Arial"/>
                <w:color w:val="0E101A"/>
              </w:rPr>
              <w:t xml:space="preserve"> </w:t>
            </w:r>
          </w:p>
          <w:p w:rsidRPr="00210378" w:rsidR="0028612F" w:rsidP="0578A328" w:rsidRDefault="14798046" w14:paraId="16A0B72B" w14:textId="26F4C7C1">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Conducting thorough assessments to understand the individual's background, mental </w:t>
            </w:r>
            <w:proofErr w:type="gramStart"/>
            <w:r w:rsidRPr="0578A328">
              <w:rPr>
                <w:rFonts w:ascii="Arial" w:hAnsi="Arial" w:eastAsia="Arial" w:cs="Arial"/>
                <w:color w:val="0E101A"/>
              </w:rPr>
              <w:t>health</w:t>
            </w:r>
            <w:proofErr w:type="gramEnd"/>
            <w:r w:rsidRPr="0578A328">
              <w:rPr>
                <w:rFonts w:ascii="Arial" w:hAnsi="Arial" w:eastAsia="Arial" w:cs="Arial"/>
                <w:color w:val="0E101A"/>
              </w:rPr>
              <w:t xml:space="preserve"> and needs. </w:t>
            </w:r>
          </w:p>
          <w:p w:rsidRPr="00210378" w:rsidR="0028612F" w:rsidP="0578A328" w:rsidRDefault="14798046" w14:paraId="6DF9A869" w14:textId="21745BFC">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Establishing rapport and trust with the participant. </w:t>
            </w:r>
          </w:p>
          <w:p w:rsidRPr="00210378" w:rsidR="0028612F" w:rsidP="0578A328" w:rsidRDefault="14798046" w14:paraId="46F2319A" w14:textId="450F047F">
            <w:pPr>
              <w:pStyle w:val="ListParagraph"/>
              <w:numPr>
                <w:ilvl w:val="0"/>
                <w:numId w:val="1"/>
              </w:numPr>
              <w:spacing w:after="0" w:line="240" w:lineRule="auto"/>
              <w:rPr>
                <w:rFonts w:ascii="Arial" w:hAnsi="Arial" w:eastAsia="Arial" w:cs="Arial"/>
                <w:color w:val="0E101A"/>
              </w:rPr>
            </w:pPr>
            <w:r w:rsidRPr="194E39BE" w:rsidR="14798046">
              <w:rPr>
                <w:rFonts w:ascii="Arial" w:hAnsi="Arial" w:eastAsia="Arial" w:cs="Arial"/>
                <w:color w:val="0E101A"/>
              </w:rPr>
              <w:t xml:space="preserve">Initiating </w:t>
            </w:r>
            <w:r w:rsidRPr="194E39BE" w:rsidR="4DC4EF84">
              <w:rPr>
                <w:rFonts w:ascii="Arial" w:hAnsi="Arial" w:eastAsia="Arial" w:cs="Arial"/>
                <w:color w:val="0E101A"/>
              </w:rPr>
              <w:t>CBT</w:t>
            </w:r>
            <w:r w:rsidRPr="194E39BE" w:rsidR="14798046">
              <w:rPr>
                <w:rFonts w:ascii="Arial" w:hAnsi="Arial" w:eastAsia="Arial" w:cs="Arial"/>
                <w:color w:val="0E101A"/>
              </w:rPr>
              <w:t xml:space="preserve"> and addressing immediate concerns. </w:t>
            </w:r>
          </w:p>
          <w:p w:rsidRPr="00210378" w:rsidR="0028612F" w:rsidP="0578A328" w:rsidRDefault="14798046" w14:paraId="55ECD94E" w14:textId="5E6303B4">
            <w:pPr>
              <w:pStyle w:val="ListParagraph"/>
              <w:numPr>
                <w:ilvl w:val="0"/>
                <w:numId w:val="2"/>
              </w:numPr>
              <w:spacing w:after="0" w:line="240" w:lineRule="auto"/>
              <w:rPr>
                <w:rFonts w:ascii="Arial" w:hAnsi="Arial" w:eastAsia="Arial" w:cs="Arial"/>
                <w:color w:val="0E101A"/>
              </w:rPr>
            </w:pPr>
            <w:r w:rsidRPr="0578A328">
              <w:rPr>
                <w:rFonts w:ascii="Arial" w:hAnsi="Arial" w:eastAsia="Arial" w:cs="Arial"/>
                <w:b/>
                <w:bCs/>
                <w:color w:val="0E101A"/>
              </w:rPr>
              <w:t>Weeks 5-8: Targeting Specific Issues and Skill Development</w:t>
            </w:r>
            <w:r w:rsidRPr="0578A328">
              <w:rPr>
                <w:rFonts w:ascii="Arial" w:hAnsi="Arial" w:eastAsia="Arial" w:cs="Arial"/>
                <w:color w:val="0E101A"/>
              </w:rPr>
              <w:t xml:space="preserve"> </w:t>
            </w:r>
          </w:p>
          <w:p w:rsidRPr="00210378" w:rsidR="0028612F" w:rsidP="0578A328" w:rsidRDefault="14798046" w14:paraId="6127006B" w14:textId="0F8C7C13">
            <w:pPr>
              <w:pStyle w:val="ListParagraph"/>
              <w:numPr>
                <w:ilvl w:val="0"/>
                <w:numId w:val="1"/>
              </w:numPr>
              <w:spacing w:after="0" w:line="240" w:lineRule="auto"/>
              <w:rPr>
                <w:rFonts w:ascii="Arial" w:hAnsi="Arial" w:eastAsia="Arial" w:cs="Arial"/>
                <w:color w:val="0E101A"/>
              </w:rPr>
            </w:pPr>
            <w:r w:rsidRPr="194E39BE" w:rsidR="14798046">
              <w:rPr>
                <w:rFonts w:ascii="Arial" w:hAnsi="Arial" w:eastAsia="Arial" w:cs="Arial"/>
                <w:color w:val="0E101A"/>
              </w:rPr>
              <w:t xml:space="preserve">Intensifying </w:t>
            </w:r>
            <w:r w:rsidRPr="194E39BE" w:rsidR="5F2299E3">
              <w:rPr>
                <w:rFonts w:ascii="Arial" w:hAnsi="Arial" w:eastAsia="Arial" w:cs="Arial"/>
                <w:color w:val="0E101A"/>
              </w:rPr>
              <w:t>CBT</w:t>
            </w:r>
            <w:r w:rsidRPr="194E39BE" w:rsidR="14798046">
              <w:rPr>
                <w:rFonts w:ascii="Arial" w:hAnsi="Arial" w:eastAsia="Arial" w:cs="Arial"/>
                <w:color w:val="0E101A"/>
              </w:rPr>
              <w:t xml:space="preserve"> sessions. </w:t>
            </w:r>
          </w:p>
          <w:p w:rsidRPr="00210378" w:rsidR="0028612F" w:rsidP="0578A328" w:rsidRDefault="14798046" w14:paraId="071BACEF" w14:textId="6A1B6C71">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Focusing on anger management and coping mechanisms. </w:t>
            </w:r>
          </w:p>
          <w:p w:rsidRPr="00210378" w:rsidR="0028612F" w:rsidP="0578A328" w:rsidRDefault="14798046" w14:paraId="41B38EE5" w14:textId="7B88CF75">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Implementing skill development workshops (SST) to enhance life skills. </w:t>
            </w:r>
          </w:p>
          <w:p w:rsidRPr="00210378" w:rsidR="0028612F" w:rsidP="0578A328" w:rsidRDefault="14798046" w14:paraId="45D3917C" w14:textId="3C98F8AF">
            <w:pPr>
              <w:pStyle w:val="ListParagraph"/>
              <w:numPr>
                <w:ilvl w:val="0"/>
                <w:numId w:val="2"/>
              </w:numPr>
              <w:spacing w:after="0" w:line="240" w:lineRule="auto"/>
              <w:rPr>
                <w:rFonts w:ascii="Arial" w:hAnsi="Arial" w:eastAsia="Arial" w:cs="Arial"/>
                <w:color w:val="0E101A"/>
              </w:rPr>
            </w:pPr>
            <w:r w:rsidRPr="0578A328">
              <w:rPr>
                <w:rFonts w:ascii="Arial" w:hAnsi="Arial" w:eastAsia="Arial" w:cs="Arial"/>
                <w:b/>
                <w:bCs/>
                <w:color w:val="0E101A"/>
              </w:rPr>
              <w:t>Weeks 9-12: Individualised Focus and Progress Evaluation</w:t>
            </w:r>
            <w:r w:rsidRPr="0578A328">
              <w:rPr>
                <w:rFonts w:ascii="Arial" w:hAnsi="Arial" w:eastAsia="Arial" w:cs="Arial"/>
                <w:color w:val="0E101A"/>
              </w:rPr>
              <w:t xml:space="preserve"> </w:t>
            </w:r>
          </w:p>
          <w:p w:rsidRPr="00210378" w:rsidR="0028612F" w:rsidP="0578A328" w:rsidRDefault="14798046" w14:paraId="2CE4F534" w14:textId="6ADF8548">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Continuing and fine-tuning individual and group sessions. </w:t>
            </w:r>
          </w:p>
          <w:p w:rsidRPr="00210378" w:rsidR="0028612F" w:rsidP="0578A328" w:rsidRDefault="14798046" w14:paraId="2D9BF6F3" w14:textId="353F7DB0">
            <w:pPr>
              <w:pStyle w:val="ListParagraph"/>
              <w:numPr>
                <w:ilvl w:val="0"/>
                <w:numId w:val="1"/>
              </w:numPr>
              <w:spacing w:after="0" w:line="240" w:lineRule="auto"/>
              <w:rPr>
                <w:rFonts w:ascii="Arial" w:hAnsi="Arial" w:eastAsia="Arial" w:cs="Arial"/>
                <w:color w:val="0E101A"/>
              </w:rPr>
            </w:pPr>
            <w:r w:rsidRPr="0578A328">
              <w:rPr>
                <w:rFonts w:ascii="Arial" w:hAnsi="Arial" w:eastAsia="Arial" w:cs="Arial"/>
                <w:color w:val="0E101A"/>
              </w:rPr>
              <w:t xml:space="preserve">Conducting regular progress evaluations and self-assessments to measure changes and adjust the intervention plan accordingly. </w:t>
            </w:r>
          </w:p>
          <w:p w:rsidRPr="00210378" w:rsidR="0028612F" w:rsidP="0578A328" w:rsidRDefault="14798046" w14:paraId="593A9996" w14:textId="0D40D9D0">
            <w:pPr>
              <w:pStyle w:val="ListParagraph"/>
              <w:numPr>
                <w:ilvl w:val="0"/>
                <w:numId w:val="1"/>
              </w:numPr>
              <w:spacing w:after="0" w:line="240" w:lineRule="auto"/>
              <w:rPr>
                <w:rFonts w:ascii="Arial" w:hAnsi="Arial" w:eastAsia="Arial" w:cs="Arial"/>
                <w:color w:val="0E101A"/>
              </w:rPr>
            </w:pPr>
            <w:r w:rsidRPr="74718914" w:rsidR="14798046">
              <w:rPr>
                <w:rFonts w:ascii="Arial" w:hAnsi="Arial" w:eastAsia="Arial" w:cs="Arial"/>
                <w:color w:val="0E101A"/>
              </w:rPr>
              <w:t>Emphasising therapeutic counselling to address underlying issues.</w:t>
            </w:r>
          </w:p>
          <w:p w:rsidR="6F2C769C" w:rsidP="74718914" w:rsidRDefault="6F2C769C" w14:paraId="21D647C7" w14:textId="635ECCF1">
            <w:pPr>
              <w:pStyle w:val="ListParagraph"/>
              <w:numPr>
                <w:ilvl w:val="0"/>
                <w:numId w:val="1"/>
              </w:numPr>
              <w:spacing w:after="0" w:line="240" w:lineRule="auto"/>
              <w:rPr>
                <w:rFonts w:ascii="Arial" w:hAnsi="Arial" w:eastAsia="Arial" w:cs="Arial"/>
                <w:color w:val="0E101A"/>
                <w:sz w:val="22"/>
                <w:szCs w:val="22"/>
              </w:rPr>
            </w:pPr>
            <w:r w:rsidRPr="74718914" w:rsidR="6F2C769C">
              <w:rPr>
                <w:rFonts w:ascii="Arial" w:hAnsi="Arial" w:eastAsia="Arial" w:cs="Arial"/>
                <w:color w:val="0E101A"/>
                <w:sz w:val="22"/>
                <w:szCs w:val="22"/>
              </w:rPr>
              <w:t>victim impact statement</w:t>
            </w:r>
          </w:p>
          <w:p w:rsidRPr="00210378" w:rsidR="0028612F" w:rsidP="0578A328" w:rsidRDefault="14798046" w14:paraId="42F8F6FD" w14:textId="7186B3D1">
            <w:pPr>
              <w:pStyle w:val="ListParagraph"/>
              <w:numPr>
                <w:ilvl w:val="0"/>
                <w:numId w:val="2"/>
              </w:numPr>
              <w:spacing w:after="0" w:line="240" w:lineRule="auto"/>
              <w:rPr>
                <w:rFonts w:ascii="Arial" w:hAnsi="Arial" w:eastAsia="Arial" w:cs="Arial"/>
                <w:color w:val="0E101A"/>
              </w:rPr>
            </w:pPr>
            <w:r w:rsidRPr="0578A328">
              <w:rPr>
                <w:rFonts w:ascii="Arial" w:hAnsi="Arial" w:eastAsia="Arial" w:cs="Arial"/>
                <w:b/>
                <w:bCs/>
                <w:color w:val="0E101A"/>
              </w:rPr>
              <w:t>Weeks 13-16: Consolidation and Transition</w:t>
            </w:r>
            <w:r w:rsidRPr="0578A328">
              <w:rPr>
                <w:rFonts w:ascii="Arial" w:hAnsi="Arial" w:eastAsia="Arial" w:cs="Arial"/>
                <w:color w:val="0E101A"/>
              </w:rPr>
              <w:t xml:space="preserve"> </w:t>
            </w:r>
          </w:p>
          <w:p w:rsidRPr="00210378" w:rsidR="0028612F" w:rsidP="0578A328" w:rsidRDefault="14798046" w14:paraId="0111C0FA" w14:textId="024F1FF3">
            <w:pPr>
              <w:pStyle w:val="ListParagraph"/>
              <w:numPr>
                <w:ilvl w:val="0"/>
                <w:numId w:val="1"/>
              </w:numPr>
              <w:spacing w:after="0" w:line="240" w:lineRule="auto"/>
              <w:rPr>
                <w:rFonts w:ascii="Arial" w:hAnsi="Arial" w:eastAsia="Arial" w:cs="Arial"/>
                <w:color w:val="0E101A"/>
              </w:rPr>
            </w:pPr>
            <w:r w:rsidRPr="74718914" w:rsidR="14798046">
              <w:rPr>
                <w:rFonts w:ascii="Arial" w:hAnsi="Arial" w:eastAsia="Arial" w:cs="Arial"/>
                <w:color w:val="0E101A"/>
              </w:rPr>
              <w:t xml:space="preserve">Reinforcing positive behavioural changes. </w:t>
            </w:r>
          </w:p>
          <w:p w:rsidRPr="00210378" w:rsidR="0028612F" w:rsidP="0578A328" w:rsidRDefault="14798046" w14:paraId="2CC25F3F" w14:textId="34BF7925">
            <w:pPr>
              <w:pStyle w:val="ListParagraph"/>
              <w:numPr>
                <w:ilvl w:val="0"/>
                <w:numId w:val="1"/>
              </w:numPr>
              <w:spacing w:after="0" w:line="240" w:lineRule="auto"/>
              <w:rPr>
                <w:rFonts w:ascii="Arial" w:hAnsi="Arial" w:eastAsia="Arial" w:cs="Arial"/>
                <w:color w:val="0E101A"/>
              </w:rPr>
            </w:pPr>
            <w:r w:rsidRPr="74718914" w:rsidR="14798046">
              <w:rPr>
                <w:rFonts w:ascii="Arial" w:hAnsi="Arial" w:eastAsia="Arial" w:cs="Arial"/>
                <w:color w:val="0E101A"/>
              </w:rPr>
              <w:t xml:space="preserve">Preparing the participant for reintegration into society. </w:t>
            </w:r>
          </w:p>
          <w:p w:rsidRPr="00210378" w:rsidR="0028612F" w:rsidP="0578A328" w:rsidRDefault="14798046" w14:paraId="7C57DA80" w14:textId="29613AF0">
            <w:pPr>
              <w:pStyle w:val="ListParagraph"/>
              <w:numPr>
                <w:ilvl w:val="0"/>
                <w:numId w:val="1"/>
              </w:numPr>
              <w:spacing w:after="0" w:line="240" w:lineRule="auto"/>
              <w:rPr>
                <w:rFonts w:ascii="Arial" w:hAnsi="Arial" w:eastAsia="Arial" w:cs="Arial"/>
                <w:color w:val="0E101A"/>
              </w:rPr>
            </w:pPr>
            <w:r w:rsidRPr="74718914" w:rsidR="14798046">
              <w:rPr>
                <w:rFonts w:ascii="Arial" w:hAnsi="Arial" w:eastAsia="Arial" w:cs="Arial"/>
                <w:color w:val="0E101A"/>
              </w:rPr>
              <w:t xml:space="preserve">Finalising coping strategies and relapse prevention plans. </w:t>
            </w:r>
          </w:p>
          <w:p w:rsidRPr="00210378" w:rsidR="0028612F" w:rsidP="0578A328" w:rsidRDefault="14798046" w14:paraId="4D27564C" w14:textId="6C5768DA">
            <w:pPr>
              <w:rPr>
                <w:rFonts w:ascii="Arial" w:hAnsi="Arial" w:eastAsia="Arial" w:cs="Arial"/>
                <w:color w:val="0E101A"/>
                <w:sz w:val="22"/>
                <w:szCs w:val="22"/>
              </w:rPr>
            </w:pPr>
            <w:r w:rsidRPr="0578A328">
              <w:rPr>
                <w:rFonts w:ascii="Arial" w:hAnsi="Arial" w:eastAsia="Arial" w:cs="Arial"/>
                <w:color w:val="0E101A"/>
                <w:sz w:val="22"/>
                <w:szCs w:val="22"/>
              </w:rPr>
              <w:t xml:space="preserve"> </w:t>
            </w:r>
          </w:p>
          <w:p w:rsidRPr="00210378" w:rsidR="0028612F" w:rsidP="0578A328" w:rsidRDefault="14798046" w14:paraId="19AEBBB9" w14:textId="4AACC39E">
            <w:pPr>
              <w:rPr>
                <w:rFonts w:ascii="Arial" w:hAnsi="Arial" w:eastAsia="Arial" w:cs="Arial"/>
                <w:color w:val="0E101A"/>
                <w:sz w:val="22"/>
                <w:szCs w:val="22"/>
              </w:rPr>
            </w:pPr>
            <w:r w:rsidRPr="0578A328">
              <w:rPr>
                <w:rFonts w:ascii="Arial" w:hAnsi="Arial" w:eastAsia="Arial" w:cs="Arial"/>
                <w:b/>
                <w:bCs/>
                <w:color w:val="0E101A"/>
                <w:sz w:val="22"/>
                <w:szCs w:val="22"/>
              </w:rPr>
              <w:t>Ethical considerations:</w:t>
            </w:r>
            <w:r w:rsidRPr="0578A328">
              <w:rPr>
                <w:rFonts w:ascii="Arial" w:hAnsi="Arial" w:eastAsia="Arial" w:cs="Arial"/>
                <w:color w:val="0E101A"/>
                <w:sz w:val="22"/>
                <w:szCs w:val="22"/>
              </w:rPr>
              <w:t xml:space="preserve"> </w:t>
            </w:r>
          </w:p>
          <w:p w:rsidRPr="00210378" w:rsidR="0028612F" w:rsidP="0578A328" w:rsidRDefault="14798046" w14:paraId="3B14CE52" w14:textId="5BCB705E">
            <w:pPr>
              <w:rPr>
                <w:rFonts w:ascii="Arial" w:hAnsi="Arial" w:eastAsia="Arial" w:cs="Arial"/>
                <w:color w:val="0E101A"/>
                <w:sz w:val="22"/>
                <w:szCs w:val="22"/>
              </w:rPr>
            </w:pPr>
            <w:r w:rsidRPr="194E39BE" w:rsidR="14798046">
              <w:rPr>
                <w:rFonts w:ascii="Arial" w:hAnsi="Arial" w:eastAsia="Arial" w:cs="Arial"/>
                <w:color w:val="0E101A"/>
                <w:sz w:val="22"/>
                <w:szCs w:val="22"/>
              </w:rPr>
              <w:t xml:space="preserve"> </w:t>
            </w:r>
          </w:p>
          <w:p w:rsidR="1BC55D3D" w:rsidP="194E39BE" w:rsidRDefault="1BC55D3D" w14:paraId="4673E359" w14:textId="7CC18F71">
            <w:pPr>
              <w:pStyle w:val="Normal"/>
              <w:jc w:val="both"/>
              <w:rPr>
                <w:rFonts w:ascii="Arial" w:hAnsi="Arial" w:eastAsia="Arial" w:cs="Arial"/>
                <w:color w:val="0E101A"/>
                <w:sz w:val="22"/>
                <w:szCs w:val="22"/>
              </w:rPr>
            </w:pPr>
            <w:r w:rsidRPr="194E39BE" w:rsidR="1BC55D3D">
              <w:rPr>
                <w:rFonts w:ascii="Arial" w:hAnsi="Arial" w:eastAsia="Arial" w:cs="Arial"/>
                <w:color w:val="0E101A"/>
                <w:sz w:val="22"/>
                <w:szCs w:val="22"/>
              </w:rPr>
              <w:t xml:space="preserve">Ethical considerations are paramount in implementing the intervention to ensure that the proposed intervention aligns with ethical guidelines and considers the sensitive nature of the intervention plan. The intervention will involve obtaining informed consent through orientation sessions that transparently communicate the intervention's nature, potential risks, voluntary participation, and the right to withdraw without consequences. Upholding confidentiality, precise information on data management and confidentiality will be provided, safeguarding participant rights and </w:t>
            </w:r>
            <w:r w:rsidRPr="194E39BE" w:rsidR="1BC55D3D">
              <w:rPr>
                <w:rFonts w:ascii="Arial" w:hAnsi="Arial" w:eastAsia="Arial" w:cs="Arial"/>
                <w:color w:val="0E101A"/>
                <w:sz w:val="22"/>
                <w:szCs w:val="22"/>
              </w:rPr>
              <w:t>maintaining</w:t>
            </w:r>
            <w:r w:rsidRPr="194E39BE" w:rsidR="1BC55D3D">
              <w:rPr>
                <w:rFonts w:ascii="Arial" w:hAnsi="Arial" w:eastAsia="Arial" w:cs="Arial"/>
                <w:color w:val="0E101A"/>
                <w:sz w:val="22"/>
                <w:szCs w:val="22"/>
              </w:rPr>
              <w:t xml:space="preserve"> the intervention's integrity. Cultural sensitivity will be ensured through the acknowledgement and respect of diverse cultural backgrounds, the engagement of various facilitators, and the incorporation of culturally relevant content. Continuous facilitator training will promote professional competence, inclusivity, and equality, avoiding discrimination and fostering a safe environment. After challenging sessions, debriefing and follow-up support will be provided, and collaborative decision-making will involve participants in shaping their intervention plan. This comprehensive ethical framework underscores the intervention's foundation, emphasising participants' well-being, autonomy, and moral accountability.</w:t>
            </w:r>
          </w:p>
          <w:p w:rsidRPr="00210378" w:rsidR="0028612F" w:rsidP="0578A328" w:rsidRDefault="0028612F" w14:paraId="22A79C47" w14:textId="205ED0F5">
            <w:pPr>
              <w:pStyle w:val="ListParagraph"/>
              <w:spacing w:after="0" w:line="240" w:lineRule="auto"/>
              <w:ind w:left="0"/>
              <w:rPr>
                <w:rFonts w:ascii="Arial" w:hAnsi="Arial" w:cs="Arial"/>
              </w:rPr>
            </w:pPr>
          </w:p>
          <w:p w:rsidRPr="00210378" w:rsidR="0028612F" w:rsidP="0578A328" w:rsidRDefault="0028612F" w14:paraId="32AB470A" w14:textId="6DBB9C48">
            <w:pPr>
              <w:pStyle w:val="ListParagraph"/>
              <w:spacing w:after="0" w:line="240" w:lineRule="auto"/>
              <w:ind w:left="0"/>
              <w:rPr>
                <w:rFonts w:ascii="Arial" w:hAnsi="Arial" w:cs="Arial"/>
                <w:color w:val="FF0000"/>
              </w:rPr>
            </w:pPr>
          </w:p>
        </w:tc>
      </w:tr>
      <w:tr w:rsidRPr="00210378" w:rsidR="009E10F9" w:rsidTr="74718914" w14:paraId="19B8D313" w14:textId="77777777">
        <w:trPr>
          <w:trHeight w:val="2560"/>
        </w:trPr>
        <w:tc>
          <w:tcPr>
            <w:tcW w:w="10110" w:type="dxa"/>
            <w:shd w:val="clear" w:color="auto" w:fill="auto"/>
            <w:tcMar/>
          </w:tcPr>
          <w:p w:rsidRPr="004A4FCC" w:rsidR="004A4FCC" w:rsidP="004A4FCC" w:rsidRDefault="004A4FCC" w14:paraId="2C4612C6" w14:textId="77777777"/>
          <w:p w:rsidRPr="00991612" w:rsidR="004A4FCC" w:rsidP="004A4FCC" w:rsidRDefault="00991612" w14:paraId="21707925" w14:textId="29C3929A">
            <w:pPr>
              <w:rPr>
                <w:rFonts w:ascii="Arial" w:hAnsi="Arial" w:cs="Arial"/>
                <w:b/>
                <w:bCs/>
                <w:sz w:val="22"/>
                <w:szCs w:val="22"/>
              </w:rPr>
            </w:pPr>
            <w:r w:rsidRPr="00991612">
              <w:rPr>
                <w:rFonts w:ascii="Arial" w:hAnsi="Arial" w:cs="Arial"/>
                <w:b/>
                <w:bCs/>
                <w:sz w:val="22"/>
                <w:szCs w:val="22"/>
              </w:rPr>
              <w:t xml:space="preserve">Planned analysis: </w:t>
            </w:r>
          </w:p>
          <w:p w:rsidRPr="008C1B8E" w:rsidR="004A4FCC" w:rsidP="7BAEF637" w:rsidRDefault="004A4FCC" w14:paraId="301C05C1" w14:textId="4BFCBC3E">
            <w:pPr>
              <w:rPr>
                <w:rFonts w:ascii="Arial" w:hAnsi="Arial" w:cs="Arial"/>
                <w:i/>
                <w:iCs/>
                <w:sz w:val="20"/>
                <w:szCs w:val="20"/>
              </w:rPr>
            </w:pPr>
          </w:p>
          <w:p w:rsidR="753A1A29" w:rsidP="1C7DCB0F" w:rsidRDefault="753A1A29" w14:paraId="5AFBC269" w14:textId="7B408A34">
            <w:pPr>
              <w:jc w:val="both"/>
              <w:rPr>
                <w:rFonts w:ascii="Arial" w:hAnsi="Arial" w:cs="Arial"/>
                <w:sz w:val="22"/>
                <w:szCs w:val="22"/>
              </w:rPr>
            </w:pPr>
            <w:r w:rsidRPr="194E39BE" w:rsidR="753A1A29">
              <w:rPr>
                <w:rFonts w:ascii="Arial" w:hAnsi="Arial" w:cs="Arial"/>
                <w:sz w:val="22"/>
                <w:szCs w:val="22"/>
              </w:rPr>
              <w:t xml:space="preserve">The effectiveness of </w:t>
            </w:r>
            <w:r w:rsidRPr="194E39BE" w:rsidR="5F6B0CDD">
              <w:rPr>
                <w:rFonts w:ascii="Arial" w:hAnsi="Arial" w:cs="Arial"/>
                <w:sz w:val="22"/>
                <w:szCs w:val="22"/>
              </w:rPr>
              <w:t>the</w:t>
            </w:r>
            <w:r w:rsidRPr="194E39BE" w:rsidR="753A1A29">
              <w:rPr>
                <w:rFonts w:ascii="Arial" w:hAnsi="Arial" w:cs="Arial"/>
                <w:sz w:val="22"/>
                <w:szCs w:val="22"/>
              </w:rPr>
              <w:t xml:space="preserve"> </w:t>
            </w:r>
            <w:r w:rsidRPr="194E39BE" w:rsidR="753A1A29">
              <w:rPr>
                <w:rFonts w:ascii="Arial" w:hAnsi="Arial" w:cs="Arial"/>
                <w:sz w:val="22"/>
                <w:szCs w:val="22"/>
              </w:rPr>
              <w:t xml:space="preserve">rehabilitation intervention will be assessed within a flexible </w:t>
            </w:r>
            <w:r w:rsidRPr="194E39BE" w:rsidR="753A1A29">
              <w:rPr>
                <w:rFonts w:ascii="Arial" w:hAnsi="Arial" w:cs="Arial"/>
                <w:sz w:val="22"/>
                <w:szCs w:val="22"/>
              </w:rPr>
              <w:t>timeframe</w:t>
            </w:r>
            <w:r w:rsidRPr="194E39BE" w:rsidR="753A1A29">
              <w:rPr>
                <w:rFonts w:ascii="Arial" w:hAnsi="Arial" w:cs="Arial"/>
                <w:sz w:val="22"/>
                <w:szCs w:val="22"/>
              </w:rPr>
              <w:t xml:space="preserve"> of 12 to 16 weeks, allowing for personali</w:t>
            </w:r>
            <w:r w:rsidRPr="194E39BE" w:rsidR="005D22D9">
              <w:rPr>
                <w:rFonts w:ascii="Arial" w:hAnsi="Arial" w:cs="Arial"/>
                <w:sz w:val="22"/>
                <w:szCs w:val="22"/>
              </w:rPr>
              <w:t>s</w:t>
            </w:r>
            <w:r w:rsidRPr="194E39BE" w:rsidR="753A1A29">
              <w:rPr>
                <w:rFonts w:ascii="Arial" w:hAnsi="Arial" w:cs="Arial"/>
                <w:sz w:val="22"/>
                <w:szCs w:val="22"/>
              </w:rPr>
              <w:t xml:space="preserve">ed evaluation, targeted interventions, and a gradual reintegration process. </w:t>
            </w:r>
            <w:r w:rsidRPr="194E39BE" w:rsidR="753A1A29">
              <w:rPr>
                <w:rFonts w:ascii="Arial" w:hAnsi="Arial" w:cs="Arial"/>
                <w:sz w:val="22"/>
                <w:szCs w:val="22"/>
              </w:rPr>
              <w:t>Previous</w:t>
            </w:r>
            <w:r w:rsidRPr="194E39BE" w:rsidR="753A1A29">
              <w:rPr>
                <w:rFonts w:ascii="Arial" w:hAnsi="Arial" w:cs="Arial"/>
                <w:sz w:val="22"/>
                <w:szCs w:val="22"/>
              </w:rPr>
              <w:t xml:space="preserve"> empirical research employing similar strategies, integrating evidence-based assessments such as SAVRY with person-</w:t>
            </w:r>
            <w:r w:rsidRPr="194E39BE" w:rsidR="005D22D9">
              <w:rPr>
                <w:rFonts w:ascii="Arial" w:hAnsi="Arial" w:cs="Arial"/>
                <w:sz w:val="22"/>
                <w:szCs w:val="22"/>
              </w:rPr>
              <w:t>centred</w:t>
            </w:r>
            <w:r w:rsidRPr="194E39BE" w:rsidR="753A1A29">
              <w:rPr>
                <w:rFonts w:ascii="Arial" w:hAnsi="Arial" w:cs="Arial"/>
                <w:sz w:val="22"/>
                <w:szCs w:val="22"/>
              </w:rPr>
              <w:t xml:space="preserve"> and skill-focused interventions, suggests potential success. Literature on the positive outcomes of incorporating CBT, SST, and anger management into interventions for reducing recidivism further supports </w:t>
            </w:r>
            <w:r w:rsidRPr="194E39BE" w:rsidR="379F7A49">
              <w:rPr>
                <w:rFonts w:ascii="Arial" w:hAnsi="Arial" w:cs="Arial"/>
                <w:sz w:val="22"/>
                <w:szCs w:val="22"/>
              </w:rPr>
              <w:t>the</w:t>
            </w:r>
            <w:r w:rsidRPr="194E39BE" w:rsidR="753A1A29">
              <w:rPr>
                <w:rFonts w:ascii="Arial" w:hAnsi="Arial" w:cs="Arial"/>
                <w:sz w:val="22"/>
                <w:szCs w:val="22"/>
              </w:rPr>
              <w:t xml:space="preserve"> approach. Studies emphasi</w:t>
            </w:r>
            <w:r w:rsidRPr="194E39BE" w:rsidR="005D22D9">
              <w:rPr>
                <w:rFonts w:ascii="Arial" w:hAnsi="Arial" w:cs="Arial"/>
                <w:sz w:val="22"/>
                <w:szCs w:val="22"/>
              </w:rPr>
              <w:t>s</w:t>
            </w:r>
            <w:r w:rsidRPr="194E39BE" w:rsidR="753A1A29">
              <w:rPr>
                <w:rFonts w:ascii="Arial" w:hAnsi="Arial" w:cs="Arial"/>
                <w:sz w:val="22"/>
                <w:szCs w:val="22"/>
              </w:rPr>
              <w:t>ing the importance of individuali</w:t>
            </w:r>
            <w:r w:rsidRPr="194E39BE" w:rsidR="005D22D9">
              <w:rPr>
                <w:rFonts w:ascii="Arial" w:hAnsi="Arial" w:cs="Arial"/>
                <w:sz w:val="22"/>
                <w:szCs w:val="22"/>
              </w:rPr>
              <w:t>s</w:t>
            </w:r>
            <w:r w:rsidRPr="194E39BE" w:rsidR="753A1A29">
              <w:rPr>
                <w:rFonts w:ascii="Arial" w:hAnsi="Arial" w:cs="Arial"/>
                <w:sz w:val="22"/>
                <w:szCs w:val="22"/>
              </w:rPr>
              <w:t>ed plans, family involvement, and long-term support align with the proposed intervention's principles. Evaluations of comparable program</w:t>
            </w:r>
            <w:r w:rsidRPr="194E39BE" w:rsidR="4E40E1DB">
              <w:rPr>
                <w:rFonts w:ascii="Arial" w:hAnsi="Arial" w:cs="Arial"/>
                <w:sz w:val="22"/>
                <w:szCs w:val="22"/>
              </w:rPr>
              <w:t>me</w:t>
            </w:r>
            <w:r w:rsidRPr="194E39BE" w:rsidR="753A1A29">
              <w:rPr>
                <w:rFonts w:ascii="Arial" w:hAnsi="Arial" w:cs="Arial"/>
                <w:sz w:val="22"/>
                <w:szCs w:val="22"/>
              </w:rPr>
              <w:t xml:space="preserve">s, highlighting cultural competence, ethical considerations, and sustained participant engagement, </w:t>
            </w:r>
            <w:r w:rsidRPr="194E39BE" w:rsidR="753A1A29">
              <w:rPr>
                <w:rFonts w:ascii="Arial" w:hAnsi="Arial" w:cs="Arial"/>
                <w:sz w:val="22"/>
                <w:szCs w:val="22"/>
              </w:rPr>
              <w:t>provide</w:t>
            </w:r>
            <w:r w:rsidRPr="194E39BE" w:rsidR="753A1A29">
              <w:rPr>
                <w:rFonts w:ascii="Arial" w:hAnsi="Arial" w:cs="Arial"/>
                <w:sz w:val="22"/>
                <w:szCs w:val="22"/>
              </w:rPr>
              <w:t xml:space="preserve"> </w:t>
            </w:r>
            <w:r w:rsidRPr="194E39BE" w:rsidR="753A1A29">
              <w:rPr>
                <w:rFonts w:ascii="Arial" w:hAnsi="Arial" w:cs="Arial"/>
                <w:sz w:val="22"/>
                <w:szCs w:val="22"/>
              </w:rPr>
              <w:t>additional</w:t>
            </w:r>
            <w:r w:rsidRPr="194E39BE" w:rsidR="753A1A29">
              <w:rPr>
                <w:rFonts w:ascii="Arial" w:hAnsi="Arial" w:cs="Arial"/>
                <w:sz w:val="22"/>
                <w:szCs w:val="22"/>
              </w:rPr>
              <w:t xml:space="preserve"> support for the effectiveness of </w:t>
            </w:r>
            <w:r w:rsidRPr="194E39BE" w:rsidR="460E9155">
              <w:rPr>
                <w:rFonts w:ascii="Arial" w:hAnsi="Arial" w:cs="Arial"/>
                <w:sz w:val="22"/>
                <w:szCs w:val="22"/>
              </w:rPr>
              <w:t>the</w:t>
            </w:r>
            <w:r w:rsidRPr="194E39BE" w:rsidR="753A1A29">
              <w:rPr>
                <w:rFonts w:ascii="Arial" w:hAnsi="Arial" w:cs="Arial"/>
                <w:sz w:val="22"/>
                <w:szCs w:val="22"/>
              </w:rPr>
              <w:t xml:space="preserve"> multifaceted approach. Regular evidence-based assessments and adjustments enhance adaptability and increase the potential for success.</w:t>
            </w:r>
          </w:p>
          <w:p w:rsidRPr="004A4FCC" w:rsidR="00991612" w:rsidP="0578A328" w:rsidRDefault="00991612" w14:paraId="27A2558D" w14:textId="41989F91">
            <w:pPr>
              <w:rPr>
                <w:color w:val="FF0000"/>
              </w:rPr>
            </w:pPr>
          </w:p>
        </w:tc>
      </w:tr>
      <w:tr w:rsidRPr="00210378" w:rsidR="009E10F9" w:rsidTr="74718914" w14:paraId="5DA08F94" w14:textId="77777777">
        <w:trPr>
          <w:trHeight w:val="4109"/>
        </w:trPr>
        <w:tc>
          <w:tcPr>
            <w:tcW w:w="10110" w:type="dxa"/>
            <w:shd w:val="clear" w:color="auto" w:fill="auto"/>
            <w:tcMar/>
          </w:tcPr>
          <w:p w:rsidRPr="00F10A84" w:rsidR="008C1B8E" w:rsidP="00991612" w:rsidRDefault="009E10F9" w14:paraId="168889C2" w14:textId="1B8F6230">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rsidR="0063303C" w:rsidP="00991612" w:rsidRDefault="0063303C" w14:paraId="649805EB" w14:textId="77777777">
            <w:pPr>
              <w:pStyle w:val="ListParagraph"/>
              <w:spacing w:line="240" w:lineRule="auto"/>
              <w:ind w:left="0"/>
              <w:rPr>
                <w:rFonts w:ascii="Arial" w:hAnsi="Arial" w:cs="Arial"/>
                <w:bCs/>
                <w:i/>
                <w:iCs/>
                <w:sz w:val="20"/>
                <w:szCs w:val="20"/>
              </w:rPr>
            </w:pPr>
          </w:p>
          <w:p w:rsidRPr="0063303C" w:rsidR="0063303C" w:rsidP="194E39BE" w:rsidRDefault="0063303C" w14:paraId="19A803A5" w14:textId="73578FDB">
            <w:pPr>
              <w:pStyle w:val="ListParagraph"/>
              <w:spacing w:line="240" w:lineRule="auto"/>
              <w:ind w:left="0"/>
              <w:jc w:val="both"/>
              <w:rPr>
                <w:rFonts w:ascii="Arial" w:hAnsi="Arial" w:cs="Arial"/>
              </w:rPr>
            </w:pPr>
            <w:r w:rsidRPr="194E39BE" w:rsidR="73C00768">
              <w:rPr>
                <w:rFonts w:ascii="Arial" w:hAnsi="Arial" w:cs="Arial"/>
              </w:rPr>
              <w:t xml:space="preserve">The intervention aims to reduce recidivism by improving impulse control, problem-solving, and social skills, supported by empirical evidence. Drawing on therapeutic models, it targets enhanced mental health outcomes, </w:t>
            </w:r>
            <w:r w:rsidRPr="194E39BE" w:rsidR="73C00768">
              <w:rPr>
                <w:rFonts w:ascii="Arial" w:hAnsi="Arial" w:cs="Arial"/>
              </w:rPr>
              <w:t>anticipating</w:t>
            </w:r>
            <w:r w:rsidRPr="194E39BE" w:rsidR="73C00768">
              <w:rPr>
                <w:rFonts w:ascii="Arial" w:hAnsi="Arial" w:cs="Arial"/>
              </w:rPr>
              <w:t xml:space="preserve"> reduced anxiety and depression symptoms and increased emotional resilience. The multifaceted approach envisions successful reintegration by fostering life skills, improved relationships, and strengthening support networks. The goal includes minimising anger, encouraging prosocial activities, and promoting better decision-making. </w:t>
            </w:r>
            <w:r w:rsidRPr="194E39BE" w:rsidR="73C00768">
              <w:rPr>
                <w:rFonts w:ascii="Arial" w:hAnsi="Arial" w:cs="Arial"/>
              </w:rPr>
              <w:t>Ultimately, the</w:t>
            </w:r>
            <w:r w:rsidRPr="194E39BE" w:rsidR="73C00768">
              <w:rPr>
                <w:rFonts w:ascii="Arial" w:hAnsi="Arial" w:cs="Arial"/>
              </w:rPr>
              <w:t xml:space="preserve"> strategy aims for long-term stability, equipped with tools to sustain positive </w:t>
            </w:r>
            <w:r w:rsidRPr="194E39BE" w:rsidR="73C00768">
              <w:rPr>
                <w:rFonts w:ascii="Arial" w:hAnsi="Arial" w:cs="Arial"/>
              </w:rPr>
              <w:t>changes</w:t>
            </w:r>
            <w:r w:rsidRPr="194E39BE" w:rsidR="73C00768">
              <w:rPr>
                <w:rFonts w:ascii="Arial" w:hAnsi="Arial" w:cs="Arial"/>
              </w:rPr>
              <w:t xml:space="preserve"> and minimise relapse risk, contributing to successful community reintegration. Regular evaluations ensure adaptive alignment with effective rehabilitation strategies.</w:t>
            </w:r>
          </w:p>
        </w:tc>
      </w:tr>
      <w:tr w:rsidRPr="00210378" w:rsidR="009E10F9" w:rsidTr="74718914" w14:paraId="2523D482" w14:textId="77777777">
        <w:trPr>
          <w:trHeight w:val="8554"/>
        </w:trPr>
        <w:tc>
          <w:tcPr>
            <w:tcW w:w="10110" w:type="dxa"/>
            <w:shd w:val="clear" w:color="auto" w:fill="auto"/>
            <w:tcMar/>
          </w:tcPr>
          <w:p w:rsidR="00E41099" w:rsidP="00AC16C0" w:rsidRDefault="00AC16C0" w14:paraId="73B11B45" w14:textId="77777777">
            <w:pPr>
              <w:pStyle w:val="ListParagraph"/>
              <w:ind w:left="0"/>
              <w:rPr>
                <w:rFonts w:ascii="Arial" w:hAnsi="Arial" w:cs="Arial"/>
                <w:i/>
              </w:rPr>
            </w:pPr>
            <w:r w:rsidRPr="00210378">
              <w:rPr>
                <w:rFonts w:ascii="Arial" w:hAnsi="Arial" w:cs="Arial"/>
                <w:b/>
              </w:rPr>
              <w:lastRenderedPageBreak/>
              <w:t xml:space="preserve">Timescales for project completion </w:t>
            </w:r>
          </w:p>
          <w:p w:rsidR="001D2066" w:rsidP="00AC16C0" w:rsidRDefault="006D0BA6" w14:paraId="6C702598" w14:textId="02D6F87B">
            <w:pPr>
              <w:pStyle w:val="ListParagraph"/>
              <w:ind w:left="0"/>
              <w:rPr>
                <w:rFonts w:ascii="Arial" w:hAnsi="Arial" w:cs="Arial"/>
              </w:rPr>
            </w:pPr>
            <w:r>
              <w:rPr>
                <w:rFonts w:ascii="Arial" w:hAnsi="Arial" w:cs="Arial"/>
              </w:rPr>
              <w:t xml:space="preserve">Gantt Chart of proposed timescale: </w:t>
            </w:r>
          </w:p>
          <w:tbl>
            <w:tblPr>
              <w:tblW w:w="9781" w:type="dxa"/>
              <w:tblLook w:val="04A0" w:firstRow="1" w:lastRow="0" w:firstColumn="1" w:lastColumn="0" w:noHBand="0" w:noVBand="1"/>
            </w:tblPr>
            <w:tblGrid>
              <w:gridCol w:w="9781"/>
            </w:tblGrid>
            <w:tr w:rsidR="00A36276" w:rsidTr="000F2D89" w14:paraId="70D552F5" w14:textId="77777777">
              <w:trPr>
                <w:trHeight w:val="397"/>
              </w:trPr>
              <w:tc>
                <w:tcPr>
                  <w:tcW w:w="9781" w:type="dxa"/>
                  <w:tcBorders>
                    <w:top w:val="single" w:color="auto" w:sz="4" w:space="0"/>
                    <w:left w:val="single" w:color="auto" w:sz="4" w:space="0"/>
                    <w:bottom w:val="single" w:color="auto" w:sz="4" w:space="0"/>
                    <w:right w:val="single" w:color="auto" w:sz="4" w:space="0"/>
                  </w:tcBorders>
                  <w:shd w:val="clear" w:color="auto" w:fill="DEEAF6" w:themeFill="accent1" w:themeFillTint="33"/>
                </w:tcPr>
                <w:p w:rsidRPr="008F6FCB" w:rsidR="00A36276" w:rsidP="00A36276" w:rsidRDefault="00A36276" w14:paraId="24EF3420" w14:textId="5EBE7876">
                  <w:pPr>
                    <w:jc w:val="center"/>
                    <w:rPr>
                      <w:rFonts w:cs="Arial"/>
                      <w:b/>
                      <w:bCs/>
                      <w:iCs/>
                    </w:rPr>
                  </w:pPr>
                  <w:r>
                    <w:rPr>
                      <w:rFonts w:cs="Arial"/>
                      <w:b/>
                      <w:bCs/>
                      <w:iCs/>
                    </w:rPr>
                    <w:t>Rehabilitative Proposal</w:t>
                  </w:r>
                </w:p>
                <w:p w:rsidRPr="008F6FCB" w:rsidR="00A36276" w:rsidP="00A36276" w:rsidRDefault="00A36276" w14:paraId="07AF72D7" w14:textId="77777777">
                  <w:pPr>
                    <w:rPr>
                      <w:rFonts w:cs="Arial"/>
                      <w:i/>
                      <w:sz w:val="22"/>
                      <w:szCs w:val="22"/>
                    </w:rPr>
                  </w:pPr>
                </w:p>
              </w:tc>
            </w:tr>
          </w:tbl>
          <w:tbl>
            <w:tblPr>
              <w:tblStyle w:val="TableGrid"/>
              <w:tblW w:w="9901" w:type="dxa"/>
              <w:tblLook w:val="04A0" w:firstRow="1" w:lastRow="0" w:firstColumn="1" w:lastColumn="0" w:noHBand="0" w:noVBand="1"/>
            </w:tblPr>
            <w:tblGrid>
              <w:gridCol w:w="1033"/>
              <w:gridCol w:w="239"/>
              <w:gridCol w:w="491"/>
              <w:gridCol w:w="456"/>
              <w:gridCol w:w="529"/>
              <w:gridCol w:w="523"/>
              <w:gridCol w:w="524"/>
              <w:gridCol w:w="524"/>
              <w:gridCol w:w="524"/>
              <w:gridCol w:w="523"/>
              <w:gridCol w:w="523"/>
              <w:gridCol w:w="604"/>
              <w:gridCol w:w="491"/>
              <w:gridCol w:w="604"/>
              <w:gridCol w:w="604"/>
              <w:gridCol w:w="604"/>
              <w:gridCol w:w="604"/>
              <w:gridCol w:w="501"/>
            </w:tblGrid>
            <w:tr w:rsidR="00A36276" w:rsidTr="74718914" w14:paraId="429CE7CC" w14:textId="77777777">
              <w:trPr>
                <w:trHeight w:val="513"/>
              </w:trPr>
              <w:tc>
                <w:tcPr>
                  <w:tcW w:w="1125" w:type="dxa"/>
                  <w:tcBorders>
                    <w:top w:val="single" w:color="auto" w:sz="8" w:space="0"/>
                    <w:left w:val="single" w:color="auto" w:sz="8" w:space="0"/>
                    <w:bottom w:val="single" w:color="auto" w:sz="8" w:space="0"/>
                    <w:right w:val="single" w:color="auto" w:sz="8" w:space="0"/>
                  </w:tcBorders>
                  <w:tcMar/>
                </w:tcPr>
                <w:p w:rsidR="00A36276" w:rsidP="7BAEF637" w:rsidRDefault="29B1EC32" w14:paraId="42DC6B54" w14:textId="77777777">
                  <w:pPr>
                    <w:rPr>
                      <w:rFonts w:ascii="Calibri" w:hAnsi="Calibri" w:eastAsia="Calibri" w:cs="Calibri"/>
                      <w:sz w:val="20"/>
                      <w:szCs w:val="20"/>
                    </w:rPr>
                  </w:pPr>
                  <w:r w:rsidRPr="7BAEF637">
                    <w:rPr>
                      <w:rFonts w:ascii="Calibri" w:hAnsi="Calibri" w:eastAsia="Calibri" w:cs="Calibri"/>
                      <w:sz w:val="20"/>
                      <w:szCs w:val="20"/>
                    </w:rPr>
                    <w:t>ACTIVITY</w:t>
                  </w:r>
                </w:p>
              </w:tc>
              <w:tc>
                <w:tcPr>
                  <w:tcW w:w="345" w:type="dxa"/>
                  <w:tcBorders>
                    <w:top w:val="nil"/>
                    <w:left w:val="single" w:color="auto" w:sz="8" w:space="0"/>
                    <w:bottom w:val="single" w:color="auto" w:sz="8" w:space="0"/>
                    <w:right w:val="single" w:color="auto" w:sz="8" w:space="0"/>
                  </w:tcBorders>
                  <w:tcMar/>
                </w:tcPr>
                <w:p w:rsidR="00A36276" w:rsidP="7BAEF637" w:rsidRDefault="00A36276" w14:paraId="1D0E45C4" w14:textId="26C3E9FD">
                  <w:pPr>
                    <w:jc w:val="center"/>
                    <w:rPr>
                      <w:rFonts w:ascii="Calibri" w:hAnsi="Calibri" w:eastAsia="Calibri" w:cs="Calibri"/>
                      <w:sz w:val="18"/>
                      <w:szCs w:val="18"/>
                    </w:rPr>
                  </w:pPr>
                </w:p>
              </w:tc>
              <w:tc>
                <w:tcPr>
                  <w:tcW w:w="542" w:type="dxa"/>
                  <w:tcBorders>
                    <w:top w:val="nil"/>
                    <w:left w:val="nil"/>
                    <w:bottom w:val="none" w:color="000000" w:themeColor="text1" w:sz="8" w:space="0"/>
                    <w:right w:val="single" w:color="auto" w:sz="8" w:space="0"/>
                  </w:tcBorders>
                  <w:tcMar/>
                </w:tcPr>
                <w:p w:rsidR="00A36276" w:rsidP="7BAEF637" w:rsidRDefault="080D8925" w14:paraId="3874A557" w14:textId="30376D5B">
                  <w:pPr>
                    <w:jc w:val="center"/>
                    <w:rPr>
                      <w:rFonts w:ascii="Calibri" w:hAnsi="Calibri" w:eastAsia="Calibri" w:cs="Calibri"/>
                      <w:sz w:val="16"/>
                      <w:szCs w:val="16"/>
                    </w:rPr>
                  </w:pPr>
                  <w:r w:rsidRPr="7BAEF637">
                    <w:rPr>
                      <w:rFonts w:ascii="Calibri" w:hAnsi="Calibri" w:eastAsia="Calibri" w:cs="Calibri"/>
                      <w:sz w:val="16"/>
                      <w:szCs w:val="16"/>
                    </w:rPr>
                    <w:t>WK</w:t>
                  </w:r>
                </w:p>
                <w:p w:rsidR="00A36276" w:rsidP="7BAEF637" w:rsidRDefault="2D483506" w14:paraId="0F571852" w14:textId="25734E95">
                  <w:pPr>
                    <w:jc w:val="center"/>
                    <w:rPr>
                      <w:rFonts w:ascii="Calibri" w:hAnsi="Calibri" w:eastAsia="Calibri" w:cs="Calibri"/>
                      <w:sz w:val="16"/>
                      <w:szCs w:val="16"/>
                    </w:rPr>
                  </w:pPr>
                  <w:r w:rsidRPr="7BAEF637">
                    <w:rPr>
                      <w:rFonts w:ascii="Calibri" w:hAnsi="Calibri" w:eastAsia="Calibri" w:cs="Calibri"/>
                      <w:sz w:val="16"/>
                      <w:szCs w:val="16"/>
                    </w:rPr>
                    <w:t>1</w:t>
                  </w:r>
                </w:p>
              </w:tc>
              <w:tc>
                <w:tcPr>
                  <w:tcW w:w="544" w:type="dxa"/>
                  <w:tcBorders>
                    <w:top w:val="nil"/>
                    <w:left w:val="nil"/>
                    <w:bottom w:val="none" w:color="000000" w:themeColor="text1" w:sz="8" w:space="0"/>
                    <w:right w:val="single" w:color="auto" w:sz="8" w:space="0"/>
                  </w:tcBorders>
                  <w:tcMar/>
                </w:tcPr>
                <w:p w:rsidR="00A36276" w:rsidP="7BAEF637" w:rsidRDefault="080D8925" w14:paraId="3F33D75E" w14:textId="764B21D9">
                  <w:pPr>
                    <w:jc w:val="center"/>
                    <w:rPr>
                      <w:rFonts w:ascii="Calibri" w:hAnsi="Calibri" w:eastAsia="Calibri" w:cs="Calibri"/>
                      <w:sz w:val="16"/>
                      <w:szCs w:val="16"/>
                    </w:rPr>
                  </w:pPr>
                  <w:r w:rsidRPr="7BAEF637">
                    <w:rPr>
                      <w:rFonts w:ascii="Calibri" w:hAnsi="Calibri" w:eastAsia="Calibri" w:cs="Calibri"/>
                      <w:sz w:val="16"/>
                      <w:szCs w:val="16"/>
                    </w:rPr>
                    <w:t>WK</w:t>
                  </w:r>
                </w:p>
                <w:p w:rsidR="00A36276" w:rsidP="7BAEF637" w:rsidRDefault="2EED1F8C" w14:paraId="1B4CC66D" w14:textId="25E86969">
                  <w:pPr>
                    <w:jc w:val="center"/>
                    <w:rPr>
                      <w:rFonts w:ascii="Calibri" w:hAnsi="Calibri" w:eastAsia="Calibri" w:cs="Calibri"/>
                      <w:sz w:val="16"/>
                      <w:szCs w:val="16"/>
                    </w:rPr>
                  </w:pPr>
                  <w:r w:rsidRPr="7BAEF637">
                    <w:rPr>
                      <w:rFonts w:ascii="Calibri" w:hAnsi="Calibri" w:eastAsia="Calibri" w:cs="Calibri"/>
                      <w:sz w:val="16"/>
                      <w:szCs w:val="16"/>
                    </w:rPr>
                    <w:t>2</w:t>
                  </w:r>
                </w:p>
              </w:tc>
              <w:tc>
                <w:tcPr>
                  <w:tcW w:w="570" w:type="dxa"/>
                  <w:tcBorders>
                    <w:top w:val="nil"/>
                    <w:left w:val="nil"/>
                    <w:bottom w:val="none" w:color="000000" w:themeColor="text1" w:sz="8" w:space="0"/>
                    <w:right w:val="single" w:color="auto" w:sz="8" w:space="0"/>
                  </w:tcBorders>
                  <w:tcMar/>
                </w:tcPr>
                <w:p w:rsidR="00A36276" w:rsidP="7BAEF637" w:rsidRDefault="080D8925" w14:paraId="6B6505C2" w14:textId="08D6267A">
                  <w:pPr>
                    <w:jc w:val="center"/>
                    <w:rPr>
                      <w:rFonts w:ascii="Calibri" w:hAnsi="Calibri" w:eastAsia="Calibri" w:cs="Calibri"/>
                      <w:sz w:val="16"/>
                      <w:szCs w:val="16"/>
                    </w:rPr>
                  </w:pPr>
                  <w:r w:rsidRPr="7BAEF637">
                    <w:rPr>
                      <w:rFonts w:ascii="Calibri" w:hAnsi="Calibri" w:eastAsia="Calibri" w:cs="Calibri"/>
                      <w:sz w:val="16"/>
                      <w:szCs w:val="16"/>
                    </w:rPr>
                    <w:t>WK</w:t>
                  </w:r>
                  <w:r w:rsidRPr="7BAEF637" w:rsidR="2AD1BB1D">
                    <w:rPr>
                      <w:rFonts w:ascii="Calibri" w:hAnsi="Calibri" w:eastAsia="Calibri" w:cs="Calibri"/>
                      <w:sz w:val="16"/>
                      <w:szCs w:val="16"/>
                    </w:rPr>
                    <w:t>3</w:t>
                  </w:r>
                </w:p>
              </w:tc>
              <w:tc>
                <w:tcPr>
                  <w:tcW w:w="435" w:type="dxa"/>
                  <w:tcBorders>
                    <w:top w:val="nil"/>
                    <w:left w:val="nil"/>
                    <w:bottom w:val="none" w:color="000000" w:themeColor="text1" w:sz="8" w:space="0"/>
                    <w:right w:val="single" w:color="auto" w:sz="8" w:space="0"/>
                  </w:tcBorders>
                  <w:tcMar/>
                </w:tcPr>
                <w:p w:rsidR="00A36276" w:rsidP="7BAEF637" w:rsidRDefault="080D8925" w14:paraId="1D9ACC3B" w14:textId="444AC157">
                  <w:pPr>
                    <w:jc w:val="center"/>
                    <w:rPr>
                      <w:rFonts w:ascii="Calibri" w:hAnsi="Calibri" w:eastAsia="Calibri" w:cs="Calibri"/>
                      <w:sz w:val="16"/>
                      <w:szCs w:val="16"/>
                    </w:rPr>
                  </w:pPr>
                  <w:r w:rsidRPr="7BAEF637">
                    <w:rPr>
                      <w:rFonts w:ascii="Calibri" w:hAnsi="Calibri" w:eastAsia="Calibri" w:cs="Calibri"/>
                      <w:sz w:val="16"/>
                      <w:szCs w:val="16"/>
                    </w:rPr>
                    <w:t>WK</w:t>
                  </w:r>
                  <w:r w:rsidRPr="7BAEF637" w:rsidR="3807C008">
                    <w:rPr>
                      <w:rFonts w:ascii="Calibri" w:hAnsi="Calibri" w:eastAsia="Calibri" w:cs="Calibri"/>
                      <w:sz w:val="16"/>
                      <w:szCs w:val="16"/>
                    </w:rPr>
                    <w:t>4</w:t>
                  </w:r>
                </w:p>
              </w:tc>
              <w:tc>
                <w:tcPr>
                  <w:tcW w:w="531" w:type="dxa"/>
                  <w:tcBorders>
                    <w:top w:val="nil"/>
                    <w:left w:val="nil"/>
                    <w:bottom w:val="single" w:color="auto" w:sz="8" w:space="0"/>
                    <w:right w:val="single" w:color="auto" w:sz="8" w:space="0"/>
                  </w:tcBorders>
                  <w:tcMar/>
                </w:tcPr>
                <w:p w:rsidR="00A36276" w:rsidP="7BAEF637" w:rsidRDefault="080D8925" w14:paraId="5699A483" w14:textId="76E931F4">
                  <w:pPr>
                    <w:jc w:val="center"/>
                    <w:rPr>
                      <w:rFonts w:ascii="Calibri" w:hAnsi="Calibri" w:eastAsia="Calibri" w:cs="Calibri"/>
                      <w:sz w:val="16"/>
                      <w:szCs w:val="16"/>
                    </w:rPr>
                  </w:pPr>
                  <w:r w:rsidRPr="7BAEF637">
                    <w:rPr>
                      <w:rFonts w:ascii="Calibri" w:hAnsi="Calibri" w:eastAsia="Calibri" w:cs="Calibri"/>
                      <w:sz w:val="16"/>
                      <w:szCs w:val="16"/>
                    </w:rPr>
                    <w:t>WK</w:t>
                  </w:r>
                  <w:r w:rsidRPr="7BAEF637" w:rsidR="7BDE40EE">
                    <w:rPr>
                      <w:rFonts w:ascii="Calibri" w:hAnsi="Calibri" w:eastAsia="Calibri" w:cs="Calibri"/>
                      <w:sz w:val="16"/>
                      <w:szCs w:val="16"/>
                    </w:rPr>
                    <w:t>5</w:t>
                  </w:r>
                </w:p>
              </w:tc>
              <w:tc>
                <w:tcPr>
                  <w:tcW w:w="529" w:type="dxa"/>
                  <w:tcBorders>
                    <w:top w:val="nil"/>
                    <w:left w:val="single" w:color="auto" w:sz="8" w:space="0"/>
                    <w:bottom w:val="single" w:color="auto" w:sz="8" w:space="0"/>
                    <w:right w:val="single" w:color="auto" w:sz="8" w:space="0"/>
                  </w:tcBorders>
                  <w:tcMar/>
                </w:tcPr>
                <w:p w:rsidR="00A36276" w:rsidP="7BAEF637" w:rsidRDefault="080D8925" w14:paraId="5F490E74" w14:textId="385BC6AD">
                  <w:pPr>
                    <w:jc w:val="center"/>
                    <w:rPr>
                      <w:rFonts w:ascii="Calibri" w:hAnsi="Calibri" w:eastAsia="Calibri" w:cs="Calibri"/>
                      <w:sz w:val="16"/>
                      <w:szCs w:val="16"/>
                    </w:rPr>
                  </w:pPr>
                  <w:r w:rsidRPr="7BAEF637">
                    <w:rPr>
                      <w:rFonts w:ascii="Calibri" w:hAnsi="Calibri" w:eastAsia="Calibri" w:cs="Calibri"/>
                      <w:sz w:val="16"/>
                      <w:szCs w:val="16"/>
                    </w:rPr>
                    <w:t>WK</w:t>
                  </w:r>
                  <w:r w:rsidRPr="7BAEF637" w:rsidR="41522679">
                    <w:rPr>
                      <w:rFonts w:ascii="Calibri" w:hAnsi="Calibri" w:eastAsia="Calibri" w:cs="Calibri"/>
                      <w:sz w:val="16"/>
                      <w:szCs w:val="16"/>
                    </w:rPr>
                    <w:t>6</w:t>
                  </w:r>
                </w:p>
              </w:tc>
              <w:tc>
                <w:tcPr>
                  <w:tcW w:w="529" w:type="dxa"/>
                  <w:tcBorders>
                    <w:top w:val="nil"/>
                    <w:left w:val="single" w:color="auto" w:sz="8" w:space="0"/>
                    <w:bottom w:val="single" w:color="auto" w:sz="8" w:space="0"/>
                    <w:right w:val="single" w:color="auto" w:sz="8" w:space="0"/>
                  </w:tcBorders>
                  <w:tcMar/>
                </w:tcPr>
                <w:p w:rsidR="00A36276" w:rsidP="7BAEF637" w:rsidRDefault="080D8925" w14:paraId="10BC6251" w14:textId="1B16A9CE">
                  <w:pPr>
                    <w:jc w:val="center"/>
                    <w:rPr>
                      <w:rFonts w:ascii="Calibri" w:hAnsi="Calibri" w:eastAsia="Calibri" w:cs="Calibri"/>
                      <w:sz w:val="16"/>
                      <w:szCs w:val="16"/>
                    </w:rPr>
                  </w:pPr>
                  <w:r w:rsidRPr="7BAEF637">
                    <w:rPr>
                      <w:rFonts w:ascii="Calibri" w:hAnsi="Calibri" w:eastAsia="Calibri" w:cs="Calibri"/>
                      <w:sz w:val="16"/>
                      <w:szCs w:val="16"/>
                    </w:rPr>
                    <w:t>WK</w:t>
                  </w:r>
                  <w:r w:rsidRPr="7BAEF637" w:rsidR="58417A84">
                    <w:rPr>
                      <w:rFonts w:ascii="Calibri" w:hAnsi="Calibri" w:eastAsia="Calibri" w:cs="Calibri"/>
                      <w:sz w:val="16"/>
                      <w:szCs w:val="16"/>
                    </w:rPr>
                    <w:t>7</w:t>
                  </w:r>
                </w:p>
              </w:tc>
              <w:tc>
                <w:tcPr>
                  <w:tcW w:w="525" w:type="dxa"/>
                  <w:tcBorders>
                    <w:top w:val="nil"/>
                    <w:left w:val="nil"/>
                    <w:bottom w:val="single" w:color="auto" w:sz="8" w:space="0"/>
                    <w:right w:val="single" w:color="auto" w:sz="8" w:space="0"/>
                  </w:tcBorders>
                  <w:tcMar/>
                </w:tcPr>
                <w:p w:rsidR="00A36276" w:rsidP="7BAEF637" w:rsidRDefault="080D8925" w14:paraId="26147FAA" w14:textId="26E2585D">
                  <w:pPr>
                    <w:jc w:val="center"/>
                    <w:rPr>
                      <w:rFonts w:ascii="Calibri" w:hAnsi="Calibri" w:eastAsia="Calibri" w:cs="Calibri"/>
                      <w:sz w:val="16"/>
                      <w:szCs w:val="16"/>
                    </w:rPr>
                  </w:pPr>
                  <w:r w:rsidRPr="7BAEF637">
                    <w:rPr>
                      <w:rFonts w:ascii="Calibri" w:hAnsi="Calibri" w:eastAsia="Calibri" w:cs="Calibri"/>
                      <w:sz w:val="16"/>
                      <w:szCs w:val="16"/>
                    </w:rPr>
                    <w:t>WK</w:t>
                  </w:r>
                  <w:r w:rsidRPr="7BAEF637" w:rsidR="35916232">
                    <w:rPr>
                      <w:rFonts w:ascii="Calibri" w:hAnsi="Calibri" w:eastAsia="Calibri" w:cs="Calibri"/>
                      <w:sz w:val="16"/>
                      <w:szCs w:val="16"/>
                    </w:rPr>
                    <w:t>8</w:t>
                  </w:r>
                </w:p>
              </w:tc>
              <w:tc>
                <w:tcPr>
                  <w:tcW w:w="521" w:type="dxa"/>
                  <w:tcBorders>
                    <w:top w:val="nil"/>
                    <w:left w:val="nil"/>
                    <w:bottom w:val="single" w:color="auto" w:sz="8" w:space="0"/>
                    <w:right w:val="single" w:color="auto" w:sz="8" w:space="0"/>
                  </w:tcBorders>
                  <w:tcMar/>
                </w:tcPr>
                <w:p w:rsidR="00A36276" w:rsidP="7BAEF637" w:rsidRDefault="080D8925" w14:paraId="7B72661C" w14:textId="6164A0B6">
                  <w:pPr>
                    <w:jc w:val="center"/>
                    <w:rPr>
                      <w:rFonts w:ascii="Calibri" w:hAnsi="Calibri" w:eastAsia="Calibri" w:cs="Calibri"/>
                      <w:sz w:val="16"/>
                      <w:szCs w:val="16"/>
                    </w:rPr>
                  </w:pPr>
                  <w:r w:rsidRPr="7BAEF637">
                    <w:rPr>
                      <w:rFonts w:ascii="Calibri" w:hAnsi="Calibri" w:eastAsia="Calibri" w:cs="Calibri"/>
                      <w:sz w:val="16"/>
                      <w:szCs w:val="16"/>
                    </w:rPr>
                    <w:t>WK</w:t>
                  </w:r>
                  <w:r w:rsidRPr="7BAEF637" w:rsidR="0162196C">
                    <w:rPr>
                      <w:rFonts w:ascii="Calibri" w:hAnsi="Calibri" w:eastAsia="Calibri" w:cs="Calibri"/>
                      <w:sz w:val="16"/>
                      <w:szCs w:val="16"/>
                    </w:rPr>
                    <w:t>9</w:t>
                  </w:r>
                </w:p>
              </w:tc>
              <w:tc>
                <w:tcPr>
                  <w:tcW w:w="525" w:type="dxa"/>
                  <w:tcBorders>
                    <w:top w:val="nil"/>
                    <w:left w:val="nil"/>
                    <w:bottom w:val="single" w:color="auto" w:sz="8" w:space="0"/>
                    <w:right w:val="single" w:color="auto" w:sz="8" w:space="0"/>
                  </w:tcBorders>
                  <w:tcMar/>
                </w:tcPr>
                <w:p w:rsidR="00A36276" w:rsidP="7BAEF637" w:rsidRDefault="080D8925" w14:paraId="6EC439B4" w14:textId="03BB43C2">
                  <w:pPr>
                    <w:jc w:val="center"/>
                    <w:rPr>
                      <w:rFonts w:ascii="Calibri" w:hAnsi="Calibri" w:eastAsia="Calibri" w:cs="Calibri"/>
                      <w:sz w:val="16"/>
                      <w:szCs w:val="16"/>
                    </w:rPr>
                  </w:pPr>
                  <w:r w:rsidRPr="7BAEF637">
                    <w:rPr>
                      <w:rFonts w:ascii="Calibri" w:hAnsi="Calibri" w:eastAsia="Calibri" w:cs="Calibri"/>
                      <w:sz w:val="16"/>
                      <w:szCs w:val="16"/>
                    </w:rPr>
                    <w:t>WK1</w:t>
                  </w:r>
                  <w:r w:rsidRPr="7BAEF637" w:rsidR="51C8B18D">
                    <w:rPr>
                      <w:rFonts w:ascii="Calibri" w:hAnsi="Calibri" w:eastAsia="Calibri" w:cs="Calibri"/>
                      <w:sz w:val="16"/>
                      <w:szCs w:val="16"/>
                    </w:rPr>
                    <w:t>0</w:t>
                  </w:r>
                </w:p>
              </w:tc>
              <w:tc>
                <w:tcPr>
                  <w:tcW w:w="540" w:type="dxa"/>
                  <w:tcBorders>
                    <w:top w:val="nil"/>
                    <w:left w:val="nil"/>
                    <w:bottom w:val="single" w:color="auto" w:sz="8" w:space="0"/>
                    <w:right w:val="single" w:color="auto" w:sz="8" w:space="0"/>
                  </w:tcBorders>
                  <w:tcMar/>
                </w:tcPr>
                <w:p w:rsidR="00A36276" w:rsidP="7BAEF637" w:rsidRDefault="080D8925" w14:paraId="742A895E" w14:textId="58214166">
                  <w:pPr>
                    <w:jc w:val="center"/>
                    <w:rPr>
                      <w:rFonts w:ascii="Calibri" w:hAnsi="Calibri" w:eastAsia="Calibri" w:cs="Calibri"/>
                      <w:sz w:val="16"/>
                      <w:szCs w:val="16"/>
                    </w:rPr>
                  </w:pPr>
                  <w:r w:rsidRPr="7BAEF637">
                    <w:rPr>
                      <w:rFonts w:ascii="Calibri" w:hAnsi="Calibri" w:eastAsia="Calibri" w:cs="Calibri"/>
                      <w:sz w:val="16"/>
                      <w:szCs w:val="16"/>
                    </w:rPr>
                    <w:t>WK</w:t>
                  </w:r>
                </w:p>
                <w:p w:rsidR="00A36276" w:rsidP="7BAEF637" w:rsidRDefault="080D8925" w14:paraId="78E6A034" w14:textId="1F187504">
                  <w:pPr>
                    <w:jc w:val="center"/>
                    <w:rPr>
                      <w:rFonts w:ascii="Calibri" w:hAnsi="Calibri" w:eastAsia="Calibri" w:cs="Calibri"/>
                      <w:sz w:val="16"/>
                      <w:szCs w:val="16"/>
                    </w:rPr>
                  </w:pPr>
                  <w:r w:rsidRPr="7BAEF637">
                    <w:rPr>
                      <w:rFonts w:ascii="Calibri" w:hAnsi="Calibri" w:eastAsia="Calibri" w:cs="Calibri"/>
                      <w:sz w:val="16"/>
                      <w:szCs w:val="16"/>
                    </w:rPr>
                    <w:t>1</w:t>
                  </w:r>
                  <w:r w:rsidRPr="7BAEF637" w:rsidR="33146795">
                    <w:rPr>
                      <w:rFonts w:ascii="Calibri" w:hAnsi="Calibri" w:eastAsia="Calibri" w:cs="Calibri"/>
                      <w:sz w:val="16"/>
                      <w:szCs w:val="16"/>
                    </w:rPr>
                    <w:t>1</w:t>
                  </w:r>
                </w:p>
              </w:tc>
              <w:tc>
                <w:tcPr>
                  <w:tcW w:w="525" w:type="dxa"/>
                  <w:tcBorders>
                    <w:top w:val="nil"/>
                    <w:left w:val="nil"/>
                    <w:bottom w:val="single" w:color="auto" w:sz="8" w:space="0"/>
                    <w:right w:val="single" w:color="auto" w:sz="8" w:space="0"/>
                  </w:tcBorders>
                  <w:tcMar/>
                </w:tcPr>
                <w:p w:rsidR="080D8925" w:rsidP="7BAEF637" w:rsidRDefault="080D8925" w14:paraId="5DFECF8D" w14:textId="24DF09CF">
                  <w:pPr>
                    <w:jc w:val="center"/>
                    <w:rPr>
                      <w:rFonts w:ascii="Calibri" w:hAnsi="Calibri" w:eastAsia="Calibri" w:cs="Calibri"/>
                      <w:sz w:val="16"/>
                      <w:szCs w:val="16"/>
                    </w:rPr>
                  </w:pPr>
                  <w:r w:rsidRPr="7BAEF637">
                    <w:rPr>
                      <w:rFonts w:ascii="Calibri" w:hAnsi="Calibri" w:eastAsia="Calibri" w:cs="Calibri"/>
                      <w:sz w:val="16"/>
                      <w:szCs w:val="16"/>
                    </w:rPr>
                    <w:t>WK1</w:t>
                  </w:r>
                  <w:r w:rsidRPr="7BAEF637" w:rsidR="54F4FA71">
                    <w:rPr>
                      <w:rFonts w:ascii="Calibri" w:hAnsi="Calibri" w:eastAsia="Calibri" w:cs="Calibri"/>
                      <w:sz w:val="16"/>
                      <w:szCs w:val="16"/>
                    </w:rPr>
                    <w:t>2</w:t>
                  </w:r>
                </w:p>
              </w:tc>
              <w:tc>
                <w:tcPr>
                  <w:tcW w:w="540" w:type="dxa"/>
                  <w:tcBorders>
                    <w:top w:val="nil"/>
                    <w:left w:val="nil"/>
                    <w:bottom w:val="single" w:color="auto" w:sz="8" w:space="0"/>
                    <w:right w:val="single" w:color="auto" w:sz="8" w:space="0"/>
                  </w:tcBorders>
                  <w:tcMar/>
                </w:tcPr>
                <w:p w:rsidR="080D8925" w:rsidP="7BAEF637" w:rsidRDefault="080D8925" w14:paraId="2410D998" w14:textId="4BB190FC">
                  <w:pPr>
                    <w:jc w:val="center"/>
                    <w:rPr>
                      <w:rFonts w:ascii="Calibri" w:hAnsi="Calibri" w:eastAsia="Calibri" w:cs="Calibri"/>
                      <w:sz w:val="16"/>
                      <w:szCs w:val="16"/>
                    </w:rPr>
                  </w:pPr>
                  <w:r w:rsidRPr="7BAEF637">
                    <w:rPr>
                      <w:rFonts w:ascii="Calibri" w:hAnsi="Calibri" w:eastAsia="Calibri" w:cs="Calibri"/>
                      <w:sz w:val="16"/>
                      <w:szCs w:val="16"/>
                    </w:rPr>
                    <w:t>WK1</w:t>
                  </w:r>
                  <w:r w:rsidRPr="7BAEF637" w:rsidR="3A5449D7">
                    <w:rPr>
                      <w:rFonts w:ascii="Calibri" w:hAnsi="Calibri" w:eastAsia="Calibri" w:cs="Calibri"/>
                      <w:sz w:val="16"/>
                      <w:szCs w:val="16"/>
                    </w:rPr>
                    <w:t>3</w:t>
                  </w:r>
                </w:p>
              </w:tc>
              <w:tc>
                <w:tcPr>
                  <w:tcW w:w="525" w:type="dxa"/>
                  <w:tcBorders>
                    <w:top w:val="nil"/>
                    <w:left w:val="nil"/>
                    <w:bottom w:val="single" w:color="auto" w:sz="8" w:space="0"/>
                    <w:right w:val="single" w:color="auto" w:sz="8" w:space="0"/>
                  </w:tcBorders>
                  <w:tcMar/>
                </w:tcPr>
                <w:p w:rsidR="080D8925" w:rsidP="7BAEF637" w:rsidRDefault="080D8925" w14:paraId="300A9603" w14:textId="399D1C91">
                  <w:pPr>
                    <w:jc w:val="center"/>
                    <w:rPr>
                      <w:rFonts w:ascii="Calibri" w:hAnsi="Calibri" w:eastAsia="Calibri" w:cs="Calibri"/>
                      <w:sz w:val="16"/>
                      <w:szCs w:val="16"/>
                    </w:rPr>
                  </w:pPr>
                  <w:r w:rsidRPr="7BAEF637">
                    <w:rPr>
                      <w:rFonts w:ascii="Calibri" w:hAnsi="Calibri" w:eastAsia="Calibri" w:cs="Calibri"/>
                      <w:sz w:val="16"/>
                      <w:szCs w:val="16"/>
                    </w:rPr>
                    <w:t>WK1</w:t>
                  </w:r>
                  <w:r w:rsidRPr="7BAEF637" w:rsidR="416DE365">
                    <w:rPr>
                      <w:rFonts w:ascii="Calibri" w:hAnsi="Calibri" w:eastAsia="Calibri" w:cs="Calibri"/>
                      <w:sz w:val="16"/>
                      <w:szCs w:val="16"/>
                    </w:rPr>
                    <w:t>4</w:t>
                  </w:r>
                </w:p>
              </w:tc>
              <w:tc>
                <w:tcPr>
                  <w:tcW w:w="540" w:type="dxa"/>
                  <w:tcBorders>
                    <w:top w:val="nil"/>
                    <w:left w:val="nil"/>
                    <w:bottom w:val="single" w:color="auto" w:sz="8" w:space="0"/>
                    <w:right w:val="single" w:color="auto" w:sz="8" w:space="0"/>
                  </w:tcBorders>
                  <w:tcMar/>
                </w:tcPr>
                <w:p w:rsidR="080D8925" w:rsidP="7BAEF637" w:rsidRDefault="080D8925" w14:paraId="7AE5A152" w14:textId="526886E9">
                  <w:pPr>
                    <w:jc w:val="center"/>
                    <w:rPr>
                      <w:rFonts w:ascii="Calibri" w:hAnsi="Calibri" w:eastAsia="Calibri" w:cs="Calibri"/>
                      <w:sz w:val="16"/>
                      <w:szCs w:val="16"/>
                    </w:rPr>
                  </w:pPr>
                  <w:r w:rsidRPr="7BAEF637">
                    <w:rPr>
                      <w:rFonts w:ascii="Calibri" w:hAnsi="Calibri" w:eastAsia="Calibri" w:cs="Calibri"/>
                      <w:sz w:val="16"/>
                      <w:szCs w:val="16"/>
                    </w:rPr>
                    <w:t>WK1</w:t>
                  </w:r>
                  <w:r w:rsidRPr="7BAEF637" w:rsidR="72A0A7CF">
                    <w:rPr>
                      <w:rFonts w:ascii="Calibri" w:hAnsi="Calibri" w:eastAsia="Calibri" w:cs="Calibri"/>
                      <w:sz w:val="16"/>
                      <w:szCs w:val="16"/>
                    </w:rPr>
                    <w:t>5</w:t>
                  </w:r>
                </w:p>
              </w:tc>
              <w:tc>
                <w:tcPr>
                  <w:tcW w:w="510" w:type="dxa"/>
                  <w:tcBorders>
                    <w:top w:val="nil"/>
                    <w:left w:val="nil"/>
                    <w:bottom w:val="single" w:color="auto" w:sz="8" w:space="0"/>
                    <w:right w:val="single" w:color="auto" w:sz="8" w:space="0"/>
                  </w:tcBorders>
                  <w:tcMar/>
                </w:tcPr>
                <w:p w:rsidR="72A0A7CF" w:rsidP="7BAEF637" w:rsidRDefault="72A0A7CF" w14:paraId="18EC5E2C" w14:textId="419C9C74">
                  <w:pPr>
                    <w:jc w:val="center"/>
                    <w:rPr>
                      <w:rFonts w:ascii="Calibri" w:hAnsi="Calibri" w:eastAsia="Calibri" w:cs="Calibri"/>
                      <w:sz w:val="16"/>
                      <w:szCs w:val="16"/>
                    </w:rPr>
                  </w:pPr>
                  <w:r w:rsidRPr="7BAEF637">
                    <w:rPr>
                      <w:rFonts w:ascii="Calibri" w:hAnsi="Calibri" w:eastAsia="Calibri" w:cs="Calibri"/>
                      <w:sz w:val="16"/>
                      <w:szCs w:val="16"/>
                    </w:rPr>
                    <w:t>WK 16</w:t>
                  </w:r>
                </w:p>
              </w:tc>
            </w:tr>
            <w:tr w:rsidR="7BAEF637" w:rsidTr="74718914" w14:paraId="43A180FE" w14:textId="77777777">
              <w:trPr>
                <w:trHeight w:val="743"/>
              </w:trPr>
              <w:tc>
                <w:tcPr>
                  <w:tcW w:w="1125" w:type="dxa"/>
                  <w:tcBorders>
                    <w:top w:val="single" w:color="auto" w:sz="8" w:space="0"/>
                    <w:left w:val="single" w:color="auto" w:sz="8" w:space="0"/>
                    <w:bottom w:val="single" w:color="auto" w:sz="8" w:space="0"/>
                    <w:right w:val="single" w:color="auto" w:sz="8" w:space="0"/>
                  </w:tcBorders>
                  <w:tcMar/>
                </w:tcPr>
                <w:p w:rsidR="5AFD637F" w:rsidP="7BAEF637" w:rsidRDefault="5AFD637F" w14:paraId="730B2273" w14:textId="450A89EA">
                  <w:pPr>
                    <w:rPr>
                      <w:rFonts w:ascii="Arial" w:hAnsi="Arial" w:eastAsia="Arial" w:cs="Arial"/>
                      <w:b/>
                      <w:bCs/>
                      <w:sz w:val="12"/>
                      <w:szCs w:val="12"/>
                    </w:rPr>
                  </w:pPr>
                  <w:r w:rsidRPr="7BAEF637">
                    <w:rPr>
                      <w:rFonts w:ascii="Arial" w:hAnsi="Arial" w:eastAsia="Arial" w:cs="Arial"/>
                      <w:b/>
                      <w:bCs/>
                      <w:sz w:val="12"/>
                      <w:szCs w:val="12"/>
                    </w:rPr>
                    <w:t>Initial Assessment and Establishing Foundations</w:t>
                  </w:r>
                </w:p>
              </w:tc>
              <w:tc>
                <w:tcPr>
                  <w:tcW w:w="345" w:type="dxa"/>
                  <w:tcBorders>
                    <w:top w:val="nil"/>
                    <w:left w:val="single" w:color="auto" w:sz="8" w:space="0"/>
                    <w:bottom w:val="single" w:color="auto" w:sz="8" w:space="0"/>
                    <w:right w:val="none" w:color="000000" w:themeColor="text1" w:sz="8" w:space="0"/>
                  </w:tcBorders>
                  <w:tcMar/>
                </w:tcPr>
                <w:p w:rsidR="7BAEF637" w:rsidP="7BAEF637" w:rsidRDefault="7BAEF637" w14:paraId="734E6778" w14:textId="653C072B">
                  <w:pPr>
                    <w:jc w:val="center"/>
                    <w:rPr>
                      <w:rFonts w:ascii="Calibri" w:hAnsi="Calibri" w:eastAsia="Calibri" w:cs="Calibri"/>
                      <w:sz w:val="12"/>
                      <w:szCs w:val="12"/>
                    </w:rPr>
                  </w:pPr>
                </w:p>
              </w:tc>
              <w:tc>
                <w:tcPr>
                  <w:tcW w:w="542"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FF0000"/>
                  <w:tcMar/>
                </w:tcPr>
                <w:p w:rsidR="3EBA19B3" w:rsidP="7BAEF637" w:rsidRDefault="3EBA19B3" w14:paraId="347A0AF1" w14:textId="381A21BF">
                  <w:pPr>
                    <w:jc w:val="center"/>
                    <w:rPr>
                      <w:rFonts w:ascii="Calibri" w:hAnsi="Calibri" w:eastAsia="Calibri" w:cs="Calibri"/>
                      <w:sz w:val="20"/>
                      <w:szCs w:val="20"/>
                    </w:rPr>
                  </w:pPr>
                  <w:r w:rsidRPr="7BAEF637">
                    <w:rPr>
                      <w:rFonts w:ascii="Calibri" w:hAnsi="Calibri" w:eastAsia="Calibri" w:cs="Calibri"/>
                      <w:sz w:val="18"/>
                      <w:szCs w:val="18"/>
                    </w:rPr>
                    <w:t>MH</w:t>
                  </w:r>
                </w:p>
              </w:tc>
              <w:tc>
                <w:tcPr>
                  <w:tcW w:w="544"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FF0000"/>
                  <w:tcMar/>
                </w:tcPr>
                <w:p w:rsidR="7BAEF637" w:rsidP="0578A328" w:rsidRDefault="6DC98FE2" w14:paraId="585008EC" w14:textId="67A123AA">
                  <w:pPr>
                    <w:jc w:val="center"/>
                    <w:rPr>
                      <w:rFonts w:ascii="Calibri" w:hAnsi="Calibri" w:eastAsia="Calibri" w:cs="Calibri"/>
                      <w:sz w:val="18"/>
                      <w:szCs w:val="18"/>
                    </w:rPr>
                  </w:pPr>
                  <w:r w:rsidRPr="0578A328">
                    <w:rPr>
                      <w:rFonts w:ascii="Calibri" w:hAnsi="Calibri" w:eastAsia="Calibri" w:cs="Calibri"/>
                      <w:sz w:val="18"/>
                      <w:szCs w:val="18"/>
                    </w:rPr>
                    <w:t>GS</w:t>
                  </w:r>
                </w:p>
              </w:tc>
              <w:tc>
                <w:tcPr>
                  <w:tcW w:w="570"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FF0000"/>
                  <w:tcMar/>
                </w:tcPr>
                <w:p w:rsidR="1C6A73EC" w:rsidP="7BAEF637" w:rsidRDefault="6DC98FE2" w14:paraId="29A742B7" w14:textId="19E6AAFC">
                  <w:pPr>
                    <w:jc w:val="center"/>
                    <w:rPr>
                      <w:rFonts w:ascii="Calibri" w:hAnsi="Calibri" w:eastAsia="Calibri" w:cs="Calibri"/>
                      <w:sz w:val="12"/>
                      <w:szCs w:val="12"/>
                    </w:rPr>
                  </w:pPr>
                  <w:r w:rsidRPr="0578A328">
                    <w:rPr>
                      <w:rFonts w:ascii="Calibri" w:hAnsi="Calibri" w:eastAsia="Calibri" w:cs="Calibri"/>
                      <w:sz w:val="18"/>
                      <w:szCs w:val="18"/>
                    </w:rPr>
                    <w:t>CBT</w:t>
                  </w:r>
                </w:p>
              </w:tc>
              <w:tc>
                <w:tcPr>
                  <w:tcW w:w="435"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FF0000"/>
                  <w:tcMar/>
                </w:tcPr>
                <w:p w:rsidR="7BAEF637" w:rsidP="7BAEF637" w:rsidRDefault="1F6DD67C" w14:paraId="4A828BC3" w14:textId="1A6BD223">
                  <w:pPr>
                    <w:jc w:val="center"/>
                    <w:rPr>
                      <w:rFonts w:ascii="Calibri" w:hAnsi="Calibri" w:eastAsia="Calibri" w:cs="Calibri"/>
                      <w:sz w:val="18"/>
                      <w:szCs w:val="18"/>
                    </w:rPr>
                  </w:pPr>
                  <w:r w:rsidRPr="0578A328">
                    <w:rPr>
                      <w:rFonts w:ascii="Calibri" w:hAnsi="Calibri" w:eastAsia="Calibri" w:cs="Calibri"/>
                      <w:sz w:val="18"/>
                      <w:szCs w:val="18"/>
                    </w:rPr>
                    <w:t>SA</w:t>
                  </w:r>
                </w:p>
              </w:tc>
              <w:tc>
                <w:tcPr>
                  <w:tcW w:w="531" w:type="dxa"/>
                  <w:tcBorders>
                    <w:top w:val="nil"/>
                    <w:left w:val="none" w:color="000000" w:themeColor="text1" w:sz="4" w:space="0"/>
                    <w:bottom w:val="none" w:color="000000" w:themeColor="text1" w:sz="8" w:space="0"/>
                    <w:right w:val="single" w:color="auto" w:sz="8" w:space="0"/>
                  </w:tcBorders>
                  <w:tcMar/>
                </w:tcPr>
                <w:p w:rsidR="7BAEF637" w:rsidP="7BAEF637" w:rsidRDefault="7BAEF637" w14:paraId="3416DA15" w14:textId="0E4EF2CA">
                  <w:pPr>
                    <w:jc w:val="center"/>
                    <w:rPr>
                      <w:rFonts w:ascii="Calibri" w:hAnsi="Calibri" w:eastAsia="Calibri" w:cs="Calibri"/>
                      <w:sz w:val="18"/>
                      <w:szCs w:val="18"/>
                    </w:rPr>
                  </w:pPr>
                </w:p>
              </w:tc>
              <w:tc>
                <w:tcPr>
                  <w:tcW w:w="529" w:type="dxa"/>
                  <w:tcBorders>
                    <w:top w:val="nil"/>
                    <w:left w:val="single" w:color="auto" w:sz="8" w:space="0"/>
                    <w:bottom w:val="none" w:color="000000" w:themeColor="text1" w:sz="8" w:space="0"/>
                    <w:right w:val="single" w:color="auto" w:sz="8" w:space="0"/>
                  </w:tcBorders>
                  <w:tcMar/>
                </w:tcPr>
                <w:p w:rsidR="7BAEF637" w:rsidP="7BAEF637" w:rsidRDefault="7BAEF637" w14:paraId="64AE47A0" w14:textId="0F3E13A3">
                  <w:pPr>
                    <w:jc w:val="center"/>
                    <w:rPr>
                      <w:rFonts w:ascii="Calibri" w:hAnsi="Calibri" w:eastAsia="Calibri" w:cs="Calibri"/>
                      <w:sz w:val="18"/>
                      <w:szCs w:val="18"/>
                    </w:rPr>
                  </w:pPr>
                </w:p>
              </w:tc>
              <w:tc>
                <w:tcPr>
                  <w:tcW w:w="529" w:type="dxa"/>
                  <w:tcBorders>
                    <w:top w:val="nil"/>
                    <w:left w:val="single" w:color="auto" w:sz="8" w:space="0"/>
                    <w:bottom w:val="none" w:color="000000" w:themeColor="text1" w:sz="8" w:space="0"/>
                    <w:right w:val="single" w:color="auto" w:sz="8" w:space="0"/>
                  </w:tcBorders>
                  <w:tcMar/>
                </w:tcPr>
                <w:p w:rsidR="7BAEF637" w:rsidP="7BAEF637" w:rsidRDefault="7BAEF637" w14:paraId="16FC9013" w14:textId="3FDA5A73">
                  <w:pPr>
                    <w:jc w:val="center"/>
                    <w:rPr>
                      <w:rFonts w:ascii="Calibri" w:hAnsi="Calibri" w:eastAsia="Calibri" w:cs="Calibri"/>
                      <w:sz w:val="18"/>
                      <w:szCs w:val="18"/>
                    </w:rPr>
                  </w:pPr>
                </w:p>
              </w:tc>
              <w:tc>
                <w:tcPr>
                  <w:tcW w:w="525" w:type="dxa"/>
                  <w:tcBorders>
                    <w:top w:val="nil"/>
                    <w:left w:val="nil"/>
                    <w:bottom w:val="none" w:color="000000" w:themeColor="text1" w:sz="8" w:space="0"/>
                    <w:right w:val="single" w:color="auto" w:sz="8" w:space="0"/>
                  </w:tcBorders>
                  <w:tcMar/>
                </w:tcPr>
                <w:p w:rsidR="7BAEF637" w:rsidP="7BAEF637" w:rsidRDefault="7BAEF637" w14:paraId="3C416F83" w14:textId="5FF17F43">
                  <w:pPr>
                    <w:jc w:val="center"/>
                    <w:rPr>
                      <w:rFonts w:ascii="Calibri" w:hAnsi="Calibri" w:eastAsia="Calibri" w:cs="Calibri"/>
                      <w:sz w:val="18"/>
                      <w:szCs w:val="18"/>
                    </w:rPr>
                  </w:pPr>
                </w:p>
              </w:tc>
              <w:tc>
                <w:tcPr>
                  <w:tcW w:w="521" w:type="dxa"/>
                  <w:tcBorders>
                    <w:top w:val="nil"/>
                    <w:left w:val="nil"/>
                    <w:bottom w:val="single" w:color="auto" w:sz="8" w:space="0"/>
                    <w:right w:val="single" w:color="auto" w:sz="8" w:space="0"/>
                  </w:tcBorders>
                  <w:tcMar/>
                </w:tcPr>
                <w:p w:rsidR="7BAEF637" w:rsidP="7BAEF637" w:rsidRDefault="7BAEF637" w14:paraId="3603D000" w14:textId="69671D93">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1A46484E" w14:textId="5B8BC828">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36460D8C" w14:textId="764A37D0">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6ADAF61D" w14:textId="1B144EC8">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05E030B3" w14:textId="4584630F">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07D8E5C8" w14:textId="2B071EE2">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18B33C15" w14:textId="2FEF6E1D">
                  <w:pPr>
                    <w:jc w:val="center"/>
                    <w:rPr>
                      <w:rFonts w:ascii="Calibri" w:hAnsi="Calibri" w:eastAsia="Calibri" w:cs="Calibri"/>
                      <w:sz w:val="18"/>
                      <w:szCs w:val="18"/>
                    </w:rPr>
                  </w:pPr>
                </w:p>
              </w:tc>
              <w:tc>
                <w:tcPr>
                  <w:tcW w:w="510" w:type="dxa"/>
                  <w:tcBorders>
                    <w:top w:val="nil"/>
                    <w:left w:val="nil"/>
                    <w:bottom w:val="single" w:color="auto" w:sz="8" w:space="0"/>
                    <w:right w:val="single" w:color="auto" w:sz="8" w:space="0"/>
                  </w:tcBorders>
                  <w:tcMar/>
                </w:tcPr>
                <w:p w:rsidR="7BAEF637" w:rsidP="7BAEF637" w:rsidRDefault="7BAEF637" w14:paraId="6A0A09A7" w14:textId="18645AC9">
                  <w:pPr>
                    <w:jc w:val="center"/>
                    <w:rPr>
                      <w:rFonts w:ascii="Calibri" w:hAnsi="Calibri" w:eastAsia="Calibri" w:cs="Calibri"/>
                      <w:sz w:val="18"/>
                      <w:szCs w:val="18"/>
                    </w:rPr>
                  </w:pPr>
                </w:p>
              </w:tc>
            </w:tr>
            <w:tr w:rsidR="7BAEF637" w:rsidTr="74718914" w14:paraId="10CA5702" w14:textId="77777777">
              <w:trPr>
                <w:trHeight w:val="692"/>
              </w:trPr>
              <w:tc>
                <w:tcPr>
                  <w:tcW w:w="1125" w:type="dxa"/>
                  <w:tcBorders>
                    <w:top w:val="single" w:color="auto" w:sz="8" w:space="0"/>
                    <w:left w:val="single" w:color="auto" w:sz="8" w:space="0"/>
                    <w:bottom w:val="single" w:color="auto" w:sz="8" w:space="0"/>
                    <w:right w:val="single" w:color="auto" w:sz="8" w:space="0"/>
                  </w:tcBorders>
                  <w:tcMar/>
                </w:tcPr>
                <w:p w:rsidR="7B35CDEA" w:rsidP="7BAEF637" w:rsidRDefault="7B35CDEA" w14:paraId="18AF7BAF" w14:textId="24149509">
                  <w:pPr>
                    <w:rPr>
                      <w:rFonts w:ascii="Arial" w:hAnsi="Arial" w:eastAsia="Arial" w:cs="Arial"/>
                      <w:b/>
                      <w:bCs/>
                      <w:sz w:val="12"/>
                      <w:szCs w:val="12"/>
                    </w:rPr>
                  </w:pPr>
                  <w:r w:rsidRPr="7BAEF637">
                    <w:rPr>
                      <w:rFonts w:ascii="Arial" w:hAnsi="Arial" w:eastAsia="Arial" w:cs="Arial"/>
                      <w:b/>
                      <w:bCs/>
                      <w:sz w:val="12"/>
                      <w:szCs w:val="12"/>
                    </w:rPr>
                    <w:t>Targeting Specific Issues and Skill Development</w:t>
                  </w:r>
                </w:p>
              </w:tc>
              <w:tc>
                <w:tcPr>
                  <w:tcW w:w="345" w:type="dxa"/>
                  <w:tcBorders>
                    <w:top w:val="nil"/>
                    <w:left w:val="single" w:color="auto" w:sz="8" w:space="0"/>
                    <w:bottom w:val="single" w:color="auto" w:sz="8" w:space="0"/>
                    <w:right w:val="single" w:color="auto" w:sz="8" w:space="0"/>
                  </w:tcBorders>
                  <w:tcMar/>
                </w:tcPr>
                <w:p w:rsidR="7BAEF637" w:rsidP="7BAEF637" w:rsidRDefault="7BAEF637" w14:paraId="51719CB1" w14:textId="1AB9A706">
                  <w:pPr>
                    <w:jc w:val="center"/>
                    <w:rPr>
                      <w:rFonts w:ascii="Calibri" w:hAnsi="Calibri" w:eastAsia="Calibri" w:cs="Calibri"/>
                      <w:sz w:val="18"/>
                      <w:szCs w:val="18"/>
                    </w:rPr>
                  </w:pPr>
                </w:p>
              </w:tc>
              <w:tc>
                <w:tcPr>
                  <w:tcW w:w="542" w:type="dxa"/>
                  <w:tcBorders>
                    <w:top w:val="none" w:color="000000" w:themeColor="text1" w:sz="4" w:space="0"/>
                    <w:left w:val="nil"/>
                    <w:bottom w:val="single" w:color="auto" w:sz="8" w:space="0"/>
                    <w:right w:val="single" w:color="auto" w:sz="8" w:space="0"/>
                  </w:tcBorders>
                  <w:tcMar/>
                </w:tcPr>
                <w:p w:rsidR="7BAEF637" w:rsidP="7BAEF637" w:rsidRDefault="7BAEF637" w14:paraId="1FE871F5" w14:textId="293A9892">
                  <w:pPr>
                    <w:jc w:val="center"/>
                    <w:rPr>
                      <w:rFonts w:ascii="Calibri" w:hAnsi="Calibri" w:eastAsia="Calibri" w:cs="Calibri"/>
                      <w:sz w:val="18"/>
                      <w:szCs w:val="18"/>
                    </w:rPr>
                  </w:pPr>
                </w:p>
              </w:tc>
              <w:tc>
                <w:tcPr>
                  <w:tcW w:w="544" w:type="dxa"/>
                  <w:tcBorders>
                    <w:top w:val="none" w:color="000000" w:themeColor="text1" w:sz="4" w:space="0"/>
                    <w:left w:val="nil"/>
                    <w:bottom w:val="single" w:color="auto" w:sz="8" w:space="0"/>
                    <w:right w:val="single" w:color="auto" w:sz="8" w:space="0"/>
                  </w:tcBorders>
                  <w:tcMar/>
                </w:tcPr>
                <w:p w:rsidR="7BAEF637" w:rsidP="7BAEF637" w:rsidRDefault="7BAEF637" w14:paraId="0812C613" w14:textId="06677E4D">
                  <w:pPr>
                    <w:jc w:val="center"/>
                    <w:rPr>
                      <w:rFonts w:ascii="Calibri" w:hAnsi="Calibri" w:eastAsia="Calibri" w:cs="Calibri"/>
                      <w:sz w:val="18"/>
                      <w:szCs w:val="18"/>
                    </w:rPr>
                  </w:pPr>
                </w:p>
              </w:tc>
              <w:tc>
                <w:tcPr>
                  <w:tcW w:w="570" w:type="dxa"/>
                  <w:tcBorders>
                    <w:top w:val="none" w:color="000000" w:themeColor="text1" w:sz="4" w:space="0"/>
                    <w:left w:val="nil"/>
                    <w:bottom w:val="single" w:color="auto" w:sz="8" w:space="0"/>
                    <w:right w:val="single" w:color="auto" w:sz="8" w:space="0"/>
                  </w:tcBorders>
                  <w:tcMar/>
                </w:tcPr>
                <w:p w:rsidR="7BAEF637" w:rsidP="7BAEF637" w:rsidRDefault="7BAEF637" w14:paraId="7E98DA7C" w14:textId="14DD6C5A">
                  <w:pPr>
                    <w:jc w:val="center"/>
                    <w:rPr>
                      <w:rFonts w:ascii="Calibri" w:hAnsi="Calibri" w:eastAsia="Calibri" w:cs="Calibri"/>
                      <w:sz w:val="18"/>
                      <w:szCs w:val="18"/>
                    </w:rPr>
                  </w:pPr>
                </w:p>
              </w:tc>
              <w:tc>
                <w:tcPr>
                  <w:tcW w:w="435" w:type="dxa"/>
                  <w:tcBorders>
                    <w:top w:val="none" w:color="000000" w:themeColor="text1" w:sz="4" w:space="0"/>
                    <w:left w:val="nil"/>
                    <w:bottom w:val="single" w:color="auto" w:sz="8" w:space="0"/>
                    <w:right w:val="none" w:color="000000" w:themeColor="text1" w:sz="8" w:space="0"/>
                  </w:tcBorders>
                  <w:tcMar/>
                </w:tcPr>
                <w:p w:rsidR="7BAEF637" w:rsidP="7BAEF637" w:rsidRDefault="7BAEF637" w14:paraId="6C1ABD68" w14:textId="427559C6">
                  <w:pPr>
                    <w:jc w:val="center"/>
                    <w:rPr>
                      <w:rFonts w:ascii="Calibri" w:hAnsi="Calibri" w:eastAsia="Calibri" w:cs="Calibri"/>
                      <w:sz w:val="18"/>
                      <w:szCs w:val="18"/>
                    </w:rPr>
                  </w:pPr>
                </w:p>
              </w:tc>
              <w:tc>
                <w:tcPr>
                  <w:tcW w:w="531"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7030A0"/>
                  <w:tcMar/>
                </w:tcPr>
                <w:p w:rsidR="50C783F7" w:rsidP="7BAEF637" w:rsidRDefault="50C783F7" w14:paraId="0DA09D0C" w14:textId="725AA359">
                  <w:pPr>
                    <w:jc w:val="center"/>
                    <w:rPr>
                      <w:rFonts w:ascii="Calibri" w:hAnsi="Calibri" w:eastAsia="Calibri" w:cs="Calibri"/>
                      <w:sz w:val="18"/>
                      <w:szCs w:val="18"/>
                    </w:rPr>
                  </w:pPr>
                  <w:r w:rsidRPr="7BAEF637">
                    <w:rPr>
                      <w:rFonts w:ascii="Calibri" w:hAnsi="Calibri" w:eastAsia="Calibri" w:cs="Calibri"/>
                      <w:sz w:val="18"/>
                      <w:szCs w:val="18"/>
                    </w:rPr>
                    <w:t>AM</w:t>
                  </w:r>
                </w:p>
              </w:tc>
              <w:tc>
                <w:tcPr>
                  <w:tcW w:w="529" w:type="dxa"/>
                  <w:tcBorders>
                    <w:top w:val="none" w:color="000000" w:themeColor="text1" w:sz="4" w:space="0"/>
                    <w:left w:val="none" w:color="000000" w:themeColor="text1" w:sz="8" w:space="0"/>
                    <w:bottom w:val="none" w:color="000000" w:themeColor="text1" w:sz="8" w:space="0"/>
                    <w:right w:val="none" w:color="000000" w:themeColor="text1" w:sz="8" w:space="0"/>
                  </w:tcBorders>
                  <w:shd w:val="clear" w:color="auto" w:fill="7030A0"/>
                  <w:tcMar/>
                </w:tcPr>
                <w:p w:rsidR="50C783F7" w:rsidP="7BAEF637" w:rsidRDefault="50C783F7" w14:paraId="4E1805EB" w14:textId="055D2193">
                  <w:pPr>
                    <w:jc w:val="center"/>
                    <w:rPr>
                      <w:rFonts w:ascii="Calibri" w:hAnsi="Calibri" w:eastAsia="Calibri" w:cs="Calibri"/>
                      <w:sz w:val="18"/>
                      <w:szCs w:val="18"/>
                    </w:rPr>
                  </w:pPr>
                  <w:r w:rsidRPr="7BAEF637">
                    <w:rPr>
                      <w:rFonts w:ascii="Calibri" w:hAnsi="Calibri" w:eastAsia="Calibri" w:cs="Calibri"/>
                      <w:sz w:val="18"/>
                      <w:szCs w:val="18"/>
                    </w:rPr>
                    <w:t>CM</w:t>
                  </w:r>
                </w:p>
              </w:tc>
              <w:tc>
                <w:tcPr>
                  <w:tcW w:w="529" w:type="dxa"/>
                  <w:tcBorders>
                    <w:top w:val="none" w:color="000000" w:themeColor="text1" w:sz="4" w:space="0"/>
                    <w:left w:val="none" w:color="000000" w:themeColor="text1" w:sz="8" w:space="0"/>
                    <w:bottom w:val="none" w:color="000000" w:themeColor="text1" w:sz="8" w:space="0"/>
                    <w:right w:val="none" w:color="000000" w:themeColor="text1" w:sz="8" w:space="0"/>
                  </w:tcBorders>
                  <w:shd w:val="clear" w:color="auto" w:fill="7030A0"/>
                  <w:tcMar/>
                </w:tcPr>
                <w:p w:rsidR="7BAEF637" w:rsidP="0578A328" w:rsidRDefault="22BE359F" w14:paraId="4413BE75" w14:textId="4DD47369">
                  <w:pPr>
                    <w:jc w:val="center"/>
                    <w:rPr>
                      <w:rFonts w:ascii="Calibri" w:hAnsi="Calibri" w:eastAsia="Calibri" w:cs="Calibri"/>
                      <w:sz w:val="18"/>
                      <w:szCs w:val="18"/>
                    </w:rPr>
                  </w:pPr>
                  <w:r w:rsidRPr="0578A328">
                    <w:rPr>
                      <w:rFonts w:ascii="Calibri" w:hAnsi="Calibri" w:eastAsia="Calibri" w:cs="Calibri"/>
                      <w:sz w:val="18"/>
                      <w:szCs w:val="18"/>
                    </w:rPr>
                    <w:t>SST</w:t>
                  </w:r>
                </w:p>
                <w:p w:rsidR="7BAEF637" w:rsidP="7BAEF637" w:rsidRDefault="7BAEF637" w14:paraId="638030F8" w14:textId="3DBF9441">
                  <w:pPr>
                    <w:jc w:val="center"/>
                    <w:rPr>
                      <w:rFonts w:ascii="Calibri" w:hAnsi="Calibri" w:eastAsia="Calibri" w:cs="Calibri"/>
                      <w:sz w:val="18"/>
                      <w:szCs w:val="18"/>
                    </w:rPr>
                  </w:pPr>
                </w:p>
              </w:tc>
              <w:tc>
                <w:tcPr>
                  <w:tcW w:w="525"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7030A0"/>
                  <w:tcMar/>
                </w:tcPr>
                <w:p w:rsidR="33BFC336" w:rsidP="7BAEF637" w:rsidRDefault="3531169C" w14:paraId="352CD610" w14:textId="03F7FD35">
                  <w:pPr>
                    <w:jc w:val="center"/>
                    <w:rPr>
                      <w:rFonts w:ascii="Calibri" w:hAnsi="Calibri" w:eastAsia="Calibri" w:cs="Calibri"/>
                      <w:sz w:val="18"/>
                      <w:szCs w:val="18"/>
                    </w:rPr>
                  </w:pPr>
                  <w:r w:rsidRPr="0578A328">
                    <w:rPr>
                      <w:rFonts w:ascii="Calibri" w:hAnsi="Calibri" w:eastAsia="Calibri" w:cs="Calibri"/>
                      <w:sz w:val="18"/>
                      <w:szCs w:val="18"/>
                    </w:rPr>
                    <w:t>SA</w:t>
                  </w:r>
                </w:p>
              </w:tc>
              <w:tc>
                <w:tcPr>
                  <w:tcW w:w="521" w:type="dxa"/>
                  <w:tcBorders>
                    <w:top w:val="nil"/>
                    <w:left w:val="none" w:color="000000" w:themeColor="text1" w:sz="4" w:space="0"/>
                    <w:bottom w:val="none" w:color="000000" w:themeColor="text1" w:sz="8" w:space="0"/>
                    <w:right w:val="single" w:color="auto" w:sz="8" w:space="0"/>
                  </w:tcBorders>
                  <w:tcMar/>
                </w:tcPr>
                <w:p w:rsidR="7BAEF637" w:rsidP="7BAEF637" w:rsidRDefault="7BAEF637" w14:paraId="26C149B9" w14:textId="2750C70C">
                  <w:pPr>
                    <w:jc w:val="center"/>
                    <w:rPr>
                      <w:rFonts w:ascii="Calibri" w:hAnsi="Calibri" w:eastAsia="Calibri" w:cs="Calibri"/>
                      <w:sz w:val="18"/>
                      <w:szCs w:val="18"/>
                    </w:rPr>
                  </w:pPr>
                </w:p>
              </w:tc>
              <w:tc>
                <w:tcPr>
                  <w:tcW w:w="525" w:type="dxa"/>
                  <w:tcBorders>
                    <w:top w:val="nil"/>
                    <w:left w:val="nil"/>
                    <w:bottom w:val="none" w:color="000000" w:themeColor="text1" w:sz="8" w:space="0"/>
                    <w:right w:val="single" w:color="auto" w:sz="8" w:space="0"/>
                  </w:tcBorders>
                  <w:tcMar/>
                </w:tcPr>
                <w:p w:rsidR="7BAEF637" w:rsidP="7BAEF637" w:rsidRDefault="7BAEF637" w14:paraId="3B37957C" w14:textId="3CB6324C">
                  <w:pPr>
                    <w:jc w:val="center"/>
                    <w:rPr>
                      <w:rFonts w:ascii="Calibri" w:hAnsi="Calibri" w:eastAsia="Calibri" w:cs="Calibri"/>
                      <w:sz w:val="18"/>
                      <w:szCs w:val="18"/>
                    </w:rPr>
                  </w:pPr>
                </w:p>
              </w:tc>
              <w:tc>
                <w:tcPr>
                  <w:tcW w:w="540" w:type="dxa"/>
                  <w:tcBorders>
                    <w:top w:val="nil"/>
                    <w:left w:val="nil"/>
                    <w:bottom w:val="none" w:color="000000" w:themeColor="text1" w:sz="8" w:space="0"/>
                    <w:right w:val="single" w:color="auto" w:sz="8" w:space="0"/>
                  </w:tcBorders>
                  <w:tcMar/>
                </w:tcPr>
                <w:p w:rsidR="7BAEF637" w:rsidP="7BAEF637" w:rsidRDefault="7BAEF637" w14:paraId="1B84438A" w14:textId="458A167C">
                  <w:pPr>
                    <w:jc w:val="center"/>
                    <w:rPr>
                      <w:rFonts w:ascii="Calibri" w:hAnsi="Calibri" w:eastAsia="Calibri" w:cs="Calibri"/>
                      <w:sz w:val="18"/>
                      <w:szCs w:val="18"/>
                    </w:rPr>
                  </w:pPr>
                </w:p>
              </w:tc>
              <w:tc>
                <w:tcPr>
                  <w:tcW w:w="525" w:type="dxa"/>
                  <w:tcBorders>
                    <w:top w:val="nil"/>
                    <w:left w:val="nil"/>
                    <w:bottom w:val="none" w:color="000000" w:themeColor="text1" w:sz="8" w:space="0"/>
                    <w:right w:val="single" w:color="auto" w:sz="8" w:space="0"/>
                  </w:tcBorders>
                  <w:tcMar/>
                </w:tcPr>
                <w:p w:rsidR="7BAEF637" w:rsidP="7BAEF637" w:rsidRDefault="7BAEF637" w14:paraId="015A67A1" w14:textId="2AE5AE7F">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49091EDF" w14:textId="3C1440F3">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75EC54B4" w14:textId="1907CFFF">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4F14E537" w14:textId="1E3E0B39">
                  <w:pPr>
                    <w:jc w:val="center"/>
                    <w:rPr>
                      <w:rFonts w:ascii="Calibri" w:hAnsi="Calibri" w:eastAsia="Calibri" w:cs="Calibri"/>
                      <w:sz w:val="18"/>
                      <w:szCs w:val="18"/>
                    </w:rPr>
                  </w:pPr>
                </w:p>
              </w:tc>
              <w:tc>
                <w:tcPr>
                  <w:tcW w:w="510" w:type="dxa"/>
                  <w:tcBorders>
                    <w:top w:val="nil"/>
                    <w:left w:val="nil"/>
                    <w:bottom w:val="single" w:color="auto" w:sz="8" w:space="0"/>
                    <w:right w:val="single" w:color="auto" w:sz="8" w:space="0"/>
                  </w:tcBorders>
                  <w:tcMar/>
                </w:tcPr>
                <w:p w:rsidR="7BAEF637" w:rsidP="7BAEF637" w:rsidRDefault="7BAEF637" w14:paraId="6AC9B859" w14:textId="2EF9C738">
                  <w:pPr>
                    <w:jc w:val="center"/>
                    <w:rPr>
                      <w:rFonts w:ascii="Calibri" w:hAnsi="Calibri" w:eastAsia="Calibri" w:cs="Calibri"/>
                      <w:sz w:val="18"/>
                      <w:szCs w:val="18"/>
                    </w:rPr>
                  </w:pPr>
                </w:p>
              </w:tc>
            </w:tr>
            <w:tr w:rsidR="7BAEF637" w:rsidTr="74718914" w14:paraId="173934FF" w14:textId="77777777">
              <w:trPr>
                <w:trHeight w:val="793"/>
              </w:trPr>
              <w:tc>
                <w:tcPr>
                  <w:tcW w:w="1125" w:type="dxa"/>
                  <w:tcBorders>
                    <w:top w:val="single" w:color="auto" w:sz="8" w:space="0"/>
                    <w:left w:val="single" w:color="auto" w:sz="8" w:space="0"/>
                    <w:bottom w:val="single" w:color="auto" w:sz="8" w:space="0"/>
                    <w:right w:val="single" w:color="auto" w:sz="8" w:space="0"/>
                  </w:tcBorders>
                  <w:tcMar/>
                </w:tcPr>
                <w:p w:rsidR="1558F7E5" w:rsidP="7BAEF637" w:rsidRDefault="1558F7E5" w14:paraId="726502BA" w14:textId="1E5B45F4">
                  <w:pPr>
                    <w:rPr>
                      <w:rFonts w:ascii="Arial" w:hAnsi="Arial" w:eastAsia="Arial" w:cs="Arial"/>
                      <w:b/>
                      <w:bCs/>
                      <w:sz w:val="12"/>
                      <w:szCs w:val="12"/>
                    </w:rPr>
                  </w:pPr>
                  <w:r w:rsidRPr="7BAEF637">
                    <w:rPr>
                      <w:rFonts w:ascii="Arial" w:hAnsi="Arial" w:eastAsia="Arial" w:cs="Arial"/>
                      <w:b/>
                      <w:bCs/>
                      <w:sz w:val="12"/>
                      <w:szCs w:val="12"/>
                    </w:rPr>
                    <w:t>Individualised Focus and Progress Evaluation</w:t>
                  </w:r>
                </w:p>
              </w:tc>
              <w:tc>
                <w:tcPr>
                  <w:tcW w:w="345" w:type="dxa"/>
                  <w:tcBorders>
                    <w:top w:val="nil"/>
                    <w:left w:val="single" w:color="auto" w:sz="8" w:space="0"/>
                    <w:bottom w:val="single" w:color="auto" w:sz="8" w:space="0"/>
                    <w:right w:val="single" w:color="auto" w:sz="8" w:space="0"/>
                  </w:tcBorders>
                  <w:tcMar/>
                </w:tcPr>
                <w:p w:rsidR="7BAEF637" w:rsidP="7BAEF637" w:rsidRDefault="7BAEF637" w14:paraId="2B352A7E" w14:textId="7CBE6005">
                  <w:pPr>
                    <w:jc w:val="center"/>
                    <w:rPr>
                      <w:rFonts w:ascii="Calibri" w:hAnsi="Calibri" w:eastAsia="Calibri" w:cs="Calibri"/>
                      <w:sz w:val="18"/>
                      <w:szCs w:val="18"/>
                    </w:rPr>
                  </w:pPr>
                </w:p>
              </w:tc>
              <w:tc>
                <w:tcPr>
                  <w:tcW w:w="542" w:type="dxa"/>
                  <w:tcBorders>
                    <w:top w:val="nil"/>
                    <w:left w:val="nil"/>
                    <w:bottom w:val="single" w:color="auto" w:sz="8" w:space="0"/>
                    <w:right w:val="single" w:color="auto" w:sz="8" w:space="0"/>
                  </w:tcBorders>
                  <w:tcMar/>
                </w:tcPr>
                <w:p w:rsidR="7BAEF637" w:rsidP="7BAEF637" w:rsidRDefault="7BAEF637" w14:paraId="60D04706" w14:textId="71F8611C">
                  <w:pPr>
                    <w:jc w:val="center"/>
                    <w:rPr>
                      <w:rFonts w:ascii="Calibri" w:hAnsi="Calibri" w:eastAsia="Calibri" w:cs="Calibri"/>
                      <w:sz w:val="18"/>
                      <w:szCs w:val="18"/>
                    </w:rPr>
                  </w:pPr>
                </w:p>
              </w:tc>
              <w:tc>
                <w:tcPr>
                  <w:tcW w:w="544" w:type="dxa"/>
                  <w:tcBorders>
                    <w:top w:val="nil"/>
                    <w:left w:val="nil"/>
                    <w:bottom w:val="single" w:color="auto" w:sz="8" w:space="0"/>
                    <w:right w:val="single" w:color="auto" w:sz="8" w:space="0"/>
                  </w:tcBorders>
                  <w:tcMar/>
                </w:tcPr>
                <w:p w:rsidR="7BAEF637" w:rsidP="7BAEF637" w:rsidRDefault="7BAEF637" w14:paraId="0CF4ACE2" w14:textId="3F02797C">
                  <w:pPr>
                    <w:jc w:val="center"/>
                    <w:rPr>
                      <w:rFonts w:ascii="Calibri" w:hAnsi="Calibri" w:eastAsia="Calibri" w:cs="Calibri"/>
                      <w:sz w:val="18"/>
                      <w:szCs w:val="18"/>
                    </w:rPr>
                  </w:pPr>
                </w:p>
              </w:tc>
              <w:tc>
                <w:tcPr>
                  <w:tcW w:w="570" w:type="dxa"/>
                  <w:tcBorders>
                    <w:top w:val="nil"/>
                    <w:left w:val="nil"/>
                    <w:bottom w:val="single" w:color="auto" w:sz="8" w:space="0"/>
                    <w:right w:val="single" w:color="auto" w:sz="8" w:space="0"/>
                  </w:tcBorders>
                  <w:tcMar/>
                </w:tcPr>
                <w:p w:rsidR="7BAEF637" w:rsidP="7BAEF637" w:rsidRDefault="7BAEF637" w14:paraId="7735C3E2" w14:textId="4B73E1F2">
                  <w:pPr>
                    <w:jc w:val="center"/>
                    <w:rPr>
                      <w:rFonts w:ascii="Calibri" w:hAnsi="Calibri" w:eastAsia="Calibri" w:cs="Calibri"/>
                      <w:sz w:val="18"/>
                      <w:szCs w:val="18"/>
                    </w:rPr>
                  </w:pPr>
                </w:p>
              </w:tc>
              <w:tc>
                <w:tcPr>
                  <w:tcW w:w="435" w:type="dxa"/>
                  <w:tcBorders>
                    <w:top w:val="nil"/>
                    <w:left w:val="nil"/>
                    <w:bottom w:val="single" w:color="auto" w:sz="8" w:space="0"/>
                    <w:right w:val="single" w:color="auto" w:sz="8" w:space="0"/>
                  </w:tcBorders>
                  <w:tcMar/>
                </w:tcPr>
                <w:p w:rsidR="7BAEF637" w:rsidP="7BAEF637" w:rsidRDefault="7BAEF637" w14:paraId="6DDEB306" w14:textId="1FEADCB0">
                  <w:pPr>
                    <w:jc w:val="center"/>
                    <w:rPr>
                      <w:rFonts w:ascii="Calibri" w:hAnsi="Calibri" w:eastAsia="Calibri" w:cs="Calibri"/>
                      <w:sz w:val="18"/>
                      <w:szCs w:val="18"/>
                    </w:rPr>
                  </w:pPr>
                </w:p>
              </w:tc>
              <w:tc>
                <w:tcPr>
                  <w:tcW w:w="531" w:type="dxa"/>
                  <w:tcBorders>
                    <w:top w:val="none" w:color="000000" w:themeColor="text1" w:sz="4" w:space="0"/>
                    <w:left w:val="nil"/>
                    <w:bottom w:val="single" w:color="auto" w:sz="8" w:space="0"/>
                    <w:right w:val="single" w:color="auto" w:sz="8" w:space="0"/>
                  </w:tcBorders>
                  <w:tcMar/>
                </w:tcPr>
                <w:p w:rsidR="7BAEF637" w:rsidP="7BAEF637" w:rsidRDefault="7BAEF637" w14:paraId="2189D99C" w14:textId="035462A3">
                  <w:pPr>
                    <w:jc w:val="center"/>
                    <w:rPr>
                      <w:rFonts w:ascii="Calibri" w:hAnsi="Calibri" w:eastAsia="Calibri" w:cs="Calibri"/>
                      <w:sz w:val="18"/>
                      <w:szCs w:val="18"/>
                    </w:rPr>
                  </w:pPr>
                </w:p>
              </w:tc>
              <w:tc>
                <w:tcPr>
                  <w:tcW w:w="529" w:type="dxa"/>
                  <w:tcBorders>
                    <w:top w:val="none" w:color="000000" w:themeColor="text1" w:sz="4" w:space="0"/>
                    <w:left w:val="single" w:color="auto" w:sz="8" w:space="0"/>
                    <w:bottom w:val="single" w:color="auto" w:sz="8" w:space="0"/>
                    <w:right w:val="single" w:color="auto" w:sz="8" w:space="0"/>
                  </w:tcBorders>
                  <w:tcMar/>
                </w:tcPr>
                <w:p w:rsidR="7BAEF637" w:rsidP="7BAEF637" w:rsidRDefault="7BAEF637" w14:paraId="7E58564B" w14:textId="50E396ED">
                  <w:pPr>
                    <w:jc w:val="center"/>
                    <w:rPr>
                      <w:rFonts w:ascii="Calibri" w:hAnsi="Calibri" w:eastAsia="Calibri" w:cs="Calibri"/>
                      <w:sz w:val="18"/>
                      <w:szCs w:val="18"/>
                    </w:rPr>
                  </w:pPr>
                </w:p>
              </w:tc>
              <w:tc>
                <w:tcPr>
                  <w:tcW w:w="529" w:type="dxa"/>
                  <w:tcBorders>
                    <w:top w:val="none" w:color="000000" w:themeColor="text1" w:sz="4" w:space="0"/>
                    <w:left w:val="single" w:color="auto" w:sz="8" w:space="0"/>
                    <w:bottom w:val="single" w:color="auto" w:sz="8" w:space="0"/>
                    <w:right w:val="single" w:color="auto" w:sz="8" w:space="0"/>
                  </w:tcBorders>
                  <w:tcMar/>
                </w:tcPr>
                <w:p w:rsidR="7BAEF637" w:rsidP="7BAEF637" w:rsidRDefault="7BAEF637" w14:paraId="7F20A35F" w14:textId="6FCB7821">
                  <w:pPr>
                    <w:jc w:val="center"/>
                    <w:rPr>
                      <w:rFonts w:ascii="Calibri" w:hAnsi="Calibri" w:eastAsia="Calibri" w:cs="Calibri"/>
                      <w:sz w:val="18"/>
                      <w:szCs w:val="18"/>
                    </w:rPr>
                  </w:pPr>
                </w:p>
              </w:tc>
              <w:tc>
                <w:tcPr>
                  <w:tcW w:w="525" w:type="dxa"/>
                  <w:tcBorders>
                    <w:top w:val="none" w:color="000000" w:themeColor="text1" w:sz="4" w:space="0"/>
                    <w:left w:val="nil"/>
                    <w:bottom w:val="single" w:color="auto" w:sz="8" w:space="0"/>
                    <w:right w:val="none" w:color="000000" w:themeColor="text1" w:sz="8" w:space="0"/>
                  </w:tcBorders>
                  <w:tcMar/>
                </w:tcPr>
                <w:p w:rsidR="7BAEF637" w:rsidP="7BAEF637" w:rsidRDefault="7BAEF637" w14:paraId="1D39BCF2" w14:textId="20D47A70">
                  <w:pPr>
                    <w:jc w:val="center"/>
                    <w:rPr>
                      <w:rFonts w:ascii="Calibri" w:hAnsi="Calibri" w:eastAsia="Calibri" w:cs="Calibri"/>
                      <w:sz w:val="18"/>
                      <w:szCs w:val="18"/>
                    </w:rPr>
                  </w:pPr>
                </w:p>
              </w:tc>
              <w:tc>
                <w:tcPr>
                  <w:tcW w:w="521"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50"/>
                  <w:tcMar/>
                </w:tcPr>
                <w:p w:rsidR="445419AA" w:rsidP="7BAEF637" w:rsidRDefault="445419AA" w14:paraId="52361FB8" w14:textId="3253858B">
                  <w:pPr>
                    <w:jc w:val="center"/>
                    <w:rPr>
                      <w:rFonts w:ascii="Calibri" w:hAnsi="Calibri" w:eastAsia="Calibri" w:cs="Calibri"/>
                      <w:sz w:val="18"/>
                      <w:szCs w:val="18"/>
                    </w:rPr>
                  </w:pPr>
                  <w:r w:rsidRPr="74718914" w:rsidR="05D710CD">
                    <w:rPr>
                      <w:rFonts w:ascii="Calibri" w:hAnsi="Calibri" w:eastAsia="Calibri" w:cs="Calibri"/>
                      <w:sz w:val="18"/>
                      <w:szCs w:val="18"/>
                    </w:rPr>
                    <w:t>V</w:t>
                  </w:r>
                  <w:r w:rsidRPr="74718914" w:rsidR="61FD54C0">
                    <w:rPr>
                      <w:rFonts w:ascii="Calibri" w:hAnsi="Calibri" w:eastAsia="Calibri" w:cs="Calibri"/>
                      <w:sz w:val="18"/>
                      <w:szCs w:val="18"/>
                    </w:rPr>
                    <w:t>I</w:t>
                  </w:r>
                  <w:r w:rsidRPr="74718914" w:rsidR="05D710CD">
                    <w:rPr>
                      <w:rFonts w:ascii="Calibri" w:hAnsi="Calibri" w:eastAsia="Calibri" w:cs="Calibri"/>
                      <w:sz w:val="18"/>
                      <w:szCs w:val="18"/>
                    </w:rPr>
                    <w:t>S</w:t>
                  </w:r>
                </w:p>
              </w:tc>
              <w:tc>
                <w:tcPr>
                  <w:tcW w:w="525"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50"/>
                  <w:tcMar/>
                </w:tcPr>
                <w:p w:rsidR="7BAEF637" w:rsidP="7BAEF637" w:rsidRDefault="02D11918" w14:paraId="1E638B6F" w14:textId="0A820CD8">
                  <w:pPr>
                    <w:jc w:val="center"/>
                    <w:rPr>
                      <w:rFonts w:ascii="Calibri" w:hAnsi="Calibri" w:eastAsia="Calibri" w:cs="Calibri"/>
                      <w:sz w:val="18"/>
                      <w:szCs w:val="18"/>
                    </w:rPr>
                  </w:pPr>
                  <w:r w:rsidRPr="0578A328">
                    <w:rPr>
                      <w:rFonts w:ascii="Calibri" w:hAnsi="Calibri" w:eastAsia="Calibri" w:cs="Calibri"/>
                      <w:sz w:val="18"/>
                      <w:szCs w:val="18"/>
                    </w:rPr>
                    <w:t>SST</w:t>
                  </w:r>
                </w:p>
              </w:tc>
              <w:tc>
                <w:tcPr>
                  <w:tcW w:w="540"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50"/>
                  <w:tcMar/>
                </w:tcPr>
                <w:p w:rsidR="445419AA" w:rsidP="7BAEF637" w:rsidRDefault="6A90BFE5" w14:paraId="7C66C7F6" w14:textId="405C82FA">
                  <w:pPr>
                    <w:jc w:val="center"/>
                    <w:rPr>
                      <w:rFonts w:ascii="Calibri" w:hAnsi="Calibri" w:eastAsia="Calibri" w:cs="Calibri"/>
                      <w:sz w:val="18"/>
                      <w:szCs w:val="18"/>
                    </w:rPr>
                  </w:pPr>
                  <w:r w:rsidRPr="0578A328">
                    <w:rPr>
                      <w:rFonts w:ascii="Calibri" w:hAnsi="Calibri" w:eastAsia="Calibri" w:cs="Calibri"/>
                      <w:sz w:val="18"/>
                      <w:szCs w:val="18"/>
                    </w:rPr>
                    <w:t>MH</w:t>
                  </w:r>
                </w:p>
              </w:tc>
              <w:tc>
                <w:tcPr>
                  <w:tcW w:w="525"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50"/>
                  <w:tcMar/>
                </w:tcPr>
                <w:p w:rsidR="7BAEF637" w:rsidP="7BAEF637" w:rsidRDefault="6A90BFE5" w14:paraId="0E1730E5" w14:textId="6C1209BA">
                  <w:pPr>
                    <w:jc w:val="center"/>
                    <w:rPr>
                      <w:rFonts w:ascii="Calibri" w:hAnsi="Calibri" w:eastAsia="Calibri" w:cs="Calibri"/>
                      <w:sz w:val="18"/>
                      <w:szCs w:val="18"/>
                    </w:rPr>
                  </w:pPr>
                  <w:r w:rsidRPr="0578A328">
                    <w:rPr>
                      <w:rFonts w:ascii="Calibri" w:hAnsi="Calibri" w:eastAsia="Calibri" w:cs="Calibri"/>
                      <w:sz w:val="18"/>
                      <w:szCs w:val="18"/>
                    </w:rPr>
                    <w:t>SA</w:t>
                  </w:r>
                </w:p>
              </w:tc>
              <w:tc>
                <w:tcPr>
                  <w:tcW w:w="540" w:type="dxa"/>
                  <w:tcBorders>
                    <w:top w:val="nil"/>
                    <w:left w:val="none" w:color="000000" w:themeColor="text1" w:sz="4" w:space="0"/>
                    <w:bottom w:val="none" w:color="000000" w:themeColor="text1" w:sz="8" w:space="0"/>
                    <w:right w:val="single" w:color="auto" w:sz="8" w:space="0"/>
                  </w:tcBorders>
                  <w:tcMar/>
                </w:tcPr>
                <w:p w:rsidR="7BAEF637" w:rsidP="7BAEF637" w:rsidRDefault="7BAEF637" w14:paraId="6252A2B0" w14:textId="2850069A">
                  <w:pPr>
                    <w:jc w:val="center"/>
                    <w:rPr>
                      <w:rFonts w:ascii="Calibri" w:hAnsi="Calibri" w:eastAsia="Calibri" w:cs="Calibri"/>
                      <w:sz w:val="18"/>
                      <w:szCs w:val="18"/>
                    </w:rPr>
                  </w:pPr>
                </w:p>
              </w:tc>
              <w:tc>
                <w:tcPr>
                  <w:tcW w:w="525" w:type="dxa"/>
                  <w:tcBorders>
                    <w:top w:val="nil"/>
                    <w:left w:val="nil"/>
                    <w:bottom w:val="none" w:color="000000" w:themeColor="text1" w:sz="8" w:space="0"/>
                    <w:right w:val="single" w:color="auto" w:sz="8" w:space="0"/>
                  </w:tcBorders>
                  <w:tcMar/>
                </w:tcPr>
                <w:p w:rsidR="7BAEF637" w:rsidP="7BAEF637" w:rsidRDefault="7BAEF637" w14:paraId="5C5D039A" w14:textId="420DD04F">
                  <w:pPr>
                    <w:jc w:val="center"/>
                    <w:rPr>
                      <w:rFonts w:ascii="Calibri" w:hAnsi="Calibri" w:eastAsia="Calibri" w:cs="Calibri"/>
                      <w:sz w:val="18"/>
                      <w:szCs w:val="18"/>
                    </w:rPr>
                  </w:pPr>
                </w:p>
              </w:tc>
              <w:tc>
                <w:tcPr>
                  <w:tcW w:w="540" w:type="dxa"/>
                  <w:tcBorders>
                    <w:top w:val="nil"/>
                    <w:left w:val="nil"/>
                    <w:bottom w:val="none" w:color="000000" w:themeColor="text1" w:sz="8" w:space="0"/>
                    <w:right w:val="single" w:color="auto" w:sz="8" w:space="0"/>
                  </w:tcBorders>
                  <w:tcMar/>
                </w:tcPr>
                <w:p w:rsidR="7BAEF637" w:rsidP="7BAEF637" w:rsidRDefault="7BAEF637" w14:paraId="1BDCAAB8" w14:textId="2D081B6A">
                  <w:pPr>
                    <w:jc w:val="center"/>
                    <w:rPr>
                      <w:rFonts w:ascii="Calibri" w:hAnsi="Calibri" w:eastAsia="Calibri" w:cs="Calibri"/>
                      <w:sz w:val="18"/>
                      <w:szCs w:val="18"/>
                    </w:rPr>
                  </w:pPr>
                </w:p>
              </w:tc>
              <w:tc>
                <w:tcPr>
                  <w:tcW w:w="510" w:type="dxa"/>
                  <w:tcBorders>
                    <w:top w:val="nil"/>
                    <w:left w:val="nil"/>
                    <w:bottom w:val="none" w:color="000000" w:themeColor="text1" w:sz="8" w:space="0"/>
                    <w:right w:val="single" w:color="auto" w:sz="8" w:space="0"/>
                  </w:tcBorders>
                  <w:tcMar/>
                </w:tcPr>
                <w:p w:rsidR="7BAEF637" w:rsidP="7BAEF637" w:rsidRDefault="7BAEF637" w14:paraId="59B81858" w14:textId="2AD84858">
                  <w:pPr>
                    <w:jc w:val="center"/>
                    <w:rPr>
                      <w:rFonts w:ascii="Calibri" w:hAnsi="Calibri" w:eastAsia="Calibri" w:cs="Calibri"/>
                      <w:sz w:val="18"/>
                      <w:szCs w:val="18"/>
                    </w:rPr>
                  </w:pPr>
                </w:p>
              </w:tc>
            </w:tr>
            <w:tr w:rsidR="7BAEF637" w:rsidTr="74718914" w14:paraId="15BD5A2C" w14:textId="77777777">
              <w:trPr>
                <w:trHeight w:val="741"/>
              </w:trPr>
              <w:tc>
                <w:tcPr>
                  <w:tcW w:w="1125" w:type="dxa"/>
                  <w:tcBorders>
                    <w:top w:val="single" w:color="auto" w:sz="8" w:space="0"/>
                    <w:left w:val="single" w:color="auto" w:sz="8" w:space="0"/>
                    <w:bottom w:val="single" w:color="auto" w:sz="8" w:space="0"/>
                    <w:right w:val="single" w:color="auto" w:sz="8" w:space="0"/>
                  </w:tcBorders>
                  <w:tcMar/>
                </w:tcPr>
                <w:p w:rsidR="1558F7E5" w:rsidP="7BAEF637" w:rsidRDefault="1558F7E5" w14:paraId="1B03E852" w14:textId="2F7F4ABE">
                  <w:pPr>
                    <w:rPr>
                      <w:rFonts w:ascii="Arial" w:hAnsi="Arial" w:eastAsia="Arial" w:cs="Arial"/>
                      <w:b/>
                      <w:bCs/>
                      <w:sz w:val="12"/>
                      <w:szCs w:val="12"/>
                    </w:rPr>
                  </w:pPr>
                  <w:r w:rsidRPr="7BAEF637">
                    <w:rPr>
                      <w:rFonts w:ascii="Arial" w:hAnsi="Arial" w:eastAsia="Arial" w:cs="Arial"/>
                      <w:b/>
                      <w:bCs/>
                      <w:sz w:val="12"/>
                      <w:szCs w:val="12"/>
                    </w:rPr>
                    <w:t>Consolidation and Transition</w:t>
                  </w:r>
                </w:p>
                <w:p w:rsidR="1530087E" w:rsidP="7BAEF637" w:rsidRDefault="1530087E" w14:paraId="2DCC82D3" w14:textId="67BE996C">
                  <w:pPr>
                    <w:rPr>
                      <w:rFonts w:ascii="Arial" w:hAnsi="Arial" w:eastAsia="Arial" w:cs="Arial"/>
                      <w:b/>
                      <w:bCs/>
                      <w:sz w:val="12"/>
                      <w:szCs w:val="12"/>
                    </w:rPr>
                  </w:pPr>
                  <w:r w:rsidRPr="7BAEF637">
                    <w:rPr>
                      <w:rFonts w:ascii="Arial" w:hAnsi="Arial" w:eastAsia="Arial" w:cs="Arial"/>
                      <w:b/>
                      <w:bCs/>
                      <w:sz w:val="12"/>
                      <w:szCs w:val="12"/>
                    </w:rPr>
                    <w:t>Reintegration into society.</w:t>
                  </w:r>
                </w:p>
              </w:tc>
              <w:tc>
                <w:tcPr>
                  <w:tcW w:w="345" w:type="dxa"/>
                  <w:tcBorders>
                    <w:top w:val="nil"/>
                    <w:left w:val="single" w:color="auto" w:sz="8" w:space="0"/>
                    <w:bottom w:val="single" w:color="auto" w:sz="8" w:space="0"/>
                    <w:right w:val="single" w:color="auto" w:sz="8" w:space="0"/>
                  </w:tcBorders>
                  <w:tcMar/>
                </w:tcPr>
                <w:p w:rsidR="7BAEF637" w:rsidP="7BAEF637" w:rsidRDefault="7BAEF637" w14:paraId="62CF1F46" w14:textId="59B19229">
                  <w:pPr>
                    <w:jc w:val="center"/>
                    <w:rPr>
                      <w:rFonts w:ascii="Calibri" w:hAnsi="Calibri" w:eastAsia="Calibri" w:cs="Calibri"/>
                      <w:sz w:val="18"/>
                      <w:szCs w:val="18"/>
                    </w:rPr>
                  </w:pPr>
                </w:p>
              </w:tc>
              <w:tc>
                <w:tcPr>
                  <w:tcW w:w="542" w:type="dxa"/>
                  <w:tcBorders>
                    <w:top w:val="nil"/>
                    <w:left w:val="nil"/>
                    <w:bottom w:val="single" w:color="auto" w:sz="8" w:space="0"/>
                    <w:right w:val="single" w:color="auto" w:sz="8" w:space="0"/>
                  </w:tcBorders>
                  <w:tcMar/>
                </w:tcPr>
                <w:p w:rsidR="7BAEF637" w:rsidP="7BAEF637" w:rsidRDefault="7BAEF637" w14:paraId="1B255212" w14:textId="56BCED0F">
                  <w:pPr>
                    <w:jc w:val="center"/>
                    <w:rPr>
                      <w:rFonts w:ascii="Calibri" w:hAnsi="Calibri" w:eastAsia="Calibri" w:cs="Calibri"/>
                      <w:sz w:val="18"/>
                      <w:szCs w:val="18"/>
                    </w:rPr>
                  </w:pPr>
                </w:p>
              </w:tc>
              <w:tc>
                <w:tcPr>
                  <w:tcW w:w="544" w:type="dxa"/>
                  <w:tcBorders>
                    <w:top w:val="nil"/>
                    <w:left w:val="nil"/>
                    <w:bottom w:val="single" w:color="auto" w:sz="8" w:space="0"/>
                    <w:right w:val="single" w:color="auto" w:sz="8" w:space="0"/>
                  </w:tcBorders>
                  <w:tcMar/>
                </w:tcPr>
                <w:p w:rsidR="7BAEF637" w:rsidP="7BAEF637" w:rsidRDefault="7BAEF637" w14:paraId="7094D116" w14:textId="04391EB4">
                  <w:pPr>
                    <w:jc w:val="center"/>
                    <w:rPr>
                      <w:rFonts w:ascii="Calibri" w:hAnsi="Calibri" w:eastAsia="Calibri" w:cs="Calibri"/>
                      <w:sz w:val="18"/>
                      <w:szCs w:val="18"/>
                    </w:rPr>
                  </w:pPr>
                </w:p>
              </w:tc>
              <w:tc>
                <w:tcPr>
                  <w:tcW w:w="570" w:type="dxa"/>
                  <w:tcBorders>
                    <w:top w:val="nil"/>
                    <w:left w:val="nil"/>
                    <w:bottom w:val="single" w:color="auto" w:sz="8" w:space="0"/>
                    <w:right w:val="single" w:color="auto" w:sz="8" w:space="0"/>
                  </w:tcBorders>
                  <w:tcMar/>
                </w:tcPr>
                <w:p w:rsidR="7BAEF637" w:rsidP="7BAEF637" w:rsidRDefault="7BAEF637" w14:paraId="1FB120FA" w14:textId="4E90196F">
                  <w:pPr>
                    <w:jc w:val="center"/>
                    <w:rPr>
                      <w:rFonts w:ascii="Calibri" w:hAnsi="Calibri" w:eastAsia="Calibri" w:cs="Calibri"/>
                      <w:sz w:val="18"/>
                      <w:szCs w:val="18"/>
                    </w:rPr>
                  </w:pPr>
                </w:p>
              </w:tc>
              <w:tc>
                <w:tcPr>
                  <w:tcW w:w="435" w:type="dxa"/>
                  <w:tcBorders>
                    <w:top w:val="nil"/>
                    <w:left w:val="nil"/>
                    <w:bottom w:val="single" w:color="auto" w:sz="8" w:space="0"/>
                    <w:right w:val="single" w:color="auto" w:sz="8" w:space="0"/>
                  </w:tcBorders>
                  <w:tcMar/>
                </w:tcPr>
                <w:p w:rsidR="7BAEF637" w:rsidP="7BAEF637" w:rsidRDefault="7BAEF637" w14:paraId="65D5F456" w14:textId="24E13583">
                  <w:pPr>
                    <w:jc w:val="center"/>
                    <w:rPr>
                      <w:rFonts w:ascii="Calibri" w:hAnsi="Calibri" w:eastAsia="Calibri" w:cs="Calibri"/>
                      <w:sz w:val="18"/>
                      <w:szCs w:val="18"/>
                    </w:rPr>
                  </w:pPr>
                </w:p>
              </w:tc>
              <w:tc>
                <w:tcPr>
                  <w:tcW w:w="531" w:type="dxa"/>
                  <w:tcBorders>
                    <w:top w:val="nil"/>
                    <w:left w:val="nil"/>
                    <w:bottom w:val="single" w:color="auto" w:sz="8" w:space="0"/>
                    <w:right w:val="single" w:color="auto" w:sz="8" w:space="0"/>
                  </w:tcBorders>
                  <w:tcMar/>
                </w:tcPr>
                <w:p w:rsidR="7BAEF637" w:rsidP="7BAEF637" w:rsidRDefault="7BAEF637" w14:paraId="552E602A" w14:textId="31054402">
                  <w:pPr>
                    <w:jc w:val="center"/>
                    <w:rPr>
                      <w:rFonts w:ascii="Calibri" w:hAnsi="Calibri" w:eastAsia="Calibri" w:cs="Calibri"/>
                      <w:sz w:val="18"/>
                      <w:szCs w:val="18"/>
                    </w:rPr>
                  </w:pPr>
                </w:p>
              </w:tc>
              <w:tc>
                <w:tcPr>
                  <w:tcW w:w="529" w:type="dxa"/>
                  <w:tcBorders>
                    <w:top w:val="nil"/>
                    <w:left w:val="single" w:color="auto" w:sz="8" w:space="0"/>
                    <w:bottom w:val="single" w:color="auto" w:sz="8" w:space="0"/>
                    <w:right w:val="single" w:color="auto" w:sz="8" w:space="0"/>
                  </w:tcBorders>
                  <w:tcMar/>
                </w:tcPr>
                <w:p w:rsidR="7BAEF637" w:rsidP="7BAEF637" w:rsidRDefault="7BAEF637" w14:paraId="3F98DB90" w14:textId="43931B6B">
                  <w:pPr>
                    <w:jc w:val="center"/>
                    <w:rPr>
                      <w:rFonts w:ascii="Calibri" w:hAnsi="Calibri" w:eastAsia="Calibri" w:cs="Calibri"/>
                      <w:sz w:val="18"/>
                      <w:szCs w:val="18"/>
                    </w:rPr>
                  </w:pPr>
                </w:p>
              </w:tc>
              <w:tc>
                <w:tcPr>
                  <w:tcW w:w="529" w:type="dxa"/>
                  <w:tcBorders>
                    <w:top w:val="nil"/>
                    <w:left w:val="single" w:color="auto" w:sz="8" w:space="0"/>
                    <w:bottom w:val="single" w:color="auto" w:sz="8" w:space="0"/>
                    <w:right w:val="single" w:color="auto" w:sz="8" w:space="0"/>
                  </w:tcBorders>
                  <w:tcMar/>
                </w:tcPr>
                <w:p w:rsidR="7BAEF637" w:rsidP="7BAEF637" w:rsidRDefault="7BAEF637" w14:paraId="4CE58B4F" w14:textId="39BF5DDA">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42A0CF02" w14:textId="77A2989E">
                  <w:pPr>
                    <w:jc w:val="center"/>
                    <w:rPr>
                      <w:rFonts w:ascii="Calibri" w:hAnsi="Calibri" w:eastAsia="Calibri" w:cs="Calibri"/>
                      <w:sz w:val="18"/>
                      <w:szCs w:val="18"/>
                    </w:rPr>
                  </w:pPr>
                </w:p>
              </w:tc>
              <w:tc>
                <w:tcPr>
                  <w:tcW w:w="521" w:type="dxa"/>
                  <w:tcBorders>
                    <w:top w:val="none" w:color="000000" w:themeColor="text1" w:sz="4" w:space="0"/>
                    <w:left w:val="nil"/>
                    <w:bottom w:val="single" w:color="auto" w:sz="8" w:space="0"/>
                    <w:right w:val="single" w:color="auto" w:sz="8" w:space="0"/>
                  </w:tcBorders>
                  <w:tcMar/>
                </w:tcPr>
                <w:p w:rsidR="7BAEF637" w:rsidP="7BAEF637" w:rsidRDefault="7BAEF637" w14:paraId="22C3C82B" w14:textId="4507D74E">
                  <w:pPr>
                    <w:jc w:val="center"/>
                    <w:rPr>
                      <w:rFonts w:ascii="Calibri" w:hAnsi="Calibri" w:eastAsia="Calibri" w:cs="Calibri"/>
                      <w:sz w:val="18"/>
                      <w:szCs w:val="18"/>
                    </w:rPr>
                  </w:pPr>
                </w:p>
              </w:tc>
              <w:tc>
                <w:tcPr>
                  <w:tcW w:w="525" w:type="dxa"/>
                  <w:tcBorders>
                    <w:top w:val="none" w:color="000000" w:themeColor="text1" w:sz="4" w:space="0"/>
                    <w:left w:val="nil"/>
                    <w:bottom w:val="single" w:color="auto" w:sz="8" w:space="0"/>
                    <w:right w:val="single" w:color="auto" w:sz="8" w:space="0"/>
                  </w:tcBorders>
                  <w:tcMar/>
                </w:tcPr>
                <w:p w:rsidR="7BAEF637" w:rsidP="7BAEF637" w:rsidRDefault="7BAEF637" w14:paraId="4B6C9154" w14:textId="6154351B">
                  <w:pPr>
                    <w:jc w:val="center"/>
                    <w:rPr>
                      <w:rFonts w:ascii="Calibri" w:hAnsi="Calibri" w:eastAsia="Calibri" w:cs="Calibri"/>
                      <w:sz w:val="18"/>
                      <w:szCs w:val="18"/>
                    </w:rPr>
                  </w:pPr>
                </w:p>
              </w:tc>
              <w:tc>
                <w:tcPr>
                  <w:tcW w:w="540" w:type="dxa"/>
                  <w:tcBorders>
                    <w:top w:val="none" w:color="000000" w:themeColor="text1" w:sz="4" w:space="0"/>
                    <w:left w:val="nil"/>
                    <w:bottom w:val="single" w:color="auto" w:sz="8" w:space="0"/>
                    <w:right w:val="single" w:color="auto" w:sz="8" w:space="0"/>
                  </w:tcBorders>
                  <w:tcMar/>
                </w:tcPr>
                <w:p w:rsidR="7BAEF637" w:rsidP="7BAEF637" w:rsidRDefault="7BAEF637" w14:paraId="7E63BBD4" w14:textId="5B5765A1">
                  <w:pPr>
                    <w:jc w:val="center"/>
                    <w:rPr>
                      <w:rFonts w:ascii="Calibri" w:hAnsi="Calibri" w:eastAsia="Calibri" w:cs="Calibri"/>
                      <w:sz w:val="18"/>
                      <w:szCs w:val="18"/>
                    </w:rPr>
                  </w:pPr>
                </w:p>
              </w:tc>
              <w:tc>
                <w:tcPr>
                  <w:tcW w:w="525" w:type="dxa"/>
                  <w:tcBorders>
                    <w:top w:val="none" w:color="000000" w:themeColor="text1" w:sz="4" w:space="0"/>
                    <w:left w:val="nil"/>
                    <w:bottom w:val="single" w:color="auto" w:sz="8" w:space="0"/>
                    <w:right w:val="none" w:color="000000" w:themeColor="text1" w:sz="8" w:space="0"/>
                  </w:tcBorders>
                  <w:tcMar/>
                </w:tcPr>
                <w:p w:rsidR="7BAEF637" w:rsidP="7BAEF637" w:rsidRDefault="7BAEF637" w14:paraId="2A7EEAEB" w14:textId="430F1ADC">
                  <w:pPr>
                    <w:jc w:val="center"/>
                    <w:rPr>
                      <w:rFonts w:ascii="Calibri" w:hAnsi="Calibri" w:eastAsia="Calibri" w:cs="Calibri"/>
                      <w:sz w:val="18"/>
                      <w:szCs w:val="18"/>
                    </w:rPr>
                  </w:pPr>
                </w:p>
              </w:tc>
              <w:tc>
                <w:tcPr>
                  <w:tcW w:w="540"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F0"/>
                  <w:tcMar/>
                </w:tcPr>
                <w:p w:rsidR="6D7E51AD" w:rsidP="7BAEF637" w:rsidRDefault="4D1110A0" w14:paraId="5BB55FE0" w14:textId="54767FB9">
                  <w:pPr>
                    <w:jc w:val="center"/>
                    <w:rPr>
                      <w:rFonts w:ascii="Calibri" w:hAnsi="Calibri" w:eastAsia="Calibri" w:cs="Calibri"/>
                      <w:sz w:val="18"/>
                      <w:szCs w:val="18"/>
                    </w:rPr>
                  </w:pPr>
                  <w:r w:rsidRPr="0578A328">
                    <w:rPr>
                      <w:rFonts w:ascii="Calibri" w:hAnsi="Calibri" w:eastAsia="Calibri" w:cs="Calibri"/>
                      <w:sz w:val="18"/>
                      <w:szCs w:val="18"/>
                    </w:rPr>
                    <w:t>CBT</w:t>
                  </w:r>
                </w:p>
              </w:tc>
              <w:tc>
                <w:tcPr>
                  <w:tcW w:w="525"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F0"/>
                  <w:tcMar/>
                </w:tcPr>
                <w:p w:rsidR="7BAEF637" w:rsidP="7BAEF637" w:rsidRDefault="4D1110A0" w14:paraId="28E0557B" w14:textId="114FF1FC">
                  <w:pPr>
                    <w:jc w:val="center"/>
                    <w:rPr>
                      <w:rFonts w:ascii="Calibri" w:hAnsi="Calibri" w:eastAsia="Calibri" w:cs="Calibri"/>
                      <w:sz w:val="18"/>
                      <w:szCs w:val="18"/>
                    </w:rPr>
                  </w:pPr>
                  <w:r w:rsidRPr="0578A328">
                    <w:rPr>
                      <w:rFonts w:ascii="Calibri" w:hAnsi="Calibri" w:eastAsia="Calibri" w:cs="Calibri"/>
                      <w:sz w:val="18"/>
                      <w:szCs w:val="18"/>
                    </w:rPr>
                    <w:t>SST</w:t>
                  </w:r>
                </w:p>
              </w:tc>
              <w:tc>
                <w:tcPr>
                  <w:tcW w:w="540"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F0"/>
                  <w:tcMar/>
                </w:tcPr>
                <w:p w:rsidR="7BAEF637" w:rsidP="7BAEF637" w:rsidRDefault="4D1110A0" w14:paraId="56EB5333" w14:textId="1B871BE6">
                  <w:pPr>
                    <w:jc w:val="center"/>
                    <w:rPr>
                      <w:rFonts w:ascii="Calibri" w:hAnsi="Calibri" w:eastAsia="Calibri" w:cs="Calibri"/>
                      <w:sz w:val="18"/>
                      <w:szCs w:val="18"/>
                    </w:rPr>
                  </w:pPr>
                  <w:r w:rsidRPr="0578A328">
                    <w:rPr>
                      <w:rFonts w:ascii="Calibri" w:hAnsi="Calibri" w:eastAsia="Calibri" w:cs="Calibri"/>
                      <w:sz w:val="18"/>
                      <w:szCs w:val="18"/>
                    </w:rPr>
                    <w:t>CM</w:t>
                  </w:r>
                </w:p>
              </w:tc>
              <w:tc>
                <w:tcPr>
                  <w:tcW w:w="510" w:type="dxa"/>
                  <w:tcBorders>
                    <w:top w:val="none" w:color="000000" w:themeColor="text1" w:sz="4" w:space="0"/>
                    <w:left w:val="none" w:color="000000" w:themeColor="text1" w:sz="4" w:space="0"/>
                    <w:bottom w:val="none" w:color="000000" w:themeColor="text1" w:sz="8" w:space="0"/>
                    <w:right w:val="none" w:color="000000" w:themeColor="text1" w:sz="8" w:space="0"/>
                  </w:tcBorders>
                  <w:shd w:val="clear" w:color="auto" w:fill="00B0F0"/>
                  <w:tcMar/>
                </w:tcPr>
                <w:p w:rsidR="7FE2A3B6" w:rsidP="7BAEF637" w:rsidRDefault="34A06ACC" w14:paraId="051E7484" w14:textId="45E3020E">
                  <w:pPr>
                    <w:jc w:val="center"/>
                    <w:rPr>
                      <w:rFonts w:ascii="Calibri" w:hAnsi="Calibri" w:eastAsia="Calibri" w:cs="Calibri"/>
                      <w:sz w:val="18"/>
                      <w:szCs w:val="18"/>
                    </w:rPr>
                  </w:pPr>
                  <w:r w:rsidRPr="0578A328">
                    <w:rPr>
                      <w:rFonts w:ascii="Calibri" w:hAnsi="Calibri" w:eastAsia="Calibri" w:cs="Calibri"/>
                      <w:sz w:val="18"/>
                      <w:szCs w:val="18"/>
                    </w:rPr>
                    <w:t>R</w:t>
                  </w:r>
                  <w:r w:rsidRPr="0578A328" w:rsidR="19F02AA4">
                    <w:rPr>
                      <w:rFonts w:ascii="Calibri" w:hAnsi="Calibri" w:eastAsia="Calibri" w:cs="Calibri"/>
                      <w:sz w:val="18"/>
                      <w:szCs w:val="18"/>
                    </w:rPr>
                    <w:t>PP</w:t>
                  </w:r>
                </w:p>
              </w:tc>
            </w:tr>
            <w:tr w:rsidR="7BAEF637" w:rsidTr="74718914" w14:paraId="7D1EF235" w14:textId="77777777">
              <w:trPr>
                <w:trHeight w:val="719"/>
              </w:trPr>
              <w:tc>
                <w:tcPr>
                  <w:tcW w:w="1125" w:type="dxa"/>
                  <w:tcBorders>
                    <w:top w:val="single" w:color="auto" w:sz="8" w:space="0"/>
                    <w:left w:val="single" w:color="auto" w:sz="8" w:space="0"/>
                    <w:bottom w:val="single" w:color="auto" w:sz="8" w:space="0"/>
                    <w:right w:val="single" w:color="auto" w:sz="8" w:space="0"/>
                  </w:tcBorders>
                  <w:tcMar/>
                </w:tcPr>
                <w:p w:rsidR="7BAEF637" w:rsidP="7BAEF637" w:rsidRDefault="7BAEF637" w14:paraId="39D87790" w14:textId="16F005A5">
                  <w:pPr>
                    <w:rPr>
                      <w:rFonts w:ascii="Calibri" w:hAnsi="Calibri" w:eastAsia="Calibri" w:cs="Calibri"/>
                      <w:sz w:val="20"/>
                      <w:szCs w:val="20"/>
                    </w:rPr>
                  </w:pPr>
                </w:p>
              </w:tc>
              <w:tc>
                <w:tcPr>
                  <w:tcW w:w="345" w:type="dxa"/>
                  <w:tcBorders>
                    <w:top w:val="nil"/>
                    <w:left w:val="single" w:color="auto" w:sz="8" w:space="0"/>
                    <w:bottom w:val="single" w:color="auto" w:sz="8" w:space="0"/>
                    <w:right w:val="single" w:color="auto" w:sz="8" w:space="0"/>
                  </w:tcBorders>
                  <w:tcMar/>
                </w:tcPr>
                <w:p w:rsidR="7BAEF637" w:rsidP="7BAEF637" w:rsidRDefault="7BAEF637" w14:paraId="4E90F0D9" w14:textId="53596852">
                  <w:pPr>
                    <w:jc w:val="center"/>
                    <w:rPr>
                      <w:rFonts w:ascii="Calibri" w:hAnsi="Calibri" w:eastAsia="Calibri" w:cs="Calibri"/>
                      <w:sz w:val="18"/>
                      <w:szCs w:val="18"/>
                    </w:rPr>
                  </w:pPr>
                </w:p>
              </w:tc>
              <w:tc>
                <w:tcPr>
                  <w:tcW w:w="542" w:type="dxa"/>
                  <w:tcBorders>
                    <w:top w:val="nil"/>
                    <w:left w:val="nil"/>
                    <w:bottom w:val="single" w:color="auto" w:sz="8" w:space="0"/>
                    <w:right w:val="single" w:color="auto" w:sz="8" w:space="0"/>
                  </w:tcBorders>
                  <w:tcMar/>
                </w:tcPr>
                <w:p w:rsidR="7BAEF637" w:rsidP="7BAEF637" w:rsidRDefault="7BAEF637" w14:paraId="1865E4D8" w14:textId="3FD35C0F">
                  <w:pPr>
                    <w:jc w:val="center"/>
                    <w:rPr>
                      <w:rFonts w:ascii="Calibri" w:hAnsi="Calibri" w:eastAsia="Calibri" w:cs="Calibri"/>
                      <w:sz w:val="18"/>
                      <w:szCs w:val="18"/>
                    </w:rPr>
                  </w:pPr>
                </w:p>
              </w:tc>
              <w:tc>
                <w:tcPr>
                  <w:tcW w:w="544" w:type="dxa"/>
                  <w:tcBorders>
                    <w:top w:val="nil"/>
                    <w:left w:val="nil"/>
                    <w:bottom w:val="single" w:color="auto" w:sz="8" w:space="0"/>
                    <w:right w:val="single" w:color="auto" w:sz="8" w:space="0"/>
                  </w:tcBorders>
                  <w:tcMar/>
                </w:tcPr>
                <w:p w:rsidR="7BAEF637" w:rsidP="7BAEF637" w:rsidRDefault="7BAEF637" w14:paraId="748954F4" w14:textId="14CB21A3">
                  <w:pPr>
                    <w:jc w:val="center"/>
                    <w:rPr>
                      <w:rFonts w:ascii="Calibri" w:hAnsi="Calibri" w:eastAsia="Calibri" w:cs="Calibri"/>
                      <w:sz w:val="18"/>
                      <w:szCs w:val="18"/>
                    </w:rPr>
                  </w:pPr>
                </w:p>
              </w:tc>
              <w:tc>
                <w:tcPr>
                  <w:tcW w:w="570" w:type="dxa"/>
                  <w:tcBorders>
                    <w:top w:val="nil"/>
                    <w:left w:val="nil"/>
                    <w:bottom w:val="single" w:color="auto" w:sz="8" w:space="0"/>
                    <w:right w:val="single" w:color="auto" w:sz="8" w:space="0"/>
                  </w:tcBorders>
                  <w:tcMar/>
                </w:tcPr>
                <w:p w:rsidR="7BAEF637" w:rsidP="7BAEF637" w:rsidRDefault="7BAEF637" w14:paraId="5F517D89" w14:textId="62925666">
                  <w:pPr>
                    <w:jc w:val="center"/>
                    <w:rPr>
                      <w:rFonts w:ascii="Calibri" w:hAnsi="Calibri" w:eastAsia="Calibri" w:cs="Calibri"/>
                      <w:sz w:val="18"/>
                      <w:szCs w:val="18"/>
                    </w:rPr>
                  </w:pPr>
                </w:p>
              </w:tc>
              <w:tc>
                <w:tcPr>
                  <w:tcW w:w="435" w:type="dxa"/>
                  <w:tcBorders>
                    <w:top w:val="nil"/>
                    <w:left w:val="nil"/>
                    <w:bottom w:val="single" w:color="auto" w:sz="8" w:space="0"/>
                    <w:right w:val="single" w:color="auto" w:sz="8" w:space="0"/>
                  </w:tcBorders>
                  <w:tcMar/>
                </w:tcPr>
                <w:p w:rsidR="7BAEF637" w:rsidP="7BAEF637" w:rsidRDefault="7BAEF637" w14:paraId="38F5116C" w14:textId="7511DD44">
                  <w:pPr>
                    <w:jc w:val="center"/>
                    <w:rPr>
                      <w:rFonts w:ascii="Calibri" w:hAnsi="Calibri" w:eastAsia="Calibri" w:cs="Calibri"/>
                      <w:sz w:val="18"/>
                      <w:szCs w:val="18"/>
                    </w:rPr>
                  </w:pPr>
                </w:p>
              </w:tc>
              <w:tc>
                <w:tcPr>
                  <w:tcW w:w="531" w:type="dxa"/>
                  <w:tcBorders>
                    <w:top w:val="nil"/>
                    <w:left w:val="nil"/>
                    <w:bottom w:val="single" w:color="auto" w:sz="8" w:space="0"/>
                    <w:right w:val="single" w:color="auto" w:sz="8" w:space="0"/>
                  </w:tcBorders>
                  <w:tcMar/>
                </w:tcPr>
                <w:p w:rsidR="7BAEF637" w:rsidP="7BAEF637" w:rsidRDefault="7BAEF637" w14:paraId="657921D9" w14:textId="222D0678">
                  <w:pPr>
                    <w:jc w:val="center"/>
                    <w:rPr>
                      <w:rFonts w:ascii="Calibri" w:hAnsi="Calibri" w:eastAsia="Calibri" w:cs="Calibri"/>
                      <w:sz w:val="18"/>
                      <w:szCs w:val="18"/>
                    </w:rPr>
                  </w:pPr>
                </w:p>
              </w:tc>
              <w:tc>
                <w:tcPr>
                  <w:tcW w:w="529" w:type="dxa"/>
                  <w:tcBorders>
                    <w:top w:val="nil"/>
                    <w:left w:val="single" w:color="auto" w:sz="8" w:space="0"/>
                    <w:bottom w:val="single" w:color="auto" w:sz="8" w:space="0"/>
                    <w:right w:val="single" w:color="auto" w:sz="8" w:space="0"/>
                  </w:tcBorders>
                  <w:tcMar/>
                </w:tcPr>
                <w:p w:rsidR="7BAEF637" w:rsidP="7BAEF637" w:rsidRDefault="7BAEF637" w14:paraId="629B1CF0" w14:textId="09CDF6A8">
                  <w:pPr>
                    <w:jc w:val="center"/>
                    <w:rPr>
                      <w:rFonts w:ascii="Calibri" w:hAnsi="Calibri" w:eastAsia="Calibri" w:cs="Calibri"/>
                      <w:sz w:val="18"/>
                      <w:szCs w:val="18"/>
                    </w:rPr>
                  </w:pPr>
                </w:p>
              </w:tc>
              <w:tc>
                <w:tcPr>
                  <w:tcW w:w="529" w:type="dxa"/>
                  <w:tcBorders>
                    <w:top w:val="nil"/>
                    <w:left w:val="single" w:color="auto" w:sz="8" w:space="0"/>
                    <w:bottom w:val="single" w:color="auto" w:sz="8" w:space="0"/>
                    <w:right w:val="single" w:color="auto" w:sz="8" w:space="0"/>
                  </w:tcBorders>
                  <w:tcMar/>
                </w:tcPr>
                <w:p w:rsidR="7BAEF637" w:rsidP="7BAEF637" w:rsidRDefault="7BAEF637" w14:paraId="056109D0" w14:textId="1222B2F9">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529F1ED4" w14:textId="50D97056">
                  <w:pPr>
                    <w:jc w:val="center"/>
                    <w:rPr>
                      <w:rFonts w:ascii="Calibri" w:hAnsi="Calibri" w:eastAsia="Calibri" w:cs="Calibri"/>
                      <w:sz w:val="18"/>
                      <w:szCs w:val="18"/>
                    </w:rPr>
                  </w:pPr>
                </w:p>
              </w:tc>
              <w:tc>
                <w:tcPr>
                  <w:tcW w:w="521" w:type="dxa"/>
                  <w:tcBorders>
                    <w:top w:val="nil"/>
                    <w:left w:val="nil"/>
                    <w:bottom w:val="single" w:color="auto" w:sz="8" w:space="0"/>
                    <w:right w:val="single" w:color="auto" w:sz="8" w:space="0"/>
                  </w:tcBorders>
                  <w:tcMar/>
                </w:tcPr>
                <w:p w:rsidR="7BAEF637" w:rsidP="7BAEF637" w:rsidRDefault="7BAEF637" w14:paraId="3AB4D93C" w14:textId="09836F8A">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6FE5664B" w14:textId="11384F7C">
                  <w:pPr>
                    <w:jc w:val="center"/>
                    <w:rPr>
                      <w:rFonts w:ascii="Calibri" w:hAnsi="Calibri" w:eastAsia="Calibri" w:cs="Calibri"/>
                      <w:sz w:val="18"/>
                      <w:szCs w:val="18"/>
                    </w:rPr>
                  </w:pPr>
                </w:p>
              </w:tc>
              <w:tc>
                <w:tcPr>
                  <w:tcW w:w="540" w:type="dxa"/>
                  <w:tcBorders>
                    <w:top w:val="nil"/>
                    <w:left w:val="nil"/>
                    <w:bottom w:val="single" w:color="auto" w:sz="8" w:space="0"/>
                    <w:right w:val="single" w:color="auto" w:sz="8" w:space="0"/>
                  </w:tcBorders>
                  <w:tcMar/>
                </w:tcPr>
                <w:p w:rsidR="7BAEF637" w:rsidP="7BAEF637" w:rsidRDefault="7BAEF637" w14:paraId="728CDCA8" w14:textId="330387ED">
                  <w:pPr>
                    <w:jc w:val="center"/>
                    <w:rPr>
                      <w:rFonts w:ascii="Calibri" w:hAnsi="Calibri" w:eastAsia="Calibri" w:cs="Calibri"/>
                      <w:sz w:val="18"/>
                      <w:szCs w:val="18"/>
                    </w:rPr>
                  </w:pPr>
                </w:p>
              </w:tc>
              <w:tc>
                <w:tcPr>
                  <w:tcW w:w="525" w:type="dxa"/>
                  <w:tcBorders>
                    <w:top w:val="nil"/>
                    <w:left w:val="nil"/>
                    <w:bottom w:val="single" w:color="auto" w:sz="8" w:space="0"/>
                    <w:right w:val="single" w:color="auto" w:sz="8" w:space="0"/>
                  </w:tcBorders>
                  <w:tcMar/>
                </w:tcPr>
                <w:p w:rsidR="7BAEF637" w:rsidP="7BAEF637" w:rsidRDefault="7BAEF637" w14:paraId="17A0D527" w14:textId="58673FF0">
                  <w:pPr>
                    <w:jc w:val="center"/>
                    <w:rPr>
                      <w:rFonts w:ascii="Calibri" w:hAnsi="Calibri" w:eastAsia="Calibri" w:cs="Calibri"/>
                      <w:sz w:val="18"/>
                      <w:szCs w:val="18"/>
                    </w:rPr>
                  </w:pPr>
                </w:p>
              </w:tc>
              <w:tc>
                <w:tcPr>
                  <w:tcW w:w="540" w:type="dxa"/>
                  <w:tcBorders>
                    <w:top w:val="none" w:color="000000" w:themeColor="text1" w:sz="4" w:space="0"/>
                    <w:left w:val="nil"/>
                    <w:bottom w:val="single" w:color="auto" w:sz="8" w:space="0"/>
                    <w:right w:val="single" w:color="auto" w:sz="8" w:space="0"/>
                  </w:tcBorders>
                  <w:tcMar/>
                </w:tcPr>
                <w:p w:rsidR="7BAEF637" w:rsidP="7BAEF637" w:rsidRDefault="7BAEF637" w14:paraId="76324BC8" w14:textId="0082A1B4">
                  <w:pPr>
                    <w:jc w:val="center"/>
                    <w:rPr>
                      <w:rFonts w:ascii="Calibri" w:hAnsi="Calibri" w:eastAsia="Calibri" w:cs="Calibri"/>
                      <w:sz w:val="18"/>
                      <w:szCs w:val="18"/>
                    </w:rPr>
                  </w:pPr>
                </w:p>
              </w:tc>
              <w:tc>
                <w:tcPr>
                  <w:tcW w:w="525" w:type="dxa"/>
                  <w:tcBorders>
                    <w:top w:val="none" w:color="000000" w:themeColor="text1" w:sz="4" w:space="0"/>
                    <w:left w:val="nil"/>
                    <w:bottom w:val="single" w:color="auto" w:sz="8" w:space="0"/>
                    <w:right w:val="single" w:color="auto" w:sz="8" w:space="0"/>
                  </w:tcBorders>
                  <w:tcMar/>
                </w:tcPr>
                <w:p w:rsidR="7BAEF637" w:rsidP="7BAEF637" w:rsidRDefault="7BAEF637" w14:paraId="7D086CE6" w14:textId="081B76F8">
                  <w:pPr>
                    <w:jc w:val="center"/>
                    <w:rPr>
                      <w:rFonts w:ascii="Calibri" w:hAnsi="Calibri" w:eastAsia="Calibri" w:cs="Calibri"/>
                      <w:sz w:val="18"/>
                      <w:szCs w:val="18"/>
                    </w:rPr>
                  </w:pPr>
                </w:p>
              </w:tc>
              <w:tc>
                <w:tcPr>
                  <w:tcW w:w="540" w:type="dxa"/>
                  <w:tcBorders>
                    <w:top w:val="none" w:color="000000" w:themeColor="text1" w:sz="4" w:space="0"/>
                    <w:left w:val="nil"/>
                    <w:bottom w:val="single" w:color="auto" w:sz="8" w:space="0"/>
                    <w:right w:val="single" w:color="auto" w:sz="8" w:space="0"/>
                  </w:tcBorders>
                  <w:tcMar/>
                </w:tcPr>
                <w:p w:rsidR="7BAEF637" w:rsidP="7BAEF637" w:rsidRDefault="7BAEF637" w14:paraId="5B5C3A3C" w14:textId="34DD8645">
                  <w:pPr>
                    <w:jc w:val="center"/>
                    <w:rPr>
                      <w:rFonts w:ascii="Calibri" w:hAnsi="Calibri" w:eastAsia="Calibri" w:cs="Calibri"/>
                      <w:sz w:val="18"/>
                      <w:szCs w:val="18"/>
                    </w:rPr>
                  </w:pPr>
                </w:p>
              </w:tc>
              <w:tc>
                <w:tcPr>
                  <w:tcW w:w="510" w:type="dxa"/>
                  <w:tcBorders>
                    <w:top w:val="none" w:color="000000" w:themeColor="text1" w:sz="4" w:space="0"/>
                    <w:left w:val="nil"/>
                    <w:bottom w:val="single" w:color="auto" w:sz="8" w:space="0"/>
                    <w:right w:val="single" w:color="auto" w:sz="8" w:space="0"/>
                  </w:tcBorders>
                  <w:tcMar/>
                </w:tcPr>
                <w:p w:rsidR="7BAEF637" w:rsidP="7BAEF637" w:rsidRDefault="7BAEF637" w14:paraId="1C8508F9" w14:textId="354809FB">
                  <w:pPr>
                    <w:jc w:val="center"/>
                    <w:rPr>
                      <w:rFonts w:ascii="Calibri" w:hAnsi="Calibri" w:eastAsia="Calibri" w:cs="Calibri"/>
                      <w:sz w:val="18"/>
                      <w:szCs w:val="18"/>
                    </w:rPr>
                  </w:pPr>
                </w:p>
              </w:tc>
            </w:tr>
          </w:tbl>
          <w:p w:rsidR="7BAEF637" w:rsidRDefault="7BAEF637" w14:paraId="42998FCC" w14:textId="65A4D719"/>
          <w:p w:rsidR="006D0BA6" w:rsidP="0578A328" w:rsidRDefault="7ACF4197" w14:paraId="6027A169" w14:textId="5425B46E">
            <w:pPr>
              <w:pStyle w:val="ListParagraph"/>
              <w:ind w:left="0"/>
              <w:rPr>
                <w:rFonts w:ascii="Arial" w:hAnsi="Arial" w:cs="Arial"/>
                <w:i/>
                <w:iCs/>
              </w:rPr>
            </w:pPr>
            <w:r w:rsidRPr="0578A328">
              <w:rPr>
                <w:rFonts w:ascii="Arial" w:hAnsi="Arial" w:cs="Arial"/>
                <w:i/>
                <w:iCs/>
              </w:rPr>
              <w:t xml:space="preserve">(MH) Mental Health </w:t>
            </w:r>
          </w:p>
          <w:p w:rsidRPr="00210378" w:rsidR="008C1B8E" w:rsidP="0578A328" w:rsidRDefault="7ACF4197" w14:paraId="6227F011" w14:textId="7FC2CA3D">
            <w:pPr>
              <w:pStyle w:val="ListParagraph"/>
              <w:ind w:left="0"/>
              <w:rPr>
                <w:rFonts w:ascii="Arial" w:hAnsi="Arial" w:cs="Arial"/>
                <w:i/>
                <w:iCs/>
              </w:rPr>
            </w:pPr>
            <w:r w:rsidRPr="0578A328">
              <w:rPr>
                <w:rFonts w:ascii="Arial" w:hAnsi="Arial" w:cs="Arial"/>
                <w:i/>
                <w:iCs/>
              </w:rPr>
              <w:t xml:space="preserve">(CBT) Cognitive-behavioural </w:t>
            </w:r>
            <w:r w:rsidRPr="0578A328" w:rsidR="17D61B60">
              <w:rPr>
                <w:rFonts w:ascii="Arial" w:hAnsi="Arial" w:cs="Arial"/>
                <w:i/>
                <w:iCs/>
              </w:rPr>
              <w:t>T</w:t>
            </w:r>
            <w:r w:rsidRPr="0578A328">
              <w:rPr>
                <w:rFonts w:ascii="Arial" w:hAnsi="Arial" w:cs="Arial"/>
                <w:i/>
                <w:iCs/>
              </w:rPr>
              <w:t>herapy</w:t>
            </w:r>
          </w:p>
          <w:p w:rsidRPr="00210378" w:rsidR="008C1B8E" w:rsidP="0578A328" w:rsidRDefault="7ACF4197" w14:paraId="78FBD1CB" w14:textId="262A01D4">
            <w:pPr>
              <w:pStyle w:val="ListParagraph"/>
              <w:ind w:left="0"/>
              <w:rPr>
                <w:rFonts w:ascii="Arial" w:hAnsi="Arial" w:cs="Arial"/>
                <w:i/>
                <w:iCs/>
              </w:rPr>
            </w:pPr>
            <w:r w:rsidRPr="0578A328">
              <w:rPr>
                <w:rFonts w:ascii="Arial" w:hAnsi="Arial" w:cs="Arial"/>
                <w:i/>
                <w:iCs/>
              </w:rPr>
              <w:t>(AM) Anger management</w:t>
            </w:r>
          </w:p>
          <w:p w:rsidRPr="00210378" w:rsidR="008C1B8E" w:rsidP="0578A328" w:rsidRDefault="7ACF4197" w14:paraId="4C6A988E" w14:textId="1EA58421">
            <w:pPr>
              <w:pStyle w:val="ListParagraph"/>
              <w:ind w:left="0"/>
              <w:rPr>
                <w:rFonts w:ascii="Arial" w:hAnsi="Arial" w:cs="Arial"/>
                <w:i/>
                <w:iCs/>
              </w:rPr>
            </w:pPr>
            <w:r w:rsidRPr="0578A328">
              <w:rPr>
                <w:rFonts w:ascii="Arial" w:hAnsi="Arial" w:cs="Arial"/>
                <w:i/>
                <w:iCs/>
              </w:rPr>
              <w:t>(CM) Coping Mechanisms</w:t>
            </w:r>
          </w:p>
          <w:p w:rsidRPr="00210378" w:rsidR="008C1B8E" w:rsidP="0578A328" w:rsidRDefault="7ACF4197" w14:paraId="195A53C0" w14:textId="44B4C50B">
            <w:pPr>
              <w:pStyle w:val="ListParagraph"/>
              <w:ind w:left="0"/>
              <w:rPr>
                <w:rFonts w:ascii="Arial" w:hAnsi="Arial" w:cs="Arial"/>
                <w:i/>
                <w:iCs/>
              </w:rPr>
            </w:pPr>
            <w:r w:rsidRPr="74718914" w:rsidR="7ACF4197">
              <w:rPr>
                <w:rFonts w:ascii="Arial" w:hAnsi="Arial" w:cs="Arial"/>
                <w:i w:val="1"/>
                <w:iCs w:val="1"/>
              </w:rPr>
              <w:t xml:space="preserve">(SST) Social </w:t>
            </w:r>
            <w:r w:rsidRPr="74718914" w:rsidR="1A1ECB9C">
              <w:rPr>
                <w:rFonts w:ascii="Arial" w:hAnsi="Arial" w:cs="Arial"/>
                <w:i w:val="1"/>
                <w:iCs w:val="1"/>
              </w:rPr>
              <w:t>Skills Training</w:t>
            </w:r>
          </w:p>
          <w:p w:rsidR="414FC759" w:rsidP="74718914" w:rsidRDefault="414FC759" w14:paraId="714D88A9" w14:textId="579D9700">
            <w:pPr>
              <w:pStyle w:val="ListParagraph"/>
              <w:ind w:left="0"/>
              <w:rPr>
                <w:rFonts w:ascii="Arial" w:hAnsi="Arial" w:cs="Arial"/>
                <w:i w:val="1"/>
                <w:iCs w:val="1"/>
              </w:rPr>
            </w:pPr>
            <w:r w:rsidRPr="74718914" w:rsidR="414FC759">
              <w:rPr>
                <w:rFonts w:ascii="Arial" w:hAnsi="Arial" w:cs="Arial"/>
                <w:i w:val="1"/>
                <w:iCs w:val="1"/>
              </w:rPr>
              <w:t>(VIS) Victim Impact Statement</w:t>
            </w:r>
          </w:p>
          <w:p w:rsidR="7ACF4197" w:rsidP="74718914" w:rsidRDefault="7ACF4197" w14:paraId="34D7372C" w14:textId="44056AEE">
            <w:pPr>
              <w:pStyle w:val="ListParagraph"/>
              <w:ind w:left="0"/>
              <w:rPr>
                <w:rFonts w:ascii="Arial" w:hAnsi="Arial" w:cs="Arial"/>
                <w:i w:val="1"/>
                <w:iCs w:val="1"/>
              </w:rPr>
            </w:pPr>
            <w:r w:rsidRPr="74718914" w:rsidR="7ACF4197">
              <w:rPr>
                <w:rFonts w:ascii="Arial" w:hAnsi="Arial" w:cs="Arial"/>
                <w:i w:val="1"/>
                <w:iCs w:val="1"/>
              </w:rPr>
              <w:t>(</w:t>
            </w:r>
            <w:r w:rsidRPr="74718914" w:rsidR="7ACF4197">
              <w:rPr>
                <w:rFonts w:ascii="Arial" w:hAnsi="Arial" w:cs="Arial"/>
                <w:i w:val="1"/>
                <w:iCs w:val="1"/>
              </w:rPr>
              <w:t xml:space="preserve">GS) Goal </w:t>
            </w:r>
            <w:r w:rsidRPr="74718914" w:rsidR="2CE06C86">
              <w:rPr>
                <w:rFonts w:ascii="Arial" w:hAnsi="Arial" w:cs="Arial"/>
                <w:i w:val="1"/>
                <w:iCs w:val="1"/>
              </w:rPr>
              <w:t>S</w:t>
            </w:r>
            <w:r w:rsidRPr="74718914" w:rsidR="7ACF4197">
              <w:rPr>
                <w:rFonts w:ascii="Arial" w:hAnsi="Arial" w:cs="Arial"/>
                <w:i w:val="1"/>
                <w:iCs w:val="1"/>
              </w:rPr>
              <w:t>ettings</w:t>
            </w:r>
          </w:p>
          <w:p w:rsidRPr="00210378" w:rsidR="008C1B8E" w:rsidP="0578A328" w:rsidRDefault="7ACF4197" w14:paraId="51B75E55" w14:textId="7CE77166">
            <w:pPr>
              <w:pStyle w:val="ListParagraph"/>
              <w:ind w:left="0"/>
              <w:rPr>
                <w:rFonts w:ascii="Arial" w:hAnsi="Arial" w:cs="Arial"/>
                <w:i/>
                <w:iCs/>
              </w:rPr>
            </w:pPr>
            <w:r w:rsidRPr="0578A328">
              <w:rPr>
                <w:rFonts w:ascii="Arial" w:hAnsi="Arial" w:cs="Arial"/>
                <w:i/>
                <w:iCs/>
              </w:rPr>
              <w:t>(SA) Self-assessments</w:t>
            </w:r>
          </w:p>
          <w:p w:rsidRPr="00210378" w:rsidR="008C1B8E" w:rsidP="0578A328" w:rsidRDefault="2CC4CEBA" w14:paraId="3B9D85D3" w14:textId="3B1164F6">
            <w:pPr>
              <w:pStyle w:val="ListParagraph"/>
              <w:ind w:left="0"/>
              <w:rPr>
                <w:rFonts w:ascii="Arial" w:hAnsi="Arial" w:cs="Arial"/>
                <w:i/>
                <w:iCs/>
              </w:rPr>
            </w:pPr>
            <w:r w:rsidRPr="0578A328">
              <w:rPr>
                <w:rFonts w:ascii="Arial" w:hAnsi="Arial" w:cs="Arial"/>
                <w:i/>
                <w:iCs/>
              </w:rPr>
              <w:t>(</w:t>
            </w:r>
            <w:r w:rsidRPr="0578A328" w:rsidR="16C55996">
              <w:rPr>
                <w:rFonts w:ascii="Arial" w:hAnsi="Arial" w:cs="Arial"/>
                <w:i/>
                <w:iCs/>
              </w:rPr>
              <w:t>R</w:t>
            </w:r>
            <w:r w:rsidRPr="0578A328">
              <w:rPr>
                <w:rFonts w:ascii="Arial" w:hAnsi="Arial" w:cs="Arial"/>
                <w:i/>
                <w:iCs/>
              </w:rPr>
              <w:t>PP) Relapse prevention plan</w:t>
            </w:r>
          </w:p>
        </w:tc>
      </w:tr>
      <w:tr w:rsidRPr="00210378" w:rsidR="00AC16C0" w:rsidTr="74718914" w14:paraId="6B79BC24" w14:textId="77777777">
        <w:trPr>
          <w:trHeight w:val="4650"/>
        </w:trPr>
        <w:tc>
          <w:tcPr>
            <w:tcW w:w="10110" w:type="dxa"/>
            <w:shd w:val="clear" w:color="auto" w:fill="auto"/>
            <w:tcMar/>
          </w:tcPr>
          <w:p w:rsidR="00AC16C0" w:rsidP="0578A328" w:rsidRDefault="4704322B" w14:paraId="6A9C456F" w14:textId="28380019">
            <w:pPr>
              <w:pStyle w:val="ListParagraph"/>
              <w:ind w:left="0"/>
              <w:jc w:val="center"/>
              <w:rPr>
                <w:rFonts w:ascii="Arial" w:hAnsi="Arial" w:cs="Arial"/>
                <w:b/>
                <w:bCs/>
              </w:rPr>
            </w:pPr>
            <w:r w:rsidRPr="0578A328">
              <w:rPr>
                <w:rFonts w:ascii="Arial" w:hAnsi="Arial" w:cs="Arial"/>
                <w:b/>
                <w:bCs/>
              </w:rPr>
              <w:t>R</w:t>
            </w:r>
            <w:r w:rsidRPr="0578A328" w:rsidR="63AE8F10">
              <w:rPr>
                <w:rFonts w:ascii="Arial" w:hAnsi="Arial" w:cs="Arial"/>
                <w:b/>
                <w:bCs/>
              </w:rPr>
              <w:t xml:space="preserve">eferences </w:t>
            </w:r>
          </w:p>
          <w:p w:rsidR="00C97318" w:rsidP="00AC16C0" w:rsidRDefault="00C97318" w14:paraId="082094BC" w14:textId="77777777">
            <w:pPr>
              <w:pStyle w:val="ListParagraph"/>
              <w:ind w:left="0"/>
              <w:rPr>
                <w:rFonts w:ascii="Arial" w:hAnsi="Arial" w:cs="Arial"/>
                <w:b/>
              </w:rPr>
            </w:pPr>
          </w:p>
          <w:p w:rsidR="51F291FF" w:rsidP="0578A328" w:rsidRDefault="51F291FF" w14:paraId="6777AFC2" w14:textId="1BF6AB32">
            <w:pPr>
              <w:ind w:left="450" w:hanging="450"/>
              <w:rPr>
                <w:color w:val="000000" w:themeColor="text1"/>
              </w:rPr>
            </w:pPr>
            <w:r w:rsidRPr="0578A328">
              <w:rPr>
                <w:color w:val="000000" w:themeColor="text1"/>
              </w:rPr>
              <w:t>Aguilar Ruiz, R., &amp; Pereda, N. (2022). Exposure to Family Violence and Risk Factors for Recidivism in Juvenile Offenders. Victims &amp; Offenders, 17(2), 219-237. 10.1080/15564886.2021.1888168</w:t>
            </w:r>
          </w:p>
          <w:p w:rsidR="0DFC6EB1" w:rsidP="0578A328" w:rsidRDefault="0DFC6EB1" w14:paraId="3EFD0AED" w14:textId="536CE465">
            <w:pPr>
              <w:ind w:left="450" w:hanging="450"/>
              <w:rPr>
                <w:color w:val="000000" w:themeColor="text1"/>
              </w:rPr>
            </w:pPr>
            <w:r w:rsidRPr="0578A328">
              <w:rPr>
                <w:color w:val="000000" w:themeColor="text1"/>
              </w:rPr>
              <w:t>Bandura, A. (1977). Social Learning Theory. Englewood Cliffs, NJ: Prentice-Hall.</w:t>
            </w:r>
          </w:p>
          <w:p w:rsidRPr="00C97318" w:rsidR="00C97318" w:rsidP="5B583937" w:rsidRDefault="2443013D" w14:paraId="2C10F0FB" w14:textId="5958FD32">
            <w:pPr>
              <w:ind w:left="450" w:hanging="450"/>
            </w:pPr>
            <w:r w:rsidRPr="5B583937">
              <w:rPr>
                <w:color w:val="000000" w:themeColor="text1"/>
              </w:rPr>
              <w:t xml:space="preserve">Borum, R., Lodewijks, H. P., Bartel, P. A., &amp; Forth, A. E. (2020). The structured assessment of violence risk in youth (SAVRY). </w:t>
            </w:r>
            <w:r w:rsidRPr="5B583937">
              <w:rPr>
                <w:i/>
                <w:iCs/>
                <w:color w:val="000000" w:themeColor="text1"/>
              </w:rPr>
              <w:t>Handbook of violence risk assessment</w:t>
            </w:r>
            <w:r w:rsidRPr="5B583937">
              <w:rPr>
                <w:color w:val="000000" w:themeColor="text1"/>
              </w:rPr>
              <w:t xml:space="preserve"> (pp. 438-461). Routledge. </w:t>
            </w:r>
          </w:p>
          <w:p w:rsidRPr="00C97318" w:rsidR="00C97318" w:rsidP="5B583937" w:rsidRDefault="6B825009" w14:paraId="43C2B64E" w14:textId="24485023">
            <w:pPr>
              <w:ind w:left="450" w:hanging="450"/>
            </w:pPr>
            <w:r w:rsidRPr="0578A328">
              <w:rPr>
                <w:color w:val="000000" w:themeColor="text1"/>
              </w:rPr>
              <w:t>Carl, L. C., Schmucker, M., &amp; Lösel, F. (2020). Predicting attrition and engagement in the treatment of young offenders.</w:t>
            </w:r>
            <w:r w:rsidRPr="0578A328">
              <w:rPr>
                <w:i/>
                <w:iCs/>
                <w:color w:val="000000" w:themeColor="text1"/>
              </w:rPr>
              <w:t xml:space="preserve"> International Journal of Offender Therapy and Comparative Criminology, 64</w:t>
            </w:r>
            <w:r w:rsidRPr="0578A328">
              <w:rPr>
                <w:color w:val="000000" w:themeColor="text1"/>
              </w:rPr>
              <w:t xml:space="preserve">(4), 355-374. </w:t>
            </w:r>
          </w:p>
          <w:p w:rsidR="1A09AF2F" w:rsidP="0578A328" w:rsidRDefault="1A09AF2F" w14:paraId="6FCD03C4" w14:textId="1C53D3E3">
            <w:pPr>
              <w:ind w:left="450" w:hanging="450"/>
              <w:rPr>
                <w:color w:val="000000" w:themeColor="text1"/>
              </w:rPr>
            </w:pPr>
            <w:r w:rsidRPr="0578A328">
              <w:rPr>
                <w:color w:val="000000" w:themeColor="text1"/>
              </w:rPr>
              <w:t>Cénat, J. M., Hébert, M., Blais, M., Guerrier, M., &amp; Lavoie, F. (2015). Delinquent behavior among students exposed to family violence in Québec schools. Adolescencia e Saude, 12(3), 43–52. http:// www.ncbi.nlm.nih.gov/pmc/articles/PMC5247262/</w:t>
            </w:r>
          </w:p>
          <w:p w:rsidRPr="00C97318" w:rsidR="00C97318" w:rsidP="5B583937" w:rsidRDefault="2443013D" w14:paraId="152AD851" w14:textId="22C27226">
            <w:pPr>
              <w:ind w:left="450" w:hanging="450"/>
            </w:pPr>
            <w:r w:rsidRPr="74718914" w:rsidR="2443013D">
              <w:rPr>
                <w:color w:val="000000" w:themeColor="text1" w:themeTint="FF" w:themeShade="FF"/>
              </w:rPr>
              <w:t>Cho, M., Haight, W., Choi, W. S., Hong, S., &amp; Piescher, K. (2019). A prospective, longitudinal study of risk factors for early onset of delinquency among maltreated youth.</w:t>
            </w:r>
            <w:r w:rsidRPr="74718914" w:rsidR="2443013D">
              <w:rPr>
                <w:i w:val="1"/>
                <w:iCs w:val="1"/>
                <w:color w:val="000000" w:themeColor="text1" w:themeTint="FF" w:themeShade="FF"/>
              </w:rPr>
              <w:t xml:space="preserve"> Children and Youth Services Review, 102</w:t>
            </w:r>
            <w:r w:rsidRPr="74718914" w:rsidR="2443013D">
              <w:rPr>
                <w:color w:val="000000" w:themeColor="text1" w:themeTint="FF" w:themeShade="FF"/>
              </w:rPr>
              <w:t>, 222-230. 10.1016/j.childyouth.2019.05.023</w:t>
            </w:r>
          </w:p>
          <w:p w:rsidR="73336B8D" w:rsidP="74718914" w:rsidRDefault="73336B8D" w14:paraId="11A5A6D8" w14:textId="01790BAB">
            <w:pPr>
              <w:ind w:left="450" w:hanging="450"/>
              <w:rPr>
                <w:color w:val="000000" w:themeColor="text1" w:themeTint="FF" w:themeShade="FF"/>
              </w:rPr>
            </w:pPr>
            <w:r w:rsidRPr="74718914" w:rsidR="73336B8D">
              <w:rPr>
                <w:color w:val="000000" w:themeColor="text1" w:themeTint="FF" w:themeShade="FF"/>
              </w:rPr>
              <w:t>Farrokhi, B. (2021). Facilitation of Change Among Offenders with Meaning Making and Self-Transcendence (Doctoral dissertation, Alliant International University).</w:t>
            </w:r>
          </w:p>
          <w:p w:rsidRPr="00C97318" w:rsidR="00C97318" w:rsidP="5B583937" w:rsidRDefault="2443013D" w14:paraId="1FD80CCE" w14:textId="79BCDD42">
            <w:pPr>
              <w:ind w:left="450" w:hanging="450"/>
            </w:pPr>
            <w:r w:rsidRPr="5B583937">
              <w:rPr>
                <w:color w:val="000000" w:themeColor="text1"/>
              </w:rPr>
              <w:lastRenderedPageBreak/>
              <w:t xml:space="preserve">Fox, B. H., Perez, N., Cass, E., Baglivio, M. T., &amp; Epps, N. (2015). Trauma changes everything: Examining the relationship between adverse childhood experiences and serious, </w:t>
            </w:r>
            <w:proofErr w:type="gramStart"/>
            <w:r w:rsidRPr="5B583937">
              <w:rPr>
                <w:color w:val="000000" w:themeColor="text1"/>
              </w:rPr>
              <w:t>violent</w:t>
            </w:r>
            <w:proofErr w:type="gramEnd"/>
            <w:r w:rsidRPr="5B583937">
              <w:rPr>
                <w:color w:val="000000" w:themeColor="text1"/>
              </w:rPr>
              <w:t xml:space="preserve"> and chronic juvenile offenders.</w:t>
            </w:r>
            <w:r w:rsidRPr="5B583937">
              <w:rPr>
                <w:i/>
                <w:iCs/>
                <w:color w:val="000000" w:themeColor="text1"/>
              </w:rPr>
              <w:t xml:space="preserve"> Child Abuse &amp; Neglect, 46</w:t>
            </w:r>
            <w:r w:rsidRPr="5B583937">
              <w:rPr>
                <w:color w:val="000000" w:themeColor="text1"/>
              </w:rPr>
              <w:t xml:space="preserve">, 163-173. </w:t>
            </w:r>
          </w:p>
          <w:p w:rsidRPr="00C97318" w:rsidR="00C97318" w:rsidP="5B583937" w:rsidRDefault="2443013D" w14:paraId="4BDDA539" w14:textId="664A7F2B">
            <w:pPr>
              <w:ind w:left="450" w:hanging="450"/>
            </w:pPr>
            <w:r w:rsidRPr="5B583937">
              <w:rPr>
                <w:color w:val="000000" w:themeColor="text1"/>
              </w:rPr>
              <w:t>Gaffney, H., Farrington, D. P., &amp; White, H. (2021). Cognitive Behavioural Therapy.</w:t>
            </w:r>
          </w:p>
          <w:p w:rsidRPr="00C97318" w:rsidR="00C97318" w:rsidP="5B583937" w:rsidRDefault="6B825009" w14:paraId="702D3ED3" w14:textId="6F9A233F">
            <w:pPr>
              <w:ind w:left="450" w:hanging="450"/>
            </w:pPr>
            <w:r w:rsidRPr="0578A328">
              <w:rPr>
                <w:color w:val="000000" w:themeColor="text1"/>
              </w:rPr>
              <w:t>George, B. (2016). No title.</w:t>
            </w:r>
            <w:r w:rsidRPr="0578A328">
              <w:rPr>
                <w:i/>
                <w:iCs/>
                <w:color w:val="000000" w:themeColor="text1"/>
              </w:rPr>
              <w:t xml:space="preserve"> Models of Offender Rehabilitation: A Comparison of the Risk, Need, Responsivity Model and the Good Lives Model, </w:t>
            </w:r>
          </w:p>
          <w:p w:rsidR="3968CE73" w:rsidP="0578A328" w:rsidRDefault="3968CE73" w14:paraId="10FF5A2A" w14:textId="1F5EFAD4">
            <w:pPr>
              <w:ind w:left="450" w:hanging="450"/>
              <w:rPr>
                <w:color w:val="000000" w:themeColor="text1"/>
              </w:rPr>
            </w:pPr>
            <w:r w:rsidRPr="0578A328">
              <w:rPr>
                <w:color w:val="000000" w:themeColor="text1"/>
              </w:rPr>
              <w:t>Goldstein, A. P., &amp; Glick, B. (1987). Aggression Replacement Training: A comprehensive intervention for aggressive youth. Champaign, IL: Research Press.</w:t>
            </w:r>
          </w:p>
          <w:p w:rsidR="26130789" w:rsidP="0578A328" w:rsidRDefault="26130789" w14:paraId="164E980D" w14:textId="66681EFC">
            <w:pPr>
              <w:ind w:left="450" w:hanging="450"/>
              <w:rPr>
                <w:color w:val="000000" w:themeColor="text1"/>
              </w:rPr>
            </w:pPr>
            <w:r w:rsidRPr="74718914" w:rsidR="26130789">
              <w:rPr>
                <w:color w:val="000000" w:themeColor="text1" w:themeTint="FF" w:themeShade="FF"/>
              </w:rPr>
              <w:t>Hoge, R., Vicent, G., Guy, L., &amp; Redondo, S. (2015). Predicción de riesgo y evaluación de necesidades de intervención con delincuentes jóvenes [Risk prediction and assessment of intervention needs with juvenile delinquents]. Revista Española De Investigación Criminológica, 13, 1–40. https://doi. org/10.46381/reic.v13i0.131</w:t>
            </w:r>
          </w:p>
          <w:p w:rsidR="3D6FB6E8" w:rsidP="74718914" w:rsidRDefault="3D6FB6E8" w14:paraId="1B5A49FE" w14:textId="3B8ECA97">
            <w:pPr>
              <w:ind w:left="450" w:hanging="450"/>
              <w:rPr>
                <w:color w:val="000000" w:themeColor="text1" w:themeTint="FF" w:themeShade="FF"/>
              </w:rPr>
            </w:pPr>
            <w:r w:rsidRPr="74718914" w:rsidR="3D6FB6E8">
              <w:rPr>
                <w:color w:val="000000" w:themeColor="text1" w:themeTint="FF" w:themeShade="FF"/>
              </w:rPr>
              <w:t>Johnson, J. G. (2022). A Comparative Study of Victim and Offenders’ Perceptions Following Criminal Trial and Participation in a Post-Conviction Victim Offender Dialogue (Doctoral dissertation, California State University, Sacramento).</w:t>
            </w:r>
          </w:p>
          <w:p w:rsidRPr="00C97318" w:rsidR="00C97318" w:rsidP="5B583937" w:rsidRDefault="2443013D" w14:paraId="2A1DA249" w14:textId="0CF0ACD8">
            <w:pPr>
              <w:ind w:left="450" w:hanging="450"/>
            </w:pPr>
            <w:r w:rsidRPr="5B583937">
              <w:rPr>
                <w:color w:val="000000" w:themeColor="text1"/>
              </w:rPr>
              <w:t>Menon, S. E., &amp; Cheung, M. (2018). Desistance-focused treatment and asset-based programming for juvenile offender reintegration: A review of research evidence.</w:t>
            </w:r>
            <w:r w:rsidRPr="5B583937">
              <w:rPr>
                <w:i/>
                <w:iCs/>
                <w:color w:val="000000" w:themeColor="text1"/>
              </w:rPr>
              <w:t xml:space="preserve"> Child and Adolescent Social Work Journal, 35</w:t>
            </w:r>
            <w:r w:rsidRPr="5B583937">
              <w:rPr>
                <w:color w:val="000000" w:themeColor="text1"/>
              </w:rPr>
              <w:t xml:space="preserve">, 459-476. </w:t>
            </w:r>
          </w:p>
          <w:p w:rsidRPr="00C97318" w:rsidR="00C97318" w:rsidP="5B583937" w:rsidRDefault="2443013D" w14:paraId="6347031A" w14:textId="1C158736">
            <w:pPr>
              <w:ind w:left="450" w:hanging="450"/>
            </w:pPr>
            <w:r w:rsidRPr="5B583937">
              <w:rPr>
                <w:color w:val="000000" w:themeColor="text1"/>
              </w:rPr>
              <w:t>Moore, K. A., &amp; N Ramirez, A. (2016). Adverse childhood experience and adolescent well-being: Do protective factors matter?</w:t>
            </w:r>
            <w:r w:rsidRPr="5B583937">
              <w:rPr>
                <w:i/>
                <w:iCs/>
                <w:color w:val="000000" w:themeColor="text1"/>
              </w:rPr>
              <w:t xml:space="preserve"> Child Indicators Research, 9</w:t>
            </w:r>
            <w:r w:rsidRPr="5B583937">
              <w:rPr>
                <w:color w:val="000000" w:themeColor="text1"/>
              </w:rPr>
              <w:t xml:space="preserve">, 299-316. </w:t>
            </w:r>
          </w:p>
          <w:p w:rsidRPr="00C97318" w:rsidR="00C97318" w:rsidP="5B583937" w:rsidRDefault="2443013D" w14:paraId="45613057" w14:textId="74C7A5F0">
            <w:pPr>
              <w:ind w:left="450" w:hanging="450"/>
            </w:pPr>
            <w:r w:rsidRPr="74718914" w:rsidR="2443013D">
              <w:rPr>
                <w:color w:val="000000" w:themeColor="text1" w:themeTint="FF" w:themeShade="FF"/>
              </w:rPr>
              <w:t>Mulvey, E. P. (2004). Introduction: Pathways to Desistance Study.</w:t>
            </w:r>
            <w:r w:rsidRPr="74718914" w:rsidR="2443013D">
              <w:rPr>
                <w:i w:val="1"/>
                <w:iCs w:val="1"/>
                <w:color w:val="000000" w:themeColor="text1" w:themeTint="FF" w:themeShade="FF"/>
              </w:rPr>
              <w:t xml:space="preserve"> Youth Violence and Juvenile Justice, </w:t>
            </w:r>
          </w:p>
          <w:p w:rsidR="395EEE33" w:rsidP="74718914" w:rsidRDefault="395EEE33" w14:paraId="2825068D" w14:textId="5C14F8AE">
            <w:pPr>
              <w:ind w:left="450" w:hanging="450"/>
              <w:rPr>
                <w:color w:val="000000" w:themeColor="text1" w:themeTint="FF" w:themeShade="FF"/>
              </w:rPr>
            </w:pPr>
            <w:r w:rsidRPr="74718914" w:rsidR="395EEE33">
              <w:rPr>
                <w:color w:val="000000" w:themeColor="text1" w:themeTint="FF" w:themeShade="FF"/>
              </w:rPr>
              <w:t>Mundy, H. M. (2020). Forgiven, forgotten? Rethinking victim impact statements for an era of decarceration. UCLA L. Rev. Discourse, 68, 301.</w:t>
            </w:r>
          </w:p>
          <w:p w:rsidRPr="00C97318" w:rsidR="00C97318" w:rsidP="5B583937" w:rsidRDefault="2443013D" w14:paraId="317BB53C" w14:textId="5A1DB2F8">
            <w:pPr>
              <w:ind w:left="450" w:hanging="450"/>
            </w:pPr>
            <w:r w:rsidRPr="74718914" w:rsidR="2443013D">
              <w:rPr>
                <w:color w:val="000000" w:themeColor="text1" w:themeTint="FF" w:themeShade="FF"/>
              </w:rPr>
              <w:t>Skewes, M. C., Hallum‐Montes, R., Gardner, S. A., Blume, A. W., Ricker, A., &amp; FireMoon, P. (2019). Partnering with Native communities to develop a culturally grounded intervention for substance use disorder.</w:t>
            </w:r>
            <w:r w:rsidRPr="74718914" w:rsidR="2443013D">
              <w:rPr>
                <w:i w:val="1"/>
                <w:iCs w:val="1"/>
                <w:color w:val="000000" w:themeColor="text1" w:themeTint="FF" w:themeShade="FF"/>
              </w:rPr>
              <w:t xml:space="preserve"> American Journal of Community Psychology, 64</w:t>
            </w:r>
            <w:r w:rsidRPr="74718914" w:rsidR="2443013D">
              <w:rPr>
                <w:color w:val="000000" w:themeColor="text1" w:themeTint="FF" w:themeShade="FF"/>
              </w:rPr>
              <w:t xml:space="preserve">(1-2), 72-82. </w:t>
            </w:r>
          </w:p>
          <w:p w:rsidR="52D1F931" w:rsidP="74718914" w:rsidRDefault="52D1F931" w14:paraId="47E604F9" w14:textId="5153CC39">
            <w:pPr>
              <w:ind w:left="450" w:hanging="450"/>
              <w:rPr>
                <w:color w:val="000000" w:themeColor="text1" w:themeTint="FF" w:themeShade="FF"/>
              </w:rPr>
            </w:pPr>
            <w:r w:rsidRPr="74718914" w:rsidR="52D1F931">
              <w:rPr>
                <w:color w:val="000000" w:themeColor="text1" w:themeTint="FF" w:themeShade="FF"/>
              </w:rPr>
              <w:t>Spacey, M., &amp; Thompson, N. (2022). Beyond individual trauma: towards a multi-faceted trauma-informed restorative approach to youth justice that connects individual trauma with family reparation and recognition of bias and discrimination. British Journal of Community Justice, 18(1), 18-35.</w:t>
            </w:r>
          </w:p>
          <w:p w:rsidRPr="00C97318" w:rsidR="00C97318" w:rsidP="5B583937" w:rsidRDefault="2443013D" w14:paraId="446CC77B" w14:textId="11E8F3D5">
            <w:pPr>
              <w:ind w:left="450" w:hanging="450"/>
            </w:pPr>
            <w:r w:rsidRPr="5B583937">
              <w:rPr>
                <w:color w:val="000000" w:themeColor="text1"/>
              </w:rPr>
              <w:t>Steeves, H. (2022). No title.</w:t>
            </w:r>
            <w:r w:rsidRPr="5B583937">
              <w:rPr>
                <w:i/>
                <w:iCs/>
                <w:color w:val="000000" w:themeColor="text1"/>
              </w:rPr>
              <w:t xml:space="preserve"> The Connection between Mental Illness and Youth Violence in Canada, </w:t>
            </w:r>
          </w:p>
          <w:p w:rsidRPr="00C97318" w:rsidR="00C97318" w:rsidP="5B583937" w:rsidRDefault="2443013D" w14:paraId="1511097A" w14:textId="79A113B9">
            <w:pPr>
              <w:ind w:left="450" w:hanging="450"/>
            </w:pPr>
            <w:r w:rsidRPr="5B583937">
              <w:rPr>
                <w:color w:val="000000" w:themeColor="text1"/>
              </w:rPr>
              <w:t>Steinberg, L., Dahl, R., Keating, D., Kupfer, D. J., Masten, A. S., &amp; Pine, D. S. (2015). The study of developmental psychopathology in adolescence: Integrating affective neuroscience with the study of context.</w:t>
            </w:r>
            <w:r w:rsidRPr="5B583937">
              <w:rPr>
                <w:i/>
                <w:iCs/>
                <w:color w:val="000000" w:themeColor="text1"/>
              </w:rPr>
              <w:t xml:space="preserve"> Developmental Psychopathology: Volume Two: Developmental Neuroscience, </w:t>
            </w:r>
            <w:r w:rsidRPr="5B583937">
              <w:rPr>
                <w:color w:val="000000" w:themeColor="text1"/>
              </w:rPr>
              <w:t xml:space="preserve">, 710-741. </w:t>
            </w:r>
          </w:p>
          <w:p w:rsidRPr="00C97318" w:rsidR="00C97318" w:rsidP="5B583937" w:rsidRDefault="2443013D" w14:paraId="22FC6895" w14:textId="6EF4339D">
            <w:pPr>
              <w:ind w:left="450" w:hanging="450"/>
            </w:pPr>
            <w:r w:rsidRPr="5B583937">
              <w:rPr>
                <w:color w:val="000000" w:themeColor="text1"/>
              </w:rPr>
              <w:t>Turner, D., Wolf, A. J., Barra, S., Müller, M., Gregório Hertz, P., Huss, M., Tüscher, O., &amp; Retz, W. (2021). The association between adverse childhood experiences and mental health problems in young offenders.</w:t>
            </w:r>
            <w:r w:rsidRPr="5B583937">
              <w:rPr>
                <w:i/>
                <w:iCs/>
                <w:color w:val="000000" w:themeColor="text1"/>
              </w:rPr>
              <w:t xml:space="preserve"> European Child &amp; Adolescent Psychiatry, 30</w:t>
            </w:r>
            <w:r w:rsidRPr="5B583937">
              <w:rPr>
                <w:color w:val="000000" w:themeColor="text1"/>
              </w:rPr>
              <w:t xml:space="preserve">, 1195-1207. </w:t>
            </w:r>
          </w:p>
          <w:p w:rsidRPr="00C97318" w:rsidR="00C97318" w:rsidP="5B583937" w:rsidRDefault="2443013D" w14:paraId="4D2CA2F0" w14:textId="710075A0">
            <w:pPr>
              <w:ind w:left="450" w:hanging="450"/>
            </w:pPr>
            <w:r w:rsidRPr="5B583937">
              <w:rPr>
                <w:color w:val="000000" w:themeColor="text1"/>
              </w:rPr>
              <w:t>Villeneuve, M., F.-Dufour, I., &amp; Turcotte, D. (2019). The transition towards desistance from crime among serious juvenile offenders: A scoping review.</w:t>
            </w:r>
            <w:r w:rsidRPr="5B583937">
              <w:rPr>
                <w:i/>
                <w:iCs/>
                <w:color w:val="000000" w:themeColor="text1"/>
              </w:rPr>
              <w:t xml:space="preserve"> Australian Social Work, 72</w:t>
            </w:r>
            <w:r w:rsidRPr="5B583937">
              <w:rPr>
                <w:color w:val="000000" w:themeColor="text1"/>
              </w:rPr>
              <w:t xml:space="preserve">(4), 473-489. </w:t>
            </w:r>
          </w:p>
          <w:p w:rsidRPr="00C97318" w:rsidR="00C97318" w:rsidP="5B583937" w:rsidRDefault="6B825009" w14:paraId="6544CEA0" w14:textId="19F3C31B">
            <w:pPr>
              <w:ind w:left="450" w:hanging="450"/>
            </w:pPr>
            <w:r w:rsidRPr="0578A328">
              <w:rPr>
                <w:color w:val="000000" w:themeColor="text1"/>
              </w:rPr>
              <w:t>Wainwright, L., &amp; Nee, C. (2014). The Good Lives Model–New directions for preventative practice with children?</w:t>
            </w:r>
            <w:r w:rsidRPr="0578A328">
              <w:rPr>
                <w:i/>
                <w:iCs/>
                <w:color w:val="000000" w:themeColor="text1"/>
              </w:rPr>
              <w:t xml:space="preserve"> Psychology, Crime &amp; Law, 20</w:t>
            </w:r>
            <w:r w:rsidRPr="0578A328">
              <w:rPr>
                <w:color w:val="000000" w:themeColor="text1"/>
              </w:rPr>
              <w:t xml:space="preserve">(2), 166-182. </w:t>
            </w:r>
          </w:p>
          <w:p w:rsidRPr="00C97318" w:rsidR="00C97318" w:rsidP="0578A328" w:rsidRDefault="05695DC4" w14:paraId="3F2B6E0B" w14:textId="43B37916">
            <w:pPr>
              <w:ind w:left="450" w:hanging="450"/>
              <w:rPr>
                <w:color w:val="000000" w:themeColor="text1"/>
              </w:rPr>
            </w:pPr>
            <w:r w:rsidRPr="0578A328">
              <w:rPr>
                <w:color w:val="000000" w:themeColor="text1"/>
              </w:rPr>
              <w:t xml:space="preserve">Wilson, M. (2023). ‘“Where did Your Offending Come from?” It’s Not Unusual for Someone to Say it was the Death of a Parent’: Proposed Prisoners’ Grief Overload Theory. OMEGA-Journal of Death and Dying, , 00302228231169801.  </w:t>
            </w:r>
          </w:p>
          <w:p w:rsidRPr="00C97318" w:rsidR="00C97318" w:rsidP="0578A328" w:rsidRDefault="05695DC4" w14:paraId="31B7BD5F" w14:textId="006B374C">
            <w:pPr>
              <w:ind w:left="450" w:hanging="450"/>
              <w:rPr>
                <w:color w:val="000000" w:themeColor="text1"/>
              </w:rPr>
            </w:pPr>
            <w:r w:rsidRPr="0578A328">
              <w:rPr>
                <w:color w:val="000000" w:themeColor="text1"/>
              </w:rPr>
              <w:t>Wolff, K. T., &amp; Baglivio, M. T. (2017). Adverse childhood experiences, negative emotionality, and pathways to juvenile recidivism. Crime and Delinquency, 63(12), 1495–1521. https://doi.org/10. 1177/0011128715627469</w:t>
            </w:r>
          </w:p>
          <w:p w:rsidRPr="00C97318" w:rsidR="00C97318" w:rsidP="194E39BE" w:rsidRDefault="00C97318" w14:paraId="1C545CD3" w14:noSpellErr="1" w14:textId="50FC71A4">
            <w:pPr>
              <w:ind w:left="450" w:hanging="450"/>
              <w:rPr>
                <w:color w:val="000000" w:themeColor="text1" w:themeTint="FF" w:themeShade="FF"/>
              </w:rPr>
            </w:pPr>
            <w:r w:rsidRPr="194E39BE" w:rsidR="05695DC4">
              <w:rPr>
                <w:color w:val="000000" w:themeColor="text1" w:themeTint="FF" w:themeShade="FF"/>
              </w:rPr>
              <w:t xml:space="preserve">Wolff, K. T., </w:t>
            </w:r>
            <w:r w:rsidRPr="194E39BE" w:rsidR="05695DC4">
              <w:rPr>
                <w:color w:val="000000" w:themeColor="text1" w:themeTint="FF" w:themeShade="FF"/>
              </w:rPr>
              <w:t>Baglivio</w:t>
            </w:r>
            <w:r w:rsidRPr="194E39BE" w:rsidR="05695DC4">
              <w:rPr>
                <w:color w:val="000000" w:themeColor="text1" w:themeTint="FF" w:themeShade="FF"/>
              </w:rPr>
              <w:t xml:space="preserve">, M. T., &amp; Piquero, A. R. (2017). The relationship between adverse childhood experiences and recidivism in a sample of juvenile offenders in community-based treatment. International Journal of Offender Therapy and Comparative Criminology, 61(11), 1210–1242. </w:t>
            </w:r>
            <w:hyperlink r:id="R4f5d8f48fdf44051">
              <w:r w:rsidRPr="194E39BE" w:rsidR="05695DC4">
                <w:rPr>
                  <w:rStyle w:val="Hyperlink"/>
                </w:rPr>
                <w:t>https://doi.org/10.1177/0306624X15613992</w:t>
              </w:r>
            </w:hyperlink>
          </w:p>
        </w:tc>
      </w:tr>
    </w:tbl>
    <w:p w:rsidR="009E10F9" w:rsidP="009E10F9" w:rsidRDefault="009E10F9" w14:paraId="38339D17" w14:textId="77777777">
      <w:pPr>
        <w:jc w:val="both"/>
        <w:rPr>
          <w:rFonts w:ascii="Arial" w:hAnsi="Arial" w:cs="Arial"/>
        </w:rPr>
      </w:pPr>
    </w:p>
    <w:p w:rsidR="009E10F9" w:rsidP="009E10F9" w:rsidRDefault="009E10F9" w14:paraId="2F1E3BB8" w14:textId="77777777">
      <w:pPr>
        <w:jc w:val="both"/>
        <w:rPr>
          <w:rFonts w:ascii="Arial" w:hAnsi="Arial" w:cs="Arial"/>
        </w:rPr>
      </w:pPr>
    </w:p>
    <w:p w:rsidR="002A36C9" w:rsidP="005D22D9" w:rsidRDefault="002A36C9" w14:paraId="4E54B84E" w14:textId="34C4D4D7"/>
    <w:p w:rsidR="00F10A84" w:rsidP="00F10A84" w:rsidRDefault="00F10A84" w14:paraId="26B42A5B" w14:textId="77777777">
      <w:pPr>
        <w:jc w:val="center"/>
      </w:pPr>
    </w:p>
    <w:p w:rsidR="00F10A84" w:rsidP="00F10A84" w:rsidRDefault="00F10A84" w14:paraId="1ABF3C7E" w14:textId="77777777">
      <w:pPr>
        <w:jc w:val="center"/>
      </w:pPr>
    </w:p>
    <w:sectPr w:rsidR="00F10A84">
      <w:footerReference w:type="even" r:id="rId11"/>
      <w:footerReference w:type="default" r:id="rId12"/>
      <w:pgSz w:w="11906" w:h="16838"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2D1A" w:rsidRDefault="00702D1A" w14:paraId="2C65A7B6" w14:textId="77777777">
      <w:r>
        <w:separator/>
      </w:r>
    </w:p>
  </w:endnote>
  <w:endnote w:type="continuationSeparator" w:id="0">
    <w:p w:rsidR="00702D1A" w:rsidRDefault="00702D1A" w14:paraId="6BF327C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6DB9" w:rsidP="008E288B" w:rsidRDefault="00447680" w14:paraId="7B6EA968"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rsidR="00486DB9" w:rsidP="00486BE3" w:rsidRDefault="00486DB9" w14:paraId="5F65F4EA"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6DB9" w:rsidP="008E288B" w:rsidRDefault="00447680" w14:paraId="50F4E755"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rsidR="00486DB9" w:rsidP="00486BE3" w:rsidRDefault="00486DB9" w14:paraId="5E5B75E1"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2D1A" w:rsidRDefault="00702D1A" w14:paraId="68829958" w14:textId="77777777">
      <w:r>
        <w:separator/>
      </w:r>
    </w:p>
  </w:footnote>
  <w:footnote w:type="continuationSeparator" w:id="0">
    <w:p w:rsidR="00702D1A" w:rsidRDefault="00702D1A" w14:paraId="74AC57E2"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833A4"/>
    <w:multiLevelType w:val="hybridMultilevel"/>
    <w:tmpl w:val="6C08FBD6"/>
    <w:lvl w:ilvl="0" w:tplc="CE10F378">
      <w:start w:val="1"/>
      <w:numFmt w:val="decimal"/>
      <w:lvlText w:val="%1."/>
      <w:lvlJc w:val="left"/>
      <w:pPr>
        <w:ind w:left="720" w:hanging="360"/>
      </w:pPr>
    </w:lvl>
    <w:lvl w:ilvl="1" w:tplc="CA245198">
      <w:start w:val="1"/>
      <w:numFmt w:val="lowerLetter"/>
      <w:lvlText w:val="%2."/>
      <w:lvlJc w:val="left"/>
      <w:pPr>
        <w:ind w:left="1440" w:hanging="360"/>
      </w:pPr>
    </w:lvl>
    <w:lvl w:ilvl="2" w:tplc="8446D95C">
      <w:start w:val="1"/>
      <w:numFmt w:val="lowerRoman"/>
      <w:lvlText w:val="%3."/>
      <w:lvlJc w:val="right"/>
      <w:pPr>
        <w:ind w:left="2160" w:hanging="180"/>
      </w:pPr>
    </w:lvl>
    <w:lvl w:ilvl="3" w:tplc="3CE45C40">
      <w:start w:val="1"/>
      <w:numFmt w:val="decimal"/>
      <w:lvlText w:val="%4."/>
      <w:lvlJc w:val="left"/>
      <w:pPr>
        <w:ind w:left="2880" w:hanging="360"/>
      </w:pPr>
    </w:lvl>
    <w:lvl w:ilvl="4" w:tplc="A10E399C">
      <w:start w:val="1"/>
      <w:numFmt w:val="lowerLetter"/>
      <w:lvlText w:val="%5."/>
      <w:lvlJc w:val="left"/>
      <w:pPr>
        <w:ind w:left="3600" w:hanging="360"/>
      </w:pPr>
    </w:lvl>
    <w:lvl w:ilvl="5" w:tplc="6B9237E4">
      <w:start w:val="1"/>
      <w:numFmt w:val="lowerRoman"/>
      <w:lvlText w:val="%6."/>
      <w:lvlJc w:val="right"/>
      <w:pPr>
        <w:ind w:left="4320" w:hanging="180"/>
      </w:pPr>
    </w:lvl>
    <w:lvl w:ilvl="6" w:tplc="B894B2EE">
      <w:start w:val="1"/>
      <w:numFmt w:val="decimal"/>
      <w:lvlText w:val="%7."/>
      <w:lvlJc w:val="left"/>
      <w:pPr>
        <w:ind w:left="5040" w:hanging="360"/>
      </w:pPr>
    </w:lvl>
    <w:lvl w:ilvl="7" w:tplc="D5D035D8">
      <w:start w:val="1"/>
      <w:numFmt w:val="lowerLetter"/>
      <w:lvlText w:val="%8."/>
      <w:lvlJc w:val="left"/>
      <w:pPr>
        <w:ind w:left="5760" w:hanging="360"/>
      </w:pPr>
    </w:lvl>
    <w:lvl w:ilvl="8" w:tplc="045CAA1C">
      <w:start w:val="1"/>
      <w:numFmt w:val="lowerRoman"/>
      <w:lvlText w:val="%9."/>
      <w:lvlJc w:val="right"/>
      <w:pPr>
        <w:ind w:left="6480" w:hanging="180"/>
      </w:pPr>
    </w:lvl>
  </w:abstractNum>
  <w:abstractNum w:abstractNumId="1" w15:restartNumberingAfterBreak="0">
    <w:nsid w:val="36203349"/>
    <w:multiLevelType w:val="multilevel"/>
    <w:tmpl w:val="4B3A77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734834"/>
    <w:multiLevelType w:val="hybridMultilevel"/>
    <w:tmpl w:val="F0860982"/>
    <w:lvl w:ilvl="0" w:tplc="034E0FB4">
      <w:start w:val="1"/>
      <w:numFmt w:val="bullet"/>
      <w:lvlText w:val=""/>
      <w:lvlJc w:val="left"/>
      <w:pPr>
        <w:ind w:left="720" w:hanging="360"/>
      </w:pPr>
      <w:rPr>
        <w:rFonts w:hint="default" w:ascii="Symbol" w:hAnsi="Symbol"/>
      </w:rPr>
    </w:lvl>
    <w:lvl w:ilvl="1" w:tplc="BB52D2CA">
      <w:start w:val="1"/>
      <w:numFmt w:val="bullet"/>
      <w:lvlText w:val="o"/>
      <w:lvlJc w:val="left"/>
      <w:pPr>
        <w:ind w:left="1440" w:hanging="360"/>
      </w:pPr>
      <w:rPr>
        <w:rFonts w:hint="default" w:ascii="Courier New" w:hAnsi="Courier New"/>
      </w:rPr>
    </w:lvl>
    <w:lvl w:ilvl="2" w:tplc="0E2AB336">
      <w:start w:val="1"/>
      <w:numFmt w:val="bullet"/>
      <w:lvlText w:val=""/>
      <w:lvlJc w:val="left"/>
      <w:pPr>
        <w:ind w:left="2160" w:hanging="360"/>
      </w:pPr>
      <w:rPr>
        <w:rFonts w:hint="default" w:ascii="Wingdings" w:hAnsi="Wingdings"/>
      </w:rPr>
    </w:lvl>
    <w:lvl w:ilvl="3" w:tplc="AEFEFB9E">
      <w:start w:val="1"/>
      <w:numFmt w:val="bullet"/>
      <w:lvlText w:val=""/>
      <w:lvlJc w:val="left"/>
      <w:pPr>
        <w:ind w:left="2880" w:hanging="360"/>
      </w:pPr>
      <w:rPr>
        <w:rFonts w:hint="default" w:ascii="Symbol" w:hAnsi="Symbol"/>
      </w:rPr>
    </w:lvl>
    <w:lvl w:ilvl="4" w:tplc="98B61890">
      <w:start w:val="1"/>
      <w:numFmt w:val="bullet"/>
      <w:lvlText w:val="o"/>
      <w:lvlJc w:val="left"/>
      <w:pPr>
        <w:ind w:left="3600" w:hanging="360"/>
      </w:pPr>
      <w:rPr>
        <w:rFonts w:hint="default" w:ascii="Courier New" w:hAnsi="Courier New"/>
      </w:rPr>
    </w:lvl>
    <w:lvl w:ilvl="5" w:tplc="8AAA313E">
      <w:start w:val="1"/>
      <w:numFmt w:val="bullet"/>
      <w:lvlText w:val=""/>
      <w:lvlJc w:val="left"/>
      <w:pPr>
        <w:ind w:left="4320" w:hanging="360"/>
      </w:pPr>
      <w:rPr>
        <w:rFonts w:hint="default" w:ascii="Wingdings" w:hAnsi="Wingdings"/>
      </w:rPr>
    </w:lvl>
    <w:lvl w:ilvl="6" w:tplc="95D0FA7E">
      <w:start w:val="1"/>
      <w:numFmt w:val="bullet"/>
      <w:lvlText w:val=""/>
      <w:lvlJc w:val="left"/>
      <w:pPr>
        <w:ind w:left="5040" w:hanging="360"/>
      </w:pPr>
      <w:rPr>
        <w:rFonts w:hint="default" w:ascii="Symbol" w:hAnsi="Symbol"/>
      </w:rPr>
    </w:lvl>
    <w:lvl w:ilvl="7" w:tplc="64463134">
      <w:start w:val="1"/>
      <w:numFmt w:val="bullet"/>
      <w:lvlText w:val="o"/>
      <w:lvlJc w:val="left"/>
      <w:pPr>
        <w:ind w:left="5760" w:hanging="360"/>
      </w:pPr>
      <w:rPr>
        <w:rFonts w:hint="default" w:ascii="Courier New" w:hAnsi="Courier New"/>
      </w:rPr>
    </w:lvl>
    <w:lvl w:ilvl="8" w:tplc="24DC77B2">
      <w:start w:val="1"/>
      <w:numFmt w:val="bullet"/>
      <w:lvlText w:val=""/>
      <w:lvlJc w:val="left"/>
      <w:pPr>
        <w:ind w:left="6480" w:hanging="360"/>
      </w:pPr>
      <w:rPr>
        <w:rFonts w:hint="default" w:ascii="Wingdings" w:hAnsi="Wingdings"/>
      </w:rPr>
    </w:lvl>
  </w:abstractNum>
  <w:abstractNum w:abstractNumId="3" w15:restartNumberingAfterBreak="0">
    <w:nsid w:val="7FEE1A36"/>
    <w:multiLevelType w:val="hybridMultilevel"/>
    <w:tmpl w:val="9F3C54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78115616">
    <w:abstractNumId w:val="2"/>
  </w:num>
  <w:num w:numId="2" w16cid:durableId="2021472134">
    <w:abstractNumId w:val="0"/>
  </w:num>
  <w:num w:numId="3" w16cid:durableId="49621813">
    <w:abstractNumId w:val="3"/>
  </w:num>
  <w:num w:numId="4" w16cid:durableId="1089691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35D6F"/>
    <w:rsid w:val="0004374C"/>
    <w:rsid w:val="00045B17"/>
    <w:rsid w:val="000705EB"/>
    <w:rsid w:val="00070E02"/>
    <w:rsid w:val="00077FD3"/>
    <w:rsid w:val="000B404A"/>
    <w:rsid w:val="000C110A"/>
    <w:rsid w:val="000C29AC"/>
    <w:rsid w:val="000F5955"/>
    <w:rsid w:val="00150FF0"/>
    <w:rsid w:val="001520BA"/>
    <w:rsid w:val="001521B8"/>
    <w:rsid w:val="00186027"/>
    <w:rsid w:val="001D2066"/>
    <w:rsid w:val="001D4193"/>
    <w:rsid w:val="001D5C70"/>
    <w:rsid w:val="00210378"/>
    <w:rsid w:val="00223612"/>
    <w:rsid w:val="00254100"/>
    <w:rsid w:val="002847C8"/>
    <w:rsid w:val="0028612F"/>
    <w:rsid w:val="002A36C9"/>
    <w:rsid w:val="002BD4D6"/>
    <w:rsid w:val="002E474C"/>
    <w:rsid w:val="002F51A8"/>
    <w:rsid w:val="00352C86"/>
    <w:rsid w:val="00360345"/>
    <w:rsid w:val="00367D1D"/>
    <w:rsid w:val="003C6952"/>
    <w:rsid w:val="003F6C67"/>
    <w:rsid w:val="00415064"/>
    <w:rsid w:val="00426B2A"/>
    <w:rsid w:val="00447680"/>
    <w:rsid w:val="00463FEF"/>
    <w:rsid w:val="004655CA"/>
    <w:rsid w:val="00467231"/>
    <w:rsid w:val="004815B1"/>
    <w:rsid w:val="00486DB9"/>
    <w:rsid w:val="00497AD4"/>
    <w:rsid w:val="004A4FCC"/>
    <w:rsid w:val="004B2F08"/>
    <w:rsid w:val="004E379B"/>
    <w:rsid w:val="004F1E14"/>
    <w:rsid w:val="004F3881"/>
    <w:rsid w:val="00571DB6"/>
    <w:rsid w:val="005749BB"/>
    <w:rsid w:val="00581836"/>
    <w:rsid w:val="005B4573"/>
    <w:rsid w:val="005C550C"/>
    <w:rsid w:val="005D22D9"/>
    <w:rsid w:val="005E34DB"/>
    <w:rsid w:val="006110AE"/>
    <w:rsid w:val="00613328"/>
    <w:rsid w:val="0062FC9E"/>
    <w:rsid w:val="0063303C"/>
    <w:rsid w:val="00647302"/>
    <w:rsid w:val="00685585"/>
    <w:rsid w:val="00692C5E"/>
    <w:rsid w:val="006C7392"/>
    <w:rsid w:val="006C7528"/>
    <w:rsid w:val="006D0BA6"/>
    <w:rsid w:val="00702D1A"/>
    <w:rsid w:val="00723291"/>
    <w:rsid w:val="00724428"/>
    <w:rsid w:val="00733D6B"/>
    <w:rsid w:val="00752766"/>
    <w:rsid w:val="00756B3D"/>
    <w:rsid w:val="007800D4"/>
    <w:rsid w:val="007A7E58"/>
    <w:rsid w:val="007F4982"/>
    <w:rsid w:val="00800A6C"/>
    <w:rsid w:val="00824569"/>
    <w:rsid w:val="008264A4"/>
    <w:rsid w:val="00841AFF"/>
    <w:rsid w:val="00861763"/>
    <w:rsid w:val="00867513"/>
    <w:rsid w:val="00881623"/>
    <w:rsid w:val="008A61B6"/>
    <w:rsid w:val="008C1B8E"/>
    <w:rsid w:val="008C59A3"/>
    <w:rsid w:val="008E6471"/>
    <w:rsid w:val="008F3AFA"/>
    <w:rsid w:val="008F567E"/>
    <w:rsid w:val="008F7DF3"/>
    <w:rsid w:val="00926260"/>
    <w:rsid w:val="009277D1"/>
    <w:rsid w:val="009312E4"/>
    <w:rsid w:val="0094288F"/>
    <w:rsid w:val="0096571C"/>
    <w:rsid w:val="00982567"/>
    <w:rsid w:val="00982BEA"/>
    <w:rsid w:val="00985278"/>
    <w:rsid w:val="00991612"/>
    <w:rsid w:val="009A0F00"/>
    <w:rsid w:val="009D59A2"/>
    <w:rsid w:val="009E0AE2"/>
    <w:rsid w:val="009E10F9"/>
    <w:rsid w:val="00A024DA"/>
    <w:rsid w:val="00A36276"/>
    <w:rsid w:val="00A55E3E"/>
    <w:rsid w:val="00A93728"/>
    <w:rsid w:val="00AB7B22"/>
    <w:rsid w:val="00AC16C0"/>
    <w:rsid w:val="00B15D0E"/>
    <w:rsid w:val="00B62846"/>
    <w:rsid w:val="00B85E02"/>
    <w:rsid w:val="00B8D227"/>
    <w:rsid w:val="00C070AB"/>
    <w:rsid w:val="00C13A5E"/>
    <w:rsid w:val="00C60AAC"/>
    <w:rsid w:val="00C66CFD"/>
    <w:rsid w:val="00C93B4E"/>
    <w:rsid w:val="00C97318"/>
    <w:rsid w:val="00CD52BE"/>
    <w:rsid w:val="00D31C5F"/>
    <w:rsid w:val="00D457D9"/>
    <w:rsid w:val="00D76ECF"/>
    <w:rsid w:val="00DA52D7"/>
    <w:rsid w:val="00DB1C9A"/>
    <w:rsid w:val="00DF15F6"/>
    <w:rsid w:val="00E1606E"/>
    <w:rsid w:val="00E2628C"/>
    <w:rsid w:val="00E328CF"/>
    <w:rsid w:val="00E41099"/>
    <w:rsid w:val="00E5484A"/>
    <w:rsid w:val="00EA42CC"/>
    <w:rsid w:val="00EB11D7"/>
    <w:rsid w:val="00EB50D7"/>
    <w:rsid w:val="00F00B2F"/>
    <w:rsid w:val="00F06D8B"/>
    <w:rsid w:val="00F10A84"/>
    <w:rsid w:val="00F237D5"/>
    <w:rsid w:val="00F56D46"/>
    <w:rsid w:val="00F8530C"/>
    <w:rsid w:val="00F86126"/>
    <w:rsid w:val="00FB34A6"/>
    <w:rsid w:val="00FC7AE3"/>
    <w:rsid w:val="00FD04DE"/>
    <w:rsid w:val="013B4FDA"/>
    <w:rsid w:val="015E4ACA"/>
    <w:rsid w:val="0162196C"/>
    <w:rsid w:val="018C7354"/>
    <w:rsid w:val="01CBCB1C"/>
    <w:rsid w:val="021606F0"/>
    <w:rsid w:val="02376311"/>
    <w:rsid w:val="02B20CEF"/>
    <w:rsid w:val="02BABD1F"/>
    <w:rsid w:val="02D11918"/>
    <w:rsid w:val="02DBAEE1"/>
    <w:rsid w:val="02E2A24A"/>
    <w:rsid w:val="03060B25"/>
    <w:rsid w:val="034D08B5"/>
    <w:rsid w:val="035EF454"/>
    <w:rsid w:val="03C0578F"/>
    <w:rsid w:val="03C72DE1"/>
    <w:rsid w:val="04133233"/>
    <w:rsid w:val="04195951"/>
    <w:rsid w:val="042279D1"/>
    <w:rsid w:val="04423613"/>
    <w:rsid w:val="046C8B41"/>
    <w:rsid w:val="04C41416"/>
    <w:rsid w:val="04CA2533"/>
    <w:rsid w:val="04D30887"/>
    <w:rsid w:val="04E5E7B5"/>
    <w:rsid w:val="05291116"/>
    <w:rsid w:val="05695DC4"/>
    <w:rsid w:val="0578A328"/>
    <w:rsid w:val="05BFB2BA"/>
    <w:rsid w:val="05D710CD"/>
    <w:rsid w:val="06012E90"/>
    <w:rsid w:val="068FE37B"/>
    <w:rsid w:val="06BDE622"/>
    <w:rsid w:val="06CAE8D0"/>
    <w:rsid w:val="0726481D"/>
    <w:rsid w:val="073C7E6A"/>
    <w:rsid w:val="0771E94F"/>
    <w:rsid w:val="07A83380"/>
    <w:rsid w:val="07B3FB8C"/>
    <w:rsid w:val="07B8E993"/>
    <w:rsid w:val="07BF8FAC"/>
    <w:rsid w:val="07E9FA99"/>
    <w:rsid w:val="08017181"/>
    <w:rsid w:val="080D8925"/>
    <w:rsid w:val="081E5B40"/>
    <w:rsid w:val="0859B683"/>
    <w:rsid w:val="085EB949"/>
    <w:rsid w:val="08901F21"/>
    <w:rsid w:val="0894C45B"/>
    <w:rsid w:val="09283BC0"/>
    <w:rsid w:val="096FE197"/>
    <w:rsid w:val="09ADB07B"/>
    <w:rsid w:val="09B6B353"/>
    <w:rsid w:val="09E2BA08"/>
    <w:rsid w:val="0A2C6BBC"/>
    <w:rsid w:val="0A539D2A"/>
    <w:rsid w:val="0ACB60A5"/>
    <w:rsid w:val="0ADD9ACF"/>
    <w:rsid w:val="0B3BDC86"/>
    <w:rsid w:val="0B87C682"/>
    <w:rsid w:val="0B95EB9A"/>
    <w:rsid w:val="0BE90D37"/>
    <w:rsid w:val="0C4D47F8"/>
    <w:rsid w:val="0C5FC7C0"/>
    <w:rsid w:val="0C658F80"/>
    <w:rsid w:val="0CE3F9E2"/>
    <w:rsid w:val="0CE845BA"/>
    <w:rsid w:val="0CEC4D89"/>
    <w:rsid w:val="0CFBD693"/>
    <w:rsid w:val="0D866471"/>
    <w:rsid w:val="0D8B3DEC"/>
    <w:rsid w:val="0DA7133A"/>
    <w:rsid w:val="0DBF9081"/>
    <w:rsid w:val="0DCDED13"/>
    <w:rsid w:val="0DFC6EB1"/>
    <w:rsid w:val="0E0DEDE9"/>
    <w:rsid w:val="0E105F6D"/>
    <w:rsid w:val="0E57DF1C"/>
    <w:rsid w:val="0E6F0C12"/>
    <w:rsid w:val="0EB36712"/>
    <w:rsid w:val="0EDBDA50"/>
    <w:rsid w:val="0F0C2B79"/>
    <w:rsid w:val="1007CE91"/>
    <w:rsid w:val="1051FB8C"/>
    <w:rsid w:val="107A33B1"/>
    <w:rsid w:val="1088192C"/>
    <w:rsid w:val="10F60325"/>
    <w:rsid w:val="10F8E1BB"/>
    <w:rsid w:val="1183CD0D"/>
    <w:rsid w:val="1184F58B"/>
    <w:rsid w:val="11B4F71F"/>
    <w:rsid w:val="11EDCBED"/>
    <w:rsid w:val="1212369E"/>
    <w:rsid w:val="12377DA1"/>
    <w:rsid w:val="1242CD31"/>
    <w:rsid w:val="125024B1"/>
    <w:rsid w:val="12686D2A"/>
    <w:rsid w:val="12B49BF6"/>
    <w:rsid w:val="12BC897C"/>
    <w:rsid w:val="12E91296"/>
    <w:rsid w:val="13018B7B"/>
    <w:rsid w:val="131F9D6E"/>
    <w:rsid w:val="132F149C"/>
    <w:rsid w:val="13908312"/>
    <w:rsid w:val="13AF4B73"/>
    <w:rsid w:val="13BA7E4C"/>
    <w:rsid w:val="13DE9D92"/>
    <w:rsid w:val="13E5959E"/>
    <w:rsid w:val="13EBF512"/>
    <w:rsid w:val="14322A72"/>
    <w:rsid w:val="14798046"/>
    <w:rsid w:val="147D9A1D"/>
    <w:rsid w:val="1499C302"/>
    <w:rsid w:val="14A423DA"/>
    <w:rsid w:val="1530087E"/>
    <w:rsid w:val="1558F7E5"/>
    <w:rsid w:val="1572E69B"/>
    <w:rsid w:val="157A6DF3"/>
    <w:rsid w:val="1589B833"/>
    <w:rsid w:val="15C2D69E"/>
    <w:rsid w:val="15CB59D8"/>
    <w:rsid w:val="15EC3CB8"/>
    <w:rsid w:val="15FB35E0"/>
    <w:rsid w:val="163BABFF"/>
    <w:rsid w:val="16BB2792"/>
    <w:rsid w:val="16C55996"/>
    <w:rsid w:val="16E73C30"/>
    <w:rsid w:val="16EB2F95"/>
    <w:rsid w:val="171D3660"/>
    <w:rsid w:val="17510724"/>
    <w:rsid w:val="17880D19"/>
    <w:rsid w:val="178FFA9F"/>
    <w:rsid w:val="17970641"/>
    <w:rsid w:val="17B7057C"/>
    <w:rsid w:val="17D61B60"/>
    <w:rsid w:val="18063E3E"/>
    <w:rsid w:val="18166DBB"/>
    <w:rsid w:val="181B02D2"/>
    <w:rsid w:val="184B7BB6"/>
    <w:rsid w:val="1892B5BF"/>
    <w:rsid w:val="19024933"/>
    <w:rsid w:val="194E39BE"/>
    <w:rsid w:val="19733E52"/>
    <w:rsid w:val="1997DF7C"/>
    <w:rsid w:val="19F02AA4"/>
    <w:rsid w:val="19FD1A91"/>
    <w:rsid w:val="1A09AF2F"/>
    <w:rsid w:val="1A18D9F5"/>
    <w:rsid w:val="1A1ECB9C"/>
    <w:rsid w:val="1A2E8620"/>
    <w:rsid w:val="1A5CA707"/>
    <w:rsid w:val="1A9647C1"/>
    <w:rsid w:val="1AA56B27"/>
    <w:rsid w:val="1B0C25BE"/>
    <w:rsid w:val="1B4642B5"/>
    <w:rsid w:val="1B7E319B"/>
    <w:rsid w:val="1BC4BB50"/>
    <w:rsid w:val="1BC55D3D"/>
    <w:rsid w:val="1BCAF242"/>
    <w:rsid w:val="1C6A73EC"/>
    <w:rsid w:val="1C7DCB0F"/>
    <w:rsid w:val="1C9AF096"/>
    <w:rsid w:val="1CE0ADE8"/>
    <w:rsid w:val="1D1BF05A"/>
    <w:rsid w:val="1D2ECFC6"/>
    <w:rsid w:val="1D3AEBE0"/>
    <w:rsid w:val="1D4C52F0"/>
    <w:rsid w:val="1D687937"/>
    <w:rsid w:val="1D9439AE"/>
    <w:rsid w:val="1D9E6EE9"/>
    <w:rsid w:val="1DD825C9"/>
    <w:rsid w:val="1E01FC1D"/>
    <w:rsid w:val="1E06F883"/>
    <w:rsid w:val="1E1C2BB0"/>
    <w:rsid w:val="1E729D44"/>
    <w:rsid w:val="1F69A32F"/>
    <w:rsid w:val="1F6DD67C"/>
    <w:rsid w:val="1F82AE20"/>
    <w:rsid w:val="1F92655B"/>
    <w:rsid w:val="1FB8AD7C"/>
    <w:rsid w:val="1FBB73C9"/>
    <w:rsid w:val="2006A9BD"/>
    <w:rsid w:val="2059432F"/>
    <w:rsid w:val="205D26DB"/>
    <w:rsid w:val="206D2563"/>
    <w:rsid w:val="20700CDC"/>
    <w:rsid w:val="20AAF049"/>
    <w:rsid w:val="20C22132"/>
    <w:rsid w:val="20CB3A78"/>
    <w:rsid w:val="20D69E31"/>
    <w:rsid w:val="20D6FF2D"/>
    <w:rsid w:val="21154293"/>
    <w:rsid w:val="214D14FD"/>
    <w:rsid w:val="21C9FEF3"/>
    <w:rsid w:val="220BD831"/>
    <w:rsid w:val="22431330"/>
    <w:rsid w:val="22594D97"/>
    <w:rsid w:val="2259F58F"/>
    <w:rsid w:val="22BE359F"/>
    <w:rsid w:val="22F15729"/>
    <w:rsid w:val="2349BDDE"/>
    <w:rsid w:val="23A7AD9E"/>
    <w:rsid w:val="2412F9A4"/>
    <w:rsid w:val="241C0E9F"/>
    <w:rsid w:val="2443013D"/>
    <w:rsid w:val="245BD677"/>
    <w:rsid w:val="245E59A4"/>
    <w:rsid w:val="24EB3DD0"/>
    <w:rsid w:val="250AA931"/>
    <w:rsid w:val="252140DD"/>
    <w:rsid w:val="25AECA05"/>
    <w:rsid w:val="25B7DF00"/>
    <w:rsid w:val="25BA2E2B"/>
    <w:rsid w:val="26130789"/>
    <w:rsid w:val="262F2751"/>
    <w:rsid w:val="2632B113"/>
    <w:rsid w:val="26810251"/>
    <w:rsid w:val="269CA43F"/>
    <w:rsid w:val="26A98E77"/>
    <w:rsid w:val="26AC4588"/>
    <w:rsid w:val="26ED2A40"/>
    <w:rsid w:val="277A4EDC"/>
    <w:rsid w:val="277F73C9"/>
    <w:rsid w:val="279F156F"/>
    <w:rsid w:val="27A31BEC"/>
    <w:rsid w:val="27C1650F"/>
    <w:rsid w:val="27CE8174"/>
    <w:rsid w:val="280C1A7C"/>
    <w:rsid w:val="28455ED8"/>
    <w:rsid w:val="28A04B20"/>
    <w:rsid w:val="28BADDB6"/>
    <w:rsid w:val="28DE0B7A"/>
    <w:rsid w:val="292A0508"/>
    <w:rsid w:val="292F479A"/>
    <w:rsid w:val="29B1EC32"/>
    <w:rsid w:val="29BEAEF3"/>
    <w:rsid w:val="2A36EB45"/>
    <w:rsid w:val="2AB1EF9E"/>
    <w:rsid w:val="2AD1BB1D"/>
    <w:rsid w:val="2ADABCAE"/>
    <w:rsid w:val="2AE186CC"/>
    <w:rsid w:val="2AE4A0C3"/>
    <w:rsid w:val="2AF320F7"/>
    <w:rsid w:val="2B38D788"/>
    <w:rsid w:val="2B5B2FAC"/>
    <w:rsid w:val="2B6CBF50"/>
    <w:rsid w:val="2B79F61F"/>
    <w:rsid w:val="2BABA295"/>
    <w:rsid w:val="2BB388D1"/>
    <w:rsid w:val="2BFC83DF"/>
    <w:rsid w:val="2C2B190D"/>
    <w:rsid w:val="2C35E2A1"/>
    <w:rsid w:val="2C7B6CF4"/>
    <w:rsid w:val="2CACC7CA"/>
    <w:rsid w:val="2CC4CEBA"/>
    <w:rsid w:val="2CD2B5F6"/>
    <w:rsid w:val="2CE06C86"/>
    <w:rsid w:val="2D16DC7D"/>
    <w:rsid w:val="2D483506"/>
    <w:rsid w:val="2D4A0563"/>
    <w:rsid w:val="2D7B7108"/>
    <w:rsid w:val="2D834E2F"/>
    <w:rsid w:val="2DB17C9D"/>
    <w:rsid w:val="2E03DD03"/>
    <w:rsid w:val="2E04499B"/>
    <w:rsid w:val="2E126FC4"/>
    <w:rsid w:val="2E63A51A"/>
    <w:rsid w:val="2E72DC2E"/>
    <w:rsid w:val="2EA46012"/>
    <w:rsid w:val="2EEB2993"/>
    <w:rsid w:val="2EED1F8C"/>
    <w:rsid w:val="2F007BB7"/>
    <w:rsid w:val="2F01754D"/>
    <w:rsid w:val="2F05B146"/>
    <w:rsid w:val="2F3424A1"/>
    <w:rsid w:val="2F91B237"/>
    <w:rsid w:val="2FFFDE48"/>
    <w:rsid w:val="300354B9"/>
    <w:rsid w:val="306844BB"/>
    <w:rsid w:val="306B5822"/>
    <w:rsid w:val="30A181A7"/>
    <w:rsid w:val="311F8A32"/>
    <w:rsid w:val="314A8685"/>
    <w:rsid w:val="317E442C"/>
    <w:rsid w:val="31E46AFF"/>
    <w:rsid w:val="320E53F4"/>
    <w:rsid w:val="328040E5"/>
    <w:rsid w:val="32A218CC"/>
    <w:rsid w:val="32B21FD2"/>
    <w:rsid w:val="33077D80"/>
    <w:rsid w:val="33146795"/>
    <w:rsid w:val="33225906"/>
    <w:rsid w:val="33464D51"/>
    <w:rsid w:val="33BFC336"/>
    <w:rsid w:val="33C28C86"/>
    <w:rsid w:val="33C8FE84"/>
    <w:rsid w:val="344A60FA"/>
    <w:rsid w:val="344BAD45"/>
    <w:rsid w:val="34A06ACC"/>
    <w:rsid w:val="34BA013F"/>
    <w:rsid w:val="34E21DB2"/>
    <w:rsid w:val="35064472"/>
    <w:rsid w:val="350ACBCC"/>
    <w:rsid w:val="3531169C"/>
    <w:rsid w:val="355C4BC2"/>
    <w:rsid w:val="35916232"/>
    <w:rsid w:val="3594388E"/>
    <w:rsid w:val="359B8C9E"/>
    <w:rsid w:val="35A36625"/>
    <w:rsid w:val="35E90790"/>
    <w:rsid w:val="35F3721E"/>
    <w:rsid w:val="3615D241"/>
    <w:rsid w:val="3640EC4D"/>
    <w:rsid w:val="3665653E"/>
    <w:rsid w:val="36A1D726"/>
    <w:rsid w:val="36B5860B"/>
    <w:rsid w:val="36C9B8C8"/>
    <w:rsid w:val="36E663FA"/>
    <w:rsid w:val="36F1AC2D"/>
    <w:rsid w:val="37114480"/>
    <w:rsid w:val="379F7A49"/>
    <w:rsid w:val="37D4D714"/>
    <w:rsid w:val="3807C008"/>
    <w:rsid w:val="38169F51"/>
    <w:rsid w:val="3819423A"/>
    <w:rsid w:val="383D78AB"/>
    <w:rsid w:val="3843C459"/>
    <w:rsid w:val="38981B64"/>
    <w:rsid w:val="38EBEF4A"/>
    <w:rsid w:val="3917DB7D"/>
    <w:rsid w:val="391B0617"/>
    <w:rsid w:val="392F7FC6"/>
    <w:rsid w:val="395CFD9D"/>
    <w:rsid w:val="395EEE33"/>
    <w:rsid w:val="39605CC3"/>
    <w:rsid w:val="3968CE73"/>
    <w:rsid w:val="399BEA3E"/>
    <w:rsid w:val="39A28536"/>
    <w:rsid w:val="39B58ED5"/>
    <w:rsid w:val="3A3010EF"/>
    <w:rsid w:val="3A5449D7"/>
    <w:rsid w:val="3B07AD82"/>
    <w:rsid w:val="3B220877"/>
    <w:rsid w:val="3B2D5CA7"/>
    <w:rsid w:val="3B3DCB22"/>
    <w:rsid w:val="3B515F36"/>
    <w:rsid w:val="3BB2AFD0"/>
    <w:rsid w:val="3BC5D662"/>
    <w:rsid w:val="3C034D44"/>
    <w:rsid w:val="3C0EDE75"/>
    <w:rsid w:val="3C6ABD73"/>
    <w:rsid w:val="3C94F1BA"/>
    <w:rsid w:val="3CBC7A25"/>
    <w:rsid w:val="3CD38B00"/>
    <w:rsid w:val="3CD99B83"/>
    <w:rsid w:val="3CED2F97"/>
    <w:rsid w:val="3D2CC373"/>
    <w:rsid w:val="3D6B8C87"/>
    <w:rsid w:val="3D6FB6E8"/>
    <w:rsid w:val="3D74435B"/>
    <w:rsid w:val="3D8551F5"/>
    <w:rsid w:val="3DD249A5"/>
    <w:rsid w:val="3E64FD69"/>
    <w:rsid w:val="3E78CC7C"/>
    <w:rsid w:val="3E88FFF8"/>
    <w:rsid w:val="3E8D4408"/>
    <w:rsid w:val="3EBA19B3"/>
    <w:rsid w:val="3EC27162"/>
    <w:rsid w:val="3EED5657"/>
    <w:rsid w:val="3F093AE3"/>
    <w:rsid w:val="3F114845"/>
    <w:rsid w:val="3F2F082D"/>
    <w:rsid w:val="3F7C7E22"/>
    <w:rsid w:val="3FB8D93B"/>
    <w:rsid w:val="4000CDCA"/>
    <w:rsid w:val="4014B9A2"/>
    <w:rsid w:val="403FB706"/>
    <w:rsid w:val="4061AFF7"/>
    <w:rsid w:val="40859529"/>
    <w:rsid w:val="409AA5FA"/>
    <w:rsid w:val="40A44A01"/>
    <w:rsid w:val="40AD18A6"/>
    <w:rsid w:val="4101A691"/>
    <w:rsid w:val="41178DC2"/>
    <w:rsid w:val="414115A8"/>
    <w:rsid w:val="414FC759"/>
    <w:rsid w:val="41522679"/>
    <w:rsid w:val="416DE365"/>
    <w:rsid w:val="417282B8"/>
    <w:rsid w:val="4176EF06"/>
    <w:rsid w:val="418ABE36"/>
    <w:rsid w:val="41C02480"/>
    <w:rsid w:val="41C0B362"/>
    <w:rsid w:val="41CBF64D"/>
    <w:rsid w:val="41D373C3"/>
    <w:rsid w:val="41FD846E"/>
    <w:rsid w:val="42144354"/>
    <w:rsid w:val="4240DBA5"/>
    <w:rsid w:val="4260E749"/>
    <w:rsid w:val="4266A8EF"/>
    <w:rsid w:val="426E57DF"/>
    <w:rsid w:val="4287DACA"/>
    <w:rsid w:val="429E9D5A"/>
    <w:rsid w:val="42CB586A"/>
    <w:rsid w:val="42DDCB6A"/>
    <w:rsid w:val="42F3B22A"/>
    <w:rsid w:val="4303159A"/>
    <w:rsid w:val="4332C09D"/>
    <w:rsid w:val="433802B4"/>
    <w:rsid w:val="434AB6D6"/>
    <w:rsid w:val="43A2252E"/>
    <w:rsid w:val="43DDC016"/>
    <w:rsid w:val="44027950"/>
    <w:rsid w:val="44527A0D"/>
    <w:rsid w:val="445419AA"/>
    <w:rsid w:val="448135AA"/>
    <w:rsid w:val="44A3082B"/>
    <w:rsid w:val="44DF71C6"/>
    <w:rsid w:val="44E2D7C5"/>
    <w:rsid w:val="44F08EA4"/>
    <w:rsid w:val="44FC858C"/>
    <w:rsid w:val="452248AF"/>
    <w:rsid w:val="454BF9B7"/>
    <w:rsid w:val="4587C70B"/>
    <w:rsid w:val="4599FE01"/>
    <w:rsid w:val="45C2F889"/>
    <w:rsid w:val="45D3E129"/>
    <w:rsid w:val="45EDB55E"/>
    <w:rsid w:val="4607334A"/>
    <w:rsid w:val="460B11A7"/>
    <w:rsid w:val="460E9155"/>
    <w:rsid w:val="462E73B3"/>
    <w:rsid w:val="462F8CB1"/>
    <w:rsid w:val="4638818E"/>
    <w:rsid w:val="46B4F284"/>
    <w:rsid w:val="46DF61C0"/>
    <w:rsid w:val="46E04387"/>
    <w:rsid w:val="46E7CA18"/>
    <w:rsid w:val="4704322B"/>
    <w:rsid w:val="470E3FED"/>
    <w:rsid w:val="47113032"/>
    <w:rsid w:val="47966ABD"/>
    <w:rsid w:val="47A7AC0C"/>
    <w:rsid w:val="47CFB3F2"/>
    <w:rsid w:val="482006BD"/>
    <w:rsid w:val="4849124C"/>
    <w:rsid w:val="487B3221"/>
    <w:rsid w:val="489BC5BC"/>
    <w:rsid w:val="48B4DAD4"/>
    <w:rsid w:val="495D7B64"/>
    <w:rsid w:val="497674FC"/>
    <w:rsid w:val="49BBD71E"/>
    <w:rsid w:val="49DC52ED"/>
    <w:rsid w:val="49DE8A13"/>
    <w:rsid w:val="4A0218B0"/>
    <w:rsid w:val="4A1F6ADA"/>
    <w:rsid w:val="4A9D7FAE"/>
    <w:rsid w:val="4AA6FF66"/>
    <w:rsid w:val="4B657DC7"/>
    <w:rsid w:val="4B6795A8"/>
    <w:rsid w:val="4B7E6FFA"/>
    <w:rsid w:val="4B88DF13"/>
    <w:rsid w:val="4B8908B4"/>
    <w:rsid w:val="4BD8D3CF"/>
    <w:rsid w:val="4BE99E96"/>
    <w:rsid w:val="4C21234D"/>
    <w:rsid w:val="4C3A7387"/>
    <w:rsid w:val="4C757D17"/>
    <w:rsid w:val="4C9C345D"/>
    <w:rsid w:val="4CC2A7C9"/>
    <w:rsid w:val="4CCFBD1F"/>
    <w:rsid w:val="4CDA59F9"/>
    <w:rsid w:val="4CF12461"/>
    <w:rsid w:val="4D1110A0"/>
    <w:rsid w:val="4D1B2B4B"/>
    <w:rsid w:val="4D4CE17F"/>
    <w:rsid w:val="4D72F8E8"/>
    <w:rsid w:val="4D8C76CD"/>
    <w:rsid w:val="4DC4EF84"/>
    <w:rsid w:val="4E34C0CE"/>
    <w:rsid w:val="4E3EF576"/>
    <w:rsid w:val="4E40E1DB"/>
    <w:rsid w:val="4E53479C"/>
    <w:rsid w:val="4E56EE75"/>
    <w:rsid w:val="4E762A5A"/>
    <w:rsid w:val="4E79B0A1"/>
    <w:rsid w:val="4EA8F0F8"/>
    <w:rsid w:val="4EAF887A"/>
    <w:rsid w:val="4F6FE93A"/>
    <w:rsid w:val="4FDDA87B"/>
    <w:rsid w:val="4FEF222A"/>
    <w:rsid w:val="4FF81635"/>
    <w:rsid w:val="4FFFFD3B"/>
    <w:rsid w:val="5011FABB"/>
    <w:rsid w:val="503B06CB"/>
    <w:rsid w:val="504B58DB"/>
    <w:rsid w:val="5080F138"/>
    <w:rsid w:val="50C783F7"/>
    <w:rsid w:val="5132FB26"/>
    <w:rsid w:val="51361C77"/>
    <w:rsid w:val="51422E08"/>
    <w:rsid w:val="5144F77E"/>
    <w:rsid w:val="519607D2"/>
    <w:rsid w:val="51ADCB1C"/>
    <w:rsid w:val="51C1B9DB"/>
    <w:rsid w:val="51C8B18D"/>
    <w:rsid w:val="51F291FF"/>
    <w:rsid w:val="51F7D96C"/>
    <w:rsid w:val="5203503A"/>
    <w:rsid w:val="522154D9"/>
    <w:rsid w:val="522EFCFB"/>
    <w:rsid w:val="523529CA"/>
    <w:rsid w:val="5291F866"/>
    <w:rsid w:val="52B4888B"/>
    <w:rsid w:val="52C18A58"/>
    <w:rsid w:val="52C6252F"/>
    <w:rsid w:val="52CDB035"/>
    <w:rsid w:val="52D1F931"/>
    <w:rsid w:val="53512B01"/>
    <w:rsid w:val="5359E8E0"/>
    <w:rsid w:val="537990E6"/>
    <w:rsid w:val="53F4B07B"/>
    <w:rsid w:val="5461F590"/>
    <w:rsid w:val="54B912F9"/>
    <w:rsid w:val="54F4FA71"/>
    <w:rsid w:val="54F6B752"/>
    <w:rsid w:val="55099A15"/>
    <w:rsid w:val="55166574"/>
    <w:rsid w:val="553AF0FC"/>
    <w:rsid w:val="554F1A24"/>
    <w:rsid w:val="5558188A"/>
    <w:rsid w:val="556A177F"/>
    <w:rsid w:val="557140E7"/>
    <w:rsid w:val="558AC9F8"/>
    <w:rsid w:val="55F51FE5"/>
    <w:rsid w:val="564D2305"/>
    <w:rsid w:val="56693AC7"/>
    <w:rsid w:val="566B37BB"/>
    <w:rsid w:val="569BF91E"/>
    <w:rsid w:val="56C300B5"/>
    <w:rsid w:val="56CC30EB"/>
    <w:rsid w:val="570371F5"/>
    <w:rsid w:val="5704D129"/>
    <w:rsid w:val="572F5157"/>
    <w:rsid w:val="5741C5B6"/>
    <w:rsid w:val="57444BD2"/>
    <w:rsid w:val="574C3222"/>
    <w:rsid w:val="57541ACB"/>
    <w:rsid w:val="5757B48D"/>
    <w:rsid w:val="5757D6B9"/>
    <w:rsid w:val="579F3994"/>
    <w:rsid w:val="57B71426"/>
    <w:rsid w:val="57C9B343"/>
    <w:rsid w:val="57F3DA20"/>
    <w:rsid w:val="57F6FC49"/>
    <w:rsid w:val="580A6E89"/>
    <w:rsid w:val="580E39CC"/>
    <w:rsid w:val="582516CC"/>
    <w:rsid w:val="582B6760"/>
    <w:rsid w:val="58417A84"/>
    <w:rsid w:val="586329F5"/>
    <w:rsid w:val="587C6738"/>
    <w:rsid w:val="588FB94C"/>
    <w:rsid w:val="58AEBA95"/>
    <w:rsid w:val="58D1D70E"/>
    <w:rsid w:val="5909BB54"/>
    <w:rsid w:val="590CF03A"/>
    <w:rsid w:val="594D3460"/>
    <w:rsid w:val="598424CF"/>
    <w:rsid w:val="59D1BEFB"/>
    <w:rsid w:val="59DAA893"/>
    <w:rsid w:val="5A2B89AD"/>
    <w:rsid w:val="5A3B12B7"/>
    <w:rsid w:val="5A4EF882"/>
    <w:rsid w:val="5A7813A2"/>
    <w:rsid w:val="5A83D2E4"/>
    <w:rsid w:val="5AF5E269"/>
    <w:rsid w:val="5AFD637F"/>
    <w:rsid w:val="5B007D1D"/>
    <w:rsid w:val="5B221FA6"/>
    <w:rsid w:val="5B28547D"/>
    <w:rsid w:val="5B4B5F16"/>
    <w:rsid w:val="5B550A49"/>
    <w:rsid w:val="5B58355F"/>
    <w:rsid w:val="5B583937"/>
    <w:rsid w:val="5BD6E318"/>
    <w:rsid w:val="5C20CC28"/>
    <w:rsid w:val="5C3543E5"/>
    <w:rsid w:val="5C6F640B"/>
    <w:rsid w:val="5D04B9DE"/>
    <w:rsid w:val="5D0BFAFA"/>
    <w:rsid w:val="5D331107"/>
    <w:rsid w:val="5D424558"/>
    <w:rsid w:val="5DDA6D2A"/>
    <w:rsid w:val="5DF05C21"/>
    <w:rsid w:val="5DF39587"/>
    <w:rsid w:val="5DFBFF47"/>
    <w:rsid w:val="5EC4C1B9"/>
    <w:rsid w:val="5EDE15B9"/>
    <w:rsid w:val="5F11233B"/>
    <w:rsid w:val="5F1E288D"/>
    <w:rsid w:val="5F2269A5"/>
    <w:rsid w:val="5F2299E3"/>
    <w:rsid w:val="5F6B0CDD"/>
    <w:rsid w:val="5F75B19E"/>
    <w:rsid w:val="5F763D8B"/>
    <w:rsid w:val="5F7CF3C0"/>
    <w:rsid w:val="5F890161"/>
    <w:rsid w:val="5FFBC5A0"/>
    <w:rsid w:val="6011FDB8"/>
    <w:rsid w:val="601BF99F"/>
    <w:rsid w:val="601F0BEC"/>
    <w:rsid w:val="60AA543B"/>
    <w:rsid w:val="60ACF39C"/>
    <w:rsid w:val="60AE1CB0"/>
    <w:rsid w:val="61120DEC"/>
    <w:rsid w:val="6124D1C2"/>
    <w:rsid w:val="61273A8A"/>
    <w:rsid w:val="6138D313"/>
    <w:rsid w:val="61BC7B3F"/>
    <w:rsid w:val="61F8A548"/>
    <w:rsid w:val="61FD54C0"/>
    <w:rsid w:val="62058F17"/>
    <w:rsid w:val="62369B92"/>
    <w:rsid w:val="6255C94F"/>
    <w:rsid w:val="625C5514"/>
    <w:rsid w:val="627E6490"/>
    <w:rsid w:val="62A9D949"/>
    <w:rsid w:val="630559DE"/>
    <w:rsid w:val="63336662"/>
    <w:rsid w:val="6377DE0F"/>
    <w:rsid w:val="63A21D7A"/>
    <w:rsid w:val="63AE8F10"/>
    <w:rsid w:val="63F3E28A"/>
    <w:rsid w:val="642A2B77"/>
    <w:rsid w:val="642FBD03"/>
    <w:rsid w:val="6449AEAE"/>
    <w:rsid w:val="646B40CB"/>
    <w:rsid w:val="64715C56"/>
    <w:rsid w:val="64A48904"/>
    <w:rsid w:val="653D71A1"/>
    <w:rsid w:val="6546EC84"/>
    <w:rsid w:val="6559024C"/>
    <w:rsid w:val="65DDB9C2"/>
    <w:rsid w:val="666B0724"/>
    <w:rsid w:val="667A1933"/>
    <w:rsid w:val="668CBA43"/>
    <w:rsid w:val="669A6799"/>
    <w:rsid w:val="66F55AF8"/>
    <w:rsid w:val="670F80BB"/>
    <w:rsid w:val="6714D40A"/>
    <w:rsid w:val="6772AF4E"/>
    <w:rsid w:val="67798A23"/>
    <w:rsid w:val="67814F70"/>
    <w:rsid w:val="67858A41"/>
    <w:rsid w:val="679FC26A"/>
    <w:rsid w:val="67DFC12B"/>
    <w:rsid w:val="6806D785"/>
    <w:rsid w:val="680EC50B"/>
    <w:rsid w:val="681D0F9D"/>
    <w:rsid w:val="684D58F6"/>
    <w:rsid w:val="68589372"/>
    <w:rsid w:val="69116599"/>
    <w:rsid w:val="69155A84"/>
    <w:rsid w:val="69349E15"/>
    <w:rsid w:val="695631BC"/>
    <w:rsid w:val="6957690F"/>
    <w:rsid w:val="695E40F5"/>
    <w:rsid w:val="699A00BD"/>
    <w:rsid w:val="69B37B89"/>
    <w:rsid w:val="69CD8963"/>
    <w:rsid w:val="6A1F3708"/>
    <w:rsid w:val="6A270375"/>
    <w:rsid w:val="6A300D67"/>
    <w:rsid w:val="6A56C648"/>
    <w:rsid w:val="6A69CCCF"/>
    <w:rsid w:val="6A90BFE5"/>
    <w:rsid w:val="6A915056"/>
    <w:rsid w:val="6AC8068E"/>
    <w:rsid w:val="6ACDADE9"/>
    <w:rsid w:val="6AFC8B1E"/>
    <w:rsid w:val="6B35D11E"/>
    <w:rsid w:val="6B3E7847"/>
    <w:rsid w:val="6B54B05F"/>
    <w:rsid w:val="6B825009"/>
    <w:rsid w:val="6BE56B5E"/>
    <w:rsid w:val="6BE69CA7"/>
    <w:rsid w:val="6BFEF46F"/>
    <w:rsid w:val="6CB3324E"/>
    <w:rsid w:val="6CB9596C"/>
    <w:rsid w:val="6CD1A17F"/>
    <w:rsid w:val="6D121AE8"/>
    <w:rsid w:val="6D31CCF7"/>
    <w:rsid w:val="6D5CC2F0"/>
    <w:rsid w:val="6D7E51AD"/>
    <w:rsid w:val="6D8FB0ED"/>
    <w:rsid w:val="6DBDFF87"/>
    <w:rsid w:val="6DC98FE2"/>
    <w:rsid w:val="6DD984F6"/>
    <w:rsid w:val="6E166721"/>
    <w:rsid w:val="6E413664"/>
    <w:rsid w:val="6E7E068F"/>
    <w:rsid w:val="6E8C5121"/>
    <w:rsid w:val="6E98E48D"/>
    <w:rsid w:val="6E9A2761"/>
    <w:rsid w:val="6EBC6F2C"/>
    <w:rsid w:val="6EDCFED4"/>
    <w:rsid w:val="6F2B6CF0"/>
    <w:rsid w:val="6F2C769C"/>
    <w:rsid w:val="6F32EBE1"/>
    <w:rsid w:val="6F801414"/>
    <w:rsid w:val="6FA1B48B"/>
    <w:rsid w:val="6FB23782"/>
    <w:rsid w:val="700EBDAF"/>
    <w:rsid w:val="7011E96A"/>
    <w:rsid w:val="70226A9E"/>
    <w:rsid w:val="7096A3CB"/>
    <w:rsid w:val="70C87FA4"/>
    <w:rsid w:val="70E2E1AB"/>
    <w:rsid w:val="70E518C2"/>
    <w:rsid w:val="711125B8"/>
    <w:rsid w:val="713FD1E5"/>
    <w:rsid w:val="714D3075"/>
    <w:rsid w:val="719C71CF"/>
    <w:rsid w:val="719EAB90"/>
    <w:rsid w:val="71B5A751"/>
    <w:rsid w:val="71EA0A62"/>
    <w:rsid w:val="72019F5A"/>
    <w:rsid w:val="7254ACE2"/>
    <w:rsid w:val="725CB613"/>
    <w:rsid w:val="728D4F82"/>
    <w:rsid w:val="72A0A7CF"/>
    <w:rsid w:val="72A2422A"/>
    <w:rsid w:val="73336B8D"/>
    <w:rsid w:val="733CB914"/>
    <w:rsid w:val="737CB541"/>
    <w:rsid w:val="738B9C69"/>
    <w:rsid w:val="73C00768"/>
    <w:rsid w:val="73CAD337"/>
    <w:rsid w:val="73F69672"/>
    <w:rsid w:val="73F88674"/>
    <w:rsid w:val="74229763"/>
    <w:rsid w:val="7429A19A"/>
    <w:rsid w:val="74498DF5"/>
    <w:rsid w:val="74515A78"/>
    <w:rsid w:val="74538537"/>
    <w:rsid w:val="74718914"/>
    <w:rsid w:val="7485A8A5"/>
    <w:rsid w:val="74FF674C"/>
    <w:rsid w:val="7512BA2E"/>
    <w:rsid w:val="75276CCA"/>
    <w:rsid w:val="753A1A29"/>
    <w:rsid w:val="75423D11"/>
    <w:rsid w:val="755D6ADE"/>
    <w:rsid w:val="757CA7BB"/>
    <w:rsid w:val="75981DC3"/>
    <w:rsid w:val="75A6B2F4"/>
    <w:rsid w:val="75ED23BE"/>
    <w:rsid w:val="766CAF91"/>
    <w:rsid w:val="770D1ED5"/>
    <w:rsid w:val="776BE604"/>
    <w:rsid w:val="77701CF1"/>
    <w:rsid w:val="7779319F"/>
    <w:rsid w:val="77A4FBF1"/>
    <w:rsid w:val="780541F4"/>
    <w:rsid w:val="780F77CD"/>
    <w:rsid w:val="78280F56"/>
    <w:rsid w:val="78333367"/>
    <w:rsid w:val="78A3B76F"/>
    <w:rsid w:val="78CFBE85"/>
    <w:rsid w:val="78D616D1"/>
    <w:rsid w:val="78DF15A6"/>
    <w:rsid w:val="793CBC82"/>
    <w:rsid w:val="794B0031"/>
    <w:rsid w:val="794F2498"/>
    <w:rsid w:val="79D77593"/>
    <w:rsid w:val="7A2AD02A"/>
    <w:rsid w:val="7A3468D7"/>
    <w:rsid w:val="7A358BD9"/>
    <w:rsid w:val="7A414446"/>
    <w:rsid w:val="7A51BBFF"/>
    <w:rsid w:val="7A6B8EE6"/>
    <w:rsid w:val="7ACF4197"/>
    <w:rsid w:val="7B35CDEA"/>
    <w:rsid w:val="7BA1E945"/>
    <w:rsid w:val="7BAEF637"/>
    <w:rsid w:val="7BC2D1DC"/>
    <w:rsid w:val="7BC3C53F"/>
    <w:rsid w:val="7BDE40EE"/>
    <w:rsid w:val="7BF4E01E"/>
    <w:rsid w:val="7C05D5A0"/>
    <w:rsid w:val="7C2DFD1D"/>
    <w:rsid w:val="7C40D480"/>
    <w:rsid w:val="7C7360C5"/>
    <w:rsid w:val="7C8D5E78"/>
    <w:rsid w:val="7CA0E783"/>
    <w:rsid w:val="7CA44E64"/>
    <w:rsid w:val="7D2B7D18"/>
    <w:rsid w:val="7D3DB9A6"/>
    <w:rsid w:val="7D52DE54"/>
    <w:rsid w:val="7D787673"/>
    <w:rsid w:val="7DDEEB9B"/>
    <w:rsid w:val="7E61CC7A"/>
    <w:rsid w:val="7E86EDF2"/>
    <w:rsid w:val="7E900474"/>
    <w:rsid w:val="7EDB6C52"/>
    <w:rsid w:val="7EEA589C"/>
    <w:rsid w:val="7F0DD3A6"/>
    <w:rsid w:val="7F81394E"/>
    <w:rsid w:val="7FA2AD58"/>
    <w:rsid w:val="7FAB0187"/>
    <w:rsid w:val="7FE2A3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10F9"/>
    <w:pPr>
      <w:spacing w:after="0" w:line="240" w:lineRule="auto"/>
    </w:pPr>
    <w:rPr>
      <w:rFonts w:ascii="Times New Roman" w:hAnsi="Times New Roman" w:eastAsia="Times New Roman" w:cs="Times New Roman"/>
      <w:sz w:val="24"/>
      <w:szCs w:val="24"/>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styleId="FooterChar" w:customStyle="1">
    <w:name w:val="Footer Char"/>
    <w:basedOn w:val="DefaultParagraphFont"/>
    <w:link w:val="Footer"/>
    <w:rsid w:val="009E10F9"/>
    <w:rPr>
      <w:rFonts w:ascii="Times New Roman" w:hAnsi="Times New Roman" w:eastAsia="Times New Roman" w:cs="Times New Roman"/>
      <w:sz w:val="24"/>
      <w:szCs w:val="24"/>
      <w:lang w:eastAsia="en-GB"/>
    </w:rPr>
  </w:style>
  <w:style w:type="character" w:styleId="PageNumber">
    <w:name w:val="page number"/>
    <w:basedOn w:val="DefaultParagraphFont"/>
    <w:rsid w:val="009E10F9"/>
  </w:style>
  <w:style w:type="paragraph" w:styleId="Formlabel" w:customStyle="1">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hAnsi="Calibri" w:eastAsia="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styleId="BodyTextChar" w:customStyle="1">
    <w:name w:val="Body Text Char"/>
    <w:basedOn w:val="DefaultParagraphFont"/>
    <w:link w:val="BodyText"/>
    <w:uiPriority w:val="99"/>
    <w:semiHidden/>
    <w:rsid w:val="009E10F9"/>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styleId="HeaderChar" w:customStyle="1">
    <w:name w:val="Header Char"/>
    <w:basedOn w:val="DefaultParagraphFont"/>
    <w:link w:val="Header"/>
    <w:uiPriority w:val="99"/>
    <w:rsid w:val="009A0F00"/>
    <w:rPr>
      <w:rFonts w:ascii="Times New Roman" w:hAnsi="Times New Roman" w:eastAsia="Times New Roman" w:cs="Times New Roman"/>
      <w:sz w:val="24"/>
      <w:szCs w:val="24"/>
      <w:lang w:eastAsia="en-GB"/>
    </w:rPr>
  </w:style>
  <w:style w:type="table" w:styleId="TableGrid">
    <w:name w:val="Table Grid"/>
    <w:basedOn w:val="TableNormal"/>
    <w:rsid w:val="00A36276"/>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6A915056"/>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822231">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doi.org/10.1177/0306624X15613992" TargetMode="External" Id="R4f5d8f48fdf440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bc9b31-b9fd-466f-9f78-b61aea651776">
  <we:reference id="8c1c3d44-57e9-40d7-86e4-4adf61fea1dd" version="2.1.0.1" store="excatalog" storeType="excatalog"/>
  <we:alternateReferences>
    <we:reference id="WA104380122" version="2.1.0.1" store="en-GB"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y name="citations" value="{&quot;49356080&quot;:{&quot;referencesIds&quot;:[&quot;doc:656dead381eb503778164c6b&quot;],&quot;referencesOptions&quot;:{&quot;doc:656dead381eb503778164c6b&quot;:{&quot;author&quot;:true,&quot;year&quot;:true,&quot;pageReplace&quot;:&quot;&quot;,&quot;prefix&quot;:&quot;&quot;,&quot;suffix&quot;:&quot;&quot;}},&quot;hasBrokenReferences&quot;:false,&quot;hasManualEdits&quot;:false,&quot;citationType&quot;:&quot;inline&quot;,&quot;id&quot;:49356080,&quot;citationText&quot;:&quot;&lt;span style=\&quot;font-family:Times New Roman;font-size:16px;color:#000000\&quot;&gt;(Wilson, 2023)&lt;/span&gt;&quot;},&quot;298342051&quot;:{&quot;referencesIds&quot;:[&quot;doc:656f24ee81eb5037781689f6&quot;],&quot;referencesOptions&quot;:{&quot;doc:656f24ee81eb5037781689f6&quot;:{&quot;author&quot;:true,&quot;year&quot;:true,&quot;pageReplace&quot;:&quot;&quot;,&quot;prefix&quot;:&quot;&quot;,&quot;suffix&quot;:&quot;&quot;}},&quot;hasBrokenReferences&quot;:false,&quot;hasManualEdits&quot;:false,&quot;citationType&quot;:&quot;inline&quot;,&quot;id&quot;:298342051,&quot;citationText&quot;:&quot;&lt;span style=\&quot;font-family:Times New Roman;font-size:16px;color:#000000\&quot;&gt;(Gaffney et al., 2021)&lt;/span&gt;&quot;},&quot;347573278&quot;:{&quot;referencesIds&quot;:[&quot;doc:656ef558bbedef09c0c1415c&quot;],&quot;referencesOptions&quot;:{&quot;doc:656ef558bbedef09c0c1415c&quot;:{&quot;author&quot;:true,&quot;year&quot;:true,&quot;pageReplace&quot;:&quot;&quot;,&quot;prefix&quot;:&quot;&quot;,&quot;suffix&quot;:&quot;&quot;}},&quot;hasBrokenReferences&quot;:false,&quot;hasManualEdits&quot;:false,&quot;citationType&quot;:&quot;inline&quot;,&quot;id&quot;:347573278,&quot;citationText&quot;:&quot;&lt;span style=\&quot;font-family:Times New Roman;font-size:16px;color:#000000\&quot;&gt;(Cho et al., 2019)&lt;/span&gt;&quot;},&quot;366161124&quot;:{&quot;referencesIds&quot;:[&quot;doc:656f22a572dc232e66bead1f&quot;],&quot;referencesOptions&quot;:{&quot;doc:656f22a572dc232e66bead1f&quot;:{&quot;author&quot;:true,&quot;year&quot;:true,&quot;pageReplace&quot;:&quot;&quot;,&quot;prefix&quot;:&quot;&quot;,&quot;suffix&quot;:&quot;&quot;}},&quot;hasBrokenReferences&quot;:false,&quot;hasManualEdits&quot;:false,&quot;citationType&quot;:&quot;inline&quot;,&quot;id&quot;:366161124,&quot;citationText&quot;:&quot;&lt;span style=\&quot;font-family:Times New Roman;font-size:16px;color:#000000\&quot;&gt;(Villeneuve et al., 2019)&lt;/span&gt;&quot;},&quot;415198997&quot;:{&quot;referencesIds&quot;:[&quot;doc:656f25df521b5e2ffd608fcf&quot;],&quot;referencesOptions&quot;:{&quot;doc:656f25df521b5e2ffd608fcf&quot;:{&quot;author&quot;:true,&quot;year&quot;:true,&quot;pageReplace&quot;:&quot;&quot;,&quot;prefix&quot;:&quot;&quot;,&quot;suffix&quot;:&quot;&quot;}},&quot;hasBrokenReferences&quot;:false,&quot;hasManualEdits&quot;:false,&quot;citationType&quot;:&quot;inline&quot;,&quot;id&quot;:415198997,&quot;citationText&quot;:&quot;&lt;span style=\&quot;font-family:Times New Roman;font-size:16px;color:#000000\&quot;&gt;(Wainwright &amp;amp; Nee, 2014)&lt;/span&gt;&quot;},&quot;493454069&quot;:{&quot;referencesIds&quot;:[&quot;doc:656f23edb60e5c26da464f10&quot;],&quot;referencesOptions&quot;:{&quot;doc:656f23edb60e5c26da464f10&quot;:{&quot;author&quot;:true,&quot;year&quot;:true,&quot;pageReplace&quot;:&quot;&quot;,&quot;prefix&quot;:&quot;&quot;,&quot;suffix&quot;:&quot;&quot;}},&quot;hasBrokenReferences&quot;:false,&quot;hasManualEdits&quot;:false,&quot;citationType&quot;:&quot;inline&quot;,&quot;id&quot;:493454069,&quot;citationText&quot;:&quot;&lt;span style=\&quot;font-family:Times New Roman;font-size:16px;color:#000000\&quot;&gt;(Menon &amp;amp; Cheung, 2018)&lt;/span&gt;&quot;},&quot;511992166&quot;:{&quot;referencesIds&quot;:[&quot;doc:656f20c6a31a3d2157422cf7&quot;],&quot;referencesOptions&quot;:{&quot;doc:656f20c6a31a3d2157422cf7&quot;:{&quot;author&quot;:true,&quot;year&quot;:true,&quot;pageReplace&quot;:&quot;&quot;,&quot;prefix&quot;:&quot;&quot;,&quot;suffix&quot;:&quot;&quot;}},&quot;hasBrokenReferences&quot;:false,&quot;hasManualEdits&quot;:false,&quot;citationType&quot;:&quot;inline&quot;,&quot;id&quot;:511992166,&quot;citationText&quot;:&quot;&lt;span style=\&quot;font-family:Times New Roman;font-size:16px;color:#000000\&quot;&gt;(Fox et al., 2015)&lt;/span&gt;&quot;},&quot;681184343&quot;:{&quot;referencesIds&quot;:[&quot;doc:656de918bbedef09c0c1218b&quot;],&quot;referencesOptions&quot;:{&quot;doc:656de918bbedef09c0c1218b&quot;:{&quot;author&quot;:true,&quot;year&quot;:true,&quot;pageReplace&quot;:&quot;&quot;,&quot;prefix&quot;:&quot;&quot;,&quot;suffix&quot;:&quot;&quot;}},&quot;hasBrokenReferences&quot;:false,&quot;hasManualEdits&quot;:false,&quot;citationType&quot;:&quot;inline&quot;,&quot;id&quot;:681184343,&quot;citationText&quot;:&quot;&lt;span style=\&quot;font-family:Times New Roman;font-size:16px;color:#000000\&quot;&gt;(Steinberg et al., 2015)&lt;/span&gt;&quot;},&quot;949437356&quot;:{&quot;referencesIds&quot;:[&quot;doc:656de96fbbedef09c0c121a4&quot;],&quot;referencesOptions&quot;:{&quot;doc:656de96fbbedef09c0c121a4&quot;:{&quot;author&quot;:true,&quot;year&quot;:true,&quot;pageReplace&quot;:&quot;&quot;,&quot;prefix&quot;:&quot;&quot;,&quot;suffix&quot;:&quot;&quot;}},&quot;hasBrokenReferences&quot;:false,&quot;hasManualEdits&quot;:false,&quot;citationType&quot;:&quot;inline&quot;,&quot;id&quot;:949437356,&quot;citationText&quot;:&quot;&lt;span style=\&quot;font-family:Times New Roman;font-size:16px;color:#000000\&quot;&gt;(Moore &amp;amp; N Ramirez, 2016)&lt;/span&gt;&quot;},&quot;1002095479&quot;:{&quot;referencesIds&quot;:[&quot;doc:656de76d7ea40d712ce22ab0&quot;],&quot;referencesOptions&quot;:{&quot;doc:656de76d7ea40d712ce22ab0&quot;:{&quot;author&quot;:true,&quot;year&quot;:true,&quot;pageReplace&quot;:&quot;&quot;,&quot;prefix&quot;:&quot;&quot;,&quot;suffix&quot;:&quot;&quot;}},&quot;hasBrokenReferences&quot;:false,&quot;hasManualEdits&quot;:false,&quot;citationType&quot;:&quot;inline&quot;,&quot;id&quot;:1002095479,&quot;citationText&quot;:&quot;&lt;span style=\&quot;font-family:Times New Roman;font-size:16px;color:#000000\&quot;&gt;(Carl et al., 2020)&lt;/span&gt;&quot;},&quot;1018569160&quot;:{&quot;referencesIds&quot;:[&quot;doc:656f2341ce2e601ed5aa31f6&quot;],&quot;referencesOptions&quot;:{&quot;doc:656f2341ce2e601ed5aa31f6&quot;:{&quot;author&quot;:true,&quot;year&quot;:true,&quot;pageReplace&quot;:&quot;&quot;,&quot;prefix&quot;:&quot;&quot;,&quot;suffix&quot;:&quot;&quot;}},&quot;hasBrokenReferences&quot;:false,&quot;hasManualEdits&quot;:false,&quot;citationType&quot;:&quot;inline&quot;,&quot;id&quot;:1018569160,&quot;citationText&quot;:&quot;&lt;span style=\&quot;font-family:Times New Roman;font-size:16px;color:#000000\&quot;&gt;(Steeves, 2022)&lt;/span&gt;&quot;},&quot;1396437418&quot;:{&quot;referencesIds&quot;:[&quot;doc:656de66872dc232e66be773d&quot;],&quot;referencesOptions&quot;:{&quot;doc:656de66872dc232e66be773d&quot;:{&quot;author&quot;:true,&quot;year&quot;:true,&quot;pageReplace&quot;:&quot;&quot;,&quot;prefix&quot;:&quot;&quot;,&quot;suffix&quot;:&quot;&quot;}},&quot;hasBrokenReferences&quot;:false,&quot;hasManualEdits&quot;:false,&quot;citationType&quot;:&quot;inline&quot;,&quot;id&quot;:1396437418,&quot;citationText&quot;:&quot;&lt;span style=\&quot;font-family:Times New Roman;font-size:16px;color:#000000\&quot;&gt;(Turner et al., 2021)&lt;/span&gt;&quot;},&quot;1445047840&quot;:{&quot;referencesIds&quot;:[&quot;doc:656de890c8e0dc4791e9a04a&quot;],&quot;referencesOptions&quot;:{&quot;doc:656de890c8e0dc4791e9a04a&quot;:{&quot;author&quot;:true,&quot;year&quot;:true,&quot;pageReplace&quot;:&quot;&quot;,&quot;prefix&quot;:&quot;&quot;,&quot;suffix&quot;:&quot;&quot;}},&quot;hasBrokenReferences&quot;:false,&quot;hasManualEdits&quot;:false,&quot;citationType&quot;:&quot;inline&quot;,&quot;id&quot;:1445047840,&quot;citationText&quot;:&quot;&lt;span style=\&quot;font-family:Times New Roman;font-size:16px;color:#000000\&quot;&gt;(Mulvey, 2004)&lt;/span&gt;&quot;},&quot;1509786053&quot;:{&quot;referencesIds&quot;:[&quot;doc:656f262ca31a3d2157422dfa&quot;],&quot;referencesOptions&quot;:{&quot;doc:656f262ca31a3d2157422dfa&quot;:{&quot;author&quot;:true,&quot;year&quot;:true,&quot;pageReplace&quot;:&quot;&quot;,&quot;prefix&quot;:&quot;&quot;,&quot;suffix&quot;:&quot;&quot;}},&quot;hasBrokenReferences&quot;:false,&quot;hasManualEdits&quot;:false,&quot;citationType&quot;:&quot;inline&quot;,&quot;id&quot;:1509786053,&quot;citationText&quot;:&quot;&lt;span style=\&quot;font-family:Times New Roman;font-size:16px;color:#000000\&quot;&gt;(George, 2016)&lt;/span&gt;&quot;},&quot;1595234502&quot;:{&quot;referencesIds&quot;:[&quot;doc:656f257472dc232e66beadb9&quot;],&quot;referencesOptions&quot;:{&quot;doc:656f257472dc232e66beadb9&quot;:{&quot;author&quot;:true,&quot;year&quot;:true,&quot;pageReplace&quot;:&quot;&quot;,&quot;prefix&quot;:&quot;&quot;,&quot;suffix&quot;:&quot;&quot;}},&quot;hasBrokenReferences&quot;:false,&quot;hasManualEdits&quot;:false,&quot;citationType&quot;:&quot;inline&quot;,&quot;id&quot;:1595234502,&quot;citationText&quot;:&quot;&lt;span style=\&quot;font-family:Times New Roman;font-size:16px;color:#000000\&quot;&gt;(Borum et al., 2020)&lt;/span&gt;&quot;},&quot;1884762867&quot;:{&quot;referencesIds&quot;:[&quot;doc:656f23a2521b5e2ffd608f8b&quot;],&quot;referencesOptions&quot;:{&quot;doc:656f23a2521b5e2ffd608f8b&quot;:{&quot;author&quot;:true,&quot;year&quot;:true,&quot;pageReplace&quot;:&quot;&quot;,&quot;prefix&quot;:&quot;&quot;,&quot;suffix&quot;:&quot;&quot;}},&quot;hasBrokenReferences&quot;:false,&quot;hasManualEdits&quot;:false,&quot;citationType&quot;:&quot;inline&quot;,&quot;id&quot;:1884762867,&quot;citationText&quot;:&quot;&lt;span style=\&quot;font-family:Times New Roman;font-size:16px;color:#000000\&quot;&gt;(Skewes et al., 2019)&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461C2795-840F-4048-884C-A17A619DB6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B791DF-FDF5-4D39-8025-EEED5A70004A}">
  <ds:schemaRefs>
    <ds:schemaRef ds:uri="http://schemas.microsoft.com/sharepoint/v3/contenttype/forms"/>
  </ds:schemaRefs>
</ds:datastoreItem>
</file>

<file path=customXml/itemProps3.xml><?xml version="1.0" encoding="utf-8"?>
<ds:datastoreItem xmlns:ds="http://schemas.openxmlformats.org/officeDocument/2006/customXml" ds:itemID="{3E3E3F4E-BA0B-4FDF-8C33-89AC894E2029}">
  <ds:schemaRefs>
    <ds:schemaRef ds:uri="95817cb9-f0eb-4f4d-892c-47ab9f8957c0"/>
    <ds:schemaRef ds:uri="http://purl.org/dc/elements/1.1/"/>
    <ds:schemaRef ds:uri="http://schemas.microsoft.com/office/2006/metadata/properties"/>
    <ds:schemaRef ds:uri="http://purl.org/dc/dcmitype/"/>
    <ds:schemaRef ds:uri="http://purl.org/dc/terms/"/>
    <ds:schemaRef ds:uri="http://schemas.openxmlformats.org/package/2006/metadata/core-properties"/>
    <ds:schemaRef ds:uri="9823f8e4-81f3-4a59-a026-c1a9717271fd"/>
    <ds:schemaRef ds:uri="http://schemas.microsoft.com/office/2006/documentManagement/types"/>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Ceri Phelps</dc:creator>
  <keywords/>
  <dc:description/>
  <lastModifiedBy>Emma Williams (2107833)</lastModifiedBy>
  <revision>4</revision>
  <dcterms:created xsi:type="dcterms:W3CDTF">2023-12-29T16:35:00.0000000Z</dcterms:created>
  <dcterms:modified xsi:type="dcterms:W3CDTF">2024-01-06T10:54:15.0203699Z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