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Pr="00E9681E" w:rsidRDefault="00F37B62" w:rsidP="00E9681E">
      <w:pPr>
        <w:spacing w:line="360" w:lineRule="auto"/>
        <w:jc w:val="center"/>
        <w:rPr>
          <w:rFonts w:ascii="Times New Roman" w:hAnsi="Times New Roman" w:cs="Times New Roman"/>
          <w:sz w:val="24"/>
          <w:szCs w:val="24"/>
        </w:rPr>
      </w:pPr>
      <w:r w:rsidRPr="00E9681E">
        <w:rPr>
          <w:rFonts w:ascii="Times New Roman" w:hAnsi="Times New Roman" w:cs="Times New Roman"/>
          <w:noProof/>
          <w:sz w:val="24"/>
          <w:szCs w:val="24"/>
          <w:lang w:val="en-US" w:eastAsia="en-US"/>
        </w:rPr>
        <w:drawing>
          <wp:inline distT="0" distB="0" distL="0" distR="0" wp14:anchorId="319B7E25" wp14:editId="21DE67F3">
            <wp:extent cx="4186451" cy="1388506"/>
            <wp:effectExtent l="0" t="0" r="508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1979" cy="1390340"/>
                    </a:xfrm>
                    <a:prstGeom prst="rect">
                      <a:avLst/>
                    </a:prstGeom>
                    <a:noFill/>
                  </pic:spPr>
                </pic:pic>
              </a:graphicData>
            </a:graphic>
          </wp:inline>
        </w:drawing>
      </w:r>
    </w:p>
    <w:p w14:paraId="05A13EAD" w14:textId="15EE3251" w:rsidR="00F37B62" w:rsidRPr="00E9681E" w:rsidRDefault="00F37B62" w:rsidP="00E9681E">
      <w:pPr>
        <w:spacing w:line="360" w:lineRule="auto"/>
        <w:rPr>
          <w:rFonts w:ascii="Times New Roman" w:hAnsi="Times New Roman" w:cs="Times New Roman"/>
          <w:sz w:val="24"/>
          <w:szCs w:val="24"/>
        </w:rPr>
      </w:pPr>
    </w:p>
    <w:p w14:paraId="3A2C342B" w14:textId="4CDA3754" w:rsidR="00F37B62" w:rsidRPr="00E9681E" w:rsidRDefault="00F37B62" w:rsidP="00E9681E">
      <w:pPr>
        <w:spacing w:line="360" w:lineRule="auto"/>
        <w:rPr>
          <w:rFonts w:ascii="Times New Roman" w:hAnsi="Times New Roman" w:cs="Times New Roman"/>
          <w:sz w:val="24"/>
          <w:szCs w:val="24"/>
        </w:rPr>
      </w:pPr>
    </w:p>
    <w:p w14:paraId="6A8965F5" w14:textId="4B31DB52" w:rsidR="00F37B62" w:rsidRPr="00E9681E" w:rsidRDefault="006833D5" w:rsidP="00E9681E">
      <w:pPr>
        <w:spacing w:line="360" w:lineRule="auto"/>
        <w:jc w:val="center"/>
        <w:rPr>
          <w:rFonts w:ascii="Times New Roman" w:hAnsi="Times New Roman" w:cs="Times New Roman"/>
          <w:b/>
          <w:bCs/>
          <w:sz w:val="24"/>
          <w:szCs w:val="24"/>
        </w:rPr>
      </w:pPr>
      <w:r w:rsidRPr="00E9681E">
        <w:rPr>
          <w:rFonts w:ascii="Times New Roman" w:hAnsi="Times New Roman" w:cs="Times New Roman"/>
          <w:b/>
          <w:bCs/>
          <w:sz w:val="24"/>
          <w:szCs w:val="24"/>
        </w:rPr>
        <w:t>BA (Hons) Leadership and Management</w:t>
      </w:r>
    </w:p>
    <w:p w14:paraId="43FA50BC" w14:textId="1990816A" w:rsidR="00F37B62" w:rsidRPr="00E9681E" w:rsidRDefault="007F31CE" w:rsidP="00E9681E">
      <w:pPr>
        <w:spacing w:line="360" w:lineRule="auto"/>
        <w:jc w:val="center"/>
        <w:rPr>
          <w:rFonts w:ascii="Times New Roman" w:hAnsi="Times New Roman" w:cs="Times New Roman"/>
          <w:sz w:val="24"/>
          <w:szCs w:val="24"/>
        </w:rPr>
      </w:pPr>
      <w:r w:rsidRPr="00E9681E">
        <w:rPr>
          <w:rFonts w:ascii="Times New Roman" w:hAnsi="Times New Roman" w:cs="Times New Roman"/>
          <w:sz w:val="24"/>
          <w:szCs w:val="24"/>
        </w:rPr>
        <w:t>(Stakeholders Engagement)</w:t>
      </w:r>
    </w:p>
    <w:p w14:paraId="1EE10BBF" w14:textId="4BD5FAAD" w:rsidR="00F37B62" w:rsidRPr="00E9681E" w:rsidRDefault="00F37B62" w:rsidP="00E9681E">
      <w:pPr>
        <w:spacing w:line="360" w:lineRule="auto"/>
        <w:jc w:val="center"/>
        <w:rPr>
          <w:rFonts w:ascii="Times New Roman" w:hAnsi="Times New Roman" w:cs="Times New Roman"/>
          <w:b/>
          <w:bCs/>
          <w:i/>
          <w:iCs/>
          <w:sz w:val="24"/>
          <w:szCs w:val="24"/>
        </w:rPr>
      </w:pPr>
      <w:r w:rsidRPr="00E9681E">
        <w:rPr>
          <w:rFonts w:ascii="Times New Roman" w:hAnsi="Times New Roman" w:cs="Times New Roman"/>
          <w:b/>
          <w:bCs/>
          <w:i/>
          <w:iCs/>
          <w:sz w:val="24"/>
          <w:szCs w:val="24"/>
        </w:rPr>
        <w:t>Student Name:</w:t>
      </w:r>
      <w:r w:rsidR="00FF23C7">
        <w:rPr>
          <w:rFonts w:ascii="Times New Roman" w:hAnsi="Times New Roman" w:cs="Times New Roman"/>
          <w:b/>
          <w:bCs/>
          <w:i/>
          <w:iCs/>
          <w:sz w:val="24"/>
          <w:szCs w:val="24"/>
        </w:rPr>
        <w:t xml:space="preserve">  Gheorghe Sterea</w:t>
      </w:r>
    </w:p>
    <w:p w14:paraId="432CDF3F" w14:textId="58E54023" w:rsidR="00F37B62" w:rsidRPr="00E9681E" w:rsidRDefault="00F37B62" w:rsidP="00E9681E">
      <w:pPr>
        <w:spacing w:line="360" w:lineRule="auto"/>
        <w:jc w:val="center"/>
        <w:rPr>
          <w:rFonts w:ascii="Times New Roman" w:hAnsi="Times New Roman" w:cs="Times New Roman"/>
          <w:b/>
          <w:bCs/>
          <w:i/>
          <w:iCs/>
          <w:sz w:val="24"/>
          <w:szCs w:val="24"/>
        </w:rPr>
      </w:pPr>
      <w:r w:rsidRPr="00E9681E">
        <w:rPr>
          <w:rFonts w:ascii="Times New Roman" w:hAnsi="Times New Roman" w:cs="Times New Roman"/>
          <w:b/>
          <w:bCs/>
          <w:i/>
          <w:iCs/>
          <w:sz w:val="24"/>
          <w:szCs w:val="24"/>
        </w:rPr>
        <w:t>Student Number:</w:t>
      </w:r>
      <w:r w:rsidR="00FF23C7">
        <w:rPr>
          <w:rFonts w:ascii="Times New Roman" w:hAnsi="Times New Roman" w:cs="Times New Roman"/>
          <w:b/>
          <w:bCs/>
          <w:i/>
          <w:iCs/>
          <w:sz w:val="24"/>
          <w:szCs w:val="24"/>
        </w:rPr>
        <w:t xml:space="preserve"> 241652</w:t>
      </w:r>
      <w:r w:rsidR="00AB73CB">
        <w:rPr>
          <w:rFonts w:ascii="Times New Roman" w:hAnsi="Times New Roman" w:cs="Times New Roman"/>
          <w:b/>
          <w:bCs/>
          <w:i/>
          <w:iCs/>
          <w:sz w:val="24"/>
          <w:szCs w:val="24"/>
        </w:rPr>
        <w:t>3</w:t>
      </w:r>
    </w:p>
    <w:p w14:paraId="7E1CCFBB" w14:textId="77777777" w:rsidR="007F31CE" w:rsidRPr="00E9681E" w:rsidRDefault="007F31CE" w:rsidP="00E9681E">
      <w:pPr>
        <w:spacing w:line="360" w:lineRule="auto"/>
        <w:jc w:val="center"/>
        <w:rPr>
          <w:rFonts w:ascii="Times New Roman" w:hAnsi="Times New Roman" w:cs="Times New Roman"/>
          <w:b/>
          <w:bCs/>
          <w:i/>
          <w:iCs/>
          <w:sz w:val="24"/>
          <w:szCs w:val="24"/>
        </w:rPr>
      </w:pPr>
    </w:p>
    <w:p w14:paraId="777CB569" w14:textId="12655473" w:rsidR="00F37B62" w:rsidRPr="00E9681E" w:rsidRDefault="00F37B62" w:rsidP="00E9681E">
      <w:pPr>
        <w:spacing w:line="360" w:lineRule="auto"/>
        <w:jc w:val="center"/>
        <w:rPr>
          <w:rFonts w:ascii="Times New Roman" w:hAnsi="Times New Roman" w:cs="Times New Roman"/>
          <w:i/>
          <w:iCs/>
          <w:sz w:val="24"/>
          <w:szCs w:val="24"/>
        </w:rPr>
      </w:pPr>
      <w:r w:rsidRPr="00E9681E">
        <w:rPr>
          <w:rFonts w:ascii="Times New Roman" w:hAnsi="Times New Roman" w:cs="Times New Roman"/>
          <w:b/>
          <w:bCs/>
          <w:i/>
          <w:iCs/>
          <w:sz w:val="24"/>
          <w:szCs w:val="24"/>
        </w:rPr>
        <w:t>Course Name:</w:t>
      </w:r>
      <w:r w:rsidRPr="00E9681E">
        <w:rPr>
          <w:rFonts w:ascii="Times New Roman" w:hAnsi="Times New Roman" w:cs="Times New Roman"/>
          <w:i/>
          <w:iCs/>
          <w:sz w:val="24"/>
          <w:szCs w:val="24"/>
        </w:rPr>
        <w:t xml:space="preserve"> </w:t>
      </w:r>
      <w:r w:rsidR="006833D5" w:rsidRPr="00E9681E">
        <w:rPr>
          <w:rFonts w:ascii="Times New Roman" w:hAnsi="Times New Roman" w:cs="Times New Roman"/>
          <w:i/>
          <w:iCs/>
          <w:sz w:val="24"/>
          <w:szCs w:val="24"/>
        </w:rPr>
        <w:t>Understanding and Engaging stakeholders LCLM5001</w:t>
      </w:r>
    </w:p>
    <w:p w14:paraId="453BF464" w14:textId="77777777" w:rsidR="007F31CE" w:rsidRPr="00E9681E" w:rsidRDefault="007F31CE" w:rsidP="00E9681E">
      <w:pPr>
        <w:spacing w:line="360" w:lineRule="auto"/>
        <w:jc w:val="center"/>
        <w:rPr>
          <w:rFonts w:ascii="Times New Roman" w:hAnsi="Times New Roman" w:cs="Times New Roman"/>
          <w:i/>
          <w:iCs/>
          <w:sz w:val="24"/>
          <w:szCs w:val="24"/>
        </w:rPr>
      </w:pPr>
    </w:p>
    <w:p w14:paraId="3F81286F" w14:textId="77777777" w:rsidR="007F31CE" w:rsidRPr="00E9681E" w:rsidRDefault="007F31CE" w:rsidP="00E9681E">
      <w:pPr>
        <w:spacing w:line="360" w:lineRule="auto"/>
        <w:jc w:val="center"/>
        <w:rPr>
          <w:rFonts w:ascii="Times New Roman" w:hAnsi="Times New Roman" w:cs="Times New Roman"/>
          <w:i/>
          <w:iCs/>
          <w:sz w:val="24"/>
          <w:szCs w:val="24"/>
        </w:rPr>
      </w:pPr>
    </w:p>
    <w:p w14:paraId="556C6252" w14:textId="242DA519" w:rsidR="00F37B62" w:rsidRPr="00E9681E" w:rsidRDefault="00F37B62" w:rsidP="00E9681E">
      <w:pPr>
        <w:spacing w:line="360" w:lineRule="auto"/>
        <w:jc w:val="center"/>
        <w:rPr>
          <w:rFonts w:ascii="Times New Roman" w:hAnsi="Times New Roman" w:cs="Times New Roman"/>
          <w:i/>
          <w:iCs/>
          <w:sz w:val="24"/>
          <w:szCs w:val="24"/>
        </w:rPr>
      </w:pPr>
      <w:r w:rsidRPr="00E9681E">
        <w:rPr>
          <w:rFonts w:ascii="Times New Roman" w:hAnsi="Times New Roman" w:cs="Times New Roman"/>
          <w:b/>
          <w:bCs/>
          <w:i/>
          <w:iCs/>
          <w:sz w:val="24"/>
          <w:szCs w:val="24"/>
        </w:rPr>
        <w:t xml:space="preserve">Lecturer Name: </w:t>
      </w:r>
      <w:r w:rsidR="007F31CE" w:rsidRPr="00E9681E">
        <w:rPr>
          <w:rFonts w:ascii="Times New Roman" w:hAnsi="Times New Roman" w:cs="Times New Roman"/>
          <w:b/>
          <w:bCs/>
          <w:i/>
          <w:iCs/>
          <w:sz w:val="24"/>
          <w:szCs w:val="24"/>
        </w:rPr>
        <w:t xml:space="preserve">Dr. </w:t>
      </w:r>
      <w:r w:rsidR="0097679A">
        <w:rPr>
          <w:rFonts w:ascii="Times New Roman" w:hAnsi="Times New Roman" w:cs="Times New Roman"/>
          <w:b/>
          <w:bCs/>
          <w:i/>
          <w:iCs/>
          <w:sz w:val="24"/>
          <w:szCs w:val="24"/>
        </w:rPr>
        <w:t xml:space="preserve">  Sukhpreet Grewal</w:t>
      </w:r>
    </w:p>
    <w:p w14:paraId="1D93CDAE" w14:textId="77777777" w:rsidR="007F31CE" w:rsidRPr="00E9681E" w:rsidRDefault="007F31CE" w:rsidP="00E9681E">
      <w:pPr>
        <w:spacing w:line="360" w:lineRule="auto"/>
        <w:jc w:val="center"/>
        <w:rPr>
          <w:rFonts w:ascii="Times New Roman" w:hAnsi="Times New Roman" w:cs="Times New Roman"/>
          <w:i/>
          <w:iCs/>
          <w:sz w:val="24"/>
          <w:szCs w:val="24"/>
        </w:rPr>
      </w:pPr>
    </w:p>
    <w:p w14:paraId="2C69753F" w14:textId="77777777" w:rsidR="007F31CE" w:rsidRPr="00E9681E" w:rsidRDefault="007F31CE" w:rsidP="00E9681E">
      <w:pPr>
        <w:spacing w:line="360" w:lineRule="auto"/>
        <w:jc w:val="center"/>
        <w:rPr>
          <w:rFonts w:ascii="Times New Roman" w:hAnsi="Times New Roman" w:cs="Times New Roman"/>
          <w:i/>
          <w:iCs/>
          <w:sz w:val="24"/>
          <w:szCs w:val="24"/>
        </w:rPr>
      </w:pPr>
    </w:p>
    <w:p w14:paraId="456E7B9F" w14:textId="77777777" w:rsidR="007F31CE" w:rsidRPr="00E9681E" w:rsidRDefault="007F31CE" w:rsidP="00E9681E">
      <w:pPr>
        <w:spacing w:line="360" w:lineRule="auto"/>
        <w:jc w:val="center"/>
        <w:rPr>
          <w:rFonts w:ascii="Times New Roman" w:hAnsi="Times New Roman" w:cs="Times New Roman"/>
          <w:i/>
          <w:iCs/>
          <w:sz w:val="24"/>
          <w:szCs w:val="24"/>
        </w:rPr>
      </w:pPr>
    </w:p>
    <w:p w14:paraId="35114BF3" w14:textId="77777777" w:rsidR="007F31CE" w:rsidRPr="00E9681E" w:rsidRDefault="007F31CE" w:rsidP="00E9681E">
      <w:pPr>
        <w:spacing w:line="360" w:lineRule="auto"/>
        <w:rPr>
          <w:rFonts w:ascii="Times New Roman" w:hAnsi="Times New Roman" w:cs="Times New Roman"/>
          <w:b/>
          <w:bCs/>
          <w:i/>
          <w:iCs/>
          <w:sz w:val="24"/>
          <w:szCs w:val="24"/>
        </w:rPr>
      </w:pPr>
    </w:p>
    <w:p w14:paraId="6F008D0F" w14:textId="77777777" w:rsidR="00254661" w:rsidRDefault="00254661" w:rsidP="00E9681E">
      <w:pPr>
        <w:spacing w:line="360" w:lineRule="auto"/>
        <w:rPr>
          <w:rFonts w:ascii="Times New Roman" w:hAnsi="Times New Roman" w:cs="Times New Roman"/>
          <w:b/>
          <w:bCs/>
          <w:i/>
          <w:iCs/>
          <w:sz w:val="24"/>
          <w:szCs w:val="24"/>
        </w:rPr>
      </w:pPr>
    </w:p>
    <w:p w14:paraId="71670051" w14:textId="77777777" w:rsidR="00254661" w:rsidRDefault="00254661" w:rsidP="00E9681E">
      <w:pPr>
        <w:spacing w:line="360" w:lineRule="auto"/>
        <w:rPr>
          <w:rFonts w:ascii="Times New Roman" w:hAnsi="Times New Roman" w:cs="Times New Roman"/>
          <w:b/>
          <w:bCs/>
          <w:i/>
          <w:iCs/>
          <w:sz w:val="24"/>
          <w:szCs w:val="24"/>
        </w:rPr>
      </w:pPr>
    </w:p>
    <w:p w14:paraId="426EEAB7" w14:textId="77777777" w:rsidR="00254661" w:rsidRDefault="00254661" w:rsidP="00E9681E">
      <w:pPr>
        <w:spacing w:line="360" w:lineRule="auto"/>
        <w:rPr>
          <w:rFonts w:ascii="Times New Roman" w:hAnsi="Times New Roman" w:cs="Times New Roman"/>
          <w:b/>
          <w:bCs/>
          <w:i/>
          <w:iCs/>
          <w:sz w:val="24"/>
          <w:szCs w:val="24"/>
        </w:rPr>
      </w:pPr>
    </w:p>
    <w:p w14:paraId="12DCBBA6" w14:textId="77777777" w:rsidR="00254661" w:rsidRDefault="00254661" w:rsidP="00E9681E">
      <w:pPr>
        <w:spacing w:line="360" w:lineRule="auto"/>
        <w:rPr>
          <w:rFonts w:ascii="Times New Roman" w:hAnsi="Times New Roman" w:cs="Times New Roman"/>
          <w:b/>
          <w:bCs/>
          <w:i/>
          <w:iCs/>
          <w:sz w:val="24"/>
          <w:szCs w:val="24"/>
        </w:rPr>
      </w:pPr>
    </w:p>
    <w:p w14:paraId="300834F4" w14:textId="342F3A4F" w:rsidR="545F6007" w:rsidRPr="00254661" w:rsidRDefault="545F6007" w:rsidP="00254661">
      <w:pPr>
        <w:pStyle w:val="Heading1"/>
        <w:rPr>
          <w:b/>
        </w:rPr>
      </w:pPr>
      <w:r w:rsidRPr="00254661">
        <w:rPr>
          <w:b/>
        </w:rPr>
        <w:lastRenderedPageBreak/>
        <w:t xml:space="preserve">Table of Content </w:t>
      </w:r>
    </w:p>
    <w:sdt>
      <w:sdtPr>
        <w:rPr>
          <w:rFonts w:asciiTheme="minorHAnsi" w:eastAsiaTheme="minorEastAsia" w:hAnsiTheme="minorHAnsi" w:cstheme="minorBidi"/>
          <w:color w:val="auto"/>
          <w:sz w:val="22"/>
          <w:szCs w:val="22"/>
          <w:lang w:val="en-GB" w:eastAsia="zh-CN"/>
        </w:rPr>
        <w:id w:val="2057661873"/>
        <w:docPartObj>
          <w:docPartGallery w:val="Table of Contents"/>
          <w:docPartUnique/>
        </w:docPartObj>
      </w:sdtPr>
      <w:sdtEndPr>
        <w:rPr>
          <w:b/>
          <w:bCs/>
          <w:noProof/>
        </w:rPr>
      </w:sdtEndPr>
      <w:sdtContent>
        <w:p w14:paraId="3D1721AB" w14:textId="6E597796" w:rsidR="00254661" w:rsidRPr="00254661" w:rsidRDefault="00254661">
          <w:pPr>
            <w:pStyle w:val="TOCHeading"/>
            <w:rPr>
              <w:b/>
            </w:rPr>
          </w:pPr>
          <w:r w:rsidRPr="00254661">
            <w:rPr>
              <w:b/>
            </w:rPr>
            <w:t>Contents Table</w:t>
          </w:r>
        </w:p>
        <w:p w14:paraId="4B383973" w14:textId="32E3A4EF" w:rsidR="00254661" w:rsidRDefault="00254661">
          <w:pPr>
            <w:pStyle w:val="TOC1"/>
            <w:tabs>
              <w:tab w:val="right" w:leader="dot" w:pos="9016"/>
            </w:tabs>
            <w:rPr>
              <w:noProof/>
            </w:rPr>
          </w:pPr>
          <w:r>
            <w:fldChar w:fldCharType="begin"/>
          </w:r>
          <w:r>
            <w:instrText xml:space="preserve"> TOC \o "1-3" \h \z \u </w:instrText>
          </w:r>
          <w:r>
            <w:fldChar w:fldCharType="separate"/>
          </w:r>
          <w:hyperlink w:anchor="_Toc211998061" w:history="1">
            <w:r w:rsidRPr="00B57B3F">
              <w:rPr>
                <w:rStyle w:val="Hyperlink"/>
                <w:rFonts w:ascii="Times New Roman" w:hAnsi="Times New Roman" w:cs="Times New Roman"/>
                <w:b/>
                <w:noProof/>
              </w:rPr>
              <w:t>Introduction to AstraZeneca</w:t>
            </w:r>
            <w:r>
              <w:rPr>
                <w:noProof/>
                <w:webHidden/>
              </w:rPr>
              <w:tab/>
            </w:r>
            <w:r>
              <w:rPr>
                <w:noProof/>
                <w:webHidden/>
              </w:rPr>
              <w:fldChar w:fldCharType="begin"/>
            </w:r>
            <w:r>
              <w:rPr>
                <w:noProof/>
                <w:webHidden/>
              </w:rPr>
              <w:instrText xml:space="preserve"> PAGEREF _Toc211998061 \h </w:instrText>
            </w:r>
            <w:r>
              <w:rPr>
                <w:noProof/>
                <w:webHidden/>
              </w:rPr>
            </w:r>
            <w:r>
              <w:rPr>
                <w:noProof/>
                <w:webHidden/>
              </w:rPr>
              <w:fldChar w:fldCharType="separate"/>
            </w:r>
            <w:r>
              <w:rPr>
                <w:noProof/>
                <w:webHidden/>
              </w:rPr>
              <w:t>2</w:t>
            </w:r>
            <w:r>
              <w:rPr>
                <w:noProof/>
                <w:webHidden/>
              </w:rPr>
              <w:fldChar w:fldCharType="end"/>
            </w:r>
          </w:hyperlink>
        </w:p>
        <w:p w14:paraId="4700DF26" w14:textId="020EE0FD" w:rsidR="00254661" w:rsidRDefault="00254661">
          <w:pPr>
            <w:pStyle w:val="TOC1"/>
            <w:tabs>
              <w:tab w:val="right" w:leader="dot" w:pos="9016"/>
            </w:tabs>
            <w:rPr>
              <w:noProof/>
            </w:rPr>
          </w:pPr>
          <w:hyperlink w:anchor="_Toc211998062" w:history="1">
            <w:r w:rsidRPr="00B57B3F">
              <w:rPr>
                <w:rStyle w:val="Hyperlink"/>
                <w:rFonts w:ascii="Times New Roman" w:hAnsi="Times New Roman" w:cs="Times New Roman"/>
                <w:b/>
                <w:noProof/>
              </w:rPr>
              <w:t>Appraisal of AstraZeneca Using SWOT Analysis</w:t>
            </w:r>
            <w:r>
              <w:rPr>
                <w:noProof/>
                <w:webHidden/>
              </w:rPr>
              <w:tab/>
            </w:r>
            <w:r>
              <w:rPr>
                <w:noProof/>
                <w:webHidden/>
              </w:rPr>
              <w:fldChar w:fldCharType="begin"/>
            </w:r>
            <w:r>
              <w:rPr>
                <w:noProof/>
                <w:webHidden/>
              </w:rPr>
              <w:instrText xml:space="preserve"> PAGEREF _Toc211998062 \h </w:instrText>
            </w:r>
            <w:r>
              <w:rPr>
                <w:noProof/>
                <w:webHidden/>
              </w:rPr>
            </w:r>
            <w:r>
              <w:rPr>
                <w:noProof/>
                <w:webHidden/>
              </w:rPr>
              <w:fldChar w:fldCharType="separate"/>
            </w:r>
            <w:r>
              <w:rPr>
                <w:noProof/>
                <w:webHidden/>
              </w:rPr>
              <w:t>3</w:t>
            </w:r>
            <w:r>
              <w:rPr>
                <w:noProof/>
                <w:webHidden/>
              </w:rPr>
              <w:fldChar w:fldCharType="end"/>
            </w:r>
          </w:hyperlink>
        </w:p>
        <w:p w14:paraId="077D7DA4" w14:textId="4C01092F" w:rsidR="00254661" w:rsidRDefault="00254661">
          <w:pPr>
            <w:pStyle w:val="TOC1"/>
            <w:tabs>
              <w:tab w:val="right" w:leader="dot" w:pos="9016"/>
            </w:tabs>
            <w:rPr>
              <w:noProof/>
            </w:rPr>
          </w:pPr>
          <w:hyperlink w:anchor="_Toc211998063" w:history="1">
            <w:r w:rsidRPr="00B57B3F">
              <w:rPr>
                <w:rStyle w:val="Hyperlink"/>
                <w:rFonts w:ascii="Times New Roman" w:hAnsi="Times New Roman" w:cs="Times New Roman"/>
                <w:b/>
                <w:noProof/>
              </w:rPr>
              <w:t>Key Stakeholders for the Wearable Health Device Project at AstraZeneca</w:t>
            </w:r>
            <w:r>
              <w:rPr>
                <w:noProof/>
                <w:webHidden/>
              </w:rPr>
              <w:tab/>
            </w:r>
            <w:r>
              <w:rPr>
                <w:noProof/>
                <w:webHidden/>
              </w:rPr>
              <w:fldChar w:fldCharType="begin"/>
            </w:r>
            <w:r>
              <w:rPr>
                <w:noProof/>
                <w:webHidden/>
              </w:rPr>
              <w:instrText xml:space="preserve"> PAGEREF _Toc211998063 \h </w:instrText>
            </w:r>
            <w:r>
              <w:rPr>
                <w:noProof/>
                <w:webHidden/>
              </w:rPr>
            </w:r>
            <w:r>
              <w:rPr>
                <w:noProof/>
                <w:webHidden/>
              </w:rPr>
              <w:fldChar w:fldCharType="separate"/>
            </w:r>
            <w:r>
              <w:rPr>
                <w:noProof/>
                <w:webHidden/>
              </w:rPr>
              <w:t>6</w:t>
            </w:r>
            <w:r>
              <w:rPr>
                <w:noProof/>
                <w:webHidden/>
              </w:rPr>
              <w:fldChar w:fldCharType="end"/>
            </w:r>
          </w:hyperlink>
        </w:p>
        <w:p w14:paraId="74499EF8" w14:textId="6118B875" w:rsidR="00254661" w:rsidRDefault="00254661">
          <w:pPr>
            <w:pStyle w:val="TOC2"/>
            <w:tabs>
              <w:tab w:val="right" w:leader="dot" w:pos="9016"/>
            </w:tabs>
            <w:rPr>
              <w:noProof/>
            </w:rPr>
          </w:pPr>
          <w:hyperlink w:anchor="_Toc211998064" w:history="1">
            <w:r w:rsidRPr="00B57B3F">
              <w:rPr>
                <w:rStyle w:val="Hyperlink"/>
                <w:rFonts w:ascii="Times New Roman" w:hAnsi="Times New Roman" w:cs="Times New Roman"/>
                <w:b/>
                <w:noProof/>
              </w:rPr>
              <w:t>Internal Stakeholders</w:t>
            </w:r>
            <w:r>
              <w:rPr>
                <w:noProof/>
                <w:webHidden/>
              </w:rPr>
              <w:tab/>
            </w:r>
            <w:r>
              <w:rPr>
                <w:noProof/>
                <w:webHidden/>
              </w:rPr>
              <w:fldChar w:fldCharType="begin"/>
            </w:r>
            <w:r>
              <w:rPr>
                <w:noProof/>
                <w:webHidden/>
              </w:rPr>
              <w:instrText xml:space="preserve"> PAGEREF _Toc211998064 \h </w:instrText>
            </w:r>
            <w:r>
              <w:rPr>
                <w:noProof/>
                <w:webHidden/>
              </w:rPr>
            </w:r>
            <w:r>
              <w:rPr>
                <w:noProof/>
                <w:webHidden/>
              </w:rPr>
              <w:fldChar w:fldCharType="separate"/>
            </w:r>
            <w:r>
              <w:rPr>
                <w:noProof/>
                <w:webHidden/>
              </w:rPr>
              <w:t>6</w:t>
            </w:r>
            <w:r>
              <w:rPr>
                <w:noProof/>
                <w:webHidden/>
              </w:rPr>
              <w:fldChar w:fldCharType="end"/>
            </w:r>
          </w:hyperlink>
        </w:p>
        <w:p w14:paraId="4764783E" w14:textId="073DE2E3" w:rsidR="00254661" w:rsidRDefault="00254661">
          <w:pPr>
            <w:pStyle w:val="TOC2"/>
            <w:tabs>
              <w:tab w:val="right" w:leader="dot" w:pos="9016"/>
            </w:tabs>
            <w:rPr>
              <w:noProof/>
            </w:rPr>
          </w:pPr>
          <w:hyperlink w:anchor="_Toc211998065" w:history="1">
            <w:r w:rsidRPr="00B57B3F">
              <w:rPr>
                <w:rStyle w:val="Hyperlink"/>
                <w:rFonts w:ascii="Times New Roman" w:hAnsi="Times New Roman" w:cs="Times New Roman"/>
                <w:b/>
                <w:noProof/>
              </w:rPr>
              <w:t>External Stakeholders</w:t>
            </w:r>
            <w:r>
              <w:rPr>
                <w:noProof/>
                <w:webHidden/>
              </w:rPr>
              <w:tab/>
            </w:r>
            <w:r>
              <w:rPr>
                <w:noProof/>
                <w:webHidden/>
              </w:rPr>
              <w:fldChar w:fldCharType="begin"/>
            </w:r>
            <w:r>
              <w:rPr>
                <w:noProof/>
                <w:webHidden/>
              </w:rPr>
              <w:instrText xml:space="preserve"> PAGEREF _Toc211998065 \h </w:instrText>
            </w:r>
            <w:r>
              <w:rPr>
                <w:noProof/>
                <w:webHidden/>
              </w:rPr>
            </w:r>
            <w:r>
              <w:rPr>
                <w:noProof/>
                <w:webHidden/>
              </w:rPr>
              <w:fldChar w:fldCharType="separate"/>
            </w:r>
            <w:r>
              <w:rPr>
                <w:noProof/>
                <w:webHidden/>
              </w:rPr>
              <w:t>7</w:t>
            </w:r>
            <w:r>
              <w:rPr>
                <w:noProof/>
                <w:webHidden/>
              </w:rPr>
              <w:fldChar w:fldCharType="end"/>
            </w:r>
          </w:hyperlink>
        </w:p>
        <w:p w14:paraId="7465CEF1" w14:textId="29469BFE" w:rsidR="00254661" w:rsidRDefault="00254661">
          <w:pPr>
            <w:pStyle w:val="TOC1"/>
            <w:tabs>
              <w:tab w:val="right" w:leader="dot" w:pos="9016"/>
            </w:tabs>
            <w:rPr>
              <w:noProof/>
            </w:rPr>
          </w:pPr>
          <w:hyperlink w:anchor="_Toc211998066" w:history="1">
            <w:r w:rsidRPr="00B57B3F">
              <w:rPr>
                <w:rStyle w:val="Hyperlink"/>
                <w:rFonts w:ascii="Times New Roman" w:hAnsi="Times New Roman" w:cs="Times New Roman"/>
                <w:b/>
                <w:noProof/>
              </w:rPr>
              <w:t>Frameworks, Models, and Theories for Stakeholder Engagement</w:t>
            </w:r>
            <w:r>
              <w:rPr>
                <w:noProof/>
                <w:webHidden/>
              </w:rPr>
              <w:tab/>
            </w:r>
            <w:r>
              <w:rPr>
                <w:noProof/>
                <w:webHidden/>
              </w:rPr>
              <w:fldChar w:fldCharType="begin"/>
            </w:r>
            <w:r>
              <w:rPr>
                <w:noProof/>
                <w:webHidden/>
              </w:rPr>
              <w:instrText xml:space="preserve"> PAGEREF _Toc211998066 \h </w:instrText>
            </w:r>
            <w:r>
              <w:rPr>
                <w:noProof/>
                <w:webHidden/>
              </w:rPr>
            </w:r>
            <w:r>
              <w:rPr>
                <w:noProof/>
                <w:webHidden/>
              </w:rPr>
              <w:fldChar w:fldCharType="separate"/>
            </w:r>
            <w:r>
              <w:rPr>
                <w:noProof/>
                <w:webHidden/>
              </w:rPr>
              <w:t>8</w:t>
            </w:r>
            <w:r>
              <w:rPr>
                <w:noProof/>
                <w:webHidden/>
              </w:rPr>
              <w:fldChar w:fldCharType="end"/>
            </w:r>
          </w:hyperlink>
        </w:p>
        <w:p w14:paraId="00C0ED63" w14:textId="6E381EC0" w:rsidR="00254661" w:rsidRDefault="00254661">
          <w:pPr>
            <w:pStyle w:val="TOC2"/>
            <w:tabs>
              <w:tab w:val="right" w:leader="dot" w:pos="9016"/>
            </w:tabs>
            <w:rPr>
              <w:noProof/>
            </w:rPr>
          </w:pPr>
          <w:hyperlink w:anchor="_Toc211998067" w:history="1">
            <w:r w:rsidRPr="00B57B3F">
              <w:rPr>
                <w:rStyle w:val="Hyperlink"/>
                <w:rFonts w:ascii="Times New Roman" w:hAnsi="Times New Roman" w:cs="Times New Roman"/>
                <w:b/>
                <w:noProof/>
              </w:rPr>
              <w:t>Stakeholder Matrix on AstraZeneca Project</w:t>
            </w:r>
            <w:r>
              <w:rPr>
                <w:noProof/>
                <w:webHidden/>
              </w:rPr>
              <w:tab/>
            </w:r>
            <w:r>
              <w:rPr>
                <w:noProof/>
                <w:webHidden/>
              </w:rPr>
              <w:fldChar w:fldCharType="begin"/>
            </w:r>
            <w:r>
              <w:rPr>
                <w:noProof/>
                <w:webHidden/>
              </w:rPr>
              <w:instrText xml:space="preserve"> PAGEREF _Toc211998067 \h </w:instrText>
            </w:r>
            <w:r>
              <w:rPr>
                <w:noProof/>
                <w:webHidden/>
              </w:rPr>
            </w:r>
            <w:r>
              <w:rPr>
                <w:noProof/>
                <w:webHidden/>
              </w:rPr>
              <w:fldChar w:fldCharType="separate"/>
            </w:r>
            <w:r>
              <w:rPr>
                <w:noProof/>
                <w:webHidden/>
              </w:rPr>
              <w:t>8</w:t>
            </w:r>
            <w:r>
              <w:rPr>
                <w:noProof/>
                <w:webHidden/>
              </w:rPr>
              <w:fldChar w:fldCharType="end"/>
            </w:r>
          </w:hyperlink>
        </w:p>
        <w:p w14:paraId="045FAFEF" w14:textId="5A4801A5" w:rsidR="00254661" w:rsidRDefault="00254661">
          <w:pPr>
            <w:pStyle w:val="TOC2"/>
            <w:tabs>
              <w:tab w:val="right" w:leader="dot" w:pos="9016"/>
            </w:tabs>
            <w:rPr>
              <w:noProof/>
            </w:rPr>
          </w:pPr>
          <w:hyperlink w:anchor="_Toc211998068" w:history="1">
            <w:r w:rsidRPr="00B57B3F">
              <w:rPr>
                <w:rStyle w:val="Hyperlink"/>
                <w:rFonts w:ascii="Times New Roman" w:hAnsi="Times New Roman" w:cs="Times New Roman"/>
                <w:b/>
                <w:noProof/>
              </w:rPr>
              <w:t>RACI Matrix for the Wearable Health Device Project at AstraZeneca</w:t>
            </w:r>
            <w:r>
              <w:rPr>
                <w:noProof/>
                <w:webHidden/>
              </w:rPr>
              <w:tab/>
            </w:r>
            <w:r>
              <w:rPr>
                <w:noProof/>
                <w:webHidden/>
              </w:rPr>
              <w:fldChar w:fldCharType="begin"/>
            </w:r>
            <w:r>
              <w:rPr>
                <w:noProof/>
                <w:webHidden/>
              </w:rPr>
              <w:instrText xml:space="preserve"> PAGEREF _Toc211998068 \h </w:instrText>
            </w:r>
            <w:r>
              <w:rPr>
                <w:noProof/>
                <w:webHidden/>
              </w:rPr>
            </w:r>
            <w:r>
              <w:rPr>
                <w:noProof/>
                <w:webHidden/>
              </w:rPr>
              <w:fldChar w:fldCharType="separate"/>
            </w:r>
            <w:r>
              <w:rPr>
                <w:noProof/>
                <w:webHidden/>
              </w:rPr>
              <w:t>9</w:t>
            </w:r>
            <w:r>
              <w:rPr>
                <w:noProof/>
                <w:webHidden/>
              </w:rPr>
              <w:fldChar w:fldCharType="end"/>
            </w:r>
          </w:hyperlink>
        </w:p>
        <w:p w14:paraId="65ED0371" w14:textId="7CAA6F67" w:rsidR="00254661" w:rsidRDefault="00254661">
          <w:pPr>
            <w:pStyle w:val="TOC1"/>
            <w:tabs>
              <w:tab w:val="right" w:leader="dot" w:pos="9016"/>
            </w:tabs>
            <w:rPr>
              <w:noProof/>
            </w:rPr>
          </w:pPr>
          <w:hyperlink w:anchor="_Toc211998069" w:history="1">
            <w:r w:rsidRPr="00B57B3F">
              <w:rPr>
                <w:rStyle w:val="Hyperlink"/>
                <w:rFonts w:ascii="Times New Roman" w:hAnsi="Times New Roman" w:cs="Times New Roman"/>
                <w:b/>
                <w:noProof/>
              </w:rPr>
              <w:t>The Role of a Project Manager Using the 4C’s Model</w:t>
            </w:r>
            <w:r>
              <w:rPr>
                <w:noProof/>
                <w:webHidden/>
              </w:rPr>
              <w:tab/>
            </w:r>
            <w:r>
              <w:rPr>
                <w:noProof/>
                <w:webHidden/>
              </w:rPr>
              <w:fldChar w:fldCharType="begin"/>
            </w:r>
            <w:r>
              <w:rPr>
                <w:noProof/>
                <w:webHidden/>
              </w:rPr>
              <w:instrText xml:space="preserve"> PAGEREF _Toc211998069 \h </w:instrText>
            </w:r>
            <w:r>
              <w:rPr>
                <w:noProof/>
                <w:webHidden/>
              </w:rPr>
            </w:r>
            <w:r>
              <w:rPr>
                <w:noProof/>
                <w:webHidden/>
              </w:rPr>
              <w:fldChar w:fldCharType="separate"/>
            </w:r>
            <w:r>
              <w:rPr>
                <w:noProof/>
                <w:webHidden/>
              </w:rPr>
              <w:t>13</w:t>
            </w:r>
            <w:r>
              <w:rPr>
                <w:noProof/>
                <w:webHidden/>
              </w:rPr>
              <w:fldChar w:fldCharType="end"/>
            </w:r>
          </w:hyperlink>
        </w:p>
        <w:p w14:paraId="50AA0469" w14:textId="16910127" w:rsidR="00254661" w:rsidRDefault="00254661">
          <w:pPr>
            <w:pStyle w:val="TOC1"/>
            <w:tabs>
              <w:tab w:val="right" w:leader="dot" w:pos="9016"/>
            </w:tabs>
            <w:rPr>
              <w:noProof/>
            </w:rPr>
          </w:pPr>
          <w:hyperlink w:anchor="_Toc211998070" w:history="1">
            <w:r w:rsidRPr="00B57B3F">
              <w:rPr>
                <w:rStyle w:val="Hyperlink"/>
                <w:rFonts w:ascii="Times New Roman" w:hAnsi="Times New Roman" w:cs="Times New Roman"/>
                <w:b/>
                <w:noProof/>
              </w:rPr>
              <w:t>Evaluation of the Impact of Stakeholders’ Engagement on Business Performance</w:t>
            </w:r>
            <w:r>
              <w:rPr>
                <w:noProof/>
                <w:webHidden/>
              </w:rPr>
              <w:tab/>
            </w:r>
            <w:r>
              <w:rPr>
                <w:noProof/>
                <w:webHidden/>
              </w:rPr>
              <w:fldChar w:fldCharType="begin"/>
            </w:r>
            <w:r>
              <w:rPr>
                <w:noProof/>
                <w:webHidden/>
              </w:rPr>
              <w:instrText xml:space="preserve"> PAGEREF _Toc211998070 \h </w:instrText>
            </w:r>
            <w:r>
              <w:rPr>
                <w:noProof/>
                <w:webHidden/>
              </w:rPr>
            </w:r>
            <w:r>
              <w:rPr>
                <w:noProof/>
                <w:webHidden/>
              </w:rPr>
              <w:fldChar w:fldCharType="separate"/>
            </w:r>
            <w:r>
              <w:rPr>
                <w:noProof/>
                <w:webHidden/>
              </w:rPr>
              <w:t>16</w:t>
            </w:r>
            <w:r>
              <w:rPr>
                <w:noProof/>
                <w:webHidden/>
              </w:rPr>
              <w:fldChar w:fldCharType="end"/>
            </w:r>
          </w:hyperlink>
        </w:p>
        <w:p w14:paraId="2578227D" w14:textId="5BB15C97" w:rsidR="00254661" w:rsidRDefault="00254661">
          <w:pPr>
            <w:pStyle w:val="TOC2"/>
            <w:tabs>
              <w:tab w:val="right" w:leader="dot" w:pos="9016"/>
            </w:tabs>
            <w:rPr>
              <w:noProof/>
            </w:rPr>
          </w:pPr>
          <w:hyperlink w:anchor="_Toc211998071" w:history="1">
            <w:r w:rsidRPr="00B57B3F">
              <w:rPr>
                <w:rStyle w:val="Hyperlink"/>
                <w:rFonts w:ascii="Times New Roman" w:hAnsi="Times New Roman" w:cs="Times New Roman"/>
                <w:b/>
                <w:noProof/>
              </w:rPr>
              <w:t>Recommendations for Future Stakeholder Engagement</w:t>
            </w:r>
            <w:r>
              <w:rPr>
                <w:noProof/>
                <w:webHidden/>
              </w:rPr>
              <w:tab/>
            </w:r>
            <w:r>
              <w:rPr>
                <w:noProof/>
                <w:webHidden/>
              </w:rPr>
              <w:fldChar w:fldCharType="begin"/>
            </w:r>
            <w:r>
              <w:rPr>
                <w:noProof/>
                <w:webHidden/>
              </w:rPr>
              <w:instrText xml:space="preserve"> PAGEREF _Toc211998071 \h </w:instrText>
            </w:r>
            <w:r>
              <w:rPr>
                <w:noProof/>
                <w:webHidden/>
              </w:rPr>
            </w:r>
            <w:r>
              <w:rPr>
                <w:noProof/>
                <w:webHidden/>
              </w:rPr>
              <w:fldChar w:fldCharType="separate"/>
            </w:r>
            <w:r>
              <w:rPr>
                <w:noProof/>
                <w:webHidden/>
              </w:rPr>
              <w:t>17</w:t>
            </w:r>
            <w:r>
              <w:rPr>
                <w:noProof/>
                <w:webHidden/>
              </w:rPr>
              <w:fldChar w:fldCharType="end"/>
            </w:r>
          </w:hyperlink>
        </w:p>
        <w:p w14:paraId="0CCFCFEF" w14:textId="1DACE2CD" w:rsidR="00254661" w:rsidRDefault="00254661">
          <w:pPr>
            <w:pStyle w:val="TOC1"/>
            <w:tabs>
              <w:tab w:val="right" w:leader="dot" w:pos="9016"/>
            </w:tabs>
            <w:rPr>
              <w:noProof/>
            </w:rPr>
          </w:pPr>
          <w:hyperlink w:anchor="_Toc211998072" w:history="1">
            <w:r w:rsidRPr="00B57B3F">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_Toc211998072 \h </w:instrText>
            </w:r>
            <w:r>
              <w:rPr>
                <w:noProof/>
                <w:webHidden/>
              </w:rPr>
            </w:r>
            <w:r>
              <w:rPr>
                <w:noProof/>
                <w:webHidden/>
              </w:rPr>
              <w:fldChar w:fldCharType="separate"/>
            </w:r>
            <w:r>
              <w:rPr>
                <w:noProof/>
                <w:webHidden/>
              </w:rPr>
              <w:t>18</w:t>
            </w:r>
            <w:r>
              <w:rPr>
                <w:noProof/>
                <w:webHidden/>
              </w:rPr>
              <w:fldChar w:fldCharType="end"/>
            </w:r>
          </w:hyperlink>
        </w:p>
        <w:p w14:paraId="1B68B1FC" w14:textId="6F81B669" w:rsidR="00254661" w:rsidRDefault="00254661">
          <w:pPr>
            <w:pStyle w:val="TOC1"/>
            <w:tabs>
              <w:tab w:val="right" w:leader="dot" w:pos="9016"/>
            </w:tabs>
            <w:rPr>
              <w:noProof/>
            </w:rPr>
          </w:pPr>
          <w:hyperlink w:anchor="_Toc211998073" w:history="1">
            <w:r w:rsidRPr="00B57B3F">
              <w:rPr>
                <w:rStyle w:val="Hyperlink"/>
                <w:rFonts w:ascii="Times New Roman" w:hAnsi="Times New Roman" w:cs="Times New Roman"/>
                <w:b/>
                <w:noProof/>
              </w:rPr>
              <w:t>Reference</w:t>
            </w:r>
            <w:r>
              <w:rPr>
                <w:noProof/>
                <w:webHidden/>
              </w:rPr>
              <w:tab/>
            </w:r>
            <w:r>
              <w:rPr>
                <w:noProof/>
                <w:webHidden/>
              </w:rPr>
              <w:fldChar w:fldCharType="begin"/>
            </w:r>
            <w:r>
              <w:rPr>
                <w:noProof/>
                <w:webHidden/>
              </w:rPr>
              <w:instrText xml:space="preserve"> PAGEREF _Toc211998073 \h </w:instrText>
            </w:r>
            <w:r>
              <w:rPr>
                <w:noProof/>
                <w:webHidden/>
              </w:rPr>
            </w:r>
            <w:r>
              <w:rPr>
                <w:noProof/>
                <w:webHidden/>
              </w:rPr>
              <w:fldChar w:fldCharType="separate"/>
            </w:r>
            <w:r>
              <w:rPr>
                <w:noProof/>
                <w:webHidden/>
              </w:rPr>
              <w:t>19</w:t>
            </w:r>
            <w:r>
              <w:rPr>
                <w:noProof/>
                <w:webHidden/>
              </w:rPr>
              <w:fldChar w:fldCharType="end"/>
            </w:r>
          </w:hyperlink>
        </w:p>
        <w:p w14:paraId="3B736401" w14:textId="5E3FD21A" w:rsidR="00254661" w:rsidRDefault="00254661">
          <w:r>
            <w:rPr>
              <w:b/>
              <w:bCs/>
              <w:noProof/>
            </w:rPr>
            <w:fldChar w:fldCharType="end"/>
          </w:r>
        </w:p>
      </w:sdtContent>
    </w:sdt>
    <w:p w14:paraId="557D2D02" w14:textId="4FAFE366" w:rsidR="19DF5ED4" w:rsidRPr="00254661" w:rsidRDefault="19DF5ED4" w:rsidP="00E9681E">
      <w:pPr>
        <w:spacing w:line="360" w:lineRule="auto"/>
        <w:rPr>
          <w:rFonts w:ascii="Times New Roman" w:hAnsi="Times New Roman" w:cs="Times New Roman"/>
          <w:bCs/>
          <w:iCs/>
          <w:sz w:val="24"/>
          <w:szCs w:val="24"/>
        </w:rPr>
      </w:pPr>
    </w:p>
    <w:p w14:paraId="5AA42B3D" w14:textId="55AB8D7C" w:rsidR="19DF5ED4" w:rsidRPr="00E9681E" w:rsidRDefault="19DF5ED4" w:rsidP="00E9681E">
      <w:pPr>
        <w:spacing w:line="360" w:lineRule="auto"/>
        <w:rPr>
          <w:rFonts w:ascii="Times New Roman" w:hAnsi="Times New Roman" w:cs="Times New Roman"/>
          <w:b/>
          <w:bCs/>
          <w:i/>
          <w:iCs/>
          <w:sz w:val="24"/>
          <w:szCs w:val="24"/>
        </w:rPr>
      </w:pPr>
    </w:p>
    <w:p w14:paraId="48A12DF4" w14:textId="3BDA537D" w:rsidR="19DF5ED4" w:rsidRPr="00E9681E" w:rsidRDefault="19DF5ED4" w:rsidP="00E9681E">
      <w:pPr>
        <w:spacing w:line="360" w:lineRule="auto"/>
        <w:rPr>
          <w:rFonts w:ascii="Times New Roman" w:hAnsi="Times New Roman" w:cs="Times New Roman"/>
          <w:b/>
          <w:bCs/>
          <w:i/>
          <w:iCs/>
          <w:sz w:val="24"/>
          <w:szCs w:val="24"/>
        </w:rPr>
      </w:pPr>
    </w:p>
    <w:p w14:paraId="048F3136" w14:textId="6FE39698" w:rsidR="19DF5ED4" w:rsidRPr="00E9681E" w:rsidRDefault="19DF5ED4" w:rsidP="00E9681E">
      <w:pPr>
        <w:spacing w:line="360" w:lineRule="auto"/>
        <w:rPr>
          <w:rFonts w:ascii="Times New Roman" w:hAnsi="Times New Roman" w:cs="Times New Roman"/>
          <w:b/>
          <w:bCs/>
          <w:i/>
          <w:iCs/>
          <w:sz w:val="24"/>
          <w:szCs w:val="24"/>
        </w:rPr>
      </w:pPr>
    </w:p>
    <w:p w14:paraId="06981A62" w14:textId="7B36CF99" w:rsidR="19DF5ED4" w:rsidRPr="00E9681E" w:rsidRDefault="19DF5ED4" w:rsidP="00E9681E">
      <w:pPr>
        <w:spacing w:line="360" w:lineRule="auto"/>
        <w:rPr>
          <w:rFonts w:ascii="Times New Roman" w:hAnsi="Times New Roman" w:cs="Times New Roman"/>
          <w:b/>
          <w:bCs/>
          <w:i/>
          <w:iCs/>
          <w:sz w:val="24"/>
          <w:szCs w:val="24"/>
        </w:rPr>
      </w:pPr>
    </w:p>
    <w:p w14:paraId="0002923C" w14:textId="57DD09C0" w:rsidR="19DF5ED4" w:rsidRPr="00E9681E" w:rsidRDefault="19DF5ED4" w:rsidP="00E9681E">
      <w:pPr>
        <w:spacing w:line="360" w:lineRule="auto"/>
        <w:rPr>
          <w:rFonts w:ascii="Times New Roman" w:hAnsi="Times New Roman" w:cs="Times New Roman"/>
          <w:b/>
          <w:bCs/>
          <w:i/>
          <w:iCs/>
          <w:sz w:val="24"/>
          <w:szCs w:val="24"/>
        </w:rPr>
      </w:pPr>
    </w:p>
    <w:p w14:paraId="6F3E1302" w14:textId="5DCA3C3E" w:rsidR="19DF5ED4" w:rsidRPr="00E9681E" w:rsidRDefault="19DF5ED4" w:rsidP="00E9681E">
      <w:pPr>
        <w:spacing w:line="360" w:lineRule="auto"/>
        <w:rPr>
          <w:rFonts w:ascii="Times New Roman" w:hAnsi="Times New Roman" w:cs="Times New Roman"/>
          <w:b/>
          <w:bCs/>
          <w:i/>
          <w:iCs/>
          <w:sz w:val="24"/>
          <w:szCs w:val="24"/>
        </w:rPr>
      </w:pPr>
    </w:p>
    <w:p w14:paraId="125A4E05" w14:textId="47B6F5F1" w:rsidR="19DF5ED4" w:rsidRPr="00E9681E" w:rsidRDefault="19DF5ED4" w:rsidP="00E9681E">
      <w:pPr>
        <w:spacing w:line="360" w:lineRule="auto"/>
        <w:rPr>
          <w:rFonts w:ascii="Times New Roman" w:hAnsi="Times New Roman" w:cs="Times New Roman"/>
          <w:b/>
          <w:bCs/>
          <w:i/>
          <w:iCs/>
          <w:sz w:val="24"/>
          <w:szCs w:val="24"/>
        </w:rPr>
      </w:pPr>
    </w:p>
    <w:p w14:paraId="1C5F4720" w14:textId="58D1D9C0" w:rsidR="19DF5ED4" w:rsidRDefault="19DF5ED4" w:rsidP="00E9681E">
      <w:pPr>
        <w:spacing w:line="360" w:lineRule="auto"/>
        <w:rPr>
          <w:rFonts w:ascii="Times New Roman" w:hAnsi="Times New Roman" w:cs="Times New Roman"/>
          <w:b/>
          <w:bCs/>
          <w:i/>
          <w:iCs/>
          <w:sz w:val="24"/>
          <w:szCs w:val="24"/>
        </w:rPr>
      </w:pPr>
    </w:p>
    <w:p w14:paraId="059B7F3C" w14:textId="77777777" w:rsidR="00254661" w:rsidRPr="00E9681E" w:rsidRDefault="00254661" w:rsidP="00E9681E">
      <w:pPr>
        <w:spacing w:line="360" w:lineRule="auto"/>
        <w:rPr>
          <w:rFonts w:ascii="Times New Roman" w:hAnsi="Times New Roman" w:cs="Times New Roman"/>
          <w:b/>
          <w:bCs/>
          <w:i/>
          <w:iCs/>
          <w:sz w:val="24"/>
          <w:szCs w:val="24"/>
        </w:rPr>
      </w:pPr>
    </w:p>
    <w:p w14:paraId="1028C0FF" w14:textId="39E974B0" w:rsidR="19DF5ED4" w:rsidRPr="00E9681E" w:rsidRDefault="19DF5ED4" w:rsidP="00E9681E">
      <w:pPr>
        <w:spacing w:line="360" w:lineRule="auto"/>
        <w:rPr>
          <w:rFonts w:ascii="Times New Roman" w:hAnsi="Times New Roman" w:cs="Times New Roman"/>
          <w:b/>
          <w:bCs/>
          <w:i/>
          <w:iCs/>
          <w:sz w:val="24"/>
          <w:szCs w:val="24"/>
        </w:rPr>
      </w:pPr>
    </w:p>
    <w:p w14:paraId="033422F2" w14:textId="53745CD9" w:rsidR="003E66C5" w:rsidRPr="00E9681E" w:rsidRDefault="003E66C5" w:rsidP="00E9681E">
      <w:pPr>
        <w:pStyle w:val="Heading1"/>
        <w:spacing w:line="360" w:lineRule="auto"/>
        <w:rPr>
          <w:rFonts w:ascii="Times New Roman" w:hAnsi="Times New Roman" w:cs="Times New Roman"/>
          <w:b/>
          <w:color w:val="auto"/>
          <w:sz w:val="24"/>
          <w:szCs w:val="24"/>
        </w:rPr>
      </w:pPr>
      <w:bookmarkStart w:id="0" w:name="_Toc211998061"/>
      <w:r w:rsidRPr="00E9681E">
        <w:rPr>
          <w:rFonts w:ascii="Times New Roman" w:hAnsi="Times New Roman" w:cs="Times New Roman"/>
          <w:b/>
          <w:color w:val="auto"/>
          <w:sz w:val="24"/>
          <w:szCs w:val="24"/>
        </w:rPr>
        <w:lastRenderedPageBreak/>
        <w:t>Introduction to AstraZeneca</w:t>
      </w:r>
      <w:bookmarkEnd w:id="0"/>
    </w:p>
    <w:p w14:paraId="02693BF6" w14:textId="6ECD0005" w:rsidR="0083609D" w:rsidRPr="00E9681E" w:rsidRDefault="0083609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AstraZeneca is a multinational pharmaceutical and biotechnology corporation based in Cambridge, the United Kingdom and present worldwide. It is among the top biopharmaceutical firms in the globe that deal with the discovery, development, and commercialization of prescription medicines. AstraZeneca operates in over 100 countries and is a huge player in the healthcare industry, with its areas of focus in therapeutic products that include oncology, rare diseases, cardiovascular, respiratory, and vaccines (AstraZeneca plc n.d.).</w:t>
      </w:r>
    </w:p>
    <w:p w14:paraId="4986A844" w14:textId="3236A304" w:rsidR="00BF2471" w:rsidRPr="00E9681E" w:rsidRDefault="00BF2471"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noProof/>
          <w:sz w:val="24"/>
          <w:szCs w:val="24"/>
          <w:lang w:val="en-US" w:eastAsia="en-US"/>
        </w:rPr>
        <w:drawing>
          <wp:inline distT="0" distB="0" distL="0" distR="0" wp14:anchorId="40472DE4" wp14:editId="233E1F44">
            <wp:extent cx="5730875" cy="2612908"/>
            <wp:effectExtent l="0" t="0" r="3175" b="0"/>
            <wp:docPr id="3" name="Picture 3" descr="AstraZeneca Headquarters and Office locations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raZeneca Headquarters and Office locations In 202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8047" cy="2625296"/>
                    </a:xfrm>
                    <a:prstGeom prst="rect">
                      <a:avLst/>
                    </a:prstGeom>
                    <a:noFill/>
                    <a:ln>
                      <a:noFill/>
                    </a:ln>
                  </pic:spPr>
                </pic:pic>
              </a:graphicData>
            </a:graphic>
          </wp:inline>
        </w:drawing>
      </w:r>
    </w:p>
    <w:p w14:paraId="1A2DF7AE" w14:textId="77777777" w:rsidR="0083609D" w:rsidRPr="00E9681E" w:rsidRDefault="0083609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The corporation has research and development (R&amp;D) centers, production units and business units based all over the world. The innovation of AstraZeneca is seen in its wide range of medicines that are directed to make an improvement in the health outcomes of people globally. Its pipeline of treatment in fields such as cancer, heart disease, and respiratory disorders is considered strong, and the company uses the latest science to respond to the unmet medical needs (Revalska, 2021).</w:t>
      </w:r>
    </w:p>
    <w:p w14:paraId="7BA9E49E" w14:textId="7083813D" w:rsidR="00FC4C26" w:rsidRPr="00E9681E" w:rsidRDefault="0083609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AstraZeneca with its focus on science-driven innovation and the patient-centered healthcare positions it as a force in the world pharmaceutical market. AstraZeneca is currently in a great position to dominate in the field of therapeutic innovation as well as upcoming health technologies since it has a developing base in the market and has been investing in research and development.</w:t>
      </w:r>
    </w:p>
    <w:p w14:paraId="060C07E4" w14:textId="71BCE3B3" w:rsidR="00FC4C26" w:rsidRPr="00E9681E" w:rsidRDefault="00FC4C26" w:rsidP="00E9681E">
      <w:pPr>
        <w:pStyle w:val="Heading1"/>
        <w:spacing w:line="360" w:lineRule="auto"/>
        <w:rPr>
          <w:rFonts w:ascii="Times New Roman" w:hAnsi="Times New Roman" w:cs="Times New Roman"/>
          <w:b/>
          <w:color w:val="auto"/>
          <w:sz w:val="24"/>
          <w:szCs w:val="24"/>
        </w:rPr>
      </w:pPr>
      <w:bookmarkStart w:id="1" w:name="_Toc211998062"/>
      <w:r w:rsidRPr="00E9681E">
        <w:rPr>
          <w:rFonts w:ascii="Times New Roman" w:hAnsi="Times New Roman" w:cs="Times New Roman"/>
          <w:b/>
          <w:color w:val="auto"/>
          <w:sz w:val="24"/>
          <w:szCs w:val="24"/>
        </w:rPr>
        <w:t>Appraisal of AstraZeneca Using SWOT Analysis</w:t>
      </w:r>
      <w:bookmarkEnd w:id="1"/>
    </w:p>
    <w:p w14:paraId="564B7904" w14:textId="62229D7E" w:rsidR="00FC4C26" w:rsidRPr="00E9681E" w:rsidRDefault="0083609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AstraZeneca, a top pharmaceutical and biotechnology company across the world, is entering the market of wearable health devices. With a history of success in such fields as oncology, rare diseases, cardiovascular, respiratory and vaccines, AstraZeneca is currently preparing the </w:t>
      </w:r>
      <w:r w:rsidRPr="00E9681E">
        <w:rPr>
          <w:rFonts w:ascii="Times New Roman" w:hAnsi="Times New Roman" w:cs="Times New Roman"/>
          <w:bCs/>
          <w:iCs/>
          <w:sz w:val="24"/>
          <w:szCs w:val="24"/>
        </w:rPr>
        <w:lastRenderedPageBreak/>
        <w:t>launch of a wearable health device to measure the level of heart rate, oxygen and sleep patterns. This device will help empower the consumers by giving them real-time health tracking and thus improving overall well-being and making healthcare more proactive. The appraisal of the wearable health device project of AstraZeneca through a SWOT analysis, as well as SMART objectives of a successful implementation of the project, are provided below (Ahmed and Schippert, 2020).</w:t>
      </w:r>
    </w:p>
    <w:p w14:paraId="31DFB1AC" w14:textId="6DAFEF45" w:rsidR="00FC4C26" w:rsidRPr="00E9681E" w:rsidRDefault="00FC4C26" w:rsidP="00E9681E">
      <w:pPr>
        <w:spacing w:line="360" w:lineRule="auto"/>
        <w:jc w:val="both"/>
        <w:rPr>
          <w:rFonts w:ascii="Times New Roman" w:hAnsi="Times New Roman" w:cs="Times New Roman"/>
          <w:bCs/>
          <w:iCs/>
          <w:sz w:val="24"/>
          <w:szCs w:val="24"/>
        </w:rPr>
      </w:pPr>
    </w:p>
    <w:p w14:paraId="117B1777" w14:textId="77777777" w:rsidR="00FC4C26" w:rsidRPr="00E9681E" w:rsidRDefault="00FC4C26" w:rsidP="00E9681E">
      <w:pPr>
        <w:spacing w:line="360" w:lineRule="auto"/>
        <w:jc w:val="both"/>
        <w:rPr>
          <w:rFonts w:ascii="Times New Roman" w:hAnsi="Times New Roman" w:cs="Times New Roman"/>
          <w:bCs/>
          <w:iCs/>
          <w:sz w:val="24"/>
          <w:szCs w:val="24"/>
        </w:rPr>
      </w:pPr>
    </w:p>
    <w:tbl>
      <w:tblPr>
        <w:tblStyle w:val="TableGrid"/>
        <w:tblW w:w="0" w:type="auto"/>
        <w:tblLook w:val="04A0" w:firstRow="1" w:lastRow="0" w:firstColumn="1" w:lastColumn="0" w:noHBand="0" w:noVBand="1"/>
      </w:tblPr>
      <w:tblGrid>
        <w:gridCol w:w="4508"/>
        <w:gridCol w:w="4508"/>
      </w:tblGrid>
      <w:tr w:rsidR="00FF23C7" w:rsidRPr="00764134" w14:paraId="2960C757" w14:textId="77777777" w:rsidTr="00636786">
        <w:tc>
          <w:tcPr>
            <w:tcW w:w="4672" w:type="dxa"/>
          </w:tcPr>
          <w:p w14:paraId="3953107F" w14:textId="77777777" w:rsidR="00FF23C7" w:rsidRDefault="00FF23C7" w:rsidP="00636786">
            <w:pPr>
              <w:rPr>
                <w:b/>
                <w:bCs/>
                <w:color w:val="000000" w:themeColor="text1"/>
              </w:rPr>
            </w:pPr>
            <w:r>
              <w:rPr>
                <w:b/>
                <w:bCs/>
                <w:color w:val="000000" w:themeColor="text1"/>
              </w:rPr>
              <w:t>Strengths</w:t>
            </w:r>
          </w:p>
          <w:p w14:paraId="42ACAB9B" w14:textId="77777777" w:rsidR="00FF23C7" w:rsidRPr="00FF23C7" w:rsidRDefault="00FF23C7" w:rsidP="00FF23C7">
            <w:pPr>
              <w:pStyle w:val="ListParagraph"/>
              <w:numPr>
                <w:ilvl w:val="0"/>
                <w:numId w:val="8"/>
              </w:numPr>
              <w:rPr>
                <w:b/>
                <w:bCs/>
                <w:color w:val="000000" w:themeColor="text1"/>
                <w:sz w:val="24"/>
                <w:szCs w:val="24"/>
              </w:rPr>
            </w:pPr>
            <w:r w:rsidRPr="00FF23C7">
              <w:rPr>
                <w:color w:val="000000" w:themeColor="text1"/>
                <w:sz w:val="24"/>
                <w:szCs w:val="24"/>
              </w:rPr>
              <w:t>Strong reputation in the pharmaceutical and biotechnology sectors</w:t>
            </w:r>
          </w:p>
          <w:p w14:paraId="7540407B" w14:textId="77777777" w:rsidR="00FF23C7" w:rsidRPr="00FF23C7" w:rsidRDefault="00FF23C7" w:rsidP="00FF23C7">
            <w:pPr>
              <w:pStyle w:val="ListParagraph"/>
              <w:numPr>
                <w:ilvl w:val="0"/>
                <w:numId w:val="8"/>
              </w:numPr>
              <w:rPr>
                <w:sz w:val="24"/>
                <w:szCs w:val="24"/>
              </w:rPr>
            </w:pPr>
            <w:r w:rsidRPr="00FF23C7">
              <w:rPr>
                <w:sz w:val="24"/>
                <w:szCs w:val="24"/>
              </w:rPr>
              <w:t>Expertise in R&amp;D and regulatory compliance</w:t>
            </w:r>
          </w:p>
          <w:p w14:paraId="3CF6B375" w14:textId="77777777" w:rsidR="00FF23C7" w:rsidRPr="00FF23C7" w:rsidRDefault="00FF23C7" w:rsidP="00FF23C7">
            <w:pPr>
              <w:pStyle w:val="ListParagraph"/>
              <w:numPr>
                <w:ilvl w:val="0"/>
                <w:numId w:val="8"/>
              </w:numPr>
              <w:rPr>
                <w:sz w:val="24"/>
                <w:szCs w:val="24"/>
              </w:rPr>
            </w:pPr>
            <w:r w:rsidRPr="00FF23C7">
              <w:rPr>
                <w:sz w:val="24"/>
                <w:szCs w:val="24"/>
              </w:rPr>
              <w:t>Established global presence and partnership with healthcare providers</w:t>
            </w:r>
          </w:p>
          <w:p w14:paraId="5F4F643F" w14:textId="77777777" w:rsidR="00FF23C7" w:rsidRPr="00FF23C7" w:rsidRDefault="00FF23C7" w:rsidP="00FF23C7">
            <w:pPr>
              <w:pStyle w:val="ListParagraph"/>
              <w:numPr>
                <w:ilvl w:val="0"/>
                <w:numId w:val="8"/>
              </w:numPr>
              <w:rPr>
                <w:sz w:val="24"/>
                <w:szCs w:val="24"/>
              </w:rPr>
            </w:pPr>
            <w:r w:rsidRPr="00FF23C7">
              <w:rPr>
                <w:sz w:val="24"/>
                <w:szCs w:val="24"/>
              </w:rPr>
              <w:t>Robust infrastructure in research, development, and manufacturing</w:t>
            </w:r>
          </w:p>
          <w:p w14:paraId="03C5AF70" w14:textId="77777777" w:rsidR="00FF23C7" w:rsidRDefault="00FF23C7" w:rsidP="00636786"/>
        </w:tc>
        <w:tc>
          <w:tcPr>
            <w:tcW w:w="4673" w:type="dxa"/>
          </w:tcPr>
          <w:p w14:paraId="51E81A67" w14:textId="77777777" w:rsidR="00FF23C7" w:rsidRDefault="00FF23C7" w:rsidP="00636786">
            <w:pPr>
              <w:rPr>
                <w:b/>
                <w:bCs/>
              </w:rPr>
            </w:pPr>
            <w:r>
              <w:rPr>
                <w:b/>
                <w:bCs/>
              </w:rPr>
              <w:t xml:space="preserve">Weaknesses </w:t>
            </w:r>
          </w:p>
          <w:p w14:paraId="5049BC88" w14:textId="77777777" w:rsidR="00FF23C7" w:rsidRPr="00FF23C7" w:rsidRDefault="00FF23C7" w:rsidP="00FF23C7">
            <w:pPr>
              <w:pStyle w:val="ListParagraph"/>
              <w:numPr>
                <w:ilvl w:val="0"/>
                <w:numId w:val="9"/>
              </w:numPr>
              <w:rPr>
                <w:sz w:val="24"/>
                <w:szCs w:val="24"/>
              </w:rPr>
            </w:pPr>
            <w:r w:rsidRPr="00FF23C7">
              <w:rPr>
                <w:sz w:val="24"/>
                <w:szCs w:val="24"/>
              </w:rPr>
              <w:t>Limited experience in consumer electronics and wearable technology</w:t>
            </w:r>
          </w:p>
          <w:p w14:paraId="37D28273" w14:textId="77777777" w:rsidR="00FF23C7" w:rsidRPr="00FF23C7" w:rsidRDefault="00FF23C7" w:rsidP="00FF23C7">
            <w:pPr>
              <w:pStyle w:val="ListParagraph"/>
              <w:numPr>
                <w:ilvl w:val="0"/>
                <w:numId w:val="9"/>
              </w:numPr>
              <w:rPr>
                <w:sz w:val="24"/>
                <w:szCs w:val="24"/>
              </w:rPr>
            </w:pPr>
            <w:r w:rsidRPr="00FF23C7">
              <w:rPr>
                <w:sz w:val="24"/>
                <w:szCs w:val="24"/>
              </w:rPr>
              <w:t xml:space="preserve">Resource constraints in balancing core pharmaceutical business and tech innovation  </w:t>
            </w:r>
          </w:p>
          <w:p w14:paraId="21E355D6" w14:textId="77777777" w:rsidR="00FF23C7" w:rsidRPr="00764134" w:rsidRDefault="00FF23C7" w:rsidP="00FF23C7">
            <w:pPr>
              <w:pStyle w:val="ListParagraph"/>
              <w:numPr>
                <w:ilvl w:val="0"/>
                <w:numId w:val="9"/>
              </w:numPr>
            </w:pPr>
            <w:r w:rsidRPr="00FF23C7">
              <w:rPr>
                <w:sz w:val="24"/>
                <w:szCs w:val="24"/>
              </w:rPr>
              <w:t>Steep learning curve in consumer product marketing and user experience</w:t>
            </w:r>
            <w:r>
              <w:t xml:space="preserve"> </w:t>
            </w:r>
          </w:p>
        </w:tc>
      </w:tr>
      <w:tr w:rsidR="00FF23C7" w:rsidRPr="00EE74F7" w14:paraId="682A2957" w14:textId="77777777" w:rsidTr="00636786">
        <w:trPr>
          <w:trHeight w:val="4027"/>
        </w:trPr>
        <w:tc>
          <w:tcPr>
            <w:tcW w:w="4672" w:type="dxa"/>
          </w:tcPr>
          <w:p w14:paraId="00CC0ADC" w14:textId="77777777" w:rsidR="00FF23C7" w:rsidRDefault="00FF23C7" w:rsidP="00636786">
            <w:r w:rsidRPr="008009D4">
              <w:rPr>
                <w:b/>
                <w:bCs/>
              </w:rPr>
              <w:t xml:space="preserve">Opportunities </w:t>
            </w:r>
          </w:p>
          <w:p w14:paraId="2EC93A84" w14:textId="77777777" w:rsidR="00FF23C7" w:rsidRPr="00FF23C7" w:rsidRDefault="00FF23C7" w:rsidP="00FF23C7">
            <w:pPr>
              <w:pStyle w:val="ListParagraph"/>
              <w:numPr>
                <w:ilvl w:val="0"/>
                <w:numId w:val="10"/>
              </w:numPr>
              <w:rPr>
                <w:sz w:val="24"/>
                <w:szCs w:val="24"/>
              </w:rPr>
            </w:pPr>
            <w:r w:rsidRPr="00FF23C7">
              <w:rPr>
                <w:sz w:val="24"/>
                <w:szCs w:val="24"/>
              </w:rPr>
              <w:t xml:space="preserve">Growing demand for wearable health devices and health-conscious consumers </w:t>
            </w:r>
          </w:p>
          <w:p w14:paraId="78D6B451" w14:textId="77777777" w:rsidR="00FF23C7" w:rsidRPr="00FF23C7" w:rsidRDefault="00FF23C7" w:rsidP="00FF23C7">
            <w:pPr>
              <w:pStyle w:val="ListParagraph"/>
              <w:numPr>
                <w:ilvl w:val="0"/>
                <w:numId w:val="10"/>
              </w:numPr>
              <w:rPr>
                <w:sz w:val="24"/>
                <w:szCs w:val="24"/>
              </w:rPr>
            </w:pPr>
            <w:r w:rsidRPr="00FF23C7">
              <w:rPr>
                <w:sz w:val="24"/>
                <w:szCs w:val="24"/>
              </w:rPr>
              <w:t>Potential to integrate wearable with AstraZeneca’s pharmaceutical products for comprehensive healthcare solutions</w:t>
            </w:r>
          </w:p>
          <w:p w14:paraId="5FD06F03" w14:textId="77777777" w:rsidR="00FF23C7" w:rsidRDefault="00FF23C7" w:rsidP="00FF23C7">
            <w:pPr>
              <w:pStyle w:val="ListParagraph"/>
              <w:numPr>
                <w:ilvl w:val="0"/>
                <w:numId w:val="10"/>
              </w:numPr>
            </w:pPr>
            <w:r w:rsidRPr="00FF23C7">
              <w:rPr>
                <w:sz w:val="24"/>
                <w:szCs w:val="24"/>
              </w:rPr>
              <w:t>Opportunity to collaborate with healthcare providers for chronic disease management and preventative care</w:t>
            </w:r>
          </w:p>
        </w:tc>
        <w:tc>
          <w:tcPr>
            <w:tcW w:w="4673" w:type="dxa"/>
          </w:tcPr>
          <w:p w14:paraId="5A3FB7C1" w14:textId="77777777" w:rsidR="00FF23C7" w:rsidRDefault="00FF23C7" w:rsidP="00636786">
            <w:pPr>
              <w:rPr>
                <w:b/>
                <w:bCs/>
              </w:rPr>
            </w:pPr>
            <w:r w:rsidRPr="004F5BF5">
              <w:rPr>
                <w:b/>
                <w:bCs/>
              </w:rPr>
              <w:t xml:space="preserve">Threats </w:t>
            </w:r>
          </w:p>
          <w:p w14:paraId="59795602" w14:textId="77777777" w:rsidR="00FF23C7" w:rsidRPr="00FF23C7" w:rsidRDefault="00FF23C7" w:rsidP="00FF23C7">
            <w:pPr>
              <w:pStyle w:val="ListParagraph"/>
              <w:numPr>
                <w:ilvl w:val="0"/>
                <w:numId w:val="11"/>
              </w:numPr>
              <w:rPr>
                <w:sz w:val="24"/>
                <w:szCs w:val="24"/>
              </w:rPr>
            </w:pPr>
            <w:r w:rsidRPr="00FF23C7">
              <w:rPr>
                <w:sz w:val="24"/>
                <w:szCs w:val="24"/>
              </w:rPr>
              <w:t>Intense competition from established tech companies (e.g., Apple, Fitbit, Garmin)</w:t>
            </w:r>
          </w:p>
          <w:p w14:paraId="1EE55DF9" w14:textId="77777777" w:rsidR="00FF23C7" w:rsidRPr="00FF23C7" w:rsidRDefault="00FF23C7" w:rsidP="00FF23C7">
            <w:pPr>
              <w:pStyle w:val="ListParagraph"/>
              <w:numPr>
                <w:ilvl w:val="0"/>
                <w:numId w:val="11"/>
              </w:numPr>
              <w:rPr>
                <w:sz w:val="24"/>
                <w:szCs w:val="24"/>
              </w:rPr>
            </w:pPr>
            <w:r w:rsidRPr="00FF23C7">
              <w:rPr>
                <w:sz w:val="24"/>
                <w:szCs w:val="24"/>
              </w:rPr>
              <w:t>Technological challenges (accuracy of health data, integration with health systems)</w:t>
            </w:r>
          </w:p>
          <w:p w14:paraId="6052EBBA" w14:textId="77777777" w:rsidR="00FF23C7" w:rsidRPr="00EE74F7" w:rsidRDefault="00FF23C7" w:rsidP="00FF23C7">
            <w:pPr>
              <w:pStyle w:val="ListParagraph"/>
              <w:numPr>
                <w:ilvl w:val="0"/>
                <w:numId w:val="11"/>
              </w:numPr>
              <w:rPr>
                <w:b/>
                <w:bCs/>
              </w:rPr>
            </w:pPr>
            <w:r w:rsidRPr="00FF23C7">
              <w:rPr>
                <w:sz w:val="24"/>
                <w:szCs w:val="24"/>
              </w:rPr>
              <w:t>Regulatory hurdles and compliance challenges (GDPR medical device regulations)</w:t>
            </w:r>
          </w:p>
        </w:tc>
      </w:tr>
    </w:tbl>
    <w:p w14:paraId="7ECD564D" w14:textId="6FF7DABA" w:rsidR="00FC4C26" w:rsidRPr="00E9681E" w:rsidRDefault="00FC4C26" w:rsidP="00E9681E">
      <w:pPr>
        <w:spacing w:line="360" w:lineRule="auto"/>
        <w:jc w:val="both"/>
        <w:rPr>
          <w:rFonts w:ascii="Times New Roman" w:hAnsi="Times New Roman" w:cs="Times New Roman"/>
          <w:bCs/>
          <w:iCs/>
          <w:sz w:val="24"/>
          <w:szCs w:val="24"/>
        </w:rPr>
      </w:pPr>
    </w:p>
    <w:p w14:paraId="027383D9" w14:textId="77777777" w:rsidR="0094194A" w:rsidRPr="00E9681E" w:rsidRDefault="0094194A"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Strengths</w:t>
      </w:r>
    </w:p>
    <w:p w14:paraId="2495D1EF" w14:textId="77777777" w:rsidR="0094194A" w:rsidRPr="00E9681E" w:rsidRDefault="0094194A"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One of the key strengths of AstraZeneca is that it has an established reputation in the world healthcare market. The firm possesses a solid history of conducting research and development in the pharmaceutical industry, and this will enable it to use its scientific knowledge in the </w:t>
      </w:r>
      <w:r w:rsidRPr="00E9681E">
        <w:rPr>
          <w:rFonts w:ascii="Times New Roman" w:hAnsi="Times New Roman" w:cs="Times New Roman"/>
          <w:bCs/>
          <w:iCs/>
          <w:sz w:val="24"/>
          <w:szCs w:val="24"/>
        </w:rPr>
        <w:lastRenderedPageBreak/>
        <w:t>development of wearable health technologies. Moreover, AstraZeneca has a robust background of entering the world by global presence and building strong connections with the patients, healthcare facilities, regulatory bodies, and technology companies that can be the basis of the wearable device launch (SHI and WANG, 2024). The company is also well equipped in terms of infrastructure in research, development and manufacturing which allows it to cater to the medical and technological standards besides ensuring the safety, efficacy and adherence of the device to the healthcare standards.</w:t>
      </w:r>
    </w:p>
    <w:p w14:paraId="22A376D9" w14:textId="77777777" w:rsidR="0094194A" w:rsidRPr="00E9681E" w:rsidRDefault="0094194A" w:rsidP="00E9681E">
      <w:pPr>
        <w:spacing w:line="360" w:lineRule="auto"/>
        <w:jc w:val="both"/>
        <w:rPr>
          <w:rFonts w:ascii="Times New Roman" w:hAnsi="Times New Roman" w:cs="Times New Roman"/>
          <w:b/>
          <w:bCs/>
          <w:iCs/>
          <w:sz w:val="24"/>
          <w:szCs w:val="24"/>
        </w:rPr>
      </w:pPr>
    </w:p>
    <w:p w14:paraId="74133613" w14:textId="77777777" w:rsidR="0094194A" w:rsidRPr="00E9681E" w:rsidRDefault="0094194A"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Weaknesses</w:t>
      </w:r>
    </w:p>
    <w:p w14:paraId="200E6F8A" w14:textId="69F7B090" w:rsidR="0094194A" w:rsidRPr="00E9681E" w:rsidRDefault="0094194A"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AstraZeneca lacks experience in consumer electronics and digital health, which is one of its weaknesses in venturing into the wearable health device market. Although the business is very strong in terms of pharmaceutical research, it lacks a </w:t>
      </w:r>
      <w:r w:rsidR="00E518BF" w:rsidRPr="00E9681E">
        <w:rPr>
          <w:rFonts w:ascii="Times New Roman" w:hAnsi="Times New Roman" w:cs="Times New Roman"/>
          <w:bCs/>
          <w:iCs/>
          <w:sz w:val="24"/>
          <w:szCs w:val="24"/>
        </w:rPr>
        <w:t>record of accomplishment</w:t>
      </w:r>
      <w:r w:rsidRPr="00E9681E">
        <w:rPr>
          <w:rFonts w:ascii="Times New Roman" w:hAnsi="Times New Roman" w:cs="Times New Roman"/>
          <w:bCs/>
          <w:iCs/>
          <w:sz w:val="24"/>
          <w:szCs w:val="24"/>
        </w:rPr>
        <w:t xml:space="preserve"> of creating consumer-related products such as wearable devices. This loophole might result in product design, marketing and user experience difficulties. Moreover, internal resource limitations might also be an issue in the company because it must simultaneously focus on this new technology and invest in it and keep its main pharmaceutical operations running (Morgan et al., 2018). The learning curve related to the development of a competitive technology market can also delay the development of the project.</w:t>
      </w:r>
    </w:p>
    <w:p w14:paraId="64D9C5B1" w14:textId="77777777" w:rsidR="0094194A" w:rsidRPr="00E9681E" w:rsidRDefault="0094194A" w:rsidP="00E9681E">
      <w:pPr>
        <w:spacing w:line="360" w:lineRule="auto"/>
        <w:jc w:val="both"/>
        <w:rPr>
          <w:rFonts w:ascii="Times New Roman" w:hAnsi="Times New Roman" w:cs="Times New Roman"/>
          <w:b/>
          <w:bCs/>
          <w:iCs/>
          <w:sz w:val="24"/>
          <w:szCs w:val="24"/>
        </w:rPr>
      </w:pPr>
    </w:p>
    <w:p w14:paraId="1181F8DC" w14:textId="77777777" w:rsidR="0094194A" w:rsidRPr="00E9681E" w:rsidRDefault="0094194A"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Opportunities</w:t>
      </w:r>
    </w:p>
    <w:p w14:paraId="4234D66E" w14:textId="22EFA930" w:rsidR="0094194A" w:rsidRDefault="0094194A"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The wearable health technology market is expanding at a very high pace owing to the rise in consumer interest in health and wellness. The demand of health monitoring devices, including wearable products that monitor heart rate, oxygen levels, and sleep patterns are on the increasing trend as more individuals are willing to take control of their health by taking preventive measures. This is a market trend that AstraZeneca can exploit to access a new consumer base especially people with chronic conditions or those who wish to take charge of their health. Moreover, the contribution of this wearable to the pharmaceutical product line of AstraZeneca may offer an integrated health management approach, which is a combination of medicine and monitoring that will improve patient outcomes (Ramirez and Tylecote, 2014)</w:t>
      </w:r>
    </w:p>
    <w:p w14:paraId="767B562F" w14:textId="77777777" w:rsidR="0094194A" w:rsidRPr="00E9681E" w:rsidRDefault="0094194A"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Another option that AstraZeneca can utilize is to collaborate with healthcare providers using the wearable device as the means of enhancing patient care and reducing hospital readmissions, </w:t>
      </w:r>
      <w:r w:rsidRPr="00E9681E">
        <w:rPr>
          <w:rFonts w:ascii="Times New Roman" w:hAnsi="Times New Roman" w:cs="Times New Roman"/>
          <w:bCs/>
          <w:iCs/>
          <w:sz w:val="24"/>
          <w:szCs w:val="24"/>
        </w:rPr>
        <w:lastRenderedPageBreak/>
        <w:t>particularly in the case of cardiovascular and respiratory diseases. This would be in line with the objectives of the company to enhance patient outcomes and grow into preventative care (Ashcroft, 2017).</w:t>
      </w:r>
    </w:p>
    <w:p w14:paraId="2B5B9C7C" w14:textId="77777777" w:rsidR="0094194A" w:rsidRPr="00E9681E" w:rsidRDefault="0094194A"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Threats</w:t>
      </w:r>
    </w:p>
    <w:p w14:paraId="51D2A340" w14:textId="51A0D452" w:rsidR="00E83AA2" w:rsidRPr="00E9681E" w:rsidRDefault="0094194A"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Nevertheless, AstraZeneca is not the only company that competes in the market of wearable health devices, as such established players as Apple, Fitbit, and Garmin enjoy a big share of the market. Such companies already have a brand recognition and consumer confidence which may mean that it is hard to get AstraZeneca market momentum. In addition, technological issues like proper monitoring of health, data security, and regulatory aspects are possible barriers to the success of the device (Morgan et al., 2018). The project schedule can be delayed by making sure that the device meets healthcare regulations and standards including GDPR and fulfilling the high-level requirements of medical devices.</w:t>
      </w:r>
    </w:p>
    <w:p w14:paraId="21FE1C64" w14:textId="77777777" w:rsidR="0094194A" w:rsidRPr="00E9681E" w:rsidRDefault="0094194A" w:rsidP="00E9681E">
      <w:pPr>
        <w:spacing w:line="360" w:lineRule="auto"/>
        <w:jc w:val="both"/>
        <w:rPr>
          <w:rFonts w:ascii="Times New Roman" w:hAnsi="Times New Roman" w:cs="Times New Roman"/>
          <w:bCs/>
          <w:iCs/>
          <w:sz w:val="24"/>
          <w:szCs w:val="24"/>
        </w:rPr>
      </w:pPr>
    </w:p>
    <w:p w14:paraId="3502B99B" w14:textId="7FB551A1" w:rsidR="004A0F2D" w:rsidRPr="00E9681E" w:rsidRDefault="00E83AA2" w:rsidP="00E9681E">
      <w:pPr>
        <w:pStyle w:val="Heading1"/>
        <w:spacing w:line="360" w:lineRule="auto"/>
        <w:rPr>
          <w:rFonts w:ascii="Times New Roman" w:hAnsi="Times New Roman" w:cs="Times New Roman"/>
          <w:b/>
          <w:color w:val="auto"/>
          <w:sz w:val="24"/>
          <w:szCs w:val="24"/>
        </w:rPr>
      </w:pPr>
      <w:bookmarkStart w:id="2" w:name="_Toc211998063"/>
      <w:r w:rsidRPr="00E9681E">
        <w:rPr>
          <w:rFonts w:ascii="Times New Roman" w:hAnsi="Times New Roman" w:cs="Times New Roman"/>
          <w:b/>
          <w:color w:val="auto"/>
          <w:sz w:val="24"/>
          <w:szCs w:val="24"/>
        </w:rPr>
        <w:t>K</w:t>
      </w:r>
      <w:r w:rsidR="004A0F2D" w:rsidRPr="00E9681E">
        <w:rPr>
          <w:rFonts w:ascii="Times New Roman" w:hAnsi="Times New Roman" w:cs="Times New Roman"/>
          <w:b/>
          <w:color w:val="auto"/>
          <w:sz w:val="24"/>
          <w:szCs w:val="24"/>
        </w:rPr>
        <w:t>ey Stakeholders for the Wearable Health Device Project at AstraZeneca</w:t>
      </w:r>
      <w:bookmarkEnd w:id="2"/>
    </w:p>
    <w:p w14:paraId="6A099089" w14:textId="77777777" w:rsidR="00D873ED" w:rsidRPr="00E9681E" w:rsidRDefault="00D873ED" w:rsidP="00E9681E">
      <w:pPr>
        <w:spacing w:line="360" w:lineRule="auto"/>
        <w:rPr>
          <w:rFonts w:ascii="Times New Roman" w:hAnsi="Times New Roman" w:cs="Times New Roman"/>
          <w:sz w:val="24"/>
          <w:szCs w:val="24"/>
        </w:rPr>
      </w:pPr>
    </w:p>
    <w:p w14:paraId="44973F2F" w14:textId="77777777" w:rsidR="004A0F2D" w:rsidRPr="00E9681E" w:rsidRDefault="004A0F2D" w:rsidP="00E9681E">
      <w:pPr>
        <w:pStyle w:val="Heading2"/>
        <w:spacing w:line="360" w:lineRule="auto"/>
        <w:rPr>
          <w:rFonts w:ascii="Times New Roman" w:hAnsi="Times New Roman" w:cs="Times New Roman"/>
          <w:b/>
          <w:color w:val="auto"/>
          <w:sz w:val="24"/>
          <w:szCs w:val="24"/>
        </w:rPr>
      </w:pPr>
      <w:bookmarkStart w:id="3" w:name="_Toc211998064"/>
      <w:r w:rsidRPr="00E9681E">
        <w:rPr>
          <w:rFonts w:ascii="Times New Roman" w:hAnsi="Times New Roman" w:cs="Times New Roman"/>
          <w:b/>
          <w:color w:val="auto"/>
          <w:sz w:val="24"/>
          <w:szCs w:val="24"/>
        </w:rPr>
        <w:t>Internal Stakeholders</w:t>
      </w:r>
      <w:bookmarkEnd w:id="3"/>
    </w:p>
    <w:p w14:paraId="795FB9AC" w14:textId="77777777" w:rsidR="004A0F2D" w:rsidRPr="00E9681E" w:rsidRDefault="004A0F2D" w:rsidP="00E9681E">
      <w:pPr>
        <w:spacing w:line="360" w:lineRule="auto"/>
        <w:jc w:val="both"/>
        <w:rPr>
          <w:rFonts w:ascii="Times New Roman" w:hAnsi="Times New Roman" w:cs="Times New Roman"/>
          <w:bCs/>
          <w:iCs/>
          <w:sz w:val="24"/>
          <w:szCs w:val="24"/>
        </w:rPr>
      </w:pPr>
    </w:p>
    <w:p w14:paraId="68E08EAE" w14:textId="77777777" w:rsidR="005C7307" w:rsidRPr="00E9681E" w:rsidRDefault="005C7307"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Product Development Team</w:t>
      </w:r>
    </w:p>
    <w:p w14:paraId="09CEA359" w14:textId="77777777" w:rsidR="005C7307" w:rsidRPr="00E9681E" w:rsidRDefault="005C7307"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Product Development Team will make the design of wearable health device and develop it. This also involves compliance, which entails hardware, software, and sensor clinical and technical requirements. They do their job by performing a strict testing process </w:t>
      </w:r>
      <w:proofErr w:type="gramStart"/>
      <w:r w:rsidRPr="00E9681E">
        <w:rPr>
          <w:rFonts w:ascii="Times New Roman" w:hAnsi="Times New Roman" w:cs="Times New Roman"/>
          <w:bCs/>
          <w:iCs/>
          <w:sz w:val="24"/>
          <w:szCs w:val="24"/>
        </w:rPr>
        <w:t>in order to</w:t>
      </w:r>
      <w:proofErr w:type="gramEnd"/>
      <w:r w:rsidRPr="00E9681E">
        <w:rPr>
          <w:rFonts w:ascii="Times New Roman" w:hAnsi="Times New Roman" w:cs="Times New Roman"/>
          <w:bCs/>
          <w:iCs/>
          <w:sz w:val="24"/>
          <w:szCs w:val="24"/>
        </w:rPr>
        <w:t xml:space="preserve"> make sure that the device can perform in a real-life situation. The success of the device depends on their skills in engineering, design, and healthcare technology (Ash et al., 2021.). The advantage of the team is that it can enable the transfer of healthcare needs into working technology. They however encounter challenges that include solving technical setbacks, meeting strict deadlines, and having smooth integration with the current healthcare practices. Their performance has a direct effect on the performance and the acceptance of the device in the market.</w:t>
      </w:r>
    </w:p>
    <w:p w14:paraId="575D43A7" w14:textId="77777777" w:rsidR="005C7307" w:rsidRDefault="005C7307" w:rsidP="00E9681E">
      <w:pPr>
        <w:spacing w:line="360" w:lineRule="auto"/>
        <w:jc w:val="both"/>
        <w:rPr>
          <w:rFonts w:ascii="Times New Roman" w:hAnsi="Times New Roman" w:cs="Times New Roman"/>
          <w:b/>
          <w:bCs/>
          <w:iCs/>
          <w:sz w:val="24"/>
          <w:szCs w:val="24"/>
        </w:rPr>
      </w:pPr>
    </w:p>
    <w:p w14:paraId="1C01B953" w14:textId="77777777" w:rsidR="0097679A" w:rsidRPr="00E9681E" w:rsidRDefault="0097679A" w:rsidP="00E9681E">
      <w:pPr>
        <w:spacing w:line="360" w:lineRule="auto"/>
        <w:jc w:val="both"/>
        <w:rPr>
          <w:rFonts w:ascii="Times New Roman" w:hAnsi="Times New Roman" w:cs="Times New Roman"/>
          <w:b/>
          <w:bCs/>
          <w:iCs/>
          <w:sz w:val="24"/>
          <w:szCs w:val="24"/>
        </w:rPr>
      </w:pPr>
    </w:p>
    <w:p w14:paraId="2FF951F5" w14:textId="77777777" w:rsidR="005C7307" w:rsidRPr="00E9681E" w:rsidRDefault="005C7307"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lastRenderedPageBreak/>
        <w:t>Marketing Team</w:t>
      </w:r>
    </w:p>
    <w:p w14:paraId="0AC9FA40" w14:textId="77777777" w:rsidR="005C7307" w:rsidRPr="00E9681E" w:rsidRDefault="005C7307"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Marketing Team role is very crucial to the success of the wearable health device in terms of creating and implementing an elaborate marketing strategy. They are to create awareness, reach the most appropriate consumer demographics, and deliver the value proposition of the product (Munoru, 2024). The marketing team also informs the healthcare providers about the way the device can enhance patient outcomes. They play a crucial role in creating the brand awareness and stimulating the need to acquire the device. The challenges that the marketing team will encounter are, however, how to overcome the skepticism of the healthcare professionals on the clinical value of the device as well as overcoming fears of new technologies. Good messages and campaigns are crucial towards acknowledging the product.</w:t>
      </w:r>
    </w:p>
    <w:p w14:paraId="01921F5A" w14:textId="77777777" w:rsidR="005C7307" w:rsidRPr="00E9681E" w:rsidRDefault="005C7307" w:rsidP="00E9681E">
      <w:pPr>
        <w:spacing w:line="360" w:lineRule="auto"/>
        <w:jc w:val="both"/>
        <w:rPr>
          <w:rFonts w:ascii="Times New Roman" w:hAnsi="Times New Roman" w:cs="Times New Roman"/>
          <w:b/>
          <w:bCs/>
          <w:iCs/>
          <w:sz w:val="24"/>
          <w:szCs w:val="24"/>
        </w:rPr>
      </w:pPr>
    </w:p>
    <w:p w14:paraId="5DC978B7" w14:textId="77777777" w:rsidR="005C7307" w:rsidRPr="00E9681E" w:rsidRDefault="005C7307"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Sales Team</w:t>
      </w:r>
    </w:p>
    <w:p w14:paraId="54021F9B" w14:textId="51CF142E" w:rsidR="004A0F2D" w:rsidRPr="00E9681E" w:rsidRDefault="005C7307"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The Sales Team will be charged with the responsibility of delivering the wearable health device to healthcare providers, clinics and directly to consumers. They are the negotiators of prices, formulation of partnerships and getting the device to the target market. The effectiveness of the product in penetrating the market will largely rely on the capacity of the sales team to establish an effective distribution system and form close relations with healthcare providers (Timmis, 2021). Nevertheless, the logistic issues of distribution, competition management, and appropriate product price to various healthcare markets challenge them. Their efforts are very critical in ensuring that the device is accessible to many people and adopted by many.</w:t>
      </w:r>
    </w:p>
    <w:p w14:paraId="0021D6AE" w14:textId="77777777" w:rsidR="005C7307" w:rsidRPr="00E9681E" w:rsidRDefault="005C7307" w:rsidP="00E9681E">
      <w:pPr>
        <w:spacing w:line="360" w:lineRule="auto"/>
        <w:jc w:val="both"/>
        <w:rPr>
          <w:rFonts w:ascii="Times New Roman" w:hAnsi="Times New Roman" w:cs="Times New Roman"/>
          <w:b/>
          <w:bCs/>
          <w:iCs/>
          <w:sz w:val="24"/>
          <w:szCs w:val="24"/>
        </w:rPr>
      </w:pPr>
    </w:p>
    <w:p w14:paraId="708358A5" w14:textId="77777777" w:rsidR="004A0F2D" w:rsidRPr="00E9681E" w:rsidRDefault="004A0F2D" w:rsidP="00E9681E">
      <w:pPr>
        <w:pStyle w:val="Heading2"/>
        <w:spacing w:line="360" w:lineRule="auto"/>
        <w:rPr>
          <w:rFonts w:ascii="Times New Roman" w:hAnsi="Times New Roman" w:cs="Times New Roman"/>
          <w:b/>
          <w:color w:val="auto"/>
          <w:sz w:val="24"/>
          <w:szCs w:val="24"/>
        </w:rPr>
      </w:pPr>
      <w:bookmarkStart w:id="4" w:name="_Toc211998065"/>
      <w:r w:rsidRPr="00E9681E">
        <w:rPr>
          <w:rFonts w:ascii="Times New Roman" w:hAnsi="Times New Roman" w:cs="Times New Roman"/>
          <w:b/>
          <w:color w:val="auto"/>
          <w:sz w:val="24"/>
          <w:szCs w:val="24"/>
        </w:rPr>
        <w:t>External Stakeholders</w:t>
      </w:r>
      <w:bookmarkEnd w:id="4"/>
    </w:p>
    <w:p w14:paraId="79EC9BE3" w14:textId="77777777" w:rsidR="004A0F2D" w:rsidRPr="00E9681E" w:rsidRDefault="004A0F2D" w:rsidP="00E9681E">
      <w:pPr>
        <w:spacing w:line="360" w:lineRule="auto"/>
        <w:jc w:val="both"/>
        <w:rPr>
          <w:rFonts w:ascii="Times New Roman" w:hAnsi="Times New Roman" w:cs="Times New Roman"/>
          <w:b/>
          <w:bCs/>
          <w:iCs/>
          <w:sz w:val="24"/>
          <w:szCs w:val="24"/>
        </w:rPr>
      </w:pPr>
    </w:p>
    <w:p w14:paraId="05254DAD" w14:textId="77777777" w:rsidR="004A0F2D" w:rsidRPr="00E9681E" w:rsidRDefault="004A0F2D"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Patients and Healthcare Users</w:t>
      </w:r>
    </w:p>
    <w:p w14:paraId="05E175C5" w14:textId="77777777" w:rsidR="00AC33BD" w:rsidRDefault="00AC33B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The wearable health device is focused on the patients as the main end-users. They are expected to use the device to monitor health indicators of heart rate, oxygen levels, and sleep patterns. They offer useful information regarding the usefulness and the usability of the device. The feedback of the patient is necessary to refine the device and make sure that it is applicable in real-world requirements. Several difficulties are involved, however, such as promotion of adoption, particularly among older people or those who have no experience with wearable </w:t>
      </w:r>
      <w:r w:rsidRPr="00E9681E">
        <w:rPr>
          <w:rFonts w:ascii="Times New Roman" w:hAnsi="Times New Roman" w:cs="Times New Roman"/>
          <w:bCs/>
          <w:iCs/>
          <w:sz w:val="24"/>
          <w:szCs w:val="24"/>
        </w:rPr>
        <w:lastRenderedPageBreak/>
        <w:t>devices (Iglesias et al., 2025). Also, the issue of data privacy and security might be a cause of concern, particularly because the device scans sensitive health data. Achieving patient confidence and making the device widely used will be the key to ensuring that the device does not violate privacy laws and that the concerns will be addressed.</w:t>
      </w:r>
    </w:p>
    <w:p w14:paraId="705571DA" w14:textId="77777777" w:rsidR="00E31804" w:rsidRPr="00E9681E" w:rsidRDefault="00E31804" w:rsidP="00E9681E">
      <w:pPr>
        <w:spacing w:line="360" w:lineRule="auto"/>
        <w:jc w:val="both"/>
        <w:rPr>
          <w:rFonts w:ascii="Times New Roman" w:hAnsi="Times New Roman" w:cs="Times New Roman"/>
          <w:bCs/>
          <w:iCs/>
          <w:sz w:val="24"/>
          <w:szCs w:val="24"/>
        </w:rPr>
      </w:pPr>
    </w:p>
    <w:p w14:paraId="79A3CF9C" w14:textId="7A78C318" w:rsidR="004A0F2D" w:rsidRPr="00E9681E" w:rsidRDefault="004A0F2D"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Clinical Teams (Doctors, Nurses, Health Technologists)</w:t>
      </w:r>
    </w:p>
    <w:p w14:paraId="3DB4658A" w14:textId="6B7F04D3" w:rsidR="004A0F2D" w:rsidRPr="00E9681E" w:rsidRDefault="00512DB1"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The task of Clinical Teams is to review the clinical utility of the device and make it fit well into the workflow of patient care. They give feedback regarding the performance of the device in clinical practice such as its accuracy, usability and its effect on patient care. Their approval is essential in the assurance of the adoption and assimilation of the device in healthcare practices. Nevertheless, the problem of resistance to the adoption of new technologies is also present, and the implementation of changes to the working process can be a disruptive factor in numerous busy healthcare settings. The key to the success of the device will be overcoming this resistance and showing the value of the device in enhancing patient outcomes.</w:t>
      </w:r>
    </w:p>
    <w:p w14:paraId="4CA836CC" w14:textId="77777777" w:rsidR="004A0F2D" w:rsidRPr="00E9681E" w:rsidRDefault="004A0F2D"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Regulatory Bodies (MHRA, GDPR Compliance)</w:t>
      </w:r>
    </w:p>
    <w:p w14:paraId="6C4B1DE0" w14:textId="4FCC7404" w:rsidR="004A0F2D" w:rsidRPr="00E9681E" w:rsidRDefault="0023162C"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The regulatory authorities, including the Medicines and Healthcare products Regulatory Agency (MHRA) and those that monitor the GDPR compliance are very important in the regulation of the safety, efficacy, and privacy of the wearable health device. These agencies make sure that the device conforms to regulatory standards prior to the marketing and application to clinical practice. They play a critical role in patient safety and trust by the population. </w:t>
      </w:r>
      <w:r w:rsidR="00C33EC6" w:rsidRPr="00E9681E">
        <w:rPr>
          <w:rFonts w:ascii="Times New Roman" w:hAnsi="Times New Roman" w:cs="Times New Roman"/>
          <w:bCs/>
          <w:iCs/>
          <w:sz w:val="24"/>
          <w:szCs w:val="24"/>
        </w:rPr>
        <w:t>However</w:t>
      </w:r>
      <w:r w:rsidRPr="00E9681E">
        <w:rPr>
          <w:rFonts w:ascii="Times New Roman" w:hAnsi="Times New Roman" w:cs="Times New Roman"/>
          <w:bCs/>
          <w:iCs/>
          <w:sz w:val="24"/>
          <w:szCs w:val="24"/>
        </w:rPr>
        <w:t xml:space="preserve">, it is possible to postpone the project timeline by going through the complicated regulatory landscape (Richards and Hudson, 2016). They also need to abide by laws on data protection </w:t>
      </w:r>
      <w:proofErr w:type="gramStart"/>
      <w:r w:rsidRPr="00E9681E">
        <w:rPr>
          <w:rFonts w:ascii="Times New Roman" w:hAnsi="Times New Roman" w:cs="Times New Roman"/>
          <w:bCs/>
          <w:iCs/>
          <w:sz w:val="24"/>
          <w:szCs w:val="24"/>
        </w:rPr>
        <w:t>in order to</w:t>
      </w:r>
      <w:proofErr w:type="gramEnd"/>
      <w:r w:rsidRPr="00E9681E">
        <w:rPr>
          <w:rFonts w:ascii="Times New Roman" w:hAnsi="Times New Roman" w:cs="Times New Roman"/>
          <w:bCs/>
          <w:iCs/>
          <w:sz w:val="24"/>
          <w:szCs w:val="24"/>
        </w:rPr>
        <w:t xml:space="preserve"> ensure the device does not violate the privacy of patients, which is a critical adoption requirement.</w:t>
      </w:r>
    </w:p>
    <w:p w14:paraId="18C61E8D" w14:textId="77777777" w:rsidR="004A0F2D" w:rsidRPr="00E9681E" w:rsidRDefault="004A0F2D" w:rsidP="00E9681E">
      <w:pPr>
        <w:spacing w:line="360" w:lineRule="auto"/>
        <w:jc w:val="both"/>
        <w:rPr>
          <w:rFonts w:ascii="Times New Roman" w:hAnsi="Times New Roman" w:cs="Times New Roman"/>
          <w:bCs/>
          <w:iCs/>
          <w:sz w:val="24"/>
          <w:szCs w:val="24"/>
        </w:rPr>
      </w:pPr>
    </w:p>
    <w:p w14:paraId="038ECA96" w14:textId="77777777" w:rsidR="004A0F2D" w:rsidRPr="00E9681E" w:rsidRDefault="004A0F2D"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Technology Partners and Suppliers</w:t>
      </w:r>
    </w:p>
    <w:p w14:paraId="177558B7" w14:textId="388FA645" w:rsidR="00B821D4" w:rsidRPr="00E9681E" w:rsidRDefault="00545773"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Technology Partners and Suppliers will deal with the provision of hardware components and software of the wearable device. These stakeholders would play a role in the functionality of the device making it operate as desired. Their supplied parts must be of high quality and reliable to the overall capacity of the device. Nevertheless, the issues such as the possible disruption of </w:t>
      </w:r>
      <w:r w:rsidRPr="00E9681E">
        <w:rPr>
          <w:rFonts w:ascii="Times New Roman" w:hAnsi="Times New Roman" w:cs="Times New Roman"/>
          <w:bCs/>
          <w:iCs/>
          <w:sz w:val="24"/>
          <w:szCs w:val="24"/>
        </w:rPr>
        <w:lastRenderedPageBreak/>
        <w:t>the supply chain, the appropriate delivery of the components and compatibility of the various parts of the device are challenges. Good communications and close relations with the suppliers would be critical towards preventing delays and delivering quality device.</w:t>
      </w:r>
    </w:p>
    <w:p w14:paraId="79EA6C3F" w14:textId="77777777" w:rsidR="008B4466" w:rsidRPr="00E9681E" w:rsidRDefault="008B4466" w:rsidP="00E9681E">
      <w:pPr>
        <w:pStyle w:val="Heading1"/>
        <w:spacing w:line="360" w:lineRule="auto"/>
        <w:rPr>
          <w:rFonts w:ascii="Times New Roman" w:hAnsi="Times New Roman" w:cs="Times New Roman"/>
          <w:b/>
          <w:color w:val="auto"/>
          <w:sz w:val="24"/>
          <w:szCs w:val="24"/>
        </w:rPr>
      </w:pPr>
    </w:p>
    <w:p w14:paraId="6AC4A9C5" w14:textId="15CA92FB" w:rsidR="00B821D4" w:rsidRPr="00E9681E" w:rsidRDefault="00B821D4" w:rsidP="00E9681E">
      <w:pPr>
        <w:pStyle w:val="Heading1"/>
        <w:spacing w:line="360" w:lineRule="auto"/>
        <w:rPr>
          <w:rFonts w:ascii="Times New Roman" w:hAnsi="Times New Roman" w:cs="Times New Roman"/>
          <w:b/>
          <w:color w:val="auto"/>
          <w:sz w:val="24"/>
          <w:szCs w:val="24"/>
        </w:rPr>
      </w:pPr>
      <w:bookmarkStart w:id="5" w:name="_Toc211998066"/>
      <w:r w:rsidRPr="00E9681E">
        <w:rPr>
          <w:rFonts w:ascii="Times New Roman" w:hAnsi="Times New Roman" w:cs="Times New Roman"/>
          <w:b/>
          <w:color w:val="auto"/>
          <w:sz w:val="24"/>
          <w:szCs w:val="24"/>
        </w:rPr>
        <w:t>Frameworks, Models, and Theories for Stakeholder Engagement</w:t>
      </w:r>
      <w:bookmarkEnd w:id="5"/>
    </w:p>
    <w:p w14:paraId="5EE3104D" w14:textId="41141C82" w:rsidR="00B821D4" w:rsidRPr="00E9681E" w:rsidRDefault="008B4466" w:rsidP="00E9681E">
      <w:pPr>
        <w:spacing w:line="360" w:lineRule="auto"/>
        <w:jc w:val="both"/>
        <w:rPr>
          <w:rFonts w:ascii="Times New Roman" w:hAnsi="Times New Roman" w:cs="Times New Roman"/>
          <w:bCs/>
          <w:iCs/>
          <w:sz w:val="24"/>
          <w:szCs w:val="24"/>
        </w:rPr>
      </w:pPr>
      <w:proofErr w:type="gramStart"/>
      <w:r w:rsidRPr="00E9681E">
        <w:rPr>
          <w:rFonts w:ascii="Times New Roman" w:hAnsi="Times New Roman" w:cs="Times New Roman"/>
          <w:bCs/>
          <w:iCs/>
          <w:sz w:val="24"/>
          <w:szCs w:val="24"/>
        </w:rPr>
        <w:t>In order to</w:t>
      </w:r>
      <w:proofErr w:type="gramEnd"/>
      <w:r w:rsidRPr="00E9681E">
        <w:rPr>
          <w:rFonts w:ascii="Times New Roman" w:hAnsi="Times New Roman" w:cs="Times New Roman"/>
          <w:bCs/>
          <w:iCs/>
          <w:sz w:val="24"/>
          <w:szCs w:val="24"/>
        </w:rPr>
        <w:t xml:space="preserve"> make the wearable health device launched successfully at AstraZeneca, one must apply right frameworks and models to consult the stakeholders.</w:t>
      </w:r>
    </w:p>
    <w:p w14:paraId="6CBE918B" w14:textId="00656B17" w:rsidR="00B821D4" w:rsidRPr="00E9681E" w:rsidRDefault="00B821D4" w:rsidP="00E9681E">
      <w:pPr>
        <w:pStyle w:val="Heading2"/>
        <w:spacing w:line="360" w:lineRule="auto"/>
        <w:rPr>
          <w:rFonts w:ascii="Times New Roman" w:hAnsi="Times New Roman" w:cs="Times New Roman"/>
          <w:b/>
          <w:color w:val="auto"/>
          <w:sz w:val="24"/>
          <w:szCs w:val="24"/>
        </w:rPr>
      </w:pPr>
      <w:bookmarkStart w:id="6" w:name="_Toc211998067"/>
      <w:r w:rsidRPr="00E9681E">
        <w:rPr>
          <w:rFonts w:ascii="Times New Roman" w:hAnsi="Times New Roman" w:cs="Times New Roman"/>
          <w:b/>
          <w:color w:val="auto"/>
          <w:sz w:val="24"/>
          <w:szCs w:val="24"/>
        </w:rPr>
        <w:t>Stakeholder Matrix</w:t>
      </w:r>
      <w:r w:rsidR="00D873ED" w:rsidRPr="00E9681E">
        <w:rPr>
          <w:rFonts w:ascii="Times New Roman" w:hAnsi="Times New Roman" w:cs="Times New Roman"/>
          <w:b/>
          <w:color w:val="auto"/>
          <w:sz w:val="24"/>
          <w:szCs w:val="24"/>
        </w:rPr>
        <w:t xml:space="preserve"> on AstraZeneca Project</w:t>
      </w:r>
      <w:bookmarkEnd w:id="6"/>
      <w:r w:rsidR="00D873ED" w:rsidRPr="00E9681E">
        <w:rPr>
          <w:rFonts w:ascii="Times New Roman" w:hAnsi="Times New Roman" w:cs="Times New Roman"/>
          <w:b/>
          <w:color w:val="auto"/>
          <w:sz w:val="24"/>
          <w:szCs w:val="24"/>
        </w:rPr>
        <w:t xml:space="preserve"> </w:t>
      </w:r>
    </w:p>
    <w:p w14:paraId="111A18E2" w14:textId="77777777" w:rsidR="007C31E7" w:rsidRPr="00E9681E" w:rsidRDefault="007C31E7"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Stakeholder Matrix is a handy model of classifying the stakeholders by the degree of impact and interest. This model assists in priority of stakeholders who should get more attention and the best possible ways of engaging them. As an example, high-influence and high-interest stakeholders (e.g., Clinical Teams, Senior Management) will need close and frequent communication and participation in the determination of decisions. The highly influential, yet low-interest regulators and outside suppliers ought to be maintained by updating them periodically and conducting compliance audits on a regular basis (Ahmed, 2025). Low influence with high interest patients </w:t>
      </w:r>
      <w:proofErr w:type="gramStart"/>
      <w:r w:rsidRPr="00E9681E">
        <w:rPr>
          <w:rFonts w:ascii="Times New Roman" w:hAnsi="Times New Roman" w:cs="Times New Roman"/>
          <w:bCs/>
          <w:iCs/>
          <w:sz w:val="24"/>
          <w:szCs w:val="24"/>
        </w:rPr>
        <w:t>require</w:t>
      </w:r>
      <w:proofErr w:type="gramEnd"/>
      <w:r w:rsidRPr="00E9681E">
        <w:rPr>
          <w:rFonts w:ascii="Times New Roman" w:hAnsi="Times New Roman" w:cs="Times New Roman"/>
          <w:bCs/>
          <w:iCs/>
          <w:sz w:val="24"/>
          <w:szCs w:val="24"/>
        </w:rPr>
        <w:t xml:space="preserve"> being informed and updated along the way.</w:t>
      </w:r>
    </w:p>
    <w:p w14:paraId="5B1C9B24" w14:textId="5A47D743" w:rsidR="004317AD" w:rsidRPr="00E9681E" w:rsidRDefault="004317A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noProof/>
          <w:sz w:val="24"/>
          <w:szCs w:val="24"/>
          <w:lang w:val="en-US" w:eastAsia="en-US"/>
        </w:rPr>
        <w:drawing>
          <wp:inline distT="0" distB="0" distL="0" distR="0" wp14:anchorId="3D953003" wp14:editId="50488F4A">
            <wp:extent cx="5731510" cy="349313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93135"/>
                    </a:xfrm>
                    <a:prstGeom prst="rect">
                      <a:avLst/>
                    </a:prstGeom>
                  </pic:spPr>
                </pic:pic>
              </a:graphicData>
            </a:graphic>
          </wp:inline>
        </w:drawing>
      </w:r>
    </w:p>
    <w:p w14:paraId="4EED3167" w14:textId="27109EFB" w:rsidR="00E83AA2" w:rsidRPr="00E9681E" w:rsidRDefault="00E83AA2" w:rsidP="00E9681E">
      <w:pPr>
        <w:pStyle w:val="Heading2"/>
        <w:spacing w:line="360" w:lineRule="auto"/>
        <w:rPr>
          <w:rFonts w:ascii="Times New Roman" w:hAnsi="Times New Roman" w:cs="Times New Roman"/>
          <w:b/>
          <w:color w:val="auto"/>
          <w:sz w:val="24"/>
          <w:szCs w:val="24"/>
        </w:rPr>
      </w:pPr>
      <w:bookmarkStart w:id="7" w:name="_Toc211998068"/>
      <w:r w:rsidRPr="00E9681E">
        <w:rPr>
          <w:rFonts w:ascii="Times New Roman" w:hAnsi="Times New Roman" w:cs="Times New Roman"/>
          <w:b/>
          <w:color w:val="auto"/>
          <w:sz w:val="24"/>
          <w:szCs w:val="24"/>
        </w:rPr>
        <w:lastRenderedPageBreak/>
        <w:t>RACI Matrix for the Wearable Health Device Project at AstraZeneca</w:t>
      </w:r>
      <w:bookmarkEnd w:id="7"/>
    </w:p>
    <w:p w14:paraId="00AA7378" w14:textId="191724B9" w:rsidR="00C71771" w:rsidRPr="00E9681E" w:rsidRDefault="00C71771"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The RACI Matrix tool is used to define and explain the roles and responsibilities of the stakeholders of a project. The stakeholders of the wearable health device project in AstraZeneca can be mapped based on four categories, namely, Responsible (R), Accountable (A), Consulted (C), and Informed (I) (Besharati Foumani, 2025).</w:t>
      </w:r>
    </w:p>
    <w:tbl>
      <w:tblPr>
        <w:tblStyle w:val="GridTable5Dark-Accent2"/>
        <w:tblW w:w="0" w:type="auto"/>
        <w:tblLook w:val="04A0" w:firstRow="1" w:lastRow="0" w:firstColumn="1" w:lastColumn="0" w:noHBand="0" w:noVBand="1"/>
      </w:tblPr>
      <w:tblGrid>
        <w:gridCol w:w="2200"/>
        <w:gridCol w:w="1937"/>
        <w:gridCol w:w="1590"/>
        <w:gridCol w:w="1784"/>
        <w:gridCol w:w="1505"/>
      </w:tblGrid>
      <w:tr w:rsidR="00E9681E" w:rsidRPr="00E9681E" w14:paraId="3A6D5774" w14:textId="77777777" w:rsidTr="00AD07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5582AA" w14:textId="77777777" w:rsidR="00AD0762" w:rsidRPr="00E9681E" w:rsidRDefault="00AD0762" w:rsidP="00E9681E">
            <w:pPr>
              <w:spacing w:after="160" w:line="360" w:lineRule="auto"/>
              <w:jc w:val="both"/>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Task/Deliverable</w:t>
            </w:r>
          </w:p>
        </w:tc>
        <w:tc>
          <w:tcPr>
            <w:tcW w:w="0" w:type="auto"/>
            <w:hideMark/>
          </w:tcPr>
          <w:p w14:paraId="13829445" w14:textId="77777777" w:rsidR="00AD0762" w:rsidRPr="00E9681E" w:rsidRDefault="00AD0762" w:rsidP="00E9681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Responsible (R)</w:t>
            </w:r>
          </w:p>
        </w:tc>
        <w:tc>
          <w:tcPr>
            <w:tcW w:w="0" w:type="auto"/>
            <w:hideMark/>
          </w:tcPr>
          <w:p w14:paraId="137ECCBF" w14:textId="77777777" w:rsidR="00AD0762" w:rsidRPr="00E9681E" w:rsidRDefault="00AD0762" w:rsidP="00E9681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Accountable (A)</w:t>
            </w:r>
          </w:p>
        </w:tc>
        <w:tc>
          <w:tcPr>
            <w:tcW w:w="0" w:type="auto"/>
            <w:hideMark/>
          </w:tcPr>
          <w:p w14:paraId="02817F47" w14:textId="77777777" w:rsidR="00AD0762" w:rsidRPr="00E9681E" w:rsidRDefault="00AD0762" w:rsidP="00E9681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Consulted (C)</w:t>
            </w:r>
          </w:p>
        </w:tc>
        <w:tc>
          <w:tcPr>
            <w:tcW w:w="0" w:type="auto"/>
            <w:hideMark/>
          </w:tcPr>
          <w:p w14:paraId="3CFC69A3" w14:textId="77777777" w:rsidR="00AD0762" w:rsidRPr="00E9681E" w:rsidRDefault="00AD0762" w:rsidP="00E9681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Informed (I)</w:t>
            </w:r>
          </w:p>
        </w:tc>
      </w:tr>
      <w:tr w:rsidR="00E9681E" w:rsidRPr="00E9681E" w14:paraId="2EEBC76A" w14:textId="77777777" w:rsidTr="00AD07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C0C154" w14:textId="77777777" w:rsidR="00AD0762" w:rsidRPr="00E9681E" w:rsidRDefault="00AD0762" w:rsidP="00E9681E">
            <w:pPr>
              <w:spacing w:after="160" w:line="360" w:lineRule="auto"/>
              <w:jc w:val="both"/>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Designing the Wearable Device</w:t>
            </w:r>
          </w:p>
        </w:tc>
        <w:tc>
          <w:tcPr>
            <w:tcW w:w="0" w:type="auto"/>
            <w:hideMark/>
          </w:tcPr>
          <w:p w14:paraId="70C5723A"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Product Development Team</w:t>
            </w:r>
          </w:p>
        </w:tc>
        <w:tc>
          <w:tcPr>
            <w:tcW w:w="0" w:type="auto"/>
            <w:hideMark/>
          </w:tcPr>
          <w:p w14:paraId="61BC1C8B"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Senior Management</w:t>
            </w:r>
          </w:p>
        </w:tc>
        <w:tc>
          <w:tcPr>
            <w:tcW w:w="0" w:type="auto"/>
            <w:hideMark/>
          </w:tcPr>
          <w:p w14:paraId="089FFBE8"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Clinical Teams, IT</w:t>
            </w:r>
          </w:p>
        </w:tc>
        <w:tc>
          <w:tcPr>
            <w:tcW w:w="0" w:type="auto"/>
            <w:hideMark/>
          </w:tcPr>
          <w:p w14:paraId="7C8FACF9"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Marketing, Sales</w:t>
            </w:r>
          </w:p>
        </w:tc>
      </w:tr>
      <w:tr w:rsidR="00E9681E" w:rsidRPr="00E9681E" w14:paraId="77AA0CD7" w14:textId="77777777" w:rsidTr="00AD0762">
        <w:tc>
          <w:tcPr>
            <w:cnfStyle w:val="001000000000" w:firstRow="0" w:lastRow="0" w:firstColumn="1" w:lastColumn="0" w:oddVBand="0" w:evenVBand="0" w:oddHBand="0" w:evenHBand="0" w:firstRowFirstColumn="0" w:firstRowLastColumn="0" w:lastRowFirstColumn="0" w:lastRowLastColumn="0"/>
            <w:tcW w:w="0" w:type="auto"/>
            <w:hideMark/>
          </w:tcPr>
          <w:p w14:paraId="264E0A32" w14:textId="77777777" w:rsidR="00AD0762" w:rsidRPr="00E9681E" w:rsidRDefault="00AD0762" w:rsidP="00E9681E">
            <w:pPr>
              <w:spacing w:after="160" w:line="360" w:lineRule="auto"/>
              <w:jc w:val="both"/>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Testing the Device</w:t>
            </w:r>
          </w:p>
        </w:tc>
        <w:tc>
          <w:tcPr>
            <w:tcW w:w="0" w:type="auto"/>
            <w:hideMark/>
          </w:tcPr>
          <w:p w14:paraId="1AE9EE18"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Clinical Teams, Product Development Team</w:t>
            </w:r>
          </w:p>
        </w:tc>
        <w:tc>
          <w:tcPr>
            <w:tcW w:w="0" w:type="auto"/>
            <w:hideMark/>
          </w:tcPr>
          <w:p w14:paraId="1B5FBE9A"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Project Manager</w:t>
            </w:r>
          </w:p>
        </w:tc>
        <w:tc>
          <w:tcPr>
            <w:tcW w:w="0" w:type="auto"/>
            <w:hideMark/>
          </w:tcPr>
          <w:p w14:paraId="431FD00B"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IT, Regulatory Bodies</w:t>
            </w:r>
          </w:p>
        </w:tc>
        <w:tc>
          <w:tcPr>
            <w:tcW w:w="0" w:type="auto"/>
            <w:hideMark/>
          </w:tcPr>
          <w:p w14:paraId="367D1561"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Patients, Marketing</w:t>
            </w:r>
          </w:p>
        </w:tc>
      </w:tr>
      <w:tr w:rsidR="00E9681E" w:rsidRPr="00E9681E" w14:paraId="543E57A3" w14:textId="77777777" w:rsidTr="00AD07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BB95CE" w14:textId="77777777" w:rsidR="00AD0762" w:rsidRPr="00E9681E" w:rsidRDefault="00AD0762" w:rsidP="00E9681E">
            <w:pPr>
              <w:spacing w:after="160" w:line="360" w:lineRule="auto"/>
              <w:jc w:val="both"/>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Creating Marketing Strategy</w:t>
            </w:r>
          </w:p>
        </w:tc>
        <w:tc>
          <w:tcPr>
            <w:tcW w:w="0" w:type="auto"/>
            <w:hideMark/>
          </w:tcPr>
          <w:p w14:paraId="246EE9DD"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Marketing Team</w:t>
            </w:r>
          </w:p>
        </w:tc>
        <w:tc>
          <w:tcPr>
            <w:tcW w:w="0" w:type="auto"/>
            <w:hideMark/>
          </w:tcPr>
          <w:p w14:paraId="4E0E7796"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Senior Management</w:t>
            </w:r>
          </w:p>
        </w:tc>
        <w:tc>
          <w:tcPr>
            <w:tcW w:w="0" w:type="auto"/>
            <w:hideMark/>
          </w:tcPr>
          <w:p w14:paraId="1C0E8717"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Sales Team, Clinical Teams</w:t>
            </w:r>
          </w:p>
        </w:tc>
        <w:tc>
          <w:tcPr>
            <w:tcW w:w="0" w:type="auto"/>
            <w:hideMark/>
          </w:tcPr>
          <w:p w14:paraId="74614FC6"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Patients, External Suppliers</w:t>
            </w:r>
          </w:p>
        </w:tc>
      </w:tr>
      <w:tr w:rsidR="00E9681E" w:rsidRPr="00E9681E" w14:paraId="52C3C66E" w14:textId="77777777" w:rsidTr="00AD0762">
        <w:tc>
          <w:tcPr>
            <w:cnfStyle w:val="001000000000" w:firstRow="0" w:lastRow="0" w:firstColumn="1" w:lastColumn="0" w:oddVBand="0" w:evenVBand="0" w:oddHBand="0" w:evenHBand="0" w:firstRowFirstColumn="0" w:firstRowLastColumn="0" w:lastRowFirstColumn="0" w:lastRowLastColumn="0"/>
            <w:tcW w:w="0" w:type="auto"/>
            <w:hideMark/>
          </w:tcPr>
          <w:p w14:paraId="76B4FA07" w14:textId="77777777" w:rsidR="00AD0762" w:rsidRPr="00E9681E" w:rsidRDefault="00AD0762" w:rsidP="00E9681E">
            <w:pPr>
              <w:spacing w:after="160" w:line="360" w:lineRule="auto"/>
              <w:jc w:val="both"/>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Regulatory Approval</w:t>
            </w:r>
          </w:p>
        </w:tc>
        <w:tc>
          <w:tcPr>
            <w:tcW w:w="0" w:type="auto"/>
            <w:hideMark/>
          </w:tcPr>
          <w:p w14:paraId="17E8DB60"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Regulatory Bodies</w:t>
            </w:r>
          </w:p>
        </w:tc>
        <w:tc>
          <w:tcPr>
            <w:tcW w:w="0" w:type="auto"/>
            <w:hideMark/>
          </w:tcPr>
          <w:p w14:paraId="5B34BD07"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Senior Management</w:t>
            </w:r>
          </w:p>
        </w:tc>
        <w:tc>
          <w:tcPr>
            <w:tcW w:w="0" w:type="auto"/>
            <w:hideMark/>
          </w:tcPr>
          <w:p w14:paraId="11449681"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Clinical Teams, IT</w:t>
            </w:r>
          </w:p>
        </w:tc>
        <w:tc>
          <w:tcPr>
            <w:tcW w:w="0" w:type="auto"/>
            <w:hideMark/>
          </w:tcPr>
          <w:p w14:paraId="0F4E87FE"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Marketing, Sales</w:t>
            </w:r>
          </w:p>
        </w:tc>
      </w:tr>
      <w:tr w:rsidR="00E9681E" w:rsidRPr="00E9681E" w14:paraId="64AEE7D9" w14:textId="77777777" w:rsidTr="00AD07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A05BC7" w14:textId="77777777" w:rsidR="00AD0762" w:rsidRPr="00E9681E" w:rsidRDefault="00AD0762" w:rsidP="00E9681E">
            <w:pPr>
              <w:spacing w:after="160" w:line="360" w:lineRule="auto"/>
              <w:jc w:val="both"/>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Developing Sales Strategy</w:t>
            </w:r>
          </w:p>
        </w:tc>
        <w:tc>
          <w:tcPr>
            <w:tcW w:w="0" w:type="auto"/>
            <w:hideMark/>
          </w:tcPr>
          <w:p w14:paraId="11EDB7C3"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Sales Team</w:t>
            </w:r>
          </w:p>
        </w:tc>
        <w:tc>
          <w:tcPr>
            <w:tcW w:w="0" w:type="auto"/>
            <w:hideMark/>
          </w:tcPr>
          <w:p w14:paraId="67AF7ED7"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Senior Management</w:t>
            </w:r>
          </w:p>
        </w:tc>
        <w:tc>
          <w:tcPr>
            <w:tcW w:w="0" w:type="auto"/>
            <w:hideMark/>
          </w:tcPr>
          <w:p w14:paraId="52A1F77D"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Marketing, Product Development</w:t>
            </w:r>
          </w:p>
        </w:tc>
        <w:tc>
          <w:tcPr>
            <w:tcW w:w="0" w:type="auto"/>
            <w:hideMark/>
          </w:tcPr>
          <w:p w14:paraId="2AA05A24"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Patients, Clinical Teams</w:t>
            </w:r>
          </w:p>
        </w:tc>
      </w:tr>
      <w:tr w:rsidR="00E9681E" w:rsidRPr="00E9681E" w14:paraId="65EFB801" w14:textId="77777777" w:rsidTr="00AD0762">
        <w:tc>
          <w:tcPr>
            <w:cnfStyle w:val="001000000000" w:firstRow="0" w:lastRow="0" w:firstColumn="1" w:lastColumn="0" w:oddVBand="0" w:evenVBand="0" w:oddHBand="0" w:evenHBand="0" w:firstRowFirstColumn="0" w:firstRowLastColumn="0" w:lastRowFirstColumn="0" w:lastRowLastColumn="0"/>
            <w:tcW w:w="0" w:type="auto"/>
            <w:hideMark/>
          </w:tcPr>
          <w:p w14:paraId="250168B1" w14:textId="77777777" w:rsidR="00AD0762" w:rsidRPr="00E9681E" w:rsidRDefault="00AD0762" w:rsidP="00E9681E">
            <w:pPr>
              <w:spacing w:after="160" w:line="360" w:lineRule="auto"/>
              <w:jc w:val="both"/>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Distribution &amp; Partnerships</w:t>
            </w:r>
          </w:p>
        </w:tc>
        <w:tc>
          <w:tcPr>
            <w:tcW w:w="0" w:type="auto"/>
            <w:hideMark/>
          </w:tcPr>
          <w:p w14:paraId="421A279E"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Sales Team</w:t>
            </w:r>
          </w:p>
        </w:tc>
        <w:tc>
          <w:tcPr>
            <w:tcW w:w="0" w:type="auto"/>
            <w:hideMark/>
          </w:tcPr>
          <w:p w14:paraId="006E9FA9"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Senior Management</w:t>
            </w:r>
          </w:p>
        </w:tc>
        <w:tc>
          <w:tcPr>
            <w:tcW w:w="0" w:type="auto"/>
            <w:hideMark/>
          </w:tcPr>
          <w:p w14:paraId="2EEFBFE8"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Marketing, External Suppliers</w:t>
            </w:r>
          </w:p>
        </w:tc>
        <w:tc>
          <w:tcPr>
            <w:tcW w:w="0" w:type="auto"/>
            <w:hideMark/>
          </w:tcPr>
          <w:p w14:paraId="3EA1F2E3" w14:textId="77777777" w:rsidR="00AD0762" w:rsidRPr="00E9681E" w:rsidRDefault="00AD0762" w:rsidP="00E9681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Patients, Clinical Teams</w:t>
            </w:r>
          </w:p>
        </w:tc>
      </w:tr>
      <w:tr w:rsidR="00E9681E" w:rsidRPr="00E9681E" w14:paraId="752E94F6" w14:textId="77777777" w:rsidTr="00AD07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72F619" w14:textId="77777777" w:rsidR="00AD0762" w:rsidRPr="00E9681E" w:rsidRDefault="00AD0762" w:rsidP="00E9681E">
            <w:pPr>
              <w:spacing w:after="160" w:line="360" w:lineRule="auto"/>
              <w:jc w:val="both"/>
              <w:rPr>
                <w:rFonts w:ascii="Times New Roman" w:hAnsi="Times New Roman" w:cs="Times New Roman"/>
                <w:iCs/>
                <w:color w:val="auto"/>
                <w:sz w:val="24"/>
                <w:szCs w:val="24"/>
                <w:lang w:val="en-US"/>
              </w:rPr>
            </w:pPr>
            <w:r w:rsidRPr="00E9681E">
              <w:rPr>
                <w:rFonts w:ascii="Times New Roman" w:hAnsi="Times New Roman" w:cs="Times New Roman"/>
                <w:iCs/>
                <w:color w:val="auto"/>
                <w:sz w:val="24"/>
                <w:szCs w:val="24"/>
                <w:lang w:val="en-US"/>
              </w:rPr>
              <w:t>Customer Feedback and Support</w:t>
            </w:r>
          </w:p>
        </w:tc>
        <w:tc>
          <w:tcPr>
            <w:tcW w:w="0" w:type="auto"/>
            <w:hideMark/>
          </w:tcPr>
          <w:p w14:paraId="2D5800F7"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Customer Service, Sales Team</w:t>
            </w:r>
          </w:p>
        </w:tc>
        <w:tc>
          <w:tcPr>
            <w:tcW w:w="0" w:type="auto"/>
            <w:hideMark/>
          </w:tcPr>
          <w:p w14:paraId="2429BC14"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Senior Management</w:t>
            </w:r>
          </w:p>
        </w:tc>
        <w:tc>
          <w:tcPr>
            <w:tcW w:w="0" w:type="auto"/>
            <w:hideMark/>
          </w:tcPr>
          <w:p w14:paraId="70211584"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Clinical Teams, Marketing</w:t>
            </w:r>
          </w:p>
        </w:tc>
        <w:tc>
          <w:tcPr>
            <w:tcW w:w="0" w:type="auto"/>
            <w:hideMark/>
          </w:tcPr>
          <w:p w14:paraId="40436961" w14:textId="77777777" w:rsidR="00AD0762" w:rsidRPr="00E9681E" w:rsidRDefault="00AD0762" w:rsidP="00E9681E">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iCs/>
                <w:sz w:val="24"/>
                <w:szCs w:val="24"/>
                <w:lang w:val="en-US"/>
              </w:rPr>
            </w:pPr>
            <w:r w:rsidRPr="00E9681E">
              <w:rPr>
                <w:rFonts w:ascii="Times New Roman" w:hAnsi="Times New Roman" w:cs="Times New Roman"/>
                <w:bCs/>
                <w:iCs/>
                <w:sz w:val="24"/>
                <w:szCs w:val="24"/>
                <w:lang w:val="en-US"/>
              </w:rPr>
              <w:t>Patients, External Suppliers</w:t>
            </w:r>
          </w:p>
        </w:tc>
      </w:tr>
    </w:tbl>
    <w:p w14:paraId="35E8058E" w14:textId="699C1670" w:rsidR="001453AE" w:rsidRPr="00E9681E" w:rsidRDefault="00AD0762" w:rsidP="00E9681E">
      <w:pPr>
        <w:spacing w:line="360" w:lineRule="auto"/>
        <w:jc w:val="both"/>
        <w:rPr>
          <w:rFonts w:ascii="Times New Roman" w:hAnsi="Times New Roman" w:cs="Times New Roman"/>
          <w:bCs/>
          <w:i/>
          <w:iCs/>
          <w:sz w:val="24"/>
          <w:szCs w:val="24"/>
        </w:rPr>
      </w:pPr>
      <w:r w:rsidRPr="00E9681E">
        <w:rPr>
          <w:rFonts w:ascii="Times New Roman" w:hAnsi="Times New Roman" w:cs="Times New Roman"/>
          <w:bCs/>
          <w:i/>
          <w:iCs/>
          <w:sz w:val="24"/>
          <w:szCs w:val="24"/>
        </w:rPr>
        <w:t>Table: wearable health device project RACI Matrix</w:t>
      </w:r>
    </w:p>
    <w:p w14:paraId="4EBCF3F1" w14:textId="597B3A6D" w:rsidR="00B83B39" w:rsidRPr="00E9681E" w:rsidRDefault="00B83B39"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lastRenderedPageBreak/>
        <w:t xml:space="preserve">As the project manager, I will incorporate the Product Development Team to offer all the essential technical expertise necessary to design a dependable and efficient wearable health device. Their main responsibility is to make sure that the device is up to the standards required by the clinical requirements as well as the industry requirements. This will include coming up with hardware and software, which are easy to use, accurate and long lasting. This is because their experience makes sure that the device is safe and efficient, in addition to being </w:t>
      </w:r>
      <w:proofErr w:type="gramStart"/>
      <w:r w:rsidRPr="00E9681E">
        <w:rPr>
          <w:rFonts w:ascii="Times New Roman" w:hAnsi="Times New Roman" w:cs="Times New Roman"/>
          <w:bCs/>
          <w:iCs/>
          <w:sz w:val="24"/>
          <w:szCs w:val="24"/>
        </w:rPr>
        <w:t>up-to-date</w:t>
      </w:r>
      <w:proofErr w:type="gramEnd"/>
      <w:r w:rsidRPr="00E9681E">
        <w:rPr>
          <w:rFonts w:ascii="Times New Roman" w:hAnsi="Times New Roman" w:cs="Times New Roman"/>
          <w:bCs/>
          <w:iCs/>
          <w:sz w:val="24"/>
          <w:szCs w:val="24"/>
        </w:rPr>
        <w:t xml:space="preserve"> with the new developments in the medical technology. This task of the staff goes further to test the device extensively to correct the problem before its introduction. The team will work hand in hand with the clinical teams to make sure that the device does not solely adhere to the technological requirements but also to real-world healthcare usage, which is of direct benefit to both the patients and the healthcare providers (Glynn, Frederick and West, 2025).</w:t>
      </w:r>
    </w:p>
    <w:p w14:paraId="41E73480" w14:textId="77777777" w:rsidR="00B83B39" w:rsidRPr="00E9681E" w:rsidRDefault="00B83B39" w:rsidP="00E9681E">
      <w:pPr>
        <w:spacing w:line="360" w:lineRule="auto"/>
        <w:jc w:val="both"/>
        <w:rPr>
          <w:rFonts w:ascii="Times New Roman" w:hAnsi="Times New Roman" w:cs="Times New Roman"/>
          <w:bCs/>
          <w:iCs/>
          <w:sz w:val="24"/>
          <w:szCs w:val="24"/>
        </w:rPr>
      </w:pPr>
    </w:p>
    <w:p w14:paraId="5DD5E512" w14:textId="77777777" w:rsidR="00B83B39" w:rsidRPr="00E9681E" w:rsidRDefault="00B83B39" w:rsidP="00E9681E">
      <w:pPr>
        <w:spacing w:line="360" w:lineRule="auto"/>
        <w:jc w:val="both"/>
        <w:rPr>
          <w:rFonts w:ascii="Times New Roman" w:hAnsi="Times New Roman" w:cs="Times New Roman"/>
          <w:bCs/>
          <w:iCs/>
          <w:sz w:val="24"/>
          <w:szCs w:val="24"/>
        </w:rPr>
      </w:pPr>
    </w:p>
    <w:p w14:paraId="71C1C3D2" w14:textId="54C20DC0" w:rsidR="00B83B39" w:rsidRPr="00E9681E" w:rsidRDefault="00B83B39"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I will work closely with the senior Management to offer a strategic direction required in the success of the wearable health device project. As senior manager, one will make sure that the project is aligned with the overall objectives of AstraZeneca, including the enhancement of patient outcomes and the development of digital health. They manage the distribution of resources hence making the project profitable through funding, manpower, and infrastructure. Their role goes further to guarantee the regulatory approvals are achieved, which is a prerequisite to the introduction and uptake of the device in the health care market (Satwekar et al., 2022). In addition, the Senior Management assists in market strategy to make sure that the device does not only address the clinical standards but also stands at a good position to succeed in competitive market. The viability and success of the device </w:t>
      </w:r>
      <w:proofErr w:type="gramStart"/>
      <w:r w:rsidRPr="00E9681E">
        <w:rPr>
          <w:rFonts w:ascii="Times New Roman" w:hAnsi="Times New Roman" w:cs="Times New Roman"/>
          <w:bCs/>
          <w:iCs/>
          <w:sz w:val="24"/>
          <w:szCs w:val="24"/>
        </w:rPr>
        <w:t>depends</w:t>
      </w:r>
      <w:proofErr w:type="gramEnd"/>
      <w:r w:rsidRPr="00E9681E">
        <w:rPr>
          <w:rFonts w:ascii="Times New Roman" w:hAnsi="Times New Roman" w:cs="Times New Roman"/>
          <w:bCs/>
          <w:iCs/>
          <w:sz w:val="24"/>
          <w:szCs w:val="24"/>
        </w:rPr>
        <w:t xml:space="preserve"> on their decision-making and oversight.</w:t>
      </w:r>
    </w:p>
    <w:p w14:paraId="318238CA" w14:textId="48E179BC" w:rsidR="00B83B39" w:rsidRPr="00E9681E" w:rsidRDefault="00B83B39"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The collaboration with the Clinical Teams will help to make sure that the wearable health device becomes part of the patient care. Their experience could be a good input on how the device can be utilized well in clinical practices to oversee and enhance the health of the patients. These teams contribute to the testing of the device in the real-world environment where they give feedback regarding the work of the device and determine clinical complications that might occur. They play a vital role in the development of the device as their approval and comments are required to make the device meet the healthcare requirements and standards. Moreover, Clinical Teams assist in recognizing the potential of the device to enhance patient outcomes, </w:t>
      </w:r>
      <w:r w:rsidRPr="00E9681E">
        <w:rPr>
          <w:rFonts w:ascii="Times New Roman" w:hAnsi="Times New Roman" w:cs="Times New Roman"/>
          <w:bCs/>
          <w:iCs/>
          <w:sz w:val="24"/>
          <w:szCs w:val="24"/>
        </w:rPr>
        <w:lastRenderedPageBreak/>
        <w:t>which is vital in earning acceptance amongst the medical community. They are however also struggling to embrace new technologies particularly when they threaten current workflows or practices.</w:t>
      </w:r>
    </w:p>
    <w:p w14:paraId="6BC96DA1" w14:textId="71A1E73A" w:rsidR="00B83B39" w:rsidRPr="00E9681E" w:rsidRDefault="00B83B39"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The Marketing Team is the key player in creating awareness and creating the brand presence of the wearable health device. Their main task is to make sure that the device is delivered to the appropriate audience, both to the healthcare professionals and the consumers and the benefits of the device are properly conveyed (Christopher, Payne and Ballantyne, 2013). The team is involved in production of effective advertising campaigns to inform the target market about the health benefits of the new device like tracking of heart rate, oxygen level and sleep patterns. Through the successful conveyance of the value proposition of the product, the Marketing Team contributes to increasing demand. Nevertheless, it might not be as simple to eliminate the doubts of healthcare workers regarding the clinical validity of the device, particularly in the environment of already established tech firms such as Apple and Fitbit (Zhu et al., 2023). It is necessary to create a compelling, scientifically supported marketing message to be successful.</w:t>
      </w:r>
    </w:p>
    <w:p w14:paraId="6B30814C" w14:textId="77777777" w:rsidR="00B83B39" w:rsidRPr="00E9681E" w:rsidRDefault="00B83B39" w:rsidP="00E9681E">
      <w:pPr>
        <w:spacing w:line="360" w:lineRule="auto"/>
        <w:jc w:val="both"/>
        <w:rPr>
          <w:rFonts w:ascii="Times New Roman" w:hAnsi="Times New Roman" w:cs="Times New Roman"/>
          <w:bCs/>
          <w:iCs/>
          <w:sz w:val="24"/>
          <w:szCs w:val="24"/>
        </w:rPr>
      </w:pPr>
    </w:p>
    <w:p w14:paraId="297FA7EF" w14:textId="11CBC7D2" w:rsidR="00B83B39" w:rsidRPr="00E9681E" w:rsidRDefault="00B83B39"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I will assign sales team to establish good channels of distribution and create good working relationships with healthcare providers whereby the device would be easily accessible in the market. Their activities are essential in creating adoption within the healthcare systems because they transform product demand into an actual sale. The Sales Team also engages in pricing to ensure that the device is affordable to the large population and still the company is profitable. Among the threats are how to cope with the competitive environment, logistics and distribution in the </w:t>
      </w:r>
      <w:r w:rsidR="00810700" w:rsidRPr="00E9681E">
        <w:rPr>
          <w:rFonts w:ascii="Times New Roman" w:hAnsi="Times New Roman" w:cs="Times New Roman"/>
          <w:bCs/>
          <w:iCs/>
          <w:sz w:val="24"/>
          <w:szCs w:val="24"/>
        </w:rPr>
        <w:t>market, which</w:t>
      </w:r>
      <w:r w:rsidRPr="00E9681E">
        <w:rPr>
          <w:rFonts w:ascii="Times New Roman" w:hAnsi="Times New Roman" w:cs="Times New Roman"/>
          <w:bCs/>
          <w:iCs/>
          <w:sz w:val="24"/>
          <w:szCs w:val="24"/>
        </w:rPr>
        <w:t xml:space="preserve"> might not be conversant with health-tech products (de Carvalho and Tontini, 2025). The development of a strong, stable network of distribution and dealing with competition will be the primary factors in achieving sales goals.</w:t>
      </w:r>
    </w:p>
    <w:p w14:paraId="3FF9EA64" w14:textId="77777777" w:rsidR="00B83B39" w:rsidRPr="00E9681E" w:rsidRDefault="00B83B39" w:rsidP="00E9681E">
      <w:pPr>
        <w:spacing w:line="360" w:lineRule="auto"/>
        <w:jc w:val="both"/>
        <w:rPr>
          <w:rFonts w:ascii="Times New Roman" w:hAnsi="Times New Roman" w:cs="Times New Roman"/>
          <w:bCs/>
          <w:iCs/>
          <w:sz w:val="24"/>
          <w:szCs w:val="24"/>
        </w:rPr>
      </w:pPr>
    </w:p>
    <w:p w14:paraId="215A4BC6" w14:textId="42DC97C8" w:rsidR="00B83B39" w:rsidRPr="00E9681E" w:rsidRDefault="00B83B39"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I will be in liaison with the regulatory Bodies, which include the Medicines and Healthcare products Regulatory Agency (MHRA) that certifies compliance with the required healthcare regulations by the device, including healthcare regulations of medical devices and patient information security. Adherence to the standards of regulations ensures patient safety and the reputation of the Trust. Regulatory approval also covers that the device is legally marketable in the healthcare settings. Nevertheless, it may postpone the product timelines by navigating </w:t>
      </w:r>
      <w:r w:rsidRPr="00E9681E">
        <w:rPr>
          <w:rFonts w:ascii="Times New Roman" w:hAnsi="Times New Roman" w:cs="Times New Roman"/>
          <w:bCs/>
          <w:iCs/>
          <w:sz w:val="24"/>
          <w:szCs w:val="24"/>
        </w:rPr>
        <w:lastRenderedPageBreak/>
        <w:t>through the intricate regulations, such as adhering to the laws of privacy, such as GDPR (Aziza, 2022). The problem of delays in regulatory approvals could also affect the delivery of the device to the market, and it is important to involve regulatory institutions at the initial stages.</w:t>
      </w:r>
    </w:p>
    <w:p w14:paraId="23B79BD0" w14:textId="77777777" w:rsidR="00B83B39" w:rsidRPr="00E9681E" w:rsidRDefault="00B83B39" w:rsidP="00E9681E">
      <w:pPr>
        <w:spacing w:line="360" w:lineRule="auto"/>
        <w:jc w:val="both"/>
        <w:rPr>
          <w:rFonts w:ascii="Times New Roman" w:hAnsi="Times New Roman" w:cs="Times New Roman"/>
          <w:bCs/>
          <w:iCs/>
          <w:sz w:val="24"/>
          <w:szCs w:val="24"/>
        </w:rPr>
      </w:pPr>
    </w:p>
    <w:p w14:paraId="2019BD81" w14:textId="77777777" w:rsidR="00B83B39" w:rsidRPr="00E9681E" w:rsidRDefault="00B83B39"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Lastly, I will also include outside suppliers who will deliver the required components and materials to make the wearable health device like sensors, batteries, and software. They also make sure that all the materials used are of the standard required and that they are compatible with the design of the device. Suppliers also play a key role in ensuring the functionality of the device since they supply hardware and technology on which it can be successful (Rosery and Schoenfelder, 2018). They however struggle to continue with a steady supply of materials of high quality. A disruption of the supply chain, which may include a delay or lack of materials necessary in the process, may influence the schedule of the development and how the product can reach the market in a proper time frame. It is important to have a smooth flow between the suppliers and the production team </w:t>
      </w:r>
      <w:proofErr w:type="gramStart"/>
      <w:r w:rsidRPr="00E9681E">
        <w:rPr>
          <w:rFonts w:ascii="Times New Roman" w:hAnsi="Times New Roman" w:cs="Times New Roman"/>
          <w:bCs/>
          <w:iCs/>
          <w:sz w:val="24"/>
          <w:szCs w:val="24"/>
        </w:rPr>
        <w:t>in order to</w:t>
      </w:r>
      <w:proofErr w:type="gramEnd"/>
      <w:r w:rsidRPr="00E9681E">
        <w:rPr>
          <w:rFonts w:ascii="Times New Roman" w:hAnsi="Times New Roman" w:cs="Times New Roman"/>
          <w:bCs/>
          <w:iCs/>
          <w:sz w:val="24"/>
          <w:szCs w:val="24"/>
        </w:rPr>
        <w:t xml:space="preserve"> prevent any delays and help the device to match its specification.</w:t>
      </w:r>
    </w:p>
    <w:p w14:paraId="5538D0FB" w14:textId="1687B7C9" w:rsidR="00557611" w:rsidRPr="00E9681E" w:rsidRDefault="00557611" w:rsidP="00E9681E">
      <w:pPr>
        <w:spacing w:line="360" w:lineRule="auto"/>
        <w:jc w:val="both"/>
        <w:rPr>
          <w:rFonts w:ascii="Times New Roman" w:hAnsi="Times New Roman" w:cs="Times New Roman"/>
          <w:bCs/>
          <w:iCs/>
          <w:sz w:val="24"/>
          <w:szCs w:val="24"/>
        </w:rPr>
      </w:pPr>
    </w:p>
    <w:p w14:paraId="6FA25D27" w14:textId="77777777" w:rsidR="00B83B39" w:rsidRPr="00E9681E" w:rsidRDefault="00B83B39" w:rsidP="00E9681E">
      <w:pPr>
        <w:spacing w:line="360" w:lineRule="auto"/>
        <w:jc w:val="both"/>
        <w:rPr>
          <w:rFonts w:ascii="Times New Roman" w:hAnsi="Times New Roman" w:cs="Times New Roman"/>
          <w:bCs/>
          <w:iCs/>
          <w:sz w:val="24"/>
          <w:szCs w:val="24"/>
        </w:rPr>
      </w:pPr>
    </w:p>
    <w:p w14:paraId="095CF322" w14:textId="19391F4F" w:rsidR="00557611" w:rsidRPr="00E9681E" w:rsidRDefault="00557611" w:rsidP="00E9681E">
      <w:pPr>
        <w:pStyle w:val="Heading1"/>
        <w:spacing w:line="360" w:lineRule="auto"/>
        <w:rPr>
          <w:rFonts w:ascii="Times New Roman" w:hAnsi="Times New Roman" w:cs="Times New Roman"/>
          <w:b/>
          <w:color w:val="auto"/>
          <w:sz w:val="24"/>
          <w:szCs w:val="24"/>
        </w:rPr>
      </w:pPr>
      <w:bookmarkStart w:id="8" w:name="_Toc211998069"/>
      <w:r w:rsidRPr="00E9681E">
        <w:rPr>
          <w:rFonts w:ascii="Times New Roman" w:hAnsi="Times New Roman" w:cs="Times New Roman"/>
          <w:b/>
          <w:color w:val="auto"/>
          <w:sz w:val="24"/>
          <w:szCs w:val="24"/>
        </w:rPr>
        <w:t>The Role of a Project Manager Using the 4C’s Model</w:t>
      </w:r>
      <w:bookmarkEnd w:id="8"/>
    </w:p>
    <w:p w14:paraId="2BEE742C" w14:textId="12CA1CDD" w:rsidR="00557611" w:rsidRPr="00E9681E" w:rsidRDefault="00EB481E"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As the project manager of the wearable health device project in AstraZeneca, it is important to involve the major stakeholders in the project </w:t>
      </w:r>
      <w:r w:rsidR="00612873" w:rsidRPr="00E9681E">
        <w:rPr>
          <w:rFonts w:ascii="Times New Roman" w:hAnsi="Times New Roman" w:cs="Times New Roman"/>
          <w:bCs/>
          <w:iCs/>
          <w:sz w:val="24"/>
          <w:szCs w:val="24"/>
        </w:rPr>
        <w:t>to</w:t>
      </w:r>
      <w:r w:rsidRPr="00E9681E">
        <w:rPr>
          <w:rFonts w:ascii="Times New Roman" w:hAnsi="Times New Roman" w:cs="Times New Roman"/>
          <w:bCs/>
          <w:iCs/>
          <w:sz w:val="24"/>
          <w:szCs w:val="24"/>
        </w:rPr>
        <w:t xml:space="preserve"> enable the successful development and implementation of the product. I will employ the 4C’s Model (communication, coordination, cooperation, and collaboration) to make sure that the different stakeholders, including the product development team, clinical teams, regulatory bodies, and marketing departments, are coordinated and aim to achieve the same goals (Okpala et al., 2021). Critical explanation of the process that I would follow to engage stakeholders and manage conflicts is provided below.</w:t>
      </w:r>
    </w:p>
    <w:p w14:paraId="69F3B06B" w14:textId="074E11A8" w:rsidR="00557611" w:rsidRPr="00E9681E" w:rsidRDefault="00557611"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 xml:space="preserve">1. Communication: </w:t>
      </w:r>
    </w:p>
    <w:p w14:paraId="7DD7A276" w14:textId="77777777" w:rsidR="00F8707D" w:rsidRPr="00E9681E" w:rsidRDefault="00F8707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Successful stakeholder engagement is based on effective communication. This is important to make sure that the stakeholders remain updated on the project progress, challenges and milestones. The needs of the various stakeholders are diverse and hence a need to personalize the communication strategies </w:t>
      </w:r>
      <w:proofErr w:type="gramStart"/>
      <w:r w:rsidRPr="00E9681E">
        <w:rPr>
          <w:rFonts w:ascii="Times New Roman" w:hAnsi="Times New Roman" w:cs="Times New Roman"/>
          <w:bCs/>
          <w:iCs/>
          <w:sz w:val="24"/>
          <w:szCs w:val="24"/>
        </w:rPr>
        <w:t>in order to</w:t>
      </w:r>
      <w:proofErr w:type="gramEnd"/>
      <w:r w:rsidRPr="00E9681E">
        <w:rPr>
          <w:rFonts w:ascii="Times New Roman" w:hAnsi="Times New Roman" w:cs="Times New Roman"/>
          <w:bCs/>
          <w:iCs/>
          <w:sz w:val="24"/>
          <w:szCs w:val="24"/>
        </w:rPr>
        <w:t xml:space="preserve"> suit the needs.</w:t>
      </w:r>
    </w:p>
    <w:p w14:paraId="54807B5B" w14:textId="77777777" w:rsidR="00F8707D" w:rsidRPr="00E9681E" w:rsidRDefault="00F8707D" w:rsidP="00E9681E">
      <w:pPr>
        <w:spacing w:line="360" w:lineRule="auto"/>
        <w:jc w:val="both"/>
        <w:rPr>
          <w:rFonts w:ascii="Times New Roman" w:hAnsi="Times New Roman" w:cs="Times New Roman"/>
          <w:bCs/>
          <w:iCs/>
          <w:sz w:val="24"/>
          <w:szCs w:val="24"/>
        </w:rPr>
      </w:pPr>
    </w:p>
    <w:p w14:paraId="600940E0" w14:textId="77777777" w:rsidR="00F8707D" w:rsidRPr="00E9681E" w:rsidRDefault="00F8707D" w:rsidP="00E9681E">
      <w:pPr>
        <w:spacing w:line="360" w:lineRule="auto"/>
        <w:jc w:val="both"/>
        <w:rPr>
          <w:rFonts w:ascii="Times New Roman" w:hAnsi="Times New Roman" w:cs="Times New Roman"/>
          <w:bCs/>
          <w:iCs/>
          <w:sz w:val="24"/>
          <w:szCs w:val="24"/>
        </w:rPr>
      </w:pPr>
      <w:proofErr w:type="gramStart"/>
      <w:r w:rsidRPr="00E9681E">
        <w:rPr>
          <w:rFonts w:ascii="Times New Roman" w:hAnsi="Times New Roman" w:cs="Times New Roman"/>
          <w:bCs/>
          <w:iCs/>
          <w:sz w:val="24"/>
          <w:szCs w:val="24"/>
        </w:rPr>
        <w:t>In order to</w:t>
      </w:r>
      <w:proofErr w:type="gramEnd"/>
      <w:r w:rsidRPr="00E9681E">
        <w:rPr>
          <w:rFonts w:ascii="Times New Roman" w:hAnsi="Times New Roman" w:cs="Times New Roman"/>
          <w:bCs/>
          <w:iCs/>
          <w:sz w:val="24"/>
          <w:szCs w:val="24"/>
        </w:rPr>
        <w:t xml:space="preserve"> ensure that there is clarity in communication, I will institute frequent communication channels. As an example, I will also plan weekly meetings with the product development team so that they can talk about technical problems and progress. In the case of clinical teams, I will make sure that feedback is provided bi-weekly to discuss the usability of the device and obtain information about its integration in clinical practice. The top management will be informed of resources allocation, budgets, and strategic decisions through monthly updates to confirm that the top management remains in line with the overall objectives of AstraZeneca (Priyatni and As’ari, 2019).</w:t>
      </w:r>
    </w:p>
    <w:p w14:paraId="5E0AC404" w14:textId="77777777" w:rsidR="00F8707D" w:rsidRPr="00E9681E" w:rsidRDefault="00F8707D" w:rsidP="00E9681E">
      <w:pPr>
        <w:spacing w:line="360" w:lineRule="auto"/>
        <w:jc w:val="both"/>
        <w:rPr>
          <w:rFonts w:ascii="Times New Roman" w:hAnsi="Times New Roman" w:cs="Times New Roman"/>
          <w:bCs/>
          <w:iCs/>
          <w:sz w:val="24"/>
          <w:szCs w:val="24"/>
        </w:rPr>
      </w:pPr>
    </w:p>
    <w:p w14:paraId="43D39228" w14:textId="72B07FDD" w:rsidR="00557611" w:rsidRPr="00E9681E" w:rsidRDefault="00F8707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Consistency and transparency are the keys to the successful communication. I will employ the use of tools like progress reports, emails and newsletters to give timely and correct information to the various stakeholders. This will aid in avoiding misunderstandings and developing a relationship of trust among all the parties involved so that there is no confusion.</w:t>
      </w:r>
    </w:p>
    <w:p w14:paraId="78263EC9" w14:textId="77777777" w:rsidR="00F8707D" w:rsidRPr="00E9681E" w:rsidRDefault="00F8707D" w:rsidP="00E9681E">
      <w:pPr>
        <w:spacing w:line="360" w:lineRule="auto"/>
        <w:jc w:val="both"/>
        <w:rPr>
          <w:rFonts w:ascii="Times New Roman" w:hAnsi="Times New Roman" w:cs="Times New Roman"/>
          <w:bCs/>
          <w:iCs/>
          <w:sz w:val="24"/>
          <w:szCs w:val="24"/>
        </w:rPr>
      </w:pPr>
    </w:p>
    <w:p w14:paraId="20C852B8" w14:textId="62E7EB82" w:rsidR="00557611" w:rsidRPr="00E9681E" w:rsidRDefault="00557611"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2. Coordination: Aligning Stakeholders' Interests and Activities</w:t>
      </w:r>
    </w:p>
    <w:p w14:paraId="5B769E80" w14:textId="77777777" w:rsidR="009F25DE" w:rsidRPr="00E9681E" w:rsidRDefault="009F25DE"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The concept of coordination relates to the fact that the various stakeholders should be in harmony and that their efforts must be geared towards the overall goals of the project. This is especially essential in a multifaceted project as this project with various teams, i.e., the product development team, regulatory agencies, clinical teams, and marketing teams, all having to coordinate their efforts.</w:t>
      </w:r>
    </w:p>
    <w:p w14:paraId="7D10A1A0" w14:textId="19660155" w:rsidR="009F25DE" w:rsidRPr="00E9681E" w:rsidRDefault="009F25DE"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I will establish a detailed project plan comprising of timelines, milestones and responsibilities to help coordinate the project. The plan will act as a guide on which all stakeholders will be monitoring progress and ensuring that they are on schedule. I to develop a visual timeline and distribute it among all stakeholders, which will simplify locating dependence and possible delays and focus on areas that need special attention, will deploy project management tools</w:t>
      </w:r>
      <w:r w:rsidR="006F7861" w:rsidRPr="00E9681E">
        <w:rPr>
          <w:rFonts w:ascii="Times New Roman" w:hAnsi="Times New Roman" w:cs="Times New Roman"/>
          <w:bCs/>
          <w:iCs/>
          <w:sz w:val="24"/>
          <w:szCs w:val="24"/>
        </w:rPr>
        <w:t>.</w:t>
      </w:r>
    </w:p>
    <w:p w14:paraId="02157708" w14:textId="77777777" w:rsidR="009F25DE" w:rsidRPr="00E9681E" w:rsidRDefault="009F25DE"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I will also hold regular project reviews with the internal teams to make sure that all are on track and work towards a similar direction. Through development of a RACI Matrix, I will clearly establish roles and responsibilities to avoid overlaps and confusion. To illustrate this, the device </w:t>
      </w:r>
      <w:r w:rsidRPr="00E9681E">
        <w:rPr>
          <w:rFonts w:ascii="Times New Roman" w:hAnsi="Times New Roman" w:cs="Times New Roman"/>
          <w:bCs/>
          <w:iCs/>
          <w:sz w:val="24"/>
          <w:szCs w:val="24"/>
        </w:rPr>
        <w:lastRenderedPageBreak/>
        <w:t>design shall be the responsibility of the product development team with the Senior Management held responsible in the overall project delivery.</w:t>
      </w:r>
    </w:p>
    <w:p w14:paraId="6702DBFB" w14:textId="445D7A23" w:rsidR="00557611" w:rsidRPr="00E9681E" w:rsidRDefault="009F25DE"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With such undertakings, I will make every department to be on track and working harmoniously towards success of the project and will minimize miscommunication and operational inefficiencies.</w:t>
      </w:r>
    </w:p>
    <w:p w14:paraId="51237050" w14:textId="77777777" w:rsidR="009F25DE" w:rsidRPr="00E9681E" w:rsidRDefault="009F25DE" w:rsidP="00E9681E">
      <w:pPr>
        <w:spacing w:line="360" w:lineRule="auto"/>
        <w:jc w:val="both"/>
        <w:rPr>
          <w:rFonts w:ascii="Times New Roman" w:hAnsi="Times New Roman" w:cs="Times New Roman"/>
          <w:bCs/>
          <w:iCs/>
          <w:sz w:val="24"/>
          <w:szCs w:val="24"/>
        </w:rPr>
      </w:pPr>
    </w:p>
    <w:p w14:paraId="5C3EE2BF" w14:textId="241B653D" w:rsidR="00557611" w:rsidRPr="00E9681E" w:rsidRDefault="00557611"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3. Cooperation</w:t>
      </w:r>
    </w:p>
    <w:p w14:paraId="7462DEBD" w14:textId="77777777" w:rsidR="006F7861" w:rsidRPr="00E9681E" w:rsidRDefault="006F7861"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Cooperation is the establishment of excellent, good relationships with the stakeholders to create a working relationship that will assist in attaining the objectives of the project. In a project that involves different teams, including the wearable health device, collaboration is the tool that will help in surpassing the differences and harmonizing the interests (Priyatni and As’ari, 2019).</w:t>
      </w:r>
    </w:p>
    <w:p w14:paraId="1007FAAA" w14:textId="77777777" w:rsidR="006F7861" w:rsidRPr="00E9681E" w:rsidRDefault="006F7861" w:rsidP="00E9681E">
      <w:pPr>
        <w:spacing w:line="360" w:lineRule="auto"/>
        <w:jc w:val="both"/>
        <w:rPr>
          <w:rFonts w:ascii="Times New Roman" w:hAnsi="Times New Roman" w:cs="Times New Roman"/>
          <w:bCs/>
          <w:iCs/>
          <w:sz w:val="24"/>
          <w:szCs w:val="24"/>
        </w:rPr>
      </w:pPr>
    </w:p>
    <w:p w14:paraId="2351E8A4" w14:textId="18A2F790" w:rsidR="006F7861" w:rsidRPr="00E9681E" w:rsidRDefault="006F7861"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My action plan is to establish an environment of collaboration with all stakeholders being felt and heard as the project manager. It can be done through open communication stimulation, the active attention to the issues and focusing on the consideration of the goals of every team during the </w:t>
      </w:r>
      <w:proofErr w:type="gramStart"/>
      <w:r w:rsidRPr="00E9681E">
        <w:rPr>
          <w:rFonts w:ascii="Times New Roman" w:hAnsi="Times New Roman" w:cs="Times New Roman"/>
          <w:bCs/>
          <w:iCs/>
          <w:sz w:val="24"/>
          <w:szCs w:val="24"/>
        </w:rPr>
        <w:t>decision making</w:t>
      </w:r>
      <w:proofErr w:type="gramEnd"/>
      <w:r w:rsidRPr="00E9681E">
        <w:rPr>
          <w:rFonts w:ascii="Times New Roman" w:hAnsi="Times New Roman" w:cs="Times New Roman"/>
          <w:bCs/>
          <w:iCs/>
          <w:sz w:val="24"/>
          <w:szCs w:val="24"/>
        </w:rPr>
        <w:t xml:space="preserve"> process. To give an example, the clinical teams can be functionality-</w:t>
      </w:r>
      <w:proofErr w:type="gramStart"/>
      <w:r w:rsidRPr="00E9681E">
        <w:rPr>
          <w:rFonts w:ascii="Times New Roman" w:hAnsi="Times New Roman" w:cs="Times New Roman"/>
          <w:bCs/>
          <w:iCs/>
          <w:sz w:val="24"/>
          <w:szCs w:val="24"/>
        </w:rPr>
        <w:t>oriented</w:t>
      </w:r>
      <w:proofErr w:type="gramEnd"/>
      <w:r w:rsidRPr="00E9681E">
        <w:rPr>
          <w:rFonts w:ascii="Times New Roman" w:hAnsi="Times New Roman" w:cs="Times New Roman"/>
          <w:bCs/>
          <w:iCs/>
          <w:sz w:val="24"/>
          <w:szCs w:val="24"/>
        </w:rPr>
        <w:t xml:space="preserve"> and the marketing team can be functionality-oriented in terms of design and user-friendliness. The early consideration of the two sets of concerns and incorporation of their feedback in the design plan will help me to make sure that the two parties work together towards a single objective.</w:t>
      </w:r>
    </w:p>
    <w:p w14:paraId="3F0001BD" w14:textId="77777777" w:rsidR="006F7861" w:rsidRPr="00E9681E" w:rsidRDefault="006F7861" w:rsidP="00E9681E">
      <w:pPr>
        <w:spacing w:line="360" w:lineRule="auto"/>
        <w:jc w:val="both"/>
        <w:rPr>
          <w:rFonts w:ascii="Times New Roman" w:hAnsi="Times New Roman" w:cs="Times New Roman"/>
          <w:bCs/>
          <w:iCs/>
          <w:sz w:val="24"/>
          <w:szCs w:val="24"/>
        </w:rPr>
      </w:pPr>
    </w:p>
    <w:p w14:paraId="163FE259" w14:textId="5077E72E" w:rsidR="00557611" w:rsidRPr="00E9681E" w:rsidRDefault="006F7861"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I will also be able to set up effective conflict resolution approaches. This could include a frequent mediation process to resolve any conflict especially among technical and clinical departments. I will be able to facilitate the collaboration of the stakeholders more effectively by encouraging the culture of mutual respect and understanding among team members and making sure that the conflicts are managed in the most effective and constructive way possible.</w:t>
      </w:r>
    </w:p>
    <w:p w14:paraId="22ECC2BA" w14:textId="77777777" w:rsidR="006F7861" w:rsidRDefault="006F7861" w:rsidP="00E9681E">
      <w:pPr>
        <w:spacing w:line="360" w:lineRule="auto"/>
        <w:jc w:val="both"/>
        <w:rPr>
          <w:rFonts w:ascii="Times New Roman" w:hAnsi="Times New Roman" w:cs="Times New Roman"/>
          <w:bCs/>
          <w:iCs/>
          <w:sz w:val="24"/>
          <w:szCs w:val="24"/>
        </w:rPr>
      </w:pPr>
    </w:p>
    <w:p w14:paraId="78CF6580" w14:textId="77777777" w:rsidR="0097679A" w:rsidRDefault="0097679A" w:rsidP="00E9681E">
      <w:pPr>
        <w:spacing w:line="360" w:lineRule="auto"/>
        <w:jc w:val="both"/>
        <w:rPr>
          <w:rFonts w:ascii="Times New Roman" w:hAnsi="Times New Roman" w:cs="Times New Roman"/>
          <w:bCs/>
          <w:iCs/>
          <w:sz w:val="24"/>
          <w:szCs w:val="24"/>
        </w:rPr>
      </w:pPr>
    </w:p>
    <w:p w14:paraId="10C6061F" w14:textId="77777777" w:rsidR="0097679A" w:rsidRPr="00E9681E" w:rsidRDefault="0097679A" w:rsidP="00E9681E">
      <w:pPr>
        <w:spacing w:line="360" w:lineRule="auto"/>
        <w:jc w:val="both"/>
        <w:rPr>
          <w:rFonts w:ascii="Times New Roman" w:hAnsi="Times New Roman" w:cs="Times New Roman"/>
          <w:bCs/>
          <w:iCs/>
          <w:sz w:val="24"/>
          <w:szCs w:val="24"/>
        </w:rPr>
      </w:pPr>
    </w:p>
    <w:p w14:paraId="140A4A91" w14:textId="1F0A23E5" w:rsidR="00557611" w:rsidRPr="00E9681E" w:rsidRDefault="00557611"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lastRenderedPageBreak/>
        <w:t>4. Collaboration</w:t>
      </w:r>
    </w:p>
    <w:p w14:paraId="68673356" w14:textId="4FB9CB45" w:rsidR="005D0863" w:rsidRPr="00E9681E" w:rsidRDefault="005D0863"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Cooperation is one thing, but collaboration is another where stakeholders are actively involved to work jointly as one team. </w:t>
      </w:r>
      <w:proofErr w:type="gramStart"/>
      <w:r w:rsidRPr="00E9681E">
        <w:rPr>
          <w:rFonts w:ascii="Times New Roman" w:hAnsi="Times New Roman" w:cs="Times New Roman"/>
          <w:bCs/>
          <w:iCs/>
          <w:sz w:val="24"/>
          <w:szCs w:val="24"/>
        </w:rPr>
        <w:t>In order to</w:t>
      </w:r>
      <w:proofErr w:type="gramEnd"/>
      <w:r w:rsidRPr="00E9681E">
        <w:rPr>
          <w:rFonts w:ascii="Times New Roman" w:hAnsi="Times New Roman" w:cs="Times New Roman"/>
          <w:bCs/>
          <w:iCs/>
          <w:sz w:val="24"/>
          <w:szCs w:val="24"/>
        </w:rPr>
        <w:t xml:space="preserve"> make the wearable health device project successful, there should be inter- and intra-team cooperation, particularly, in addressing complicated assignments, like the combination of technical requirements with clinical responses and regulatory approvals (Tey et al., 2018).</w:t>
      </w:r>
    </w:p>
    <w:p w14:paraId="5A29577D" w14:textId="77777777" w:rsidR="005D0863" w:rsidRPr="00E9681E" w:rsidRDefault="005D0863"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I will also ensure working together by conducting cross-functional workshops, and this is where teams can work together on the important sections of the project. Such workshops will allow the exchange of ideas, finding solutions to the problem, and brainstorming. As an example, the Product Development Team and Clinical Teams will need to work together </w:t>
      </w:r>
      <w:proofErr w:type="gramStart"/>
      <w:r w:rsidRPr="00E9681E">
        <w:rPr>
          <w:rFonts w:ascii="Times New Roman" w:hAnsi="Times New Roman" w:cs="Times New Roman"/>
          <w:bCs/>
          <w:iCs/>
          <w:sz w:val="24"/>
          <w:szCs w:val="24"/>
        </w:rPr>
        <w:t>in order to</w:t>
      </w:r>
      <w:proofErr w:type="gramEnd"/>
      <w:r w:rsidRPr="00E9681E">
        <w:rPr>
          <w:rFonts w:ascii="Times New Roman" w:hAnsi="Times New Roman" w:cs="Times New Roman"/>
          <w:bCs/>
          <w:iCs/>
          <w:sz w:val="24"/>
          <w:szCs w:val="24"/>
        </w:rPr>
        <w:t xml:space="preserve"> enhance the functionality of the device and make sure that it can address the practical needs of the healthcare providers. Equally, the cooperation between Marketing and Sales teams will make sure that the features of the device are properly promoted to the target audience.</w:t>
      </w:r>
    </w:p>
    <w:p w14:paraId="6F0ABDC0" w14:textId="2213264E" w:rsidR="00FB1FF7" w:rsidRPr="00E9681E" w:rsidRDefault="005D0863"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By promoting cooperation, I will make sure that the project will reap the benefits of all the stakeholders in terms of shared expertise and understanding that will result in choices that are more effective and a more innovative product.</w:t>
      </w:r>
    </w:p>
    <w:p w14:paraId="45B01C87" w14:textId="77777777" w:rsidR="005D0863" w:rsidRPr="00E9681E" w:rsidRDefault="005D0863" w:rsidP="00E9681E">
      <w:pPr>
        <w:spacing w:line="360" w:lineRule="auto"/>
        <w:jc w:val="both"/>
        <w:rPr>
          <w:rFonts w:ascii="Times New Roman" w:hAnsi="Times New Roman" w:cs="Times New Roman"/>
          <w:bCs/>
          <w:iCs/>
          <w:sz w:val="24"/>
          <w:szCs w:val="24"/>
        </w:rPr>
      </w:pPr>
    </w:p>
    <w:p w14:paraId="7C18A739" w14:textId="4A780539" w:rsidR="0056108D" w:rsidRPr="00E9681E" w:rsidRDefault="0056108D" w:rsidP="00E9681E">
      <w:pPr>
        <w:pStyle w:val="Heading1"/>
        <w:spacing w:line="360" w:lineRule="auto"/>
        <w:rPr>
          <w:rFonts w:ascii="Times New Roman" w:hAnsi="Times New Roman" w:cs="Times New Roman"/>
          <w:b/>
          <w:color w:val="auto"/>
          <w:sz w:val="24"/>
          <w:szCs w:val="24"/>
        </w:rPr>
      </w:pPr>
      <w:bookmarkStart w:id="9" w:name="_Toc211998070"/>
      <w:r w:rsidRPr="00E9681E">
        <w:rPr>
          <w:rFonts w:ascii="Times New Roman" w:hAnsi="Times New Roman" w:cs="Times New Roman"/>
          <w:b/>
          <w:color w:val="auto"/>
          <w:sz w:val="24"/>
          <w:szCs w:val="24"/>
        </w:rPr>
        <w:t>Evaluation of the Impact of Stakeholders’ Eng</w:t>
      </w:r>
      <w:r w:rsidR="00FB1FF7" w:rsidRPr="00E9681E">
        <w:rPr>
          <w:rFonts w:ascii="Times New Roman" w:hAnsi="Times New Roman" w:cs="Times New Roman"/>
          <w:b/>
          <w:color w:val="auto"/>
          <w:sz w:val="24"/>
          <w:szCs w:val="24"/>
        </w:rPr>
        <w:t>agement on Business Performance</w:t>
      </w:r>
      <w:bookmarkEnd w:id="9"/>
    </w:p>
    <w:p w14:paraId="61F98862" w14:textId="461EB0F8" w:rsidR="0056108D" w:rsidRPr="00E9681E" w:rsidRDefault="002650AA"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Cs/>
          <w:iCs/>
          <w:sz w:val="24"/>
          <w:szCs w:val="24"/>
        </w:rPr>
        <w:t xml:space="preserve">In any project, stakeholder engagement is the key to success, particularly with a complicated healthcare project such as the wearable health device at AstraZeneca. Adequately planning and involving stakeholders does not only guarantee an easy implementation of project but also propels business performance through innovation, increased efficiency in operations and </w:t>
      </w:r>
      <w:r w:rsidR="00E369F9" w:rsidRPr="00E9681E">
        <w:rPr>
          <w:rFonts w:ascii="Times New Roman" w:hAnsi="Times New Roman" w:cs="Times New Roman"/>
          <w:bCs/>
          <w:iCs/>
          <w:sz w:val="24"/>
          <w:szCs w:val="24"/>
        </w:rPr>
        <w:t>long-term</w:t>
      </w:r>
      <w:r w:rsidRPr="00E9681E">
        <w:rPr>
          <w:rFonts w:ascii="Times New Roman" w:hAnsi="Times New Roman" w:cs="Times New Roman"/>
          <w:bCs/>
          <w:iCs/>
          <w:sz w:val="24"/>
          <w:szCs w:val="24"/>
        </w:rPr>
        <w:t xml:space="preserve"> relationships. The strong implications of stakeholder engagement in the lifecycle of a product (development to launch) in the case of AstraZeneca are significant impacts on business performance (Lindenmeyer Asadi and Stenbom, 2020)</w:t>
      </w:r>
    </w:p>
    <w:p w14:paraId="2D9F35FC" w14:textId="4E5E12B0" w:rsidR="0056108D" w:rsidRPr="00E9681E" w:rsidRDefault="0056108D"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Impact on Operational Efficiency</w:t>
      </w:r>
    </w:p>
    <w:p w14:paraId="3B26A234" w14:textId="6F020560" w:rsidR="00FE5B45" w:rsidRPr="00E9681E" w:rsidRDefault="00FE5B45"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The involvement of the main stakeholders including the Product Development Team, Clinical Teams and the Regulatory Bodies </w:t>
      </w:r>
      <w:proofErr w:type="gramStart"/>
      <w:r w:rsidRPr="00E9681E">
        <w:rPr>
          <w:rFonts w:ascii="Times New Roman" w:hAnsi="Times New Roman" w:cs="Times New Roman"/>
          <w:bCs/>
          <w:iCs/>
          <w:sz w:val="24"/>
          <w:szCs w:val="24"/>
        </w:rPr>
        <w:t>has</w:t>
      </w:r>
      <w:proofErr w:type="gramEnd"/>
      <w:r w:rsidRPr="00E9681E">
        <w:rPr>
          <w:rFonts w:ascii="Times New Roman" w:hAnsi="Times New Roman" w:cs="Times New Roman"/>
          <w:bCs/>
          <w:iCs/>
          <w:sz w:val="24"/>
          <w:szCs w:val="24"/>
        </w:rPr>
        <w:t xml:space="preserve"> a positive influence on the efficiency of operations. As an example, through providing early and regular communication between the Product Development Team and Clinical Teams, any problems with the functionality of the device will be raised early enough, which will reduce the delays and eliminate expensive redesigns. </w:t>
      </w:r>
      <w:r w:rsidRPr="00E9681E">
        <w:rPr>
          <w:rFonts w:ascii="Times New Roman" w:hAnsi="Times New Roman" w:cs="Times New Roman"/>
          <w:bCs/>
          <w:iCs/>
          <w:sz w:val="24"/>
          <w:szCs w:val="24"/>
        </w:rPr>
        <w:lastRenderedPageBreak/>
        <w:t xml:space="preserve">Frequent feedback loops of the Clinical Teams will guarantee that the device </w:t>
      </w:r>
      <w:r w:rsidR="006C692D" w:rsidRPr="00E9681E">
        <w:rPr>
          <w:rFonts w:ascii="Times New Roman" w:hAnsi="Times New Roman" w:cs="Times New Roman"/>
          <w:bCs/>
          <w:iCs/>
          <w:sz w:val="24"/>
          <w:szCs w:val="24"/>
        </w:rPr>
        <w:t>fulfils</w:t>
      </w:r>
      <w:r w:rsidRPr="00E9681E">
        <w:rPr>
          <w:rFonts w:ascii="Times New Roman" w:hAnsi="Times New Roman" w:cs="Times New Roman"/>
          <w:bCs/>
          <w:iCs/>
          <w:sz w:val="24"/>
          <w:szCs w:val="24"/>
        </w:rPr>
        <w:t xml:space="preserve"> the medical requirements and the requirements of the users, which minimizes the changes following the launch (Morgan et al., 2018).</w:t>
      </w:r>
    </w:p>
    <w:p w14:paraId="26A01B4C" w14:textId="42B91A18" w:rsidR="0056108D" w:rsidRPr="00E9681E" w:rsidRDefault="00FE5B45"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Equally, persistent contact with Regulatory Bodies is essential, as it will make sure that the device is in conformity with both legal and healthcare regulations to avoid delays by the regulatory bodies, which may delay the timing of the product launch. Incorporating the Sales Team and Marketing at the initial phases of development will enable AstraZeneca to match the product features with the needs of the market and to make the product prepared to penetrate the market successfully. Such a joint activity facilitates the process of project work, improves the distribution of resources, and minimizes the risk of drawbacks in the functioning.</w:t>
      </w:r>
    </w:p>
    <w:p w14:paraId="2C7332E4" w14:textId="77777777" w:rsidR="00FE5B45" w:rsidRPr="00E9681E" w:rsidRDefault="00FE5B45" w:rsidP="00E9681E">
      <w:pPr>
        <w:spacing w:line="360" w:lineRule="auto"/>
        <w:jc w:val="both"/>
        <w:rPr>
          <w:rFonts w:ascii="Times New Roman" w:hAnsi="Times New Roman" w:cs="Times New Roman"/>
          <w:bCs/>
          <w:iCs/>
          <w:sz w:val="24"/>
          <w:szCs w:val="24"/>
        </w:rPr>
      </w:pPr>
    </w:p>
    <w:p w14:paraId="342EFC89" w14:textId="322BA06F" w:rsidR="0056108D" w:rsidRPr="00E9681E" w:rsidRDefault="0056108D"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Improvement in Stakeholder Satisfaction and Trust</w:t>
      </w:r>
    </w:p>
    <w:p w14:paraId="5F2C1F00" w14:textId="0D81914F" w:rsidR="00AA2416" w:rsidRPr="00E9681E" w:rsidRDefault="00AA2416"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The stakeholder engagement is also important in creating trust and enhancing satisfaction, especially to core stakeholders like the clinical teams, the patients, and the external suppliers. Involving the clinical teams during the testing stages makes the product more refined but also makes it relevant to patient care, which enhances the further support of the acceptance of the product in the practical care settings. Moreover, frequent changes and open communication with patients also contribute to the reduction in fears related to the privacy of data and effectiveness of the device resulting in the high adoption rates (Oyalabu and Oguntuase, 2025).</w:t>
      </w:r>
    </w:p>
    <w:p w14:paraId="63E0B36C" w14:textId="51A807DE" w:rsidR="0056108D" w:rsidRPr="00E9681E" w:rsidRDefault="00AA2416"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Regular interaction, defined schedules, quality parameters, and performance expectations provide the benefit of external interaction to the suppliers. This partnership will provide the quality and timely supply of high-quality parts to the device that will create a good supplier relationship between them, long term. As soon as the entire stakeholders feel appreciated and included into the process, they will become more satisfied and trustful in the product and the organization, which will enhance the buy-in and the chances of success in the market.</w:t>
      </w:r>
    </w:p>
    <w:p w14:paraId="25ACDF37" w14:textId="56307B69" w:rsidR="0056108D" w:rsidRPr="00E9681E" w:rsidRDefault="0056108D" w:rsidP="00E9681E">
      <w:pPr>
        <w:spacing w:line="360" w:lineRule="auto"/>
        <w:jc w:val="both"/>
        <w:rPr>
          <w:rFonts w:ascii="Times New Roman" w:hAnsi="Times New Roman" w:cs="Times New Roman"/>
          <w:b/>
          <w:bCs/>
          <w:iCs/>
          <w:sz w:val="24"/>
          <w:szCs w:val="24"/>
        </w:rPr>
      </w:pPr>
      <w:r w:rsidRPr="00E9681E">
        <w:rPr>
          <w:rFonts w:ascii="Times New Roman" w:hAnsi="Times New Roman" w:cs="Times New Roman"/>
          <w:b/>
          <w:bCs/>
          <w:iCs/>
          <w:sz w:val="24"/>
          <w:szCs w:val="24"/>
        </w:rPr>
        <w:t>Risk Management and Innovation</w:t>
      </w:r>
    </w:p>
    <w:p w14:paraId="48F65145" w14:textId="77777777" w:rsidR="005D4457" w:rsidRPr="00E9681E" w:rsidRDefault="005D4457"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The inclusion of stakeholders, like clinical teams and regulatory bodies, will allow identifying possible risks at their initial stages and eliminating them. The clinical teams give information on the usability and implementation of the device into clinical </w:t>
      </w:r>
      <w:proofErr w:type="gramStart"/>
      <w:r w:rsidRPr="00E9681E">
        <w:rPr>
          <w:rFonts w:ascii="Times New Roman" w:hAnsi="Times New Roman" w:cs="Times New Roman"/>
          <w:bCs/>
          <w:iCs/>
          <w:sz w:val="24"/>
          <w:szCs w:val="24"/>
        </w:rPr>
        <w:t>processes</w:t>
      </w:r>
      <w:proofErr w:type="gramEnd"/>
      <w:r w:rsidRPr="00E9681E">
        <w:rPr>
          <w:rFonts w:ascii="Times New Roman" w:hAnsi="Times New Roman" w:cs="Times New Roman"/>
          <w:bCs/>
          <w:iCs/>
          <w:sz w:val="24"/>
          <w:szCs w:val="24"/>
        </w:rPr>
        <w:t xml:space="preserve"> and this prevents the technical breakdown or interference of the healthcare environment. An approach of involving regulatory agencies at an early stage makes sure the product is within the highest safety and </w:t>
      </w:r>
      <w:r w:rsidRPr="00E9681E">
        <w:rPr>
          <w:rFonts w:ascii="Times New Roman" w:hAnsi="Times New Roman" w:cs="Times New Roman"/>
          <w:bCs/>
          <w:iCs/>
          <w:sz w:val="24"/>
          <w:szCs w:val="24"/>
        </w:rPr>
        <w:lastRenderedPageBreak/>
        <w:t>privacy standards, minimizing the chances of regulatory non-conformity and the resulting delays (Petkovic et al., 2020).</w:t>
      </w:r>
    </w:p>
    <w:p w14:paraId="688FA085" w14:textId="2C989271" w:rsidR="0056108D" w:rsidRPr="00E9681E" w:rsidRDefault="005D4457"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In addition, involvement of different stakeholders creates a culture of innovation. To illustrate, the patient care needs as understood by clinical teams and the technology integration needs as understood by IT teams result in the development of innovative solutions that can improve the functionality of the device. The marketing team and product development team will work together to ensure that the wearable device is not only of the healthcare </w:t>
      </w:r>
      <w:proofErr w:type="gramStart"/>
      <w:r w:rsidRPr="00E9681E">
        <w:rPr>
          <w:rFonts w:ascii="Times New Roman" w:hAnsi="Times New Roman" w:cs="Times New Roman"/>
          <w:bCs/>
          <w:iCs/>
          <w:sz w:val="24"/>
          <w:szCs w:val="24"/>
        </w:rPr>
        <w:t>standard, but</w:t>
      </w:r>
      <w:proofErr w:type="gramEnd"/>
      <w:r w:rsidRPr="00E9681E">
        <w:rPr>
          <w:rFonts w:ascii="Times New Roman" w:hAnsi="Times New Roman" w:cs="Times New Roman"/>
          <w:bCs/>
          <w:iCs/>
          <w:sz w:val="24"/>
          <w:szCs w:val="24"/>
        </w:rPr>
        <w:t xml:space="preserve"> is also an attractive product to the target market (Concannon et al., 2019).</w:t>
      </w:r>
    </w:p>
    <w:p w14:paraId="5864779D" w14:textId="6F013F73" w:rsidR="0056108D" w:rsidRPr="00E9681E" w:rsidRDefault="0056108D" w:rsidP="00E9681E">
      <w:pPr>
        <w:pStyle w:val="Heading2"/>
        <w:spacing w:line="360" w:lineRule="auto"/>
        <w:rPr>
          <w:rFonts w:ascii="Times New Roman" w:hAnsi="Times New Roman" w:cs="Times New Roman"/>
          <w:b/>
          <w:color w:val="auto"/>
          <w:sz w:val="24"/>
          <w:szCs w:val="24"/>
        </w:rPr>
      </w:pPr>
      <w:bookmarkStart w:id="10" w:name="_Toc211998071"/>
      <w:r w:rsidRPr="00E9681E">
        <w:rPr>
          <w:rFonts w:ascii="Times New Roman" w:hAnsi="Times New Roman" w:cs="Times New Roman"/>
          <w:b/>
          <w:color w:val="auto"/>
          <w:sz w:val="24"/>
          <w:szCs w:val="24"/>
        </w:rPr>
        <w:t>Recommendations for Future Stakeholder Engagement</w:t>
      </w:r>
      <w:bookmarkEnd w:id="10"/>
    </w:p>
    <w:p w14:paraId="7EC98015" w14:textId="77777777" w:rsidR="0072753D" w:rsidRPr="00E9681E" w:rsidRDefault="00FB1FF7" w:rsidP="00E9681E">
      <w:pPr>
        <w:pStyle w:val="ListParagraph"/>
        <w:numPr>
          <w:ilvl w:val="0"/>
          <w:numId w:val="7"/>
        </w:num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Expand </w:t>
      </w:r>
      <w:r w:rsidR="0072753D" w:rsidRPr="00E9681E">
        <w:rPr>
          <w:rFonts w:ascii="Times New Roman" w:hAnsi="Times New Roman" w:cs="Times New Roman"/>
          <w:bCs/>
          <w:iCs/>
          <w:sz w:val="24"/>
          <w:szCs w:val="24"/>
        </w:rPr>
        <w:t>1) Increase Feedback Systems: Introduce more feedback systems with patients and clinical teams to make sure the device keeps developing with user requirements.</w:t>
      </w:r>
    </w:p>
    <w:p w14:paraId="1343B1D3" w14:textId="45472FCA" w:rsidR="0072753D" w:rsidRPr="00E9681E" w:rsidRDefault="0072753D" w:rsidP="00E9681E">
      <w:pPr>
        <w:pStyle w:val="ListParagraph"/>
        <w:numPr>
          <w:ilvl w:val="0"/>
          <w:numId w:val="7"/>
        </w:num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Improve Cross-Departmental Collaboration: Improve the cooperation of IT and finance with clinical staff to enhance the efficiency of the operations and the innovation.</w:t>
      </w:r>
    </w:p>
    <w:p w14:paraId="2709996F" w14:textId="1BF4301E" w:rsidR="0072753D" w:rsidRPr="00E9681E" w:rsidRDefault="0072753D" w:rsidP="00E9681E">
      <w:pPr>
        <w:pStyle w:val="ListParagraph"/>
        <w:numPr>
          <w:ilvl w:val="0"/>
          <w:numId w:val="7"/>
        </w:num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Enhance Patient Engagement: Engage patients further in the testing and post-launch to detect concerns early and make the device reflective of the real-world healthcare requirements.</w:t>
      </w:r>
    </w:p>
    <w:p w14:paraId="7EF20D8B" w14:textId="77777777" w:rsidR="0072753D" w:rsidRPr="00E9681E" w:rsidRDefault="0072753D" w:rsidP="00E9681E">
      <w:pPr>
        <w:pStyle w:val="ListParagraph"/>
        <w:numPr>
          <w:ilvl w:val="0"/>
          <w:numId w:val="7"/>
        </w:num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Nurture Long-Term Relations with External Suppliers: Develop long-term relations with suppliers by maintaining a clear communication </w:t>
      </w:r>
      <w:proofErr w:type="gramStart"/>
      <w:r w:rsidRPr="00E9681E">
        <w:rPr>
          <w:rFonts w:ascii="Times New Roman" w:hAnsi="Times New Roman" w:cs="Times New Roman"/>
          <w:bCs/>
          <w:iCs/>
          <w:sz w:val="24"/>
          <w:szCs w:val="24"/>
        </w:rPr>
        <w:t>in order to</w:t>
      </w:r>
      <w:proofErr w:type="gramEnd"/>
      <w:r w:rsidRPr="00E9681E">
        <w:rPr>
          <w:rFonts w:ascii="Times New Roman" w:hAnsi="Times New Roman" w:cs="Times New Roman"/>
          <w:bCs/>
          <w:iCs/>
          <w:sz w:val="24"/>
          <w:szCs w:val="24"/>
        </w:rPr>
        <w:t xml:space="preserve"> minimize disruption in the supply chain.</w:t>
      </w:r>
    </w:p>
    <w:p w14:paraId="73158F98" w14:textId="201FCC6C" w:rsidR="0072753D" w:rsidRPr="00E9681E" w:rsidRDefault="0072753D" w:rsidP="00E9681E">
      <w:pPr>
        <w:pStyle w:val="ListParagraph"/>
        <w:numPr>
          <w:ilvl w:val="0"/>
          <w:numId w:val="7"/>
        </w:num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Encourage Open Communication: Have transparent and open communication with the top management and the regulatory authorities to win trust and make the project successful.</w:t>
      </w:r>
    </w:p>
    <w:p w14:paraId="3B0A56E1" w14:textId="77777777" w:rsidR="0072753D" w:rsidRPr="00E9681E" w:rsidRDefault="0072753D" w:rsidP="00E9681E">
      <w:pPr>
        <w:pStyle w:val="ListParagraph"/>
        <w:spacing w:line="360" w:lineRule="auto"/>
        <w:jc w:val="both"/>
        <w:rPr>
          <w:rFonts w:ascii="Times New Roman" w:hAnsi="Times New Roman" w:cs="Times New Roman"/>
          <w:b/>
          <w:bCs/>
          <w:iCs/>
          <w:sz w:val="24"/>
          <w:szCs w:val="24"/>
        </w:rPr>
      </w:pPr>
    </w:p>
    <w:p w14:paraId="1F1F7CA5" w14:textId="1D32A5AB" w:rsidR="006F1D9A" w:rsidRPr="00E9681E" w:rsidRDefault="006F1D9A" w:rsidP="00E9681E">
      <w:pPr>
        <w:pStyle w:val="Heading1"/>
        <w:spacing w:line="360" w:lineRule="auto"/>
        <w:rPr>
          <w:rFonts w:ascii="Times New Roman" w:hAnsi="Times New Roman" w:cs="Times New Roman"/>
          <w:b/>
          <w:color w:val="auto"/>
          <w:sz w:val="24"/>
          <w:szCs w:val="24"/>
        </w:rPr>
      </w:pPr>
      <w:bookmarkStart w:id="11" w:name="_Toc211998072"/>
      <w:r w:rsidRPr="00E9681E">
        <w:rPr>
          <w:rFonts w:ascii="Times New Roman" w:hAnsi="Times New Roman" w:cs="Times New Roman"/>
          <w:b/>
          <w:color w:val="auto"/>
          <w:sz w:val="24"/>
          <w:szCs w:val="24"/>
        </w:rPr>
        <w:t>Conclusion</w:t>
      </w:r>
      <w:bookmarkEnd w:id="11"/>
    </w:p>
    <w:p w14:paraId="0D99083A" w14:textId="77777777" w:rsidR="0072753D" w:rsidRPr="00E9681E" w:rsidRDefault="006F1D9A"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 xml:space="preserve"> </w:t>
      </w:r>
      <w:r w:rsidR="0072753D" w:rsidRPr="00E9681E">
        <w:rPr>
          <w:rFonts w:ascii="Times New Roman" w:hAnsi="Times New Roman" w:cs="Times New Roman"/>
          <w:bCs/>
          <w:iCs/>
          <w:sz w:val="24"/>
          <w:szCs w:val="24"/>
        </w:rPr>
        <w:t>To sum everything up, the effective engagement of stakeholders in the development and introduction of the new wearable health device of AstraZeneca is a key to the successful launch of this new product. The wearable gadget with features of monitoring heart rate, oxygen saturation, and sleep patterns concentrates on emerging market trends of digital health-related products. The involvement of key stakeholders such as clinical teams, product development, regulatory bodies, and patients will help AstraZeneca to make sure that the device is meeting the clinical criteria and expectations of the user.</w:t>
      </w:r>
    </w:p>
    <w:p w14:paraId="42DD498D" w14:textId="77777777" w:rsidR="0072753D" w:rsidRPr="00E9681E" w:rsidRDefault="0072753D" w:rsidP="00E9681E">
      <w:pPr>
        <w:spacing w:line="360" w:lineRule="auto"/>
        <w:jc w:val="both"/>
        <w:rPr>
          <w:rFonts w:ascii="Times New Roman" w:hAnsi="Times New Roman" w:cs="Times New Roman"/>
          <w:bCs/>
          <w:iCs/>
          <w:sz w:val="24"/>
          <w:szCs w:val="24"/>
        </w:rPr>
      </w:pPr>
    </w:p>
    <w:p w14:paraId="3E5B6DB4" w14:textId="77777777" w:rsidR="0072753D" w:rsidRPr="00E9681E" w:rsidRDefault="0072753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lastRenderedPageBreak/>
        <w:t>The use of both techniques like the RACI Matrix and Stakeholder Matrix enables the definitions of the roles and responsibilities to be clear, and the interaction and cooperation between internal and external parties are enhanced. This systematic process will help in ensuring that work is done in an efficient manner, risks are also detected and counteracted, and that the device is in line with the regulatory requirements and market demands.</w:t>
      </w:r>
    </w:p>
    <w:p w14:paraId="548C772B" w14:textId="77777777" w:rsidR="0072753D" w:rsidRPr="00E9681E" w:rsidRDefault="0072753D" w:rsidP="00E9681E">
      <w:pPr>
        <w:spacing w:line="360" w:lineRule="auto"/>
        <w:jc w:val="both"/>
        <w:rPr>
          <w:rFonts w:ascii="Times New Roman" w:hAnsi="Times New Roman" w:cs="Times New Roman"/>
          <w:bCs/>
          <w:iCs/>
          <w:sz w:val="24"/>
          <w:szCs w:val="24"/>
        </w:rPr>
      </w:pPr>
    </w:p>
    <w:p w14:paraId="2BC4923A" w14:textId="77777777" w:rsidR="0072753D" w:rsidRPr="00E9681E" w:rsidRDefault="0072753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Good communication with the stakeholders would create trust, and the clinical teams would be able to develop the functionality of the device, whereas regulatory bodies will make sure that they do so in compliance. Through the early patient engagement, AstraZeneca will be able to make sure that the machine is patient friendly and addresses the real health care needs. Also, a good relationship with suppliers is essential in ensuring quality and prompt delivery of quality components.</w:t>
      </w:r>
    </w:p>
    <w:p w14:paraId="295B42E7" w14:textId="2F2A7A3C" w:rsidR="004A2DD9" w:rsidRPr="00E9681E" w:rsidRDefault="0072753D" w:rsidP="00E9681E">
      <w:pPr>
        <w:spacing w:line="360" w:lineRule="auto"/>
        <w:jc w:val="both"/>
        <w:rPr>
          <w:rFonts w:ascii="Times New Roman" w:hAnsi="Times New Roman" w:cs="Times New Roman"/>
          <w:bCs/>
          <w:iCs/>
          <w:sz w:val="24"/>
          <w:szCs w:val="24"/>
        </w:rPr>
      </w:pPr>
      <w:r w:rsidRPr="00E9681E">
        <w:rPr>
          <w:rFonts w:ascii="Times New Roman" w:hAnsi="Times New Roman" w:cs="Times New Roman"/>
          <w:bCs/>
          <w:iCs/>
          <w:sz w:val="24"/>
          <w:szCs w:val="24"/>
        </w:rPr>
        <w:t>Although problems like dealing with resistance to new technologies and dealing with complicated regulatory environment are present, proactive involvement and plan will enable AstraZeneca to overcome these challenges. The company can achieve the successful entry of the device into the market and long-term success in the healthcare industry by increasing the number of feedback mechanisms, the collaboration between departments, and transparent communication.</w:t>
      </w:r>
    </w:p>
    <w:p w14:paraId="181D8E95" w14:textId="77777777" w:rsidR="004A2DD9" w:rsidRPr="00E9681E" w:rsidRDefault="004A2DD9" w:rsidP="00E9681E">
      <w:pPr>
        <w:spacing w:line="360" w:lineRule="auto"/>
        <w:jc w:val="both"/>
        <w:rPr>
          <w:rFonts w:ascii="Times New Roman" w:hAnsi="Times New Roman" w:cs="Times New Roman"/>
          <w:bCs/>
          <w:iCs/>
          <w:sz w:val="24"/>
          <w:szCs w:val="24"/>
        </w:rPr>
      </w:pPr>
    </w:p>
    <w:p w14:paraId="5D063413" w14:textId="77777777" w:rsidR="004A2DD9" w:rsidRPr="00E9681E" w:rsidRDefault="004A2DD9" w:rsidP="00E9681E">
      <w:pPr>
        <w:spacing w:line="360" w:lineRule="auto"/>
        <w:jc w:val="both"/>
        <w:rPr>
          <w:rFonts w:ascii="Times New Roman" w:hAnsi="Times New Roman" w:cs="Times New Roman"/>
          <w:bCs/>
          <w:iCs/>
          <w:sz w:val="24"/>
          <w:szCs w:val="24"/>
        </w:rPr>
      </w:pPr>
    </w:p>
    <w:p w14:paraId="2FE7990C" w14:textId="77777777" w:rsidR="004A2DD9" w:rsidRPr="00E9681E" w:rsidRDefault="004A2DD9" w:rsidP="00E9681E">
      <w:pPr>
        <w:spacing w:line="360" w:lineRule="auto"/>
        <w:jc w:val="both"/>
        <w:rPr>
          <w:rFonts w:ascii="Times New Roman" w:hAnsi="Times New Roman" w:cs="Times New Roman"/>
          <w:bCs/>
          <w:iCs/>
          <w:sz w:val="24"/>
          <w:szCs w:val="24"/>
        </w:rPr>
      </w:pPr>
    </w:p>
    <w:p w14:paraId="5BC885D8" w14:textId="77777777" w:rsidR="004A2DD9" w:rsidRPr="00E9681E" w:rsidRDefault="004A2DD9" w:rsidP="00E9681E">
      <w:pPr>
        <w:spacing w:line="360" w:lineRule="auto"/>
        <w:jc w:val="both"/>
        <w:rPr>
          <w:rFonts w:ascii="Times New Roman" w:hAnsi="Times New Roman" w:cs="Times New Roman"/>
          <w:bCs/>
          <w:iCs/>
          <w:sz w:val="24"/>
          <w:szCs w:val="24"/>
        </w:rPr>
      </w:pPr>
    </w:p>
    <w:p w14:paraId="097CAA96" w14:textId="77777777" w:rsidR="004A2DD9" w:rsidRPr="00E9681E" w:rsidRDefault="004A2DD9" w:rsidP="00E9681E">
      <w:pPr>
        <w:spacing w:line="360" w:lineRule="auto"/>
        <w:jc w:val="both"/>
        <w:rPr>
          <w:rFonts w:ascii="Times New Roman" w:hAnsi="Times New Roman" w:cs="Times New Roman"/>
          <w:bCs/>
          <w:iCs/>
          <w:sz w:val="24"/>
          <w:szCs w:val="24"/>
        </w:rPr>
      </w:pPr>
    </w:p>
    <w:p w14:paraId="0291E8B1" w14:textId="25DE0EB1" w:rsidR="004A2DD9" w:rsidRPr="00E9681E" w:rsidRDefault="004A2DD9" w:rsidP="00E9681E">
      <w:pPr>
        <w:spacing w:line="360" w:lineRule="auto"/>
        <w:jc w:val="both"/>
        <w:rPr>
          <w:rFonts w:ascii="Times New Roman" w:hAnsi="Times New Roman" w:cs="Times New Roman"/>
          <w:bCs/>
          <w:iCs/>
          <w:sz w:val="24"/>
          <w:szCs w:val="24"/>
        </w:rPr>
      </w:pPr>
    </w:p>
    <w:p w14:paraId="52E664FB" w14:textId="6BBCD25D" w:rsidR="00491AC8" w:rsidRPr="00E9681E" w:rsidRDefault="00491AC8" w:rsidP="00E9681E">
      <w:pPr>
        <w:spacing w:line="360" w:lineRule="auto"/>
        <w:jc w:val="both"/>
        <w:rPr>
          <w:rFonts w:ascii="Times New Roman" w:hAnsi="Times New Roman" w:cs="Times New Roman"/>
          <w:bCs/>
          <w:iCs/>
          <w:sz w:val="24"/>
          <w:szCs w:val="24"/>
        </w:rPr>
      </w:pPr>
    </w:p>
    <w:p w14:paraId="45DF2A2D" w14:textId="1D61EBDF" w:rsidR="00491AC8" w:rsidRPr="00E9681E" w:rsidRDefault="00491AC8" w:rsidP="00E9681E">
      <w:pPr>
        <w:spacing w:line="360" w:lineRule="auto"/>
        <w:jc w:val="both"/>
        <w:rPr>
          <w:rFonts w:ascii="Times New Roman" w:hAnsi="Times New Roman" w:cs="Times New Roman"/>
          <w:bCs/>
          <w:iCs/>
          <w:sz w:val="24"/>
          <w:szCs w:val="24"/>
        </w:rPr>
      </w:pPr>
    </w:p>
    <w:p w14:paraId="50A29696" w14:textId="0877EAC3" w:rsidR="00491AC8" w:rsidRPr="00E9681E" w:rsidRDefault="00491AC8" w:rsidP="00E9681E">
      <w:pPr>
        <w:spacing w:line="360" w:lineRule="auto"/>
        <w:jc w:val="both"/>
        <w:rPr>
          <w:rFonts w:ascii="Times New Roman" w:hAnsi="Times New Roman" w:cs="Times New Roman"/>
          <w:bCs/>
          <w:iCs/>
          <w:sz w:val="24"/>
          <w:szCs w:val="24"/>
        </w:rPr>
      </w:pPr>
    </w:p>
    <w:p w14:paraId="7B75EE63" w14:textId="76474AF7" w:rsidR="00491AC8" w:rsidRPr="00E9681E" w:rsidRDefault="00491AC8" w:rsidP="00E9681E">
      <w:pPr>
        <w:spacing w:line="360" w:lineRule="auto"/>
        <w:jc w:val="both"/>
        <w:rPr>
          <w:rFonts w:ascii="Times New Roman" w:hAnsi="Times New Roman" w:cs="Times New Roman"/>
          <w:bCs/>
          <w:iCs/>
          <w:sz w:val="24"/>
          <w:szCs w:val="24"/>
        </w:rPr>
      </w:pPr>
    </w:p>
    <w:p w14:paraId="12C147A6" w14:textId="7B5128C9" w:rsidR="004A2DD9" w:rsidRPr="00E9681E" w:rsidRDefault="004A2DD9" w:rsidP="00E9681E">
      <w:pPr>
        <w:pStyle w:val="Heading1"/>
        <w:spacing w:line="360" w:lineRule="auto"/>
        <w:rPr>
          <w:rFonts w:ascii="Times New Roman" w:hAnsi="Times New Roman" w:cs="Times New Roman"/>
          <w:b/>
          <w:color w:val="auto"/>
          <w:sz w:val="24"/>
          <w:szCs w:val="24"/>
        </w:rPr>
      </w:pPr>
      <w:bookmarkStart w:id="12" w:name="_Toc211998073"/>
      <w:r w:rsidRPr="00E9681E">
        <w:rPr>
          <w:rFonts w:ascii="Times New Roman" w:hAnsi="Times New Roman" w:cs="Times New Roman"/>
          <w:b/>
          <w:color w:val="auto"/>
          <w:sz w:val="24"/>
          <w:szCs w:val="24"/>
        </w:rPr>
        <w:lastRenderedPageBreak/>
        <w:t>Reference</w:t>
      </w:r>
      <w:bookmarkEnd w:id="12"/>
      <w:r w:rsidRPr="00E9681E">
        <w:rPr>
          <w:rFonts w:ascii="Times New Roman" w:hAnsi="Times New Roman" w:cs="Times New Roman"/>
          <w:b/>
          <w:color w:val="auto"/>
          <w:sz w:val="24"/>
          <w:szCs w:val="24"/>
        </w:rPr>
        <w:t xml:space="preserve"> </w:t>
      </w:r>
    </w:p>
    <w:p w14:paraId="1BE67004"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Ahmed, R., 2025. Global Perspectives on Drug Regulatory Bodies: Roles, Challenges, and Collaborative Frameworks. </w:t>
      </w:r>
      <w:r w:rsidRPr="00E9681E">
        <w:rPr>
          <w:rFonts w:ascii="Times New Roman" w:hAnsi="Times New Roman" w:cs="Times New Roman"/>
          <w:i/>
          <w:iCs/>
          <w:sz w:val="24"/>
          <w:szCs w:val="24"/>
          <w:shd w:val="clear" w:color="auto" w:fill="FFFFFF"/>
        </w:rPr>
        <w:t>THRIVE Health Science Journal</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2</w:t>
      </w:r>
      <w:r w:rsidRPr="00E9681E">
        <w:rPr>
          <w:rFonts w:ascii="Times New Roman" w:hAnsi="Times New Roman" w:cs="Times New Roman"/>
          <w:sz w:val="24"/>
          <w:szCs w:val="24"/>
          <w:shd w:val="clear" w:color="auto" w:fill="FFFFFF"/>
        </w:rPr>
        <w:t>(2), pp.85-96.</w:t>
      </w:r>
    </w:p>
    <w:p w14:paraId="72641295"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Ahmed, S. and Schippert, O., 2020. Improving Planning Stability: A case study of Planning at AstraZeneca.</w:t>
      </w:r>
    </w:p>
    <w:p w14:paraId="0429C2C3"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Ash, G.I., Stults-Kolehmainen, M., Busa, M.A., Gaffey, A.E., Angeloudis, K., Muniz-Pardos, B., Gregory, R., Huggins, R.A., Redeker, N.S., Weinzimer, S.A. and Grieco, L.A., 2021. Establishing a global standard for wearable devices in sport and exercise medicine: perspectives from academic and industry stakeholders. </w:t>
      </w:r>
      <w:r w:rsidRPr="00E9681E">
        <w:rPr>
          <w:rFonts w:ascii="Times New Roman" w:hAnsi="Times New Roman" w:cs="Times New Roman"/>
          <w:i/>
          <w:iCs/>
          <w:sz w:val="24"/>
          <w:szCs w:val="24"/>
          <w:shd w:val="clear" w:color="auto" w:fill="FFFFFF"/>
        </w:rPr>
        <w:t>Sports Medicine</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51</w:t>
      </w:r>
      <w:r w:rsidRPr="00E9681E">
        <w:rPr>
          <w:rFonts w:ascii="Times New Roman" w:hAnsi="Times New Roman" w:cs="Times New Roman"/>
          <w:sz w:val="24"/>
          <w:szCs w:val="24"/>
          <w:shd w:val="clear" w:color="auto" w:fill="FFFFFF"/>
        </w:rPr>
        <w:t>(11), pp.2237-2250.</w:t>
      </w:r>
    </w:p>
    <w:p w14:paraId="51216438" w14:textId="77777777" w:rsidR="004A2DD9" w:rsidRPr="00E9681E" w:rsidRDefault="004A2DD9" w:rsidP="00E9681E">
      <w:pPr>
        <w:spacing w:line="360" w:lineRule="auto"/>
        <w:ind w:left="720" w:hanging="720"/>
        <w:jc w:val="both"/>
        <w:rPr>
          <w:rFonts w:ascii="Times New Roman" w:hAnsi="Times New Roman" w:cs="Times New Roman"/>
          <w:sz w:val="24"/>
          <w:szCs w:val="24"/>
        </w:rPr>
      </w:pPr>
      <w:r w:rsidRPr="00E9681E">
        <w:rPr>
          <w:rFonts w:ascii="Times New Roman" w:hAnsi="Times New Roman" w:cs="Times New Roman"/>
          <w:sz w:val="24"/>
          <w:szCs w:val="24"/>
        </w:rPr>
        <w:t>Ashcroft, J. (2017) The relational lens: understanding, measuring, and managing stakeholder</w:t>
      </w:r>
    </w:p>
    <w:p w14:paraId="090E86B9" w14:textId="77777777" w:rsidR="004A2DD9" w:rsidRPr="00E9681E" w:rsidRDefault="004A2DD9" w:rsidP="00E9681E">
      <w:pPr>
        <w:spacing w:line="360" w:lineRule="auto"/>
        <w:ind w:left="720" w:hanging="720"/>
        <w:jc w:val="both"/>
        <w:rPr>
          <w:rFonts w:ascii="Times New Roman" w:hAnsi="Times New Roman" w:cs="Times New Roman"/>
          <w:sz w:val="24"/>
          <w:szCs w:val="24"/>
        </w:rPr>
      </w:pPr>
      <w:r w:rsidRPr="00E9681E">
        <w:rPr>
          <w:rFonts w:ascii="Times New Roman" w:hAnsi="Times New Roman" w:cs="Times New Roman"/>
          <w:sz w:val="24"/>
          <w:szCs w:val="24"/>
        </w:rPr>
        <w:t xml:space="preserve">AstraZeneca plc (no date) </w:t>
      </w:r>
      <w:r w:rsidRPr="00E9681E">
        <w:rPr>
          <w:rStyle w:val="Emphasis"/>
          <w:rFonts w:ascii="Times New Roman" w:hAnsi="Times New Roman" w:cs="Times New Roman"/>
          <w:sz w:val="24"/>
          <w:szCs w:val="24"/>
        </w:rPr>
        <w:t>AstraZeneca</w:t>
      </w:r>
      <w:r w:rsidRPr="00E9681E">
        <w:rPr>
          <w:rFonts w:ascii="Times New Roman" w:hAnsi="Times New Roman" w:cs="Times New Roman"/>
          <w:sz w:val="24"/>
          <w:szCs w:val="24"/>
        </w:rPr>
        <w:t xml:space="preserve">. Available at: </w:t>
      </w:r>
      <w:hyperlink r:id="rId11" w:tgtFrame="_new" w:history="1">
        <w:r w:rsidRPr="00E9681E">
          <w:rPr>
            <w:rStyle w:val="Hyperlink"/>
            <w:rFonts w:ascii="Times New Roman" w:hAnsi="Times New Roman" w:cs="Times New Roman"/>
            <w:color w:val="auto"/>
            <w:sz w:val="24"/>
            <w:szCs w:val="24"/>
          </w:rPr>
          <w:t>https://www.astrazeneca.com/</w:t>
        </w:r>
      </w:hyperlink>
      <w:r w:rsidRPr="00E9681E">
        <w:rPr>
          <w:rFonts w:ascii="Times New Roman" w:hAnsi="Times New Roman" w:cs="Times New Roman"/>
          <w:sz w:val="24"/>
          <w:szCs w:val="24"/>
        </w:rPr>
        <w:t xml:space="preserve"> (Accessed: 22 October 2025).</w:t>
      </w:r>
    </w:p>
    <w:p w14:paraId="0D531A89"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Aziza, F.N., 2022. Review and Comparison of Food Drug Administration (FDA) and Medicines and Healthcare products Regulatory Agency (MHRA) on Good Manufacturing Practice (GMP) Implementation. </w:t>
      </w:r>
      <w:r w:rsidRPr="00E9681E">
        <w:rPr>
          <w:rFonts w:ascii="Times New Roman" w:hAnsi="Times New Roman" w:cs="Times New Roman"/>
          <w:i/>
          <w:iCs/>
          <w:sz w:val="24"/>
          <w:szCs w:val="24"/>
          <w:shd w:val="clear" w:color="auto" w:fill="FFFFFF"/>
        </w:rPr>
        <w:t>Majalah Farmaseutik</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18</w:t>
      </w:r>
      <w:r w:rsidRPr="00E9681E">
        <w:rPr>
          <w:rFonts w:ascii="Times New Roman" w:hAnsi="Times New Roman" w:cs="Times New Roman"/>
          <w:sz w:val="24"/>
          <w:szCs w:val="24"/>
          <w:shd w:val="clear" w:color="auto" w:fill="FFFFFF"/>
        </w:rPr>
        <w:t>(2), pp.236-240.</w:t>
      </w:r>
    </w:p>
    <w:p w14:paraId="482DBD81"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Besharati Foumani, H., 2025. An Improved Systems Design Workflow for the Case Company: a Proposal.</w:t>
      </w:r>
    </w:p>
    <w:p w14:paraId="1DCBDF7F" w14:textId="77777777" w:rsidR="004A2DD9" w:rsidRPr="00E9681E" w:rsidRDefault="004A2DD9" w:rsidP="00E9681E">
      <w:pPr>
        <w:spacing w:line="360" w:lineRule="auto"/>
        <w:ind w:left="720" w:hanging="720"/>
        <w:jc w:val="both"/>
        <w:rPr>
          <w:rFonts w:ascii="Times New Roman" w:hAnsi="Times New Roman" w:cs="Times New Roman"/>
          <w:sz w:val="24"/>
          <w:szCs w:val="24"/>
        </w:rPr>
      </w:pPr>
      <w:r w:rsidRPr="00E9681E">
        <w:rPr>
          <w:rFonts w:ascii="Times New Roman" w:hAnsi="Times New Roman" w:cs="Times New Roman"/>
          <w:sz w:val="24"/>
          <w:szCs w:val="24"/>
        </w:rPr>
        <w:t>Christopher, M., Payne, A., and Ballantyne, D. (2013). Relationship Marketing: Creating Stakeholder</w:t>
      </w:r>
    </w:p>
    <w:p w14:paraId="3149D89D" w14:textId="77777777" w:rsidR="004A2DD9" w:rsidRPr="00E9681E" w:rsidRDefault="004A2DD9" w:rsidP="00E9681E">
      <w:pPr>
        <w:spacing w:line="360" w:lineRule="auto"/>
        <w:ind w:left="720" w:hanging="720"/>
        <w:jc w:val="both"/>
        <w:rPr>
          <w:rFonts w:ascii="Times New Roman" w:hAnsi="Times New Roman" w:cs="Times New Roman"/>
          <w:sz w:val="24"/>
          <w:szCs w:val="24"/>
        </w:rPr>
      </w:pPr>
      <w:r w:rsidRPr="00E9681E">
        <w:rPr>
          <w:rFonts w:ascii="Times New Roman" w:hAnsi="Times New Roman" w:cs="Times New Roman"/>
          <w:sz w:val="24"/>
          <w:szCs w:val="24"/>
          <w:shd w:val="clear" w:color="auto" w:fill="FFFFFF"/>
        </w:rPr>
        <w:t>Concannon, T.W., Grant, S., Welch, V., Petkovic, J., Selby, J., Crowe, S., Synnot, A., Greer-Smith, R., Mayo-Wilson, E., Tambor, E. and Tugwell, P., 2019. Practical guidance for involving stakeholders in health research. </w:t>
      </w:r>
      <w:r w:rsidRPr="00E9681E">
        <w:rPr>
          <w:rFonts w:ascii="Times New Roman" w:hAnsi="Times New Roman" w:cs="Times New Roman"/>
          <w:i/>
          <w:iCs/>
          <w:sz w:val="24"/>
          <w:szCs w:val="24"/>
          <w:shd w:val="clear" w:color="auto" w:fill="FFFFFF"/>
        </w:rPr>
        <w:t>Journal of general internal medicine</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34</w:t>
      </w:r>
      <w:r w:rsidRPr="00E9681E">
        <w:rPr>
          <w:rFonts w:ascii="Times New Roman" w:hAnsi="Times New Roman" w:cs="Times New Roman"/>
          <w:sz w:val="24"/>
          <w:szCs w:val="24"/>
          <w:shd w:val="clear" w:color="auto" w:fill="FFFFFF"/>
        </w:rPr>
        <w:t>(3), pp.458-463.</w:t>
      </w:r>
    </w:p>
    <w:p w14:paraId="7907D1D4"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de Carvalho, A.R.M. and Tontini, G., 2025. Stakeholder management and financial sustainability in philanthropic hospitals. </w:t>
      </w:r>
      <w:r w:rsidRPr="00E9681E">
        <w:rPr>
          <w:rFonts w:ascii="Times New Roman" w:hAnsi="Times New Roman" w:cs="Times New Roman"/>
          <w:i/>
          <w:iCs/>
          <w:sz w:val="24"/>
          <w:szCs w:val="24"/>
          <w:shd w:val="clear" w:color="auto" w:fill="FFFFFF"/>
        </w:rPr>
        <w:t>Journal of Health Organization and Management</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39</w:t>
      </w:r>
      <w:r w:rsidRPr="00E9681E">
        <w:rPr>
          <w:rFonts w:ascii="Times New Roman" w:hAnsi="Times New Roman" w:cs="Times New Roman"/>
          <w:sz w:val="24"/>
          <w:szCs w:val="24"/>
          <w:shd w:val="clear" w:color="auto" w:fill="FFFFFF"/>
        </w:rPr>
        <w:t>(5), pp.665-687.</w:t>
      </w:r>
    </w:p>
    <w:p w14:paraId="3C09A734"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Glynn, G., Frederick, M. and West, T., 2025. </w:t>
      </w:r>
      <w:r w:rsidRPr="00E9681E">
        <w:rPr>
          <w:rFonts w:ascii="Times New Roman" w:hAnsi="Times New Roman" w:cs="Times New Roman"/>
          <w:i/>
          <w:iCs/>
          <w:sz w:val="24"/>
          <w:szCs w:val="24"/>
          <w:shd w:val="clear" w:color="auto" w:fill="FFFFFF"/>
        </w:rPr>
        <w:t>Safety and Wearable Technology: Impact, Applications, and Implementation in Industry</w:t>
      </w:r>
      <w:r w:rsidRPr="00E9681E">
        <w:rPr>
          <w:rFonts w:ascii="Times New Roman" w:hAnsi="Times New Roman" w:cs="Times New Roman"/>
          <w:sz w:val="24"/>
          <w:szCs w:val="24"/>
          <w:shd w:val="clear" w:color="auto" w:fill="FFFFFF"/>
        </w:rPr>
        <w:t>. CRC Press.</w:t>
      </w:r>
    </w:p>
    <w:p w14:paraId="59605306"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lastRenderedPageBreak/>
        <w:t>Iglesias, I., Marinich, J.A., Anechina, L.R., Cortés, M. and Pérez Domínguez, A., 2025. Understanding the national healthcare ecosystem to position Medical Affairs as a strategic element: lessons learned from AstraZeneca Spain. </w:t>
      </w:r>
      <w:r w:rsidRPr="00E9681E">
        <w:rPr>
          <w:rFonts w:ascii="Times New Roman" w:hAnsi="Times New Roman" w:cs="Times New Roman"/>
          <w:i/>
          <w:iCs/>
          <w:sz w:val="24"/>
          <w:szCs w:val="24"/>
          <w:shd w:val="clear" w:color="auto" w:fill="FFFFFF"/>
        </w:rPr>
        <w:t>Pharmaceutical Medicine</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39</w:t>
      </w:r>
      <w:r w:rsidRPr="00E9681E">
        <w:rPr>
          <w:rFonts w:ascii="Times New Roman" w:hAnsi="Times New Roman" w:cs="Times New Roman"/>
          <w:sz w:val="24"/>
          <w:szCs w:val="24"/>
          <w:shd w:val="clear" w:color="auto" w:fill="FFFFFF"/>
        </w:rPr>
        <w:t>(1), pp.39-50.</w:t>
      </w:r>
    </w:p>
    <w:p w14:paraId="5F5E04EA"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Lindenmeyer Asadi, A. and Stenbom, M., 2020. Development of KPIs for an Innovation Initiative between Big Pharma and SMEs. A case study of AstraZeneca’s BioVentureHub.</w:t>
      </w:r>
    </w:p>
    <w:p w14:paraId="34EF68E3"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Morgan, P., Brown, D.G., Lennard, S., Anderton, M.J., Barrett, J.C., Eriksson, U., Fidock, M., Hamren, B., Johnson, A., March, R.E. and Matcham, J., 2018. Impact of a five-dimensional framework on R&amp;D productivity at AstraZeneca. </w:t>
      </w:r>
      <w:r w:rsidRPr="00E9681E">
        <w:rPr>
          <w:rFonts w:ascii="Times New Roman" w:hAnsi="Times New Roman" w:cs="Times New Roman"/>
          <w:i/>
          <w:iCs/>
          <w:sz w:val="24"/>
          <w:szCs w:val="24"/>
          <w:shd w:val="clear" w:color="auto" w:fill="FFFFFF"/>
        </w:rPr>
        <w:t>Nature reviews Drug discovery</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17</w:t>
      </w:r>
      <w:r w:rsidRPr="00E9681E">
        <w:rPr>
          <w:rFonts w:ascii="Times New Roman" w:hAnsi="Times New Roman" w:cs="Times New Roman"/>
          <w:sz w:val="24"/>
          <w:szCs w:val="24"/>
          <w:shd w:val="clear" w:color="auto" w:fill="FFFFFF"/>
        </w:rPr>
        <w:t>(3), pp.167-181.</w:t>
      </w:r>
    </w:p>
    <w:p w14:paraId="5F97AB2C"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Morgan, P., Brown, D.G., Lennard, S., Anderton, M.J., Barrett, J.C., Eriksson, U., Fidock, M., Hamren, B., Johnson, A., March, R.E. and Matcham, J., 2018. Impact of a five-dimensional framework on R&amp;D productivity at AstraZeneca. </w:t>
      </w:r>
      <w:r w:rsidRPr="00E9681E">
        <w:rPr>
          <w:rFonts w:ascii="Times New Roman" w:hAnsi="Times New Roman" w:cs="Times New Roman"/>
          <w:i/>
          <w:iCs/>
          <w:sz w:val="24"/>
          <w:szCs w:val="24"/>
          <w:shd w:val="clear" w:color="auto" w:fill="FFFFFF"/>
        </w:rPr>
        <w:t>Nature reviews Drug discovery</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17</w:t>
      </w:r>
      <w:r w:rsidRPr="00E9681E">
        <w:rPr>
          <w:rFonts w:ascii="Times New Roman" w:hAnsi="Times New Roman" w:cs="Times New Roman"/>
          <w:sz w:val="24"/>
          <w:szCs w:val="24"/>
          <w:shd w:val="clear" w:color="auto" w:fill="FFFFFF"/>
        </w:rPr>
        <w:t>(3), pp.167-181.</w:t>
      </w:r>
    </w:p>
    <w:p w14:paraId="588EA79A"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Munoru, E., 2024. Stakeholder involvement in the implementation of digital health technologies.</w:t>
      </w:r>
    </w:p>
    <w:p w14:paraId="73C09902"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Okpala, I., Nnaji, C., Awolusi, I. and Akanmu, A., 2021. Developing a success model for assessing the impact of wearable sensing devices in the construction industry. </w:t>
      </w:r>
      <w:r w:rsidRPr="00E9681E">
        <w:rPr>
          <w:rFonts w:ascii="Times New Roman" w:hAnsi="Times New Roman" w:cs="Times New Roman"/>
          <w:i/>
          <w:iCs/>
          <w:sz w:val="24"/>
          <w:szCs w:val="24"/>
          <w:shd w:val="clear" w:color="auto" w:fill="FFFFFF"/>
        </w:rPr>
        <w:t>Journal of Construction Engineering and Management</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147</w:t>
      </w:r>
      <w:r w:rsidRPr="00E9681E">
        <w:rPr>
          <w:rFonts w:ascii="Times New Roman" w:hAnsi="Times New Roman" w:cs="Times New Roman"/>
          <w:sz w:val="24"/>
          <w:szCs w:val="24"/>
          <w:shd w:val="clear" w:color="auto" w:fill="FFFFFF"/>
        </w:rPr>
        <w:t>(7), p.04021060.</w:t>
      </w:r>
    </w:p>
    <w:p w14:paraId="3EBAC84E"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Oyalabu, O.E. and Oguntuase, O.T., 2025. The Impact of Environmental, Social, and Governance (ESG) Disclosure on the Financial Performance of Pharmaceutical Companies. </w:t>
      </w:r>
      <w:r w:rsidRPr="00E9681E">
        <w:rPr>
          <w:rFonts w:ascii="Times New Roman" w:hAnsi="Times New Roman" w:cs="Times New Roman"/>
          <w:i/>
          <w:iCs/>
          <w:sz w:val="24"/>
          <w:szCs w:val="24"/>
          <w:shd w:val="clear" w:color="auto" w:fill="FFFFFF"/>
        </w:rPr>
        <w:t>European Journal of Management, Economics and Business</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2</w:t>
      </w:r>
      <w:r w:rsidRPr="00E9681E">
        <w:rPr>
          <w:rFonts w:ascii="Times New Roman" w:hAnsi="Times New Roman" w:cs="Times New Roman"/>
          <w:sz w:val="24"/>
          <w:szCs w:val="24"/>
          <w:shd w:val="clear" w:color="auto" w:fill="FFFFFF"/>
        </w:rPr>
        <w:t>(3), pp.23-35.</w:t>
      </w:r>
    </w:p>
    <w:p w14:paraId="1EA32571"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Petkovic, J., Riddle, A., Akl, E.A., Khabsa, J., Lytvyn, L., Atwere, P., Campbell, P., Chalkidou, K., Chang, S.M., Crowe, S. and Dans, L., 2020. Protocol for the development of guidance for stakeholder engagement in health and healthcare guideline development and implementation. </w:t>
      </w:r>
      <w:r w:rsidRPr="00E9681E">
        <w:rPr>
          <w:rFonts w:ascii="Times New Roman" w:hAnsi="Times New Roman" w:cs="Times New Roman"/>
          <w:i/>
          <w:iCs/>
          <w:sz w:val="24"/>
          <w:szCs w:val="24"/>
          <w:shd w:val="clear" w:color="auto" w:fill="FFFFFF"/>
        </w:rPr>
        <w:t>Systematic reviews</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9</w:t>
      </w:r>
      <w:r w:rsidRPr="00E9681E">
        <w:rPr>
          <w:rFonts w:ascii="Times New Roman" w:hAnsi="Times New Roman" w:cs="Times New Roman"/>
          <w:sz w:val="24"/>
          <w:szCs w:val="24"/>
          <w:shd w:val="clear" w:color="auto" w:fill="FFFFFF"/>
        </w:rPr>
        <w:t>(1), p.21.</w:t>
      </w:r>
    </w:p>
    <w:p w14:paraId="73E01001"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 xml:space="preserve">Priyatni, E.T. and As’ari, A.R., 2019, August. Project-Based Learning Paper: Learning Model to Develop 4cs:(Critical and Creative Thinking, Collaboration and Communication </w:t>
      </w:r>
      <w:r w:rsidRPr="00E9681E">
        <w:rPr>
          <w:rFonts w:ascii="Times New Roman" w:hAnsi="Times New Roman" w:cs="Times New Roman"/>
          <w:sz w:val="24"/>
          <w:szCs w:val="24"/>
          <w:shd w:val="clear" w:color="auto" w:fill="FFFFFF"/>
        </w:rPr>
        <w:lastRenderedPageBreak/>
        <w:t>Skills). In </w:t>
      </w:r>
      <w:r w:rsidRPr="00E9681E">
        <w:rPr>
          <w:rFonts w:ascii="Times New Roman" w:hAnsi="Times New Roman" w:cs="Times New Roman"/>
          <w:i/>
          <w:iCs/>
          <w:sz w:val="24"/>
          <w:szCs w:val="24"/>
          <w:shd w:val="clear" w:color="auto" w:fill="FFFFFF"/>
        </w:rPr>
        <w:t>1st International Conference on Education Social Sciences and Humanities (ICESSHum 2019)</w:t>
      </w:r>
      <w:r w:rsidRPr="00E9681E">
        <w:rPr>
          <w:rFonts w:ascii="Times New Roman" w:hAnsi="Times New Roman" w:cs="Times New Roman"/>
          <w:sz w:val="24"/>
          <w:szCs w:val="24"/>
          <w:shd w:val="clear" w:color="auto" w:fill="FFFFFF"/>
        </w:rPr>
        <w:t> (pp. 441-448). Atlantis Press.</w:t>
      </w:r>
    </w:p>
    <w:p w14:paraId="75D2D9CA"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Ramirez, P. and Tylecote, A., 2014. Hybrid corporate governance and its effects on innovation: A case study of AstraZeneca. </w:t>
      </w:r>
      <w:r w:rsidRPr="00E9681E">
        <w:rPr>
          <w:rFonts w:ascii="Times New Roman" w:hAnsi="Times New Roman" w:cs="Times New Roman"/>
          <w:i/>
          <w:iCs/>
          <w:sz w:val="24"/>
          <w:szCs w:val="24"/>
          <w:shd w:val="clear" w:color="auto" w:fill="FFFFFF"/>
        </w:rPr>
        <w:t>Technology Analysis &amp; Strategic Management</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16</w:t>
      </w:r>
      <w:r w:rsidRPr="00E9681E">
        <w:rPr>
          <w:rFonts w:ascii="Times New Roman" w:hAnsi="Times New Roman" w:cs="Times New Roman"/>
          <w:sz w:val="24"/>
          <w:szCs w:val="24"/>
          <w:shd w:val="clear" w:color="auto" w:fill="FFFFFF"/>
        </w:rPr>
        <w:t>(1), pp.97-119.</w:t>
      </w:r>
    </w:p>
    <w:p w14:paraId="34FA1C16" w14:textId="77777777" w:rsidR="004A2DD9" w:rsidRPr="00E9681E" w:rsidRDefault="004A2DD9" w:rsidP="00E9681E">
      <w:pPr>
        <w:spacing w:line="360" w:lineRule="auto"/>
        <w:ind w:left="720" w:hanging="720"/>
        <w:jc w:val="both"/>
        <w:rPr>
          <w:rFonts w:ascii="Times New Roman" w:hAnsi="Times New Roman" w:cs="Times New Roman"/>
          <w:sz w:val="24"/>
          <w:szCs w:val="24"/>
        </w:rPr>
      </w:pPr>
      <w:r w:rsidRPr="00E9681E">
        <w:rPr>
          <w:rFonts w:ascii="Times New Roman" w:hAnsi="Times New Roman" w:cs="Times New Roman"/>
          <w:sz w:val="24"/>
          <w:szCs w:val="24"/>
        </w:rPr>
        <w:t xml:space="preserve">relationships. Cambridge: Cambridge University Press. Available at: </w:t>
      </w:r>
      <w:hyperlink r:id="rId12" w:anchor="CN-bp-1" w:history="1">
        <w:r w:rsidRPr="00E9681E">
          <w:rPr>
            <w:rStyle w:val="Hyperlink"/>
            <w:rFonts w:ascii="Times New Roman" w:hAnsi="Times New Roman" w:cs="Times New Roman"/>
            <w:color w:val="auto"/>
            <w:sz w:val="24"/>
            <w:szCs w:val="24"/>
          </w:rPr>
          <w:t>https://www-cambridgeorg.ezproxy.uwtsd.ac.uk/core/books/relational-lens/value-and-importance-ofrelationships/718C31032061BDFA3F480BA2A53F45D4#CN-bp-1</w:t>
        </w:r>
      </w:hyperlink>
      <w:r w:rsidRPr="00E9681E">
        <w:rPr>
          <w:rFonts w:ascii="Times New Roman" w:hAnsi="Times New Roman" w:cs="Times New Roman"/>
          <w:sz w:val="24"/>
          <w:szCs w:val="24"/>
        </w:rPr>
        <w:t xml:space="preserve"> </w:t>
      </w:r>
    </w:p>
    <w:p w14:paraId="7A143BA6"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Revalska, P.S., 2021. </w:t>
      </w:r>
      <w:r w:rsidRPr="00E9681E">
        <w:rPr>
          <w:rFonts w:ascii="Times New Roman" w:hAnsi="Times New Roman" w:cs="Times New Roman"/>
          <w:i/>
          <w:iCs/>
          <w:sz w:val="24"/>
          <w:szCs w:val="24"/>
          <w:shd w:val="clear" w:color="auto" w:fill="FFFFFF"/>
        </w:rPr>
        <w:t>AstraZeneca Going Beyond</w:t>
      </w:r>
      <w:r w:rsidRPr="00E9681E">
        <w:rPr>
          <w:rFonts w:ascii="Times New Roman" w:hAnsi="Times New Roman" w:cs="Times New Roman"/>
          <w:sz w:val="24"/>
          <w:szCs w:val="24"/>
          <w:shd w:val="clear" w:color="auto" w:fill="FFFFFF"/>
        </w:rPr>
        <w:t> (</w:t>
      </w:r>
      <w:proofErr w:type="gramStart"/>
      <w:r w:rsidRPr="00E9681E">
        <w:rPr>
          <w:rFonts w:ascii="Times New Roman" w:hAnsi="Times New Roman" w:cs="Times New Roman"/>
          <w:sz w:val="24"/>
          <w:szCs w:val="24"/>
          <w:shd w:val="clear" w:color="auto" w:fill="FFFFFF"/>
        </w:rPr>
        <w:t>Master's</w:t>
      </w:r>
      <w:proofErr w:type="gramEnd"/>
      <w:r w:rsidRPr="00E9681E">
        <w:rPr>
          <w:rFonts w:ascii="Times New Roman" w:hAnsi="Times New Roman" w:cs="Times New Roman"/>
          <w:sz w:val="24"/>
          <w:szCs w:val="24"/>
          <w:shd w:val="clear" w:color="auto" w:fill="FFFFFF"/>
        </w:rPr>
        <w:t xml:space="preserve"> thesis, Universidade NOVA de Lisboa (Portugal)).</w:t>
      </w:r>
    </w:p>
    <w:p w14:paraId="75415054"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Richards, N. and Hudson, I., 2016. UK medicines regulation: responding to current challenges. </w:t>
      </w:r>
      <w:r w:rsidRPr="00E9681E">
        <w:rPr>
          <w:rFonts w:ascii="Times New Roman" w:hAnsi="Times New Roman" w:cs="Times New Roman"/>
          <w:i/>
          <w:iCs/>
          <w:sz w:val="24"/>
          <w:szCs w:val="24"/>
          <w:shd w:val="clear" w:color="auto" w:fill="FFFFFF"/>
        </w:rPr>
        <w:t>British Journal of Clinical Pharmacology</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82</w:t>
      </w:r>
      <w:r w:rsidRPr="00E9681E">
        <w:rPr>
          <w:rFonts w:ascii="Times New Roman" w:hAnsi="Times New Roman" w:cs="Times New Roman"/>
          <w:sz w:val="24"/>
          <w:szCs w:val="24"/>
          <w:shd w:val="clear" w:color="auto" w:fill="FFFFFF"/>
        </w:rPr>
        <w:t>(6), pp.1471-1476.</w:t>
      </w:r>
    </w:p>
    <w:p w14:paraId="65B39EA0"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Rosery, H. and Schönfelder, T., 2018. Healthcare system stakeholders. </w:t>
      </w:r>
      <w:r w:rsidRPr="00E9681E">
        <w:rPr>
          <w:rFonts w:ascii="Times New Roman" w:hAnsi="Times New Roman" w:cs="Times New Roman"/>
          <w:i/>
          <w:iCs/>
          <w:sz w:val="24"/>
          <w:szCs w:val="24"/>
          <w:shd w:val="clear" w:color="auto" w:fill="FFFFFF"/>
        </w:rPr>
        <w:t>White Paper on Joint Replacement</w:t>
      </w:r>
      <w:r w:rsidRPr="00E9681E">
        <w:rPr>
          <w:rFonts w:ascii="Times New Roman" w:hAnsi="Times New Roman" w:cs="Times New Roman"/>
          <w:sz w:val="24"/>
          <w:szCs w:val="24"/>
          <w:shd w:val="clear" w:color="auto" w:fill="FFFFFF"/>
        </w:rPr>
        <w:t>, p.91.</w:t>
      </w:r>
    </w:p>
    <w:p w14:paraId="36D9408F"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Satwekar, A., Volpentesta, T., Spagnoletti, P. and Rossi, M., 2022. An orchestration framework for digital innovation: Lessons from the healthcare industry. </w:t>
      </w:r>
      <w:r w:rsidRPr="00E9681E">
        <w:rPr>
          <w:rFonts w:ascii="Times New Roman" w:hAnsi="Times New Roman" w:cs="Times New Roman"/>
          <w:i/>
          <w:iCs/>
          <w:sz w:val="24"/>
          <w:szCs w:val="24"/>
          <w:shd w:val="clear" w:color="auto" w:fill="FFFFFF"/>
        </w:rPr>
        <w:t>IEEE Transactions on Engineering Management</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70</w:t>
      </w:r>
      <w:r w:rsidRPr="00E9681E">
        <w:rPr>
          <w:rFonts w:ascii="Times New Roman" w:hAnsi="Times New Roman" w:cs="Times New Roman"/>
          <w:sz w:val="24"/>
          <w:szCs w:val="24"/>
          <w:shd w:val="clear" w:color="auto" w:fill="FFFFFF"/>
        </w:rPr>
        <w:t>(7), pp.2465-2479.</w:t>
      </w:r>
    </w:p>
    <w:p w14:paraId="478E7F06"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SHI, J. and WANG, Y., 2024. Strategies for regulation of innovative non-vaccine biologics for disease prevention in China: a SWOT analysis. </w:t>
      </w:r>
      <w:r w:rsidRPr="00E9681E">
        <w:rPr>
          <w:rFonts w:ascii="Times New Roman" w:hAnsi="Times New Roman" w:cs="Times New Roman"/>
          <w:i/>
          <w:iCs/>
          <w:sz w:val="24"/>
          <w:szCs w:val="24"/>
          <w:shd w:val="clear" w:color="auto" w:fill="FFFFFF"/>
        </w:rPr>
        <w:t>Chinese Journal of Public Health</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40</w:t>
      </w:r>
      <w:r w:rsidRPr="00E9681E">
        <w:rPr>
          <w:rFonts w:ascii="Times New Roman" w:hAnsi="Times New Roman" w:cs="Times New Roman"/>
          <w:sz w:val="24"/>
          <w:szCs w:val="24"/>
          <w:shd w:val="clear" w:color="auto" w:fill="FFFFFF"/>
        </w:rPr>
        <w:t>(1), pp.118-124.</w:t>
      </w:r>
    </w:p>
    <w:p w14:paraId="40ABD130"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Tey, K.H., Chai, C.S., Olanrewaju, A.L. and Aminah, M.Y., 2018. Conceptualising 4Cs in Construction Project Team Integration. </w:t>
      </w:r>
      <w:r w:rsidRPr="00E9681E">
        <w:rPr>
          <w:rFonts w:ascii="Times New Roman" w:hAnsi="Times New Roman" w:cs="Times New Roman"/>
          <w:i/>
          <w:iCs/>
          <w:sz w:val="24"/>
          <w:szCs w:val="24"/>
          <w:shd w:val="clear" w:color="auto" w:fill="FFFFFF"/>
        </w:rPr>
        <w:t>Malysian Construction Research Journal (MCRJ), ISSN</w:t>
      </w:r>
      <w:r w:rsidRPr="00E9681E">
        <w:rPr>
          <w:rFonts w:ascii="Times New Roman" w:hAnsi="Times New Roman" w:cs="Times New Roman"/>
          <w:sz w:val="24"/>
          <w:szCs w:val="24"/>
          <w:shd w:val="clear" w:color="auto" w:fill="FFFFFF"/>
        </w:rPr>
        <w:t>, (1985-3807), pp.83-96.</w:t>
      </w:r>
    </w:p>
    <w:p w14:paraId="1A84E745"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Timmis, J.K., 2021. Improving healthcare innovation and decision making by extensive stakeholder involvement.</w:t>
      </w:r>
    </w:p>
    <w:p w14:paraId="77A90AD2" w14:textId="77777777" w:rsidR="004A2DD9" w:rsidRPr="00E9681E" w:rsidRDefault="004A2DD9" w:rsidP="00E9681E">
      <w:pPr>
        <w:spacing w:line="360" w:lineRule="auto"/>
        <w:ind w:left="720" w:hanging="720"/>
        <w:jc w:val="both"/>
        <w:rPr>
          <w:rFonts w:ascii="Times New Roman" w:hAnsi="Times New Roman" w:cs="Times New Roman"/>
          <w:sz w:val="24"/>
          <w:szCs w:val="24"/>
        </w:rPr>
      </w:pPr>
      <w:r w:rsidRPr="00E9681E">
        <w:rPr>
          <w:rFonts w:ascii="Times New Roman" w:hAnsi="Times New Roman" w:cs="Times New Roman"/>
          <w:sz w:val="24"/>
          <w:szCs w:val="24"/>
        </w:rPr>
        <w:t>Value. Saint Louis: Taylor and Francis</w:t>
      </w:r>
    </w:p>
    <w:p w14:paraId="2B110271" w14:textId="77777777" w:rsidR="004A2DD9" w:rsidRPr="00E9681E" w:rsidRDefault="004A2DD9" w:rsidP="00E9681E">
      <w:pPr>
        <w:spacing w:line="360" w:lineRule="auto"/>
        <w:ind w:left="720" w:hanging="720"/>
        <w:jc w:val="both"/>
        <w:rPr>
          <w:rFonts w:ascii="Times New Roman" w:hAnsi="Times New Roman" w:cs="Times New Roman"/>
          <w:sz w:val="24"/>
          <w:szCs w:val="24"/>
          <w:shd w:val="clear" w:color="auto" w:fill="FFFFFF"/>
        </w:rPr>
      </w:pPr>
      <w:r w:rsidRPr="00E9681E">
        <w:rPr>
          <w:rFonts w:ascii="Times New Roman" w:hAnsi="Times New Roman" w:cs="Times New Roman"/>
          <w:sz w:val="24"/>
          <w:szCs w:val="24"/>
          <w:shd w:val="clear" w:color="auto" w:fill="FFFFFF"/>
        </w:rPr>
        <w:t>Zhu, Y., Lu, Y., Gupta, S., Wang, J. and Hu, P., 2023. Promoting smart wearable devices in the health-AI market: the role of health consciousness and privacy protection. </w:t>
      </w:r>
      <w:r w:rsidRPr="00E9681E">
        <w:rPr>
          <w:rFonts w:ascii="Times New Roman" w:hAnsi="Times New Roman" w:cs="Times New Roman"/>
          <w:i/>
          <w:iCs/>
          <w:sz w:val="24"/>
          <w:szCs w:val="24"/>
          <w:shd w:val="clear" w:color="auto" w:fill="FFFFFF"/>
        </w:rPr>
        <w:t>Journal of Research in Interactive Marketing</w:t>
      </w:r>
      <w:r w:rsidRPr="00E9681E">
        <w:rPr>
          <w:rFonts w:ascii="Times New Roman" w:hAnsi="Times New Roman" w:cs="Times New Roman"/>
          <w:sz w:val="24"/>
          <w:szCs w:val="24"/>
          <w:shd w:val="clear" w:color="auto" w:fill="FFFFFF"/>
        </w:rPr>
        <w:t>, </w:t>
      </w:r>
      <w:r w:rsidRPr="00E9681E">
        <w:rPr>
          <w:rFonts w:ascii="Times New Roman" w:hAnsi="Times New Roman" w:cs="Times New Roman"/>
          <w:i/>
          <w:iCs/>
          <w:sz w:val="24"/>
          <w:szCs w:val="24"/>
          <w:shd w:val="clear" w:color="auto" w:fill="FFFFFF"/>
        </w:rPr>
        <w:t>17</w:t>
      </w:r>
      <w:r w:rsidRPr="00E9681E">
        <w:rPr>
          <w:rFonts w:ascii="Times New Roman" w:hAnsi="Times New Roman" w:cs="Times New Roman"/>
          <w:sz w:val="24"/>
          <w:szCs w:val="24"/>
          <w:shd w:val="clear" w:color="auto" w:fill="FFFFFF"/>
        </w:rPr>
        <w:t>(2), pp.257-272.</w:t>
      </w:r>
    </w:p>
    <w:sectPr w:rsidR="004A2DD9" w:rsidRPr="00E968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2FB8B" w14:textId="77777777" w:rsidR="00C738A9" w:rsidRDefault="00C738A9" w:rsidP="00F37B62">
      <w:pPr>
        <w:spacing w:after="0" w:line="240" w:lineRule="auto"/>
      </w:pPr>
      <w:r>
        <w:separator/>
      </w:r>
    </w:p>
  </w:endnote>
  <w:endnote w:type="continuationSeparator" w:id="0">
    <w:p w14:paraId="0BAE0C67" w14:textId="77777777" w:rsidR="00C738A9" w:rsidRDefault="00C738A9"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7D5A3" w14:textId="77777777" w:rsidR="00C738A9" w:rsidRDefault="00C738A9" w:rsidP="00F37B62">
      <w:pPr>
        <w:spacing w:after="0" w:line="240" w:lineRule="auto"/>
      </w:pPr>
      <w:r>
        <w:separator/>
      </w:r>
    </w:p>
  </w:footnote>
  <w:footnote w:type="continuationSeparator" w:id="0">
    <w:p w14:paraId="52679AC2" w14:textId="77777777" w:rsidR="00C738A9" w:rsidRDefault="00C738A9"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37B67"/>
    <w:multiLevelType w:val="hybridMultilevel"/>
    <w:tmpl w:val="C42EBE3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DA48AE"/>
    <w:multiLevelType w:val="hybridMultilevel"/>
    <w:tmpl w:val="F3E4045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022C83"/>
    <w:multiLevelType w:val="hybridMultilevel"/>
    <w:tmpl w:val="A55E789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B524A3"/>
    <w:multiLevelType w:val="hybridMultilevel"/>
    <w:tmpl w:val="63B44E8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FB40CE"/>
    <w:multiLevelType w:val="hybridMultilevel"/>
    <w:tmpl w:val="B6CE722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34B3CA2"/>
    <w:multiLevelType w:val="hybridMultilevel"/>
    <w:tmpl w:val="DDA24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411644"/>
    <w:multiLevelType w:val="hybridMultilevel"/>
    <w:tmpl w:val="D3EC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BA78DC"/>
    <w:multiLevelType w:val="hybridMultilevel"/>
    <w:tmpl w:val="ABCC3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01679C"/>
    <w:multiLevelType w:val="hybridMultilevel"/>
    <w:tmpl w:val="1334285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47460B4"/>
    <w:multiLevelType w:val="hybridMultilevel"/>
    <w:tmpl w:val="6A829C0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D5F03D8"/>
    <w:multiLevelType w:val="hybridMultilevel"/>
    <w:tmpl w:val="5164C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9898844">
    <w:abstractNumId w:val="0"/>
  </w:num>
  <w:num w:numId="2" w16cid:durableId="1910771903">
    <w:abstractNumId w:val="2"/>
  </w:num>
  <w:num w:numId="3" w16cid:durableId="1505976411">
    <w:abstractNumId w:val="9"/>
  </w:num>
  <w:num w:numId="4" w16cid:durableId="441844760">
    <w:abstractNumId w:val="4"/>
  </w:num>
  <w:num w:numId="5" w16cid:durableId="829100746">
    <w:abstractNumId w:val="1"/>
  </w:num>
  <w:num w:numId="6" w16cid:durableId="1314407035">
    <w:abstractNumId w:val="3"/>
  </w:num>
  <w:num w:numId="7" w16cid:durableId="618418999">
    <w:abstractNumId w:val="8"/>
  </w:num>
  <w:num w:numId="8" w16cid:durableId="803692362">
    <w:abstractNumId w:val="5"/>
  </w:num>
  <w:num w:numId="9" w16cid:durableId="2124300681">
    <w:abstractNumId w:val="6"/>
  </w:num>
  <w:num w:numId="10" w16cid:durableId="197158904">
    <w:abstractNumId w:val="7"/>
  </w:num>
  <w:num w:numId="11" w16cid:durableId="75721876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7811"/>
    <w:rsid w:val="000133E1"/>
    <w:rsid w:val="0002706C"/>
    <w:rsid w:val="00034B5C"/>
    <w:rsid w:val="000545A1"/>
    <w:rsid w:val="000A4347"/>
    <w:rsid w:val="000B4E76"/>
    <w:rsid w:val="000C787C"/>
    <w:rsid w:val="000D359C"/>
    <w:rsid w:val="001453AE"/>
    <w:rsid w:val="001F1DDA"/>
    <w:rsid w:val="0022219E"/>
    <w:rsid w:val="0023162C"/>
    <w:rsid w:val="00254661"/>
    <w:rsid w:val="002650AA"/>
    <w:rsid w:val="002E6154"/>
    <w:rsid w:val="002F5604"/>
    <w:rsid w:val="00354E30"/>
    <w:rsid w:val="00364E6A"/>
    <w:rsid w:val="00367A75"/>
    <w:rsid w:val="003B3CF1"/>
    <w:rsid w:val="003C42A2"/>
    <w:rsid w:val="003E66C5"/>
    <w:rsid w:val="003F3651"/>
    <w:rsid w:val="003F4742"/>
    <w:rsid w:val="004268E7"/>
    <w:rsid w:val="004317AD"/>
    <w:rsid w:val="00484411"/>
    <w:rsid w:val="00491AC8"/>
    <w:rsid w:val="00497AB4"/>
    <w:rsid w:val="004A0F2D"/>
    <w:rsid w:val="004A2DD9"/>
    <w:rsid w:val="00512DB1"/>
    <w:rsid w:val="00545773"/>
    <w:rsid w:val="00557611"/>
    <w:rsid w:val="0056108D"/>
    <w:rsid w:val="005761B5"/>
    <w:rsid w:val="005C7307"/>
    <w:rsid w:val="005D0863"/>
    <w:rsid w:val="005D4457"/>
    <w:rsid w:val="005F155B"/>
    <w:rsid w:val="00612873"/>
    <w:rsid w:val="00635527"/>
    <w:rsid w:val="006833D5"/>
    <w:rsid w:val="00683A0F"/>
    <w:rsid w:val="006C692D"/>
    <w:rsid w:val="006F1D9A"/>
    <w:rsid w:val="006F7861"/>
    <w:rsid w:val="0072547B"/>
    <w:rsid w:val="0072707E"/>
    <w:rsid w:val="0072753D"/>
    <w:rsid w:val="007516B8"/>
    <w:rsid w:val="00763EF4"/>
    <w:rsid w:val="007759F9"/>
    <w:rsid w:val="007A15CA"/>
    <w:rsid w:val="007A3D35"/>
    <w:rsid w:val="007C31E7"/>
    <w:rsid w:val="007E4525"/>
    <w:rsid w:val="007F0E91"/>
    <w:rsid w:val="007F31CE"/>
    <w:rsid w:val="00810700"/>
    <w:rsid w:val="00824DE6"/>
    <w:rsid w:val="00833C2F"/>
    <w:rsid w:val="0083609D"/>
    <w:rsid w:val="0087366D"/>
    <w:rsid w:val="00885716"/>
    <w:rsid w:val="008A0B05"/>
    <w:rsid w:val="008A42B1"/>
    <w:rsid w:val="008B3DEA"/>
    <w:rsid w:val="008B4466"/>
    <w:rsid w:val="008B4712"/>
    <w:rsid w:val="008D1598"/>
    <w:rsid w:val="008F4215"/>
    <w:rsid w:val="0094194A"/>
    <w:rsid w:val="0097409C"/>
    <w:rsid w:val="0097679A"/>
    <w:rsid w:val="009C25E9"/>
    <w:rsid w:val="009C3D7B"/>
    <w:rsid w:val="009F25DE"/>
    <w:rsid w:val="00A109AF"/>
    <w:rsid w:val="00A65E56"/>
    <w:rsid w:val="00A75F5C"/>
    <w:rsid w:val="00AA1B5B"/>
    <w:rsid w:val="00AA2416"/>
    <w:rsid w:val="00AA7C9B"/>
    <w:rsid w:val="00AB2817"/>
    <w:rsid w:val="00AB73CB"/>
    <w:rsid w:val="00AC33BD"/>
    <w:rsid w:val="00AD0762"/>
    <w:rsid w:val="00AE0E55"/>
    <w:rsid w:val="00AF378E"/>
    <w:rsid w:val="00B465A0"/>
    <w:rsid w:val="00B664E2"/>
    <w:rsid w:val="00B739B6"/>
    <w:rsid w:val="00B821D4"/>
    <w:rsid w:val="00B83B39"/>
    <w:rsid w:val="00BA09AA"/>
    <w:rsid w:val="00BD60F1"/>
    <w:rsid w:val="00BF2471"/>
    <w:rsid w:val="00BF5CCA"/>
    <w:rsid w:val="00BF78C3"/>
    <w:rsid w:val="00C04237"/>
    <w:rsid w:val="00C33EC6"/>
    <w:rsid w:val="00C71771"/>
    <w:rsid w:val="00C738A9"/>
    <w:rsid w:val="00CD4B4B"/>
    <w:rsid w:val="00CD4E2C"/>
    <w:rsid w:val="00D41CE9"/>
    <w:rsid w:val="00D65B74"/>
    <w:rsid w:val="00D82042"/>
    <w:rsid w:val="00D873ED"/>
    <w:rsid w:val="00DA48EF"/>
    <w:rsid w:val="00DC7494"/>
    <w:rsid w:val="00E12960"/>
    <w:rsid w:val="00E20EC5"/>
    <w:rsid w:val="00E31804"/>
    <w:rsid w:val="00E369F9"/>
    <w:rsid w:val="00E518BF"/>
    <w:rsid w:val="00E83AA2"/>
    <w:rsid w:val="00E9681E"/>
    <w:rsid w:val="00EA1769"/>
    <w:rsid w:val="00EA57F3"/>
    <w:rsid w:val="00EB1277"/>
    <w:rsid w:val="00EB481E"/>
    <w:rsid w:val="00EB4EA3"/>
    <w:rsid w:val="00EC343B"/>
    <w:rsid w:val="00EC7F5A"/>
    <w:rsid w:val="00F37B62"/>
    <w:rsid w:val="00F51492"/>
    <w:rsid w:val="00F5191F"/>
    <w:rsid w:val="00F6187F"/>
    <w:rsid w:val="00F66AAD"/>
    <w:rsid w:val="00F67811"/>
    <w:rsid w:val="00F8707D"/>
    <w:rsid w:val="00F96EC1"/>
    <w:rsid w:val="00FB1FF7"/>
    <w:rsid w:val="00FC4C26"/>
    <w:rsid w:val="00FC6A9E"/>
    <w:rsid w:val="00FE5B45"/>
    <w:rsid w:val="00FE69DC"/>
    <w:rsid w:val="00FF23C7"/>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73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table" w:styleId="GridTable5Dark-Accent2">
    <w:name w:val="Grid Table 5 Dark Accent 2"/>
    <w:basedOn w:val="TableNormal"/>
    <w:uiPriority w:val="50"/>
    <w:rsid w:val="00FC4C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TableGrid">
    <w:name w:val="Table Grid"/>
    <w:basedOn w:val="TableNormal"/>
    <w:uiPriority w:val="39"/>
    <w:rsid w:val="00FC4C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4C26"/>
    <w:pPr>
      <w:ind w:left="720"/>
      <w:contextualSpacing/>
    </w:pPr>
  </w:style>
  <w:style w:type="character" w:styleId="Emphasis">
    <w:name w:val="Emphasis"/>
    <w:basedOn w:val="DefaultParagraphFont"/>
    <w:uiPriority w:val="20"/>
    <w:qFormat/>
    <w:rsid w:val="008A0B05"/>
    <w:rPr>
      <w:i/>
      <w:iCs/>
    </w:rPr>
  </w:style>
  <w:style w:type="character" w:styleId="Hyperlink">
    <w:name w:val="Hyperlink"/>
    <w:basedOn w:val="DefaultParagraphFont"/>
    <w:uiPriority w:val="99"/>
    <w:unhideWhenUsed/>
    <w:rsid w:val="008A0B05"/>
    <w:rPr>
      <w:color w:val="0000FF"/>
      <w:u w:val="single"/>
    </w:rPr>
  </w:style>
  <w:style w:type="character" w:customStyle="1" w:styleId="Heading1Char">
    <w:name w:val="Heading 1 Char"/>
    <w:basedOn w:val="DefaultParagraphFont"/>
    <w:link w:val="Heading1"/>
    <w:uiPriority w:val="9"/>
    <w:rsid w:val="00D873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73E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54661"/>
    <w:pPr>
      <w:outlineLvl w:val="9"/>
    </w:pPr>
    <w:rPr>
      <w:lang w:val="en-US" w:eastAsia="en-US"/>
    </w:rPr>
  </w:style>
  <w:style w:type="paragraph" w:styleId="TOC1">
    <w:name w:val="toc 1"/>
    <w:basedOn w:val="Normal"/>
    <w:next w:val="Normal"/>
    <w:autoRedefine/>
    <w:uiPriority w:val="39"/>
    <w:unhideWhenUsed/>
    <w:rsid w:val="00254661"/>
    <w:pPr>
      <w:spacing w:after="100"/>
    </w:pPr>
  </w:style>
  <w:style w:type="paragraph" w:styleId="TOC2">
    <w:name w:val="toc 2"/>
    <w:basedOn w:val="Normal"/>
    <w:next w:val="Normal"/>
    <w:autoRedefine/>
    <w:uiPriority w:val="39"/>
    <w:unhideWhenUsed/>
    <w:rsid w:val="002546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787522">
      <w:bodyDiv w:val="1"/>
      <w:marLeft w:val="0"/>
      <w:marRight w:val="0"/>
      <w:marTop w:val="0"/>
      <w:marBottom w:val="0"/>
      <w:divBdr>
        <w:top w:val="none" w:sz="0" w:space="0" w:color="auto"/>
        <w:left w:val="none" w:sz="0" w:space="0" w:color="auto"/>
        <w:bottom w:val="none" w:sz="0" w:space="0" w:color="auto"/>
        <w:right w:val="none" w:sz="0" w:space="0" w:color="auto"/>
      </w:divBdr>
    </w:div>
    <w:div w:id="723607251">
      <w:bodyDiv w:val="1"/>
      <w:marLeft w:val="0"/>
      <w:marRight w:val="0"/>
      <w:marTop w:val="0"/>
      <w:marBottom w:val="0"/>
      <w:divBdr>
        <w:top w:val="none" w:sz="0" w:space="0" w:color="auto"/>
        <w:left w:val="none" w:sz="0" w:space="0" w:color="auto"/>
        <w:bottom w:val="none" w:sz="0" w:space="0" w:color="auto"/>
        <w:right w:val="none" w:sz="0" w:space="0" w:color="auto"/>
      </w:divBdr>
    </w:div>
    <w:div w:id="950940987">
      <w:bodyDiv w:val="1"/>
      <w:marLeft w:val="0"/>
      <w:marRight w:val="0"/>
      <w:marTop w:val="0"/>
      <w:marBottom w:val="0"/>
      <w:divBdr>
        <w:top w:val="none" w:sz="0" w:space="0" w:color="auto"/>
        <w:left w:val="none" w:sz="0" w:space="0" w:color="auto"/>
        <w:bottom w:val="none" w:sz="0" w:space="0" w:color="auto"/>
        <w:right w:val="none" w:sz="0" w:space="0" w:color="auto"/>
      </w:divBdr>
    </w:div>
    <w:div w:id="1308625308">
      <w:bodyDiv w:val="1"/>
      <w:marLeft w:val="0"/>
      <w:marRight w:val="0"/>
      <w:marTop w:val="0"/>
      <w:marBottom w:val="0"/>
      <w:divBdr>
        <w:top w:val="none" w:sz="0" w:space="0" w:color="auto"/>
        <w:left w:val="none" w:sz="0" w:space="0" w:color="auto"/>
        <w:bottom w:val="none" w:sz="0" w:space="0" w:color="auto"/>
        <w:right w:val="none" w:sz="0" w:space="0" w:color="auto"/>
      </w:divBdr>
    </w:div>
    <w:div w:id="1465385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mbridgeorg.ezproxy.uwtsd.ac.uk/core/books/relational-lens/value-and-importance-ofrelationships/718C31032061BDFA3F480BA2A53F45D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trazeneca.com/?utm_source=chatgpt.com"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603644-3C57-4602-A213-4A7A7ECBD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6459</Words>
  <Characters>36820</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Gheorghe Sterea (2416523)</cp:lastModifiedBy>
  <cp:revision>4</cp:revision>
  <dcterms:created xsi:type="dcterms:W3CDTF">2025-12-11T07:04:00Z</dcterms:created>
  <dcterms:modified xsi:type="dcterms:W3CDTF">2025-12-11T12:56:00Z</dcterms:modified>
</cp:coreProperties>
</file>