
<file path=[Content_Types].xml><?xml version="1.0" encoding="utf-8"?>
<Types xmlns="http://schemas.openxmlformats.org/package/2006/content-types">
  <Default ContentType="image/jpeg" Extension="jpg"/>
  <Default ContentType="image/gif" Extension="gif"/>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rtl w:val="0"/>
        </w:rPr>
      </w:r>
    </w:p>
    <w:p w:rsidR="00000000" w:rsidDel="00000000" w:rsidP="00000000" w:rsidRDefault="00000000" w:rsidRPr="00000000" w14:paraId="00000002">
      <w:pPr>
        <w:jc w:val="center"/>
        <w:rPr>
          <w:b w:val="1"/>
        </w:rPr>
      </w:pPr>
      <w:r w:rsidDel="00000000" w:rsidR="00000000" w:rsidRPr="00000000">
        <w:rPr>
          <w:rtl w:val="0"/>
        </w:rPr>
      </w:r>
    </w:p>
    <w:p w:rsidR="00000000" w:rsidDel="00000000" w:rsidP="00000000" w:rsidRDefault="00000000" w:rsidRPr="00000000" w14:paraId="00000003">
      <w:pPr>
        <w:jc w:val="center"/>
        <w:rPr>
          <w:b w:val="1"/>
        </w:rPr>
      </w:pPr>
      <w:r w:rsidDel="00000000" w:rsidR="00000000" w:rsidRPr="00000000">
        <w:rPr>
          <w:rtl w:val="0"/>
        </w:rPr>
      </w:r>
    </w:p>
    <w:p w:rsidR="00000000" w:rsidDel="00000000" w:rsidP="00000000" w:rsidRDefault="00000000" w:rsidRPr="00000000" w14:paraId="00000004">
      <w:pPr>
        <w:jc w:val="center"/>
        <w:rPr>
          <w:b w:val="1"/>
        </w:rPr>
      </w:pPr>
      <w:r w:rsidDel="00000000" w:rsidR="00000000" w:rsidRPr="00000000">
        <w:rPr>
          <w:rtl w:val="0"/>
        </w:rPr>
      </w:r>
    </w:p>
    <w:p w:rsidR="00000000" w:rsidDel="00000000" w:rsidP="00000000" w:rsidRDefault="00000000" w:rsidRPr="00000000" w14:paraId="00000005">
      <w:pPr>
        <w:jc w:val="center"/>
        <w:rPr>
          <w:b w:val="1"/>
        </w:rPr>
      </w:pPr>
      <w:r w:rsidDel="00000000" w:rsidR="00000000" w:rsidRPr="00000000">
        <w:rPr>
          <w:rtl w:val="0"/>
        </w:rPr>
      </w:r>
    </w:p>
    <w:p w:rsidR="00000000" w:rsidDel="00000000" w:rsidP="00000000" w:rsidRDefault="00000000" w:rsidRPr="00000000" w14:paraId="00000006">
      <w:pPr>
        <w:jc w:val="center"/>
        <w:rPr>
          <w:b w:val="1"/>
        </w:rPr>
      </w:pPr>
      <w:r w:rsidDel="00000000" w:rsidR="00000000" w:rsidRPr="00000000">
        <w:rPr>
          <w:rtl w:val="0"/>
        </w:rPr>
      </w:r>
    </w:p>
    <w:p w:rsidR="00000000" w:rsidDel="00000000" w:rsidP="00000000" w:rsidRDefault="00000000" w:rsidRPr="00000000" w14:paraId="00000007">
      <w:pPr>
        <w:jc w:val="center"/>
        <w:rPr>
          <w:b w:val="1"/>
        </w:rPr>
      </w:pPr>
      <w:r w:rsidDel="00000000" w:rsidR="00000000" w:rsidRPr="00000000">
        <w:rPr>
          <w:rtl w:val="0"/>
        </w:rPr>
      </w:r>
    </w:p>
    <w:p w:rsidR="00000000" w:rsidDel="00000000" w:rsidP="00000000" w:rsidRDefault="00000000" w:rsidRPr="00000000" w14:paraId="00000008">
      <w:pPr>
        <w:jc w:val="center"/>
        <w:rPr>
          <w:b w:val="1"/>
        </w:rPr>
      </w:pPr>
      <w:r w:rsidDel="00000000" w:rsidR="00000000" w:rsidRPr="00000000">
        <w:rPr>
          <w:rtl w:val="0"/>
        </w:rPr>
      </w:r>
    </w:p>
    <w:p w:rsidR="00000000" w:rsidDel="00000000" w:rsidP="00000000" w:rsidRDefault="00000000" w:rsidRPr="00000000" w14:paraId="00000009">
      <w:pPr>
        <w:jc w:val="center"/>
        <w:rPr>
          <w:b w:val="1"/>
        </w:rPr>
      </w:pPr>
      <w:r w:rsidDel="00000000" w:rsidR="00000000" w:rsidRPr="00000000">
        <w:rPr>
          <w:b w:val="1"/>
          <w:rtl w:val="0"/>
        </w:rPr>
        <w:t xml:space="preserve">Name:Maria Adriana Pita</w:t>
      </w:r>
    </w:p>
    <w:p w:rsidR="00000000" w:rsidDel="00000000" w:rsidP="00000000" w:rsidRDefault="00000000" w:rsidRPr="00000000" w14:paraId="0000000A">
      <w:pPr>
        <w:jc w:val="center"/>
        <w:rPr>
          <w:b w:val="1"/>
        </w:rPr>
      </w:pPr>
      <w:r w:rsidDel="00000000" w:rsidR="00000000" w:rsidRPr="00000000">
        <w:rPr>
          <w:b w:val="1"/>
          <w:rtl w:val="0"/>
        </w:rPr>
        <w:t xml:space="preserve">Student no.:1816554</w:t>
      </w:r>
    </w:p>
    <w:p w:rsidR="00000000" w:rsidDel="00000000" w:rsidP="00000000" w:rsidRDefault="00000000" w:rsidRPr="00000000" w14:paraId="0000000B">
      <w:pPr>
        <w:jc w:val="center"/>
        <w:rPr>
          <w:b w:val="1"/>
        </w:rPr>
      </w:pPr>
      <w:r w:rsidDel="00000000" w:rsidR="00000000" w:rsidRPr="00000000">
        <w:rPr>
          <w:b w:val="1"/>
          <w:rtl w:val="0"/>
        </w:rPr>
        <w:t xml:space="preserve">Module title: BMSW4001 Academic and Employability Skills</w:t>
      </w:r>
    </w:p>
    <w:p w:rsidR="00000000" w:rsidDel="00000000" w:rsidP="00000000" w:rsidRDefault="00000000" w:rsidRPr="00000000" w14:paraId="0000000C">
      <w:pPr>
        <w:jc w:val="center"/>
        <w:rPr>
          <w:b w:val="1"/>
        </w:rPr>
      </w:pPr>
      <w:r w:rsidDel="00000000" w:rsidR="00000000" w:rsidRPr="00000000">
        <w:rPr>
          <w:b w:val="1"/>
          <w:rtl w:val="0"/>
        </w:rPr>
        <w:t xml:space="preserve">Assignment title: Academic and Employability Skills – Task 2</w:t>
      </w:r>
    </w:p>
    <w:p w:rsidR="00000000" w:rsidDel="00000000" w:rsidP="00000000" w:rsidRDefault="00000000" w:rsidRPr="00000000" w14:paraId="0000000D">
      <w:pPr>
        <w:jc w:val="center"/>
        <w:rPr/>
      </w:pPr>
      <w:r w:rsidDel="00000000" w:rsidR="00000000" w:rsidRPr="00000000">
        <w:rPr>
          <w:b w:val="1"/>
          <w:rtl w:val="0"/>
        </w:rPr>
        <w:t xml:space="preserve">Lecturer:Sylvia  Hoffmann</w:t>
      </w:r>
      <w:r w:rsidDel="00000000" w:rsidR="00000000" w:rsidRPr="00000000">
        <w:rPr>
          <w:rtl w:val="0"/>
        </w:rPr>
      </w:r>
    </w:p>
    <w:p w:rsidR="00000000" w:rsidDel="00000000" w:rsidP="00000000" w:rsidRDefault="00000000" w:rsidRPr="00000000" w14:paraId="0000000E">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gjdgxs" w:id="0"/>
      <w:bookmarkEnd w:id="0"/>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p w:rsidR="00000000" w:rsidDel="00000000" w:rsidP="00000000" w:rsidRDefault="00000000" w:rsidRPr="00000000" w14:paraId="00000010">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Importance of employability skills</w:t>
              <w:tab/>
              <w:t xml:space="preserve">3</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In-class activities</w:t>
              <w:tab/>
              <w:t xml:space="preserve">3</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Cover letter</w:t>
              <w:tab/>
              <w:t xml:space="preserve">4</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Gibb’s theory</w:t>
              <w:tab/>
              <w:t xml:space="preserve">4</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Improvement of employability skills based on in-class activities and feedback</w:t>
              <w:tab/>
              <w:t xml:space="preserve">6</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9</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w:t>
              <w:tab/>
              <w:t xml:space="preserve">10</w:t>
            </w:r>
          </w:hyperlink>
          <w:r w:rsidDel="00000000" w:rsidR="00000000" w:rsidRPr="00000000">
            <w:rPr>
              <w:rtl w:val="0"/>
            </w:rPr>
          </w:r>
        </w:p>
        <w:p w:rsidR="00000000" w:rsidDel="00000000" w:rsidP="00000000" w:rsidRDefault="00000000" w:rsidRPr="00000000" w14:paraId="0000001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1E">
      <w:pPr>
        <w:rPr/>
      </w:pPr>
      <w:r w:rsidDel="00000000" w:rsidR="00000000" w:rsidRPr="00000000">
        <w:rPr>
          <w:rtl w:val="0"/>
        </w:rPr>
        <w:t xml:space="preserve">Employability skills are essentially those transferable skills that are required of individuals in order to be a preferable choice of the employers (Suleman, 2016). These skills are important for all jobs, and can range from elements such as oral communication to resource management. This report is a reflective approach to analysing how the learning gained from this particular module has helped develop my personal employability skills, by utilising the feedback that I have received from the in-class activities that we had to conduct. I shall be focusing on how my employability skills have improved because of my experience in class, and analyse how I can benefit from this in the future.</w:t>
      </w:r>
    </w:p>
    <w:p w:rsidR="00000000" w:rsidDel="00000000" w:rsidP="00000000" w:rsidRDefault="00000000" w:rsidRPr="00000000" w14:paraId="0000001F">
      <w:pPr>
        <w:pStyle w:val="Heading1"/>
        <w:rPr/>
      </w:pPr>
      <w:bookmarkStart w:colFirst="0" w:colLast="0" w:name="_1fob9te" w:id="2"/>
      <w:bookmarkEnd w:id="2"/>
      <w:r w:rsidDel="00000000" w:rsidR="00000000" w:rsidRPr="00000000">
        <w:rPr>
          <w:rtl w:val="0"/>
        </w:rPr>
        <w:t xml:space="preserve">Importance of employability skills</w:t>
      </w:r>
    </w:p>
    <w:p w:rsidR="00000000" w:rsidDel="00000000" w:rsidP="00000000" w:rsidRDefault="00000000" w:rsidRPr="00000000" w14:paraId="00000020">
      <w:pPr>
        <w:rPr/>
      </w:pPr>
      <w:r w:rsidDel="00000000" w:rsidR="00000000" w:rsidRPr="00000000">
        <w:rPr>
          <w:rtl w:val="0"/>
        </w:rPr>
        <w:t xml:space="preserve">Employability can be used in different contexts and situations, but that does not affect the extent to which it can be said to be important for any individual. It is essentially a set of personal attributes and skills – the achievement of which makes it easier to be successful in achieving employment, thereby contributing to the workforce in any occupation (Abas and Imam, 2016). Employability skills are therefore very important when it comes to students attending any University, since these characteristics help not just with their academic success but also their future pursuits in terms of their career.</w:t>
      </w:r>
    </w:p>
    <w:p w:rsidR="00000000" w:rsidDel="00000000" w:rsidP="00000000" w:rsidRDefault="00000000" w:rsidRPr="00000000" w14:paraId="0000002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426"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Having employability skills allows us to be competitive, since the unique skills and qualifications that one has further amplified through these skills. This makes it easier to stand apart in a room full of people with a similar set of educational qualifications (Ito and Kawazoe, 2015).</w:t>
      </w:r>
    </w:p>
    <w:p w:rsidR="00000000" w:rsidDel="00000000" w:rsidP="00000000" w:rsidRDefault="00000000" w:rsidRPr="00000000" w14:paraId="0000002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426"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corporate world is dynamic and therefore undergoes rapid change all the time. Employability skills being transferable form an important component in enabling people in terms of adapting to the different situations.</w:t>
      </w:r>
    </w:p>
    <w:p w:rsidR="00000000" w:rsidDel="00000000" w:rsidP="00000000" w:rsidRDefault="00000000" w:rsidRPr="00000000" w14:paraId="0000002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426"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Employability skills are also important since they allow us to succeed in whatever job is assigned to us. This is because they include the soft skills that allow people to apply their knowledge in order to solve any problems that they might face in the work environment.</w:t>
      </w:r>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pPr>
      <w:r w:rsidDel="00000000" w:rsidR="00000000" w:rsidRPr="00000000">
        <w:rPr>
          <w:rtl w:val="0"/>
        </w:rPr>
        <w:t xml:space="preserve">In this module, we had learned about writing cover letters and applying Gibb’s theory. In this section, I shall be analysing in brief, the details of what I had been able to infer from these two activities.</w:t>
      </w:r>
    </w:p>
    <w:p w:rsidR="00000000" w:rsidDel="00000000" w:rsidP="00000000" w:rsidRDefault="00000000" w:rsidRPr="00000000" w14:paraId="00000025">
      <w:pPr>
        <w:pStyle w:val="Heading2"/>
        <w:rPr/>
      </w:pPr>
      <w:bookmarkStart w:colFirst="0" w:colLast="0" w:name="_2et92p0" w:id="3"/>
      <w:bookmarkEnd w:id="3"/>
      <w:r w:rsidDel="00000000" w:rsidR="00000000" w:rsidRPr="00000000">
        <w:rPr>
          <w:rtl w:val="0"/>
        </w:rPr>
        <w:t xml:space="preserve">Cover letter</w:t>
      </w:r>
    </w:p>
    <w:p w:rsidR="00000000" w:rsidDel="00000000" w:rsidP="00000000" w:rsidRDefault="00000000" w:rsidRPr="00000000" w14:paraId="00000026">
      <w:pPr>
        <w:rPr/>
      </w:pPr>
      <w:r w:rsidDel="00000000" w:rsidR="00000000" w:rsidRPr="00000000">
        <w:rPr>
          <w:rtl w:val="0"/>
        </w:rPr>
        <w:t xml:space="preserve">A cover letter is a tool that is very useful in introducing oneself to the potential employers in a personal and memorable manner. Usually, a cover letter is attached to a job application that has the individual’s resume, thereby allowing for expansion of the information available to the person in charge of the recruitment process. Thus, I believe that it is very important to be able to write a commendable cover letter. In my opinion, the coveSr letter sets the tone of the application, and makes it easier for the recruiter to shortlist the potential candidates. </w:t>
      </w:r>
    </w:p>
    <w:p w:rsidR="00000000" w:rsidDel="00000000" w:rsidP="00000000" w:rsidRDefault="00000000" w:rsidRPr="00000000" w14:paraId="00000027">
      <w:pPr>
        <w:rPr/>
      </w:pPr>
      <w:r w:rsidDel="00000000" w:rsidR="00000000" w:rsidRPr="00000000">
        <w:rPr>
          <w:rtl w:val="0"/>
        </w:rPr>
        <w:t xml:space="preserve">In many cases, the recruiters might not ask for cover letters, but receiving one shows that the applicants care enough to provide extra details about them. It reflects the willingness of the candidates to gain the attention of their potential employers. A cover letter should typically not contain stereotypical information, and should therefore be short as well as interesting for the recruiter (Tomaska and Nosek, 2018). It should spark their interest and give them the reason to choose the applicant as compared to others.</w:t>
      </w:r>
    </w:p>
    <w:p w:rsidR="00000000" w:rsidDel="00000000" w:rsidP="00000000" w:rsidRDefault="00000000" w:rsidRPr="00000000" w14:paraId="00000028">
      <w:pPr>
        <w:pStyle w:val="Heading2"/>
        <w:rPr/>
      </w:pPr>
      <w:bookmarkStart w:colFirst="0" w:colLast="0" w:name="_tyjcwt" w:id="4"/>
      <w:bookmarkEnd w:id="4"/>
      <w:r w:rsidDel="00000000" w:rsidR="00000000" w:rsidRPr="00000000">
        <w:rPr>
          <w:rtl w:val="0"/>
        </w:rPr>
        <w:t xml:space="preserve">Gibb’s theory</w:t>
      </w:r>
    </w:p>
    <w:p w:rsidR="00000000" w:rsidDel="00000000" w:rsidP="00000000" w:rsidRDefault="00000000" w:rsidRPr="00000000" w14:paraId="00000029">
      <w:pPr>
        <w:rPr/>
      </w:pPr>
      <w:r w:rsidDel="00000000" w:rsidR="00000000" w:rsidRPr="00000000">
        <w:rPr>
          <w:rtl w:val="0"/>
        </w:rPr>
        <w:t xml:space="preserve">The Gibb’s reflective cycle, also referred to as Gibb’s theory, is an approach to systematic thinking of the experiences that a person has during a situation or event. The experience is usually reflected in phases, and this helps in reflecting back on those experiences in detail, thereby allowing them to understand their behaviour and make changes if necessary (Travers, Morisano. and Locke, 2015; Dhaliwal, S. Singh and N. Singh, 2017). It runs as a cycle and starts with the description of the plan, as can be understood from the diagram below:</w:t>
      </w:r>
    </w:p>
    <w:p w:rsidR="00000000" w:rsidDel="00000000" w:rsidP="00000000" w:rsidRDefault="00000000" w:rsidRPr="00000000" w14:paraId="0000002A">
      <w:pPr>
        <w:jc w:val="center"/>
        <w:rPr/>
      </w:pPr>
      <w:r w:rsidDel="00000000" w:rsidR="00000000" w:rsidRPr="00000000">
        <w:rPr>
          <w:b w:val="1"/>
          <w:rtl w:val="0"/>
        </w:rPr>
        <w:t xml:space="preserve">Figure 1: Gibb’s reflective cycle</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973455</wp:posOffset>
            </wp:positionH>
            <wp:positionV relativeFrom="paragraph">
              <wp:posOffset>281940</wp:posOffset>
            </wp:positionV>
            <wp:extent cx="3784600" cy="3044825"/>
            <wp:effectExtent b="0" l="0" r="0" t="0"/>
            <wp:wrapTopAndBottom distB="0" distT="0"/>
            <wp:docPr id="3" name="image1.gif"/>
            <a:graphic>
              <a:graphicData uri="http://schemas.openxmlformats.org/drawingml/2006/picture">
                <pic:pic>
                  <pic:nvPicPr>
                    <pic:cNvPr id="0" name="image1.gif"/>
                    <pic:cNvPicPr preferRelativeResize="0"/>
                  </pic:nvPicPr>
                  <pic:blipFill>
                    <a:blip r:embed="rId6"/>
                    <a:srcRect b="0" l="0" r="0" t="0"/>
                    <a:stretch>
                      <a:fillRect/>
                    </a:stretch>
                  </pic:blipFill>
                  <pic:spPr>
                    <a:xfrm>
                      <a:off x="0" y="0"/>
                      <a:ext cx="3784600" cy="3044825"/>
                    </a:xfrm>
                    <a:prstGeom prst="rect"/>
                    <a:ln/>
                  </pic:spPr>
                </pic:pic>
              </a:graphicData>
            </a:graphic>
          </wp:anchor>
        </w:drawing>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The six steps as shown above can be further explained as I have denoted below.</w:t>
      </w:r>
    </w:p>
    <w:p w:rsidR="00000000" w:rsidDel="00000000" w:rsidP="00000000" w:rsidRDefault="00000000" w:rsidRPr="00000000" w14:paraId="0000002D">
      <w:pPr>
        <w:rPr/>
      </w:pPr>
      <w:r w:rsidDel="00000000" w:rsidR="00000000" w:rsidRPr="00000000">
        <w:rPr>
          <w:b w:val="1"/>
          <w:rtl w:val="0"/>
        </w:rPr>
        <w:t xml:space="preserve">Stage 1 – Description:</w:t>
      </w:r>
      <w:r w:rsidDel="00000000" w:rsidR="00000000" w:rsidRPr="00000000">
        <w:rPr>
          <w:rtl w:val="0"/>
        </w:rPr>
        <w:t xml:space="preserve"> In this step, the activity or the event is described in detail, but no conclusions are drawn (Travers, Morisano. and Locke, 2015). I believe that it is necessary to ensure that none of the important details are left out by mistake, since all information is integral to understand the situation better.</w:t>
      </w:r>
    </w:p>
    <w:p w:rsidR="00000000" w:rsidDel="00000000" w:rsidP="00000000" w:rsidRDefault="00000000" w:rsidRPr="00000000" w14:paraId="0000002E">
      <w:pPr>
        <w:rPr/>
      </w:pPr>
      <w:r w:rsidDel="00000000" w:rsidR="00000000" w:rsidRPr="00000000">
        <w:rPr>
          <w:b w:val="1"/>
          <w:rtl w:val="0"/>
        </w:rPr>
        <w:t xml:space="preserve">Stage 2 – Feelings:</w:t>
      </w:r>
      <w:r w:rsidDel="00000000" w:rsidR="00000000" w:rsidRPr="00000000">
        <w:rPr>
          <w:rtl w:val="0"/>
        </w:rPr>
        <w:t xml:space="preserve"> In this step, the feelings that were triggered by the event needs to be described in accordance with the description of the activity as noted in stage 1. In my opinion, the most important goal of this phase is that of awareness, and the emotions that I feel need not be judged or evaluated.</w:t>
      </w:r>
    </w:p>
    <w:p w:rsidR="00000000" w:rsidDel="00000000" w:rsidP="00000000" w:rsidRDefault="00000000" w:rsidRPr="00000000" w14:paraId="0000002F">
      <w:pPr>
        <w:rPr/>
      </w:pPr>
      <w:r w:rsidDel="00000000" w:rsidR="00000000" w:rsidRPr="00000000">
        <w:rPr>
          <w:b w:val="1"/>
          <w:rtl w:val="0"/>
        </w:rPr>
        <w:t xml:space="preserve">Stage 3 – Evaluation:</w:t>
      </w:r>
      <w:r w:rsidDel="00000000" w:rsidR="00000000" w:rsidRPr="00000000">
        <w:rPr>
          <w:rtl w:val="0"/>
        </w:rPr>
        <w:t xml:space="preserve"> This step allows the individual to analyse whether the event as experienced in stage 1 was beneficial or harmful. I feel that this evaluation phase also makes it easier to understand, which approach worked, and which did not.</w:t>
      </w:r>
    </w:p>
    <w:p w:rsidR="00000000" w:rsidDel="00000000" w:rsidP="00000000" w:rsidRDefault="00000000" w:rsidRPr="00000000" w14:paraId="00000030">
      <w:pPr>
        <w:rPr/>
      </w:pPr>
      <w:r w:rsidDel="00000000" w:rsidR="00000000" w:rsidRPr="00000000">
        <w:rPr>
          <w:b w:val="1"/>
          <w:rtl w:val="0"/>
        </w:rPr>
        <w:t xml:space="preserve">Stage 4 – Analysis:</w:t>
      </w:r>
      <w:r w:rsidDel="00000000" w:rsidR="00000000" w:rsidRPr="00000000">
        <w:rPr>
          <w:rtl w:val="0"/>
        </w:rPr>
        <w:t xml:space="preserve"> This step allows the individual to analyse what they have learned from the activity or the situation (Travers, Morisano. and Locke, 2015). I believe that because I have already faced the particular situation once, I would be equipped with the knowledge and the means to handle such events in the future. In other words, I will have learned from my mistakes, and would know better the next time I experience such an event.</w:t>
      </w:r>
    </w:p>
    <w:p w:rsidR="00000000" w:rsidDel="00000000" w:rsidP="00000000" w:rsidRDefault="00000000" w:rsidRPr="00000000" w14:paraId="00000031">
      <w:pPr>
        <w:rPr/>
      </w:pPr>
      <w:r w:rsidDel="00000000" w:rsidR="00000000" w:rsidRPr="00000000">
        <w:rPr>
          <w:b w:val="1"/>
          <w:rtl w:val="0"/>
        </w:rPr>
        <w:t xml:space="preserve">Stage 5 – Conclusion:</w:t>
      </w:r>
      <w:r w:rsidDel="00000000" w:rsidR="00000000" w:rsidRPr="00000000">
        <w:rPr>
          <w:rtl w:val="0"/>
        </w:rPr>
        <w:t xml:space="preserve"> In this step, the individual usually examines the overall experience in order to find out what else could have been done in the given situation (Travers, Morisano. and Locke, 2015). I feel that this stage is perfect for identifying my skill gaps and understanding the arenas that I need to work on in order to improve myself.</w:t>
      </w:r>
    </w:p>
    <w:p w:rsidR="00000000" w:rsidDel="00000000" w:rsidP="00000000" w:rsidRDefault="00000000" w:rsidRPr="00000000" w14:paraId="00000032">
      <w:pPr>
        <w:rPr/>
      </w:pPr>
      <w:r w:rsidDel="00000000" w:rsidR="00000000" w:rsidRPr="00000000">
        <w:rPr>
          <w:b w:val="1"/>
          <w:rtl w:val="0"/>
        </w:rPr>
        <w:t xml:space="preserve">Stage 6 – Action plan:</w:t>
      </w:r>
      <w:r w:rsidDel="00000000" w:rsidR="00000000" w:rsidRPr="00000000">
        <w:rPr>
          <w:rtl w:val="0"/>
        </w:rPr>
        <w:t xml:space="preserve"> In this step, the future set of actions is developed, where we analyse and outline the course of action that we can adopt in case we require a more effective approach to handling the situation (Travers, Morisano. and Locke, 2015). In my opinion, this action plan helps find the pathway to actually improving my own self.</w:t>
      </w:r>
    </w:p>
    <w:p w:rsidR="00000000" w:rsidDel="00000000" w:rsidP="00000000" w:rsidRDefault="00000000" w:rsidRPr="00000000" w14:paraId="00000033">
      <w:pPr>
        <w:pStyle w:val="Heading1"/>
        <w:rPr/>
      </w:pPr>
      <w:bookmarkStart w:colFirst="0" w:colLast="0" w:name="_3dy6vkm" w:id="5"/>
      <w:bookmarkEnd w:id="5"/>
      <w:r w:rsidDel="00000000" w:rsidR="00000000" w:rsidRPr="00000000">
        <w:rPr>
          <w:rtl w:val="0"/>
        </w:rPr>
        <w:t xml:space="preserve">Improvement of employability skills based on in-class activities and feedback</w:t>
      </w:r>
    </w:p>
    <w:p w:rsidR="00000000" w:rsidDel="00000000" w:rsidP="00000000" w:rsidRDefault="00000000" w:rsidRPr="00000000" w14:paraId="00000034">
      <w:pPr>
        <w:rPr/>
      </w:pPr>
      <w:r w:rsidDel="00000000" w:rsidR="00000000" w:rsidRPr="00000000">
        <w:rPr>
          <w:rtl w:val="0"/>
        </w:rPr>
        <w:t xml:space="preserve">Before I can delve into how this module has helped me improve my employability skills, it is important to assess and understand the skills that I have, and the skills that would be necessary for ensuring that I can progress with my academic and professional career. These essential skills include resource management, teamwork and collaboration, oral and written communication, adaptability, and problem-solving.</w:t>
      </w:r>
    </w:p>
    <w:p w:rsidR="00000000" w:rsidDel="00000000" w:rsidP="00000000" w:rsidRDefault="00000000" w:rsidRPr="00000000" w14:paraId="00000035">
      <w:pPr>
        <w:rPr/>
      </w:pPr>
      <w:r w:rsidDel="00000000" w:rsidR="00000000" w:rsidRPr="00000000">
        <w:rPr>
          <w:rtl w:val="0"/>
        </w:rPr>
        <w:t xml:space="preserve">I believe that my learning of the Gibb’s theory has helped me significantly in terms of improving my academic and employability skills, such as resource management, problem-solving and adaptability. For instance, effective application of this reflective cycle would make it easier for me to describe the situations that I have faced in the past, or the situations that I am facing in the present. This will enable me to understand how I had felt during that activity, and consequently make it easier for me to evaluate my response and find out ways to be better able to tackle the same problems in case they arise in the future. In case of resource management, application of this theory will make it clearer to me, the manner in which I should tackle the scarcity and demand in order to ensure that the results can be better than what I had attained the first time (Travers, Morisano. and Locke, 2015).</w:t>
      </w:r>
    </w:p>
    <w:p w:rsidR="00000000" w:rsidDel="00000000" w:rsidP="00000000" w:rsidRDefault="00000000" w:rsidRPr="00000000" w14:paraId="00000036">
      <w:pPr>
        <w:rPr/>
      </w:pPr>
      <w:r w:rsidDel="00000000" w:rsidR="00000000" w:rsidRPr="00000000">
        <w:rPr>
          <w:rtl w:val="0"/>
        </w:rPr>
        <w:t xml:space="preserve">Furthermore, application of this theory has also made it possible for me to understand how to solve problems. For instance, previously I had been quite impatient, and had the habit of only talking about the problem without actually considering anybody’s advice. On learning the Gibb’s reflective approach, I was able to analyse and reflect back on my actions, and thus, I understood that it was wrong of me to be not communicative with my peers. Thus, because of this learning activity, it has been possible for me to improve my problem-solving skills, since now I know that I should listen to others and consider their advice, since communication is a two-way street and therefore cannot be successful if it entails only a monologue from my side. This has also improved my teamwork and collaboration skills, as now I am more than willing to interact with my peers and colleagues in order to solve a problem rather than believing that I can take care of it all by myself. This has also helped improve my confidence levels, since now I know that I have the necessary skills and capabilities to engage successfully with my peers and teammates, if and when the time arises.</w:t>
      </w:r>
    </w:p>
    <w:p w:rsidR="00000000" w:rsidDel="00000000" w:rsidP="00000000" w:rsidRDefault="00000000" w:rsidRPr="00000000" w14:paraId="00000037">
      <w:pPr>
        <w:rPr/>
      </w:pPr>
      <w:r w:rsidDel="00000000" w:rsidR="00000000" w:rsidRPr="00000000">
        <w:rPr>
          <w:rtl w:val="0"/>
        </w:rPr>
        <w:t xml:space="preserve">Furthermore, the Gibb’s reflective cycle has also helped me explore my weaknesses in terms of my adaptability. Earlier, I used to believe that I was extremely adaptable, but on learning this new theory, I was able to reflect back on my experiences and assess my behaviour, which made it easier for me to identify my shortcomings and limitations, and thus I realised that I needed to work on this skill in order to be employable.</w:t>
      </w:r>
    </w:p>
    <w:p w:rsidR="00000000" w:rsidDel="00000000" w:rsidP="00000000" w:rsidRDefault="00000000" w:rsidRPr="00000000" w14:paraId="00000038">
      <w:pPr>
        <w:rPr/>
      </w:pPr>
      <w:r w:rsidDel="00000000" w:rsidR="00000000" w:rsidRPr="00000000">
        <w:rPr>
          <w:rtl w:val="0"/>
        </w:rPr>
        <w:t xml:space="preserve">In terms of the feedback that I had received from the in-class activities, I was able to isolate those arenas that needed improvement when it came to my employability skills. For instance, the feedback I received in case of cover letter writing helped me identify the areas where I needed to improve, such as the use of keywords. I learned that it is necessary to use specific keywords when writing the cover letter to attach with the resume, since most recruiters go through these letters while searching for them. The presence of these keywords usually gives the recruiters the insight they need into the skills that the applicants have, and thus, knowing where to include these words will help me come across as employable and highly suitable for the job I would be trying for.</w:t>
      </w:r>
    </w:p>
    <w:p w:rsidR="00000000" w:rsidDel="00000000" w:rsidP="00000000" w:rsidRDefault="00000000" w:rsidRPr="00000000" w14:paraId="00000039">
      <w:pPr>
        <w:rPr/>
      </w:pPr>
      <w:r w:rsidDel="00000000" w:rsidR="00000000" w:rsidRPr="00000000">
        <w:rPr>
          <w:rtl w:val="0"/>
        </w:rPr>
        <w:t xml:space="preserve">Also, the feedback I received in class helped me understand my shortcomings in terms of understanding the Gibb’s theory. I had some doubts regarding the application of this theory, but the feedback that I received help me clear them, and thus, I now know how to use the framework better. For instance, I now know I can apply this theory to almost any employability skill I have, such as communication. I can now describe the situation that I have faced, and analyse the feelings that I had experienced when communicating with an entirely new colleague. This has also made it possible for me to draw the necessary conclusions in order to understand how to interact better with new people, through the formulation of an appropriate action plan that would assist me even in the future when I try and pursue a professional career of my choice. I believe that knowing how to communicate with new people, both on oral and written platforms, is an important employability skill that all must possess, since it determines the extent to which they would be successful in their professional as well as academic careers.</w:t>
      </w:r>
    </w:p>
    <w:p w:rsidR="00000000" w:rsidDel="00000000" w:rsidP="00000000" w:rsidRDefault="00000000" w:rsidRPr="00000000" w14:paraId="0000003A">
      <w:pPr>
        <w:rPr/>
      </w:pPr>
      <w:r w:rsidDel="00000000" w:rsidR="00000000" w:rsidRPr="00000000">
        <w:rPr>
          <w:rtl w:val="0"/>
        </w:rPr>
        <w:t xml:space="preserve">I believe that the feedback that I received for both the cover letter writing and the application of Gibb’s theory has helped me improve my employability skills, which will make it easier for me to impress the recruiters and also my professors, thereby paving the way for possible success in both my academic and professional lives.</w:t>
      </w:r>
    </w:p>
    <w:p w:rsidR="00000000" w:rsidDel="00000000" w:rsidP="00000000" w:rsidRDefault="00000000" w:rsidRPr="00000000" w14:paraId="0000003B">
      <w:pPr>
        <w:pStyle w:val="Heading1"/>
        <w:rPr/>
      </w:pPr>
      <w:bookmarkStart w:colFirst="0" w:colLast="0" w:name="_1t3h5sf" w:id="6"/>
      <w:bookmarkEnd w:id="6"/>
      <w:r w:rsidDel="00000000" w:rsidR="00000000" w:rsidRPr="00000000">
        <w:rPr>
          <w:rtl w:val="0"/>
        </w:rPr>
        <w:t xml:space="preserve">Conclusion</w:t>
      </w:r>
    </w:p>
    <w:p w:rsidR="00000000" w:rsidDel="00000000" w:rsidP="00000000" w:rsidRDefault="00000000" w:rsidRPr="00000000" w14:paraId="0000003C">
      <w:pPr>
        <w:rPr/>
      </w:pPr>
      <w:r w:rsidDel="00000000" w:rsidR="00000000" w:rsidRPr="00000000">
        <w:rPr>
          <w:rtl w:val="0"/>
        </w:rPr>
        <w:t xml:space="preserve">Employability skills are thus necessary for everyone, if they wish to attain success in their professional or academic arenas. After going through this module, I was able to receive the appropriate feedback that has been fundamental in helping me understand my weaknesses, while also allowing me to find innovative ways of dealing with those shortcomings in order to improve my own skills. Thus, I now know how important it is to be able to write a proper cover letter, and how I can utilise Gibb’s reflective framework to analyse the various situations that I face. Moreover, I have also understood the importance that employability skills have in terms of helping me be competitive and resilient, since these aspects are integral if I wish to be successful as an independent individual.</w:t>
      </w:r>
    </w:p>
    <w:p w:rsidR="00000000" w:rsidDel="00000000" w:rsidP="00000000" w:rsidRDefault="00000000" w:rsidRPr="00000000" w14:paraId="0000003D">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1"/>
        <w:rPr/>
      </w:pPr>
      <w:bookmarkStart w:colFirst="0" w:colLast="0" w:name="_4d34og8" w:id="7"/>
      <w:bookmarkEnd w:id="7"/>
      <w:r w:rsidDel="00000000" w:rsidR="00000000" w:rsidRPr="00000000">
        <w:rPr>
          <w:rtl w:val="0"/>
        </w:rPr>
        <w:t xml:space="preserve">Reference List</w:t>
      </w:r>
    </w:p>
    <w:p w:rsidR="00000000" w:rsidDel="00000000" w:rsidP="00000000" w:rsidRDefault="00000000" w:rsidRPr="00000000" w14:paraId="0000003F">
      <w:pPr>
        <w:rPr/>
      </w:pPr>
      <w:r w:rsidDel="00000000" w:rsidR="00000000" w:rsidRPr="00000000">
        <w:rPr>
          <w:rtl w:val="0"/>
        </w:rPr>
        <w:t xml:space="preserve">Abas, M.C. and Imam, O.A., 2016. Graduates' Competence on Employability Skills and Job Performance. </w:t>
      </w:r>
      <w:r w:rsidDel="00000000" w:rsidR="00000000" w:rsidRPr="00000000">
        <w:rPr>
          <w:i w:val="1"/>
          <w:rtl w:val="0"/>
        </w:rPr>
        <w:t xml:space="preserve">International Journal of Evaluation and Research in Education</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(2), pp.119-125.</w:t>
      </w:r>
    </w:p>
    <w:p w:rsidR="00000000" w:rsidDel="00000000" w:rsidP="00000000" w:rsidRDefault="00000000" w:rsidRPr="00000000" w14:paraId="00000040">
      <w:pPr>
        <w:rPr/>
      </w:pPr>
      <w:r w:rsidDel="00000000" w:rsidR="00000000" w:rsidRPr="00000000">
        <w:rPr>
          <w:rtl w:val="0"/>
        </w:rPr>
        <w:t xml:space="preserve">Dhaliwal, U., Singh, S. and Singh, N., 2017. Reflective student narratives: honing professionalism and empathy. </w:t>
      </w:r>
      <w:r w:rsidDel="00000000" w:rsidR="00000000" w:rsidRPr="00000000">
        <w:rPr>
          <w:i w:val="1"/>
          <w:rtl w:val="0"/>
        </w:rPr>
        <w:t xml:space="preserve">Indian J Med Ethics</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(1), pp.9-15.</w:t>
      </w:r>
    </w:p>
    <w:p w:rsidR="00000000" w:rsidDel="00000000" w:rsidP="00000000" w:rsidRDefault="00000000" w:rsidRPr="00000000" w14:paraId="00000041">
      <w:pPr>
        <w:rPr/>
      </w:pPr>
      <w:r w:rsidDel="00000000" w:rsidR="00000000" w:rsidRPr="00000000">
        <w:rPr>
          <w:rtl w:val="0"/>
        </w:rPr>
        <w:t xml:space="preserve">Ito, H. and Kawazoe, N., 2015. Active Learning for Creating Innovators: Employability Skills beyond Industrial Needs. </w:t>
      </w:r>
      <w:r w:rsidDel="00000000" w:rsidR="00000000" w:rsidRPr="00000000">
        <w:rPr>
          <w:i w:val="1"/>
          <w:rtl w:val="0"/>
        </w:rPr>
        <w:t xml:space="preserve">International Journal of Higher Education</w:t>
      </w:r>
      <w:r w:rsidDel="00000000" w:rsidR="00000000" w:rsidRPr="00000000">
        <w:rPr>
          <w:rtl w:val="0"/>
        </w:rPr>
        <w:t xml:space="preserve">, </w:t>
      </w:r>
      <w:r w:rsidDel="00000000" w:rsidR="00000000" w:rsidRPr="00000000">
        <w:rPr>
          <w:i w:val="1"/>
          <w:rtl w:val="0"/>
        </w:rPr>
        <w:t xml:space="preserve">4</w:t>
      </w:r>
      <w:r w:rsidDel="00000000" w:rsidR="00000000" w:rsidRPr="00000000">
        <w:rPr>
          <w:rtl w:val="0"/>
        </w:rPr>
        <w:t xml:space="preserve">(2), pp.81-91.</w:t>
      </w:r>
    </w:p>
    <w:p w:rsidR="00000000" w:rsidDel="00000000" w:rsidP="00000000" w:rsidRDefault="00000000" w:rsidRPr="00000000" w14:paraId="00000042">
      <w:pPr>
        <w:rPr/>
      </w:pPr>
      <w:r w:rsidDel="00000000" w:rsidR="00000000" w:rsidRPr="00000000">
        <w:rPr>
          <w:rtl w:val="0"/>
        </w:rPr>
        <w:t xml:space="preserve">Suleman, F., 2016. Employability skills of higher education graduates: Little consensus on a much-discussed subject. </w:t>
      </w:r>
      <w:r w:rsidDel="00000000" w:rsidR="00000000" w:rsidRPr="00000000">
        <w:rPr>
          <w:i w:val="1"/>
          <w:rtl w:val="0"/>
        </w:rPr>
        <w:t xml:space="preserve">Procedia-Social and Behavioral Sciences</w:t>
      </w:r>
      <w:r w:rsidDel="00000000" w:rsidR="00000000" w:rsidRPr="00000000">
        <w:rPr>
          <w:rtl w:val="0"/>
        </w:rPr>
        <w:t xml:space="preserve">, </w:t>
      </w:r>
      <w:r w:rsidDel="00000000" w:rsidR="00000000" w:rsidRPr="00000000">
        <w:rPr>
          <w:i w:val="1"/>
          <w:rtl w:val="0"/>
        </w:rPr>
        <w:t xml:space="preserve">228</w:t>
      </w:r>
      <w:r w:rsidDel="00000000" w:rsidR="00000000" w:rsidRPr="00000000">
        <w:rPr>
          <w:rtl w:val="0"/>
        </w:rPr>
        <w:t xml:space="preserve">, pp.169-174.</w:t>
      </w:r>
    </w:p>
    <w:p w:rsidR="00000000" w:rsidDel="00000000" w:rsidP="00000000" w:rsidRDefault="00000000" w:rsidRPr="00000000" w14:paraId="00000043">
      <w:pPr>
        <w:rPr/>
      </w:pPr>
      <w:r w:rsidDel="00000000" w:rsidR="00000000" w:rsidRPr="00000000">
        <w:rPr>
          <w:rtl w:val="0"/>
        </w:rPr>
        <w:t xml:space="preserve">Tomaska, L. and Nosek, J., 2018. Ten simple rules for writing a cover letter to accompany a job application for an academic position. </w:t>
      </w:r>
      <w:r w:rsidDel="00000000" w:rsidR="00000000" w:rsidRPr="00000000">
        <w:rPr>
          <w:i w:val="1"/>
          <w:rtl w:val="0"/>
        </w:rPr>
        <w:t xml:space="preserve">PLoS Computational Biology</w:t>
      </w:r>
      <w:r w:rsidDel="00000000" w:rsidR="00000000" w:rsidRPr="00000000">
        <w:rPr>
          <w:rtl w:val="0"/>
        </w:rPr>
        <w:t xml:space="preserve">, </w:t>
      </w:r>
      <w:r w:rsidDel="00000000" w:rsidR="00000000" w:rsidRPr="00000000">
        <w:rPr>
          <w:i w:val="1"/>
          <w:rtl w:val="0"/>
        </w:rPr>
        <w:t xml:space="preserve">14</w:t>
      </w:r>
      <w:r w:rsidDel="00000000" w:rsidR="00000000" w:rsidRPr="00000000">
        <w:rPr>
          <w:rtl w:val="0"/>
        </w:rPr>
        <w:t xml:space="preserve">(5), e1006132.</w:t>
      </w:r>
    </w:p>
    <w:p w:rsidR="00000000" w:rsidDel="00000000" w:rsidP="00000000" w:rsidRDefault="00000000" w:rsidRPr="00000000" w14:paraId="00000044">
      <w:pPr>
        <w:rPr/>
      </w:pPr>
      <w:r w:rsidDel="00000000" w:rsidR="00000000" w:rsidRPr="00000000">
        <w:rPr>
          <w:rtl w:val="0"/>
        </w:rPr>
        <w:t xml:space="preserve">Travers, C.J., Morisano, D. and Locke, E.A., 2015. Self‐reflection, growth goals, and academic outcomes: A qualitative study. </w:t>
      </w:r>
      <w:r w:rsidDel="00000000" w:rsidR="00000000" w:rsidRPr="00000000">
        <w:rPr>
          <w:i w:val="1"/>
          <w:rtl w:val="0"/>
        </w:rPr>
        <w:t xml:space="preserve">British Journal of Educational Psychology</w:t>
      </w:r>
      <w:r w:rsidDel="00000000" w:rsidR="00000000" w:rsidRPr="00000000">
        <w:rPr>
          <w:rtl w:val="0"/>
        </w:rPr>
        <w:t xml:space="preserve">, </w:t>
      </w:r>
      <w:r w:rsidDel="00000000" w:rsidR="00000000" w:rsidRPr="00000000">
        <w:rPr>
          <w:i w:val="1"/>
          <w:rtl w:val="0"/>
        </w:rPr>
        <w:t xml:space="preserve">85</w:t>
      </w:r>
      <w:r w:rsidDel="00000000" w:rsidR="00000000" w:rsidRPr="00000000">
        <w:rPr>
          <w:rtl w:val="0"/>
        </w:rPr>
        <w:t xml:space="preserve">(2), pp.224-241</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Apendix</w:t>
      </w:r>
      <w:r w:rsidDel="00000000" w:rsidR="00000000" w:rsidRPr="00000000">
        <w:rPr>
          <w:rtl w:val="0"/>
        </w:rPr>
      </w:r>
    </w:p>
    <w:p w:rsidR="00000000" w:rsidDel="00000000" w:rsidP="00000000" w:rsidRDefault="00000000" w:rsidRPr="00000000" w14:paraId="00000050">
      <w:pPr>
        <w:rPr>
          <w:i w:val="1"/>
        </w:rPr>
      </w:pPr>
      <w:r w:rsidDel="00000000" w:rsidR="00000000" w:rsidRPr="00000000">
        <w:rPr>
          <w:i w:val="1"/>
          <w:rtl w:val="0"/>
        </w:rPr>
        <w:t xml:space="preserve">[</w:t>
      </w:r>
      <w:r w:rsidDel="00000000" w:rsidR="00000000" w:rsidRPr="00000000">
        <w:rPr>
          <w:b w:val="1"/>
        </w:rPr>
        <w:drawing>
          <wp:inline distB="114300" distT="114300" distL="114300" distR="114300">
            <wp:extent cx="5734050" cy="8051800"/>
            <wp:effectExtent b="0" l="0" r="0" t="0"/>
            <wp:docPr id="1"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5734050" cy="8051800"/>
                    </a:xfrm>
                    <a:prstGeom prst="rect"/>
                    <a:ln/>
                  </pic:spPr>
                </pic:pic>
              </a:graphicData>
            </a:graphic>
          </wp:inline>
        </w:drawing>
      </w:r>
      <w:r w:rsidDel="00000000" w:rsidR="00000000" w:rsidRPr="00000000">
        <w:rPr>
          <w:b w:val="1"/>
        </w:rPr>
        <w:drawing>
          <wp:inline distB="114300" distT="114300" distL="114300" distR="114300">
            <wp:extent cx="5734050" cy="8382000"/>
            <wp:effectExtent b="0" l="0" r="0" t="0"/>
            <wp:docPr id="2"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5734050" cy="8382000"/>
                    </a:xfrm>
                    <a:prstGeom prst="rect"/>
                    <a:ln/>
                  </pic:spPr>
                </pic:pic>
              </a:graphicData>
            </a:graphic>
          </wp:inline>
        </w:drawing>
      </w:r>
      <w:r w:rsidDel="00000000" w:rsidR="00000000" w:rsidRPr="00000000">
        <w:rPr>
          <w:i w:val="1"/>
          <w:rtl w:val="0"/>
        </w:rPr>
        <w:t xml:space="preserve"> </w:t>
      </w:r>
    </w:p>
    <w:sectPr>
      <w:headerReference r:id="rId9" w:type="default"/>
      <w:pgSz w:h="16838" w:w="11906"/>
      <w:pgMar w:bottom="1440" w:top="1440" w:left="1440" w:right="1440"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Calibri"/>
  <w:font w:name="Courier New"/>
  <w:font w:name="Noto Sans Symbol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jc w:val="left"/>
    </w:pPr>
    <w:rPr>
      <w:b w:val="1"/>
    </w:rPr>
  </w:style>
  <w:style w:type="paragraph" w:styleId="Heading2">
    <w:name w:val="heading 2"/>
    <w:basedOn w:val="Normal"/>
    <w:next w:val="Normal"/>
    <w:pPr>
      <w:keepNext w:val="1"/>
      <w:keepLines w:val="1"/>
      <w:spacing w:after="0" w:before="40" w:lineRule="auto"/>
      <w:jc w:val="left"/>
    </w:pPr>
    <w:rPr>
      <w:b w:val="1"/>
    </w:rPr>
  </w:style>
  <w:style w:type="paragraph" w:styleId="Heading3">
    <w:name w:val="heading 3"/>
    <w:basedOn w:val="Normal"/>
    <w:next w:val="Normal"/>
    <w:pPr>
      <w:keepNext w:val="1"/>
      <w:keepLines w:val="1"/>
      <w:spacing w:after="0" w:before="40" w:lineRule="auto"/>
      <w:jc w:val="left"/>
    </w:pPr>
    <w:rPr>
      <w:i w:val="1"/>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gif"/><Relationship Id="rId7" Type="http://schemas.openxmlformats.org/officeDocument/2006/relationships/image" Target="media/image2.jp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