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91900335"/>
        <w:docPartObj>
          <w:docPartGallery w:val="Cover Pages"/>
          <w:docPartUnique/>
        </w:docPartObj>
      </w:sdtPr>
      <w:sdtEndPr>
        <w:rPr>
          <w:rFonts w:ascii="Times New Roman" w:hAnsi="Times New Roman" w:cs="Times New Roman"/>
        </w:rPr>
      </w:sdtEndPr>
      <w:sdtContent>
        <w:p w14:paraId="56E25F9E" w14:textId="136BBA64" w:rsidR="00847467" w:rsidRPr="00847467" w:rsidRDefault="00847467" w:rsidP="00847467">
          <w:pPr>
            <w:rPr>
              <w:rFonts w:ascii="Times New Roman" w:hAnsi="Times New Roman" w:cs="Times New Roman"/>
              <w:b/>
              <w:bCs/>
              <w:sz w:val="44"/>
              <w:szCs w:val="44"/>
            </w:rPr>
          </w:pPr>
          <w:r w:rsidRPr="00847467">
            <w:rPr>
              <w:rFonts w:ascii="Times New Roman" w:hAnsi="Times New Roman" w:cs="Times New Roman"/>
              <w:b/>
              <w:bCs/>
              <w:sz w:val="44"/>
              <w:szCs w:val="44"/>
            </w:rPr>
            <w:t>Student name:</w:t>
          </w:r>
          <w:r w:rsidRPr="00847467">
            <w:rPr>
              <w:rFonts w:ascii="Times New Roman" w:hAnsi="Times New Roman" w:cs="Times New Roman"/>
              <w:b/>
              <w:bCs/>
              <w:sz w:val="44"/>
              <w:szCs w:val="44"/>
            </w:rPr>
            <w:t xml:space="preserve"> Vanessa Andreea Eftimie </w:t>
          </w:r>
          <w:r w:rsidRPr="00847467">
            <w:rPr>
              <w:rFonts w:ascii="Times New Roman" w:hAnsi="Times New Roman" w:cs="Times New Roman"/>
              <w:b/>
              <w:bCs/>
              <w:sz w:val="44"/>
              <w:szCs w:val="44"/>
            </w:rPr>
            <w:tab/>
            <w:t xml:space="preserve">     </w:t>
          </w:r>
        </w:p>
        <w:p w14:paraId="56E25F9E" w14:textId="136BBA64" w:rsidR="00847467" w:rsidRPr="00847467" w:rsidRDefault="00847467" w:rsidP="00847467">
          <w:pPr>
            <w:rPr>
              <w:rFonts w:ascii="Times New Roman" w:hAnsi="Times New Roman" w:cs="Times New Roman"/>
              <w:b/>
              <w:bCs/>
              <w:sz w:val="44"/>
              <w:szCs w:val="44"/>
            </w:rPr>
          </w:pPr>
          <w:r w:rsidRPr="00847467">
            <w:rPr>
              <w:rFonts w:ascii="Times New Roman" w:hAnsi="Times New Roman" w:cs="Times New Roman"/>
              <w:b/>
              <w:bCs/>
              <w:sz w:val="44"/>
              <w:szCs w:val="44"/>
            </w:rPr>
            <w:t>Programme:</w:t>
          </w:r>
          <w:r>
            <w:rPr>
              <w:rFonts w:ascii="Times New Roman" w:hAnsi="Times New Roman" w:cs="Times New Roman"/>
              <w:b/>
              <w:bCs/>
              <w:sz w:val="44"/>
              <w:szCs w:val="44"/>
            </w:rPr>
            <w:t xml:space="preserve"> </w:t>
          </w:r>
          <w:r w:rsidRPr="00847467">
            <w:rPr>
              <w:rFonts w:ascii="Times New Roman" w:hAnsi="Times New Roman" w:cs="Times New Roman"/>
              <w:b/>
              <w:bCs/>
              <w:sz w:val="44"/>
              <w:szCs w:val="44"/>
            </w:rPr>
            <w:t>BA (Hons) Business Management</w:t>
          </w:r>
        </w:p>
        <w:p w14:paraId="457B0511" w14:textId="4E51D645" w:rsidR="00847467" w:rsidRPr="00847467" w:rsidRDefault="00847467" w:rsidP="00847467">
          <w:pPr>
            <w:rPr>
              <w:rFonts w:ascii="Times New Roman" w:hAnsi="Times New Roman" w:cs="Times New Roman"/>
              <w:b/>
              <w:bCs/>
              <w:sz w:val="44"/>
              <w:szCs w:val="44"/>
            </w:rPr>
          </w:pPr>
          <w:r w:rsidRPr="00847467">
            <w:rPr>
              <w:rFonts w:ascii="Times New Roman" w:hAnsi="Times New Roman" w:cs="Times New Roman"/>
              <w:b/>
              <w:bCs/>
              <w:sz w:val="44"/>
              <w:szCs w:val="44"/>
            </w:rPr>
            <w:t>Module:</w:t>
          </w:r>
          <w:r w:rsidRPr="00847467">
            <w:rPr>
              <w:rFonts w:ascii="Times New Roman" w:hAnsi="Times New Roman" w:cs="Times New Roman"/>
              <w:b/>
              <w:bCs/>
              <w:sz w:val="44"/>
              <w:szCs w:val="44"/>
            </w:rPr>
            <w:t xml:space="preserve"> </w:t>
          </w:r>
          <w:r w:rsidRPr="00847467">
            <w:rPr>
              <w:rFonts w:ascii="Times New Roman" w:hAnsi="Times New Roman" w:cs="Times New Roman"/>
              <w:b/>
              <w:bCs/>
              <w:sz w:val="44"/>
              <w:szCs w:val="44"/>
            </w:rPr>
            <w:t>People and Organisations</w:t>
          </w:r>
        </w:p>
        <w:p w14:paraId="1B7E40C2" w14:textId="656F136B" w:rsidR="00847467" w:rsidRPr="00847467" w:rsidRDefault="00847467" w:rsidP="00847467">
          <w:pPr>
            <w:rPr>
              <w:rFonts w:ascii="Times New Roman" w:hAnsi="Times New Roman" w:cs="Times New Roman"/>
              <w:b/>
              <w:bCs/>
              <w:sz w:val="44"/>
              <w:szCs w:val="44"/>
            </w:rPr>
          </w:pPr>
          <w:r w:rsidRPr="00847467">
            <w:rPr>
              <w:rFonts w:ascii="Times New Roman" w:hAnsi="Times New Roman" w:cs="Times New Roman"/>
              <w:b/>
              <w:bCs/>
              <w:sz w:val="44"/>
              <w:szCs w:val="44"/>
            </w:rPr>
            <w:t>Module code:</w:t>
          </w:r>
          <w:r>
            <w:rPr>
              <w:rFonts w:ascii="Times New Roman" w:hAnsi="Times New Roman" w:cs="Times New Roman"/>
              <w:b/>
              <w:bCs/>
              <w:sz w:val="44"/>
              <w:szCs w:val="44"/>
            </w:rPr>
            <w:t xml:space="preserve"> </w:t>
          </w:r>
          <w:r w:rsidRPr="00847467">
            <w:rPr>
              <w:rFonts w:ascii="Times New Roman" w:hAnsi="Times New Roman" w:cs="Times New Roman"/>
              <w:b/>
              <w:bCs/>
              <w:sz w:val="44"/>
              <w:szCs w:val="44"/>
            </w:rPr>
            <w:t>BMMB4006</w:t>
          </w:r>
        </w:p>
        <w:p w14:paraId="7487EF3D" w14:textId="2319D2C3" w:rsidR="00847467" w:rsidRPr="00847467" w:rsidRDefault="00847467" w:rsidP="00847467">
          <w:pPr>
            <w:rPr>
              <w:rFonts w:ascii="Times New Roman" w:hAnsi="Times New Roman" w:cs="Times New Roman"/>
              <w:b/>
              <w:bCs/>
              <w:sz w:val="44"/>
              <w:szCs w:val="44"/>
            </w:rPr>
          </w:pPr>
          <w:r w:rsidRPr="00847467">
            <w:rPr>
              <w:rFonts w:ascii="Times New Roman" w:hAnsi="Times New Roman" w:cs="Times New Roman"/>
              <w:b/>
              <w:bCs/>
              <w:sz w:val="44"/>
              <w:szCs w:val="44"/>
            </w:rPr>
            <w:t>Lecturer:</w:t>
          </w:r>
          <w:r w:rsidRPr="00847467">
            <w:rPr>
              <w:rFonts w:ascii="Times New Roman" w:hAnsi="Times New Roman" w:cs="Times New Roman"/>
              <w:b/>
              <w:bCs/>
              <w:sz w:val="44"/>
              <w:szCs w:val="44"/>
            </w:rPr>
            <w:t xml:space="preserve"> </w:t>
          </w:r>
          <w:r w:rsidRPr="00847467">
            <w:rPr>
              <w:rFonts w:ascii="Times New Roman" w:hAnsi="Times New Roman" w:cs="Times New Roman"/>
              <w:b/>
              <w:bCs/>
              <w:sz w:val="44"/>
              <w:szCs w:val="44"/>
            </w:rPr>
            <w:t>James Moore/Robyn Griffiths</w:t>
          </w:r>
        </w:p>
        <w:tbl>
          <w:tblPr>
            <w:tblpPr w:leftFromText="187" w:rightFromText="187" w:vertAnchor="page" w:horzAnchor="margin" w:tblpXSpec="center" w:tblpY="6836"/>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847467" w14:paraId="505BA0C0" w14:textId="77777777" w:rsidTr="00847467">
            <w:tc>
              <w:tcPr>
                <w:tcW w:w="7209" w:type="dxa"/>
                <w:tcMar>
                  <w:top w:w="216" w:type="dxa"/>
                  <w:left w:w="115" w:type="dxa"/>
                  <w:bottom w:w="216" w:type="dxa"/>
                  <w:right w:w="115" w:type="dxa"/>
                </w:tcMar>
              </w:tcPr>
              <w:p w14:paraId="1D61EA06" w14:textId="0008783E" w:rsidR="00847467" w:rsidRDefault="00847467" w:rsidP="00847467">
                <w:pPr>
                  <w:pStyle w:val="NoSpacing"/>
                  <w:rPr>
                    <w:color w:val="0F4761" w:themeColor="accent1" w:themeShade="BF"/>
                    <w:sz w:val="24"/>
                  </w:rPr>
                </w:pPr>
              </w:p>
            </w:tc>
          </w:tr>
          <w:tr w:rsidR="00847467" w14:paraId="44B8EC58" w14:textId="77777777" w:rsidTr="00847467">
            <w:tc>
              <w:tcPr>
                <w:tcW w:w="7209" w:type="dxa"/>
              </w:tcPr>
              <w:sdt>
                <w:sdtPr>
                  <w:rPr>
                    <w:rFonts w:ascii="Times New Roman" w:eastAsiaTheme="majorEastAsia" w:hAnsi="Times New Roman" w:cs="Times New Roman"/>
                    <w:b/>
                    <w:bCs/>
                    <w:color w:val="156082" w:themeColor="accent1"/>
                    <w:sz w:val="88"/>
                    <w:szCs w:val="88"/>
                  </w:rPr>
                  <w:alias w:val="Title"/>
                  <w:id w:val="13406919"/>
                  <w:placeholder>
                    <w:docPart w:val="D76C438DB96F4669A114B26AED4C64E4"/>
                  </w:placeholder>
                  <w:dataBinding w:prefixMappings="xmlns:ns0='http://schemas.openxmlformats.org/package/2006/metadata/core-properties' xmlns:ns1='http://purl.org/dc/elements/1.1/'" w:xpath="/ns0:coreProperties[1]/ns1:title[1]" w:storeItemID="{6C3C8BC8-F283-45AE-878A-BAB7291924A1}"/>
                  <w:text/>
                </w:sdtPr>
                <w:sdtContent>
                  <w:p w14:paraId="6632C4E8" w14:textId="4B2CC294" w:rsidR="00847467" w:rsidRPr="00847467" w:rsidRDefault="00847467" w:rsidP="00847467">
                    <w:pPr>
                      <w:pStyle w:val="NoSpacing"/>
                      <w:spacing w:line="216" w:lineRule="auto"/>
                      <w:rPr>
                        <w:rFonts w:ascii="Times New Roman" w:eastAsiaTheme="majorEastAsia" w:hAnsi="Times New Roman" w:cs="Times New Roman"/>
                        <w:b/>
                        <w:bCs/>
                        <w:color w:val="156082" w:themeColor="accent1"/>
                        <w:sz w:val="88"/>
                        <w:szCs w:val="88"/>
                      </w:rPr>
                    </w:pPr>
                    <w:r w:rsidRPr="00847467">
                      <w:rPr>
                        <w:rFonts w:ascii="Times New Roman" w:eastAsiaTheme="majorEastAsia" w:hAnsi="Times New Roman" w:cs="Times New Roman"/>
                        <w:b/>
                        <w:bCs/>
                        <w:color w:val="156082" w:themeColor="accent1"/>
                        <w:sz w:val="88"/>
                        <w:szCs w:val="88"/>
                      </w:rPr>
                      <w:t xml:space="preserve"> </w:t>
                    </w:r>
                    <w:r w:rsidRPr="00847467">
                      <w:rPr>
                        <w:rFonts w:ascii="Times New Roman" w:eastAsiaTheme="majorEastAsia" w:hAnsi="Times New Roman" w:cs="Times New Roman"/>
                        <w:b/>
                        <w:bCs/>
                        <w:color w:val="156082" w:themeColor="accent1"/>
                        <w:sz w:val="88"/>
                        <w:szCs w:val="88"/>
                      </w:rPr>
                      <w:t>Assignment 1Essay; StitchCo</w:t>
                    </w:r>
                    <w:r w:rsidRPr="00847467">
                      <w:rPr>
                        <w:rFonts w:ascii="Times New Roman" w:eastAsiaTheme="majorEastAsia" w:hAnsi="Times New Roman" w:cs="Times New Roman"/>
                        <w:b/>
                        <w:bCs/>
                        <w:color w:val="156082" w:themeColor="accent1"/>
                        <w:sz w:val="88"/>
                        <w:szCs w:val="88"/>
                      </w:rPr>
                      <w:t xml:space="preserve"> </w:t>
                    </w:r>
                  </w:p>
                </w:sdtContent>
              </w:sdt>
            </w:tc>
          </w:tr>
          <w:tr w:rsidR="00847467" w14:paraId="62782FF2" w14:textId="77777777" w:rsidTr="00847467">
            <w:tc>
              <w:tcPr>
                <w:tcW w:w="7209" w:type="dxa"/>
                <w:tcMar>
                  <w:top w:w="216" w:type="dxa"/>
                  <w:left w:w="115" w:type="dxa"/>
                  <w:bottom w:w="216" w:type="dxa"/>
                  <w:right w:w="115" w:type="dxa"/>
                </w:tcMar>
              </w:tcPr>
              <w:p w14:paraId="054FD3AC" w14:textId="22E4624C" w:rsidR="00847467" w:rsidRPr="00847467" w:rsidRDefault="00847467" w:rsidP="00847467">
                <w:pPr>
                  <w:pStyle w:val="NoSpacing"/>
                  <w:rPr>
                    <w:rFonts w:ascii="Times New Roman" w:hAnsi="Times New Roman" w:cs="Times New Roman"/>
                    <w:b/>
                    <w:bCs/>
                    <w:color w:val="0F4761" w:themeColor="accent1" w:themeShade="BF"/>
                    <w:sz w:val="24"/>
                  </w:rPr>
                </w:pPr>
              </w:p>
            </w:tc>
          </w:tr>
        </w:tbl>
        <w:p w14:paraId="68CBFBCE" w14:textId="3CEFED05" w:rsidR="00847467" w:rsidRDefault="00847467">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br w:type="page"/>
          </w:r>
        </w:p>
      </w:sdtContent>
    </w:sdt>
    <w:p w14:paraId="11FD27BD" w14:textId="2FBC606D"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lastRenderedPageBreak/>
        <w:t xml:space="preserve">StitchCo has shifted from manual production of garments into an automated and data-driven system. This transition completely altered the long-held working relationships, patterns and expectations of the company. An employee that has spent years perfecting a manual production process suddenly now needs to work with a new, unfamiliar technological system along with potential machine defects that could occur along with a different standard of performance metrics on how they are measured. These changes can be overwhelming for the employee and create anxiety, frustration and conflict. To properly prepare employees for these changes, StitchCo will need to incorporate Emotional Intelligence into Leadership Practice, provide opportunities for employees to make sense of what they are experiencing and to take a </w:t>
      </w:r>
      <w:r w:rsidR="00500F19">
        <w:rPr>
          <w:rFonts w:ascii="Times New Roman" w:hAnsi="Times New Roman" w:cs="Times New Roman"/>
        </w:rPr>
        <w:t>s</w:t>
      </w:r>
      <w:r w:rsidRPr="003D106B">
        <w:rPr>
          <w:rFonts w:ascii="Times New Roman" w:hAnsi="Times New Roman" w:cs="Times New Roman"/>
        </w:rPr>
        <w:t>ocio-technical approach that aligns the needs of the employee with the capabilities of the technology. It is essential that all three aspects are incorporated to reduce resistance, to promote resilience and to ensure the implementation of the new technology positively impacts an employee’s overall performance (Nadler, 2024).</w:t>
      </w:r>
    </w:p>
    <w:p w14:paraId="69A4DE6C" w14:textId="77777777" w:rsidR="00500F19"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Through the event of the transition, StitchCo leadership exhibited a lack of emotional intelligence. The term 'Emotional Intelligence' primarily relates to the ability of a leader to read, understand and respond to the emotions of their employees. When employees began to work on new machines and began experiencing difficulties, many employees felt embarrassed, insecure and overwhelmed by the experience. </w:t>
      </w:r>
      <w:r w:rsidR="00500F19" w:rsidRPr="003D106B">
        <w:rPr>
          <w:rFonts w:ascii="Times New Roman" w:hAnsi="Times New Roman" w:cs="Times New Roman"/>
        </w:rPr>
        <w:t>To</w:t>
      </w:r>
      <w:r w:rsidRPr="003D106B">
        <w:rPr>
          <w:rFonts w:ascii="Times New Roman" w:hAnsi="Times New Roman" w:cs="Times New Roman"/>
        </w:rPr>
        <w:t xml:space="preserve"> help these employees, managers should have recognised the emotions of their employees and acknowledged the need for them to receive emotional and psychological support rather than believing the employees were having a problem with the machine due to a lack of mechanical aptitude. Leaders that exhibit high emotional intelligence create an environment where employees feel valued and understood, especially during difficult transition periods. If leaders do not utilise emotional intelligence when leading employees through a transition, fear can go unaddressed and turn into resistance, absenteeism and disengagement among employees. Therefore, </w:t>
      </w:r>
      <w:r w:rsidRPr="003D106B">
        <w:rPr>
          <w:rFonts w:ascii="Times New Roman" w:hAnsi="Times New Roman" w:cs="Times New Roman"/>
        </w:rPr>
        <w:lastRenderedPageBreak/>
        <w:t>emotional intelligence is essential to facilitating the human aspect of technological change and in fostering trust between the leaders and employees (Morgan et al., 2025).</w:t>
      </w:r>
    </w:p>
    <w:p w14:paraId="2103FEA4" w14:textId="77777777" w:rsidR="00500F19"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Sensemaking is another significant element in understanding how employees react to change when the company undergoes a transformation. When companies make significant change, such as consolidating or merging locations or allowing employees to do work remotely, the employees must create an understanding of how the change will affect their status, roles and overall </w:t>
      </w:r>
      <w:r w:rsidR="00500F19" w:rsidRPr="003D106B">
        <w:rPr>
          <w:rFonts w:ascii="Times New Roman" w:hAnsi="Times New Roman" w:cs="Times New Roman"/>
        </w:rPr>
        <w:t>identity. With</w:t>
      </w:r>
      <w:r w:rsidRPr="003D106B">
        <w:rPr>
          <w:rFonts w:ascii="Times New Roman" w:hAnsi="Times New Roman" w:cs="Times New Roman"/>
        </w:rPr>
        <w:t xml:space="preserve"> no organised corporate narrative, StitchCo implemented their automation technologies without communicating the rationale for implementing such technology or how they may enhance the company's future. Employees started creating their own narratives; unfortunately, the most depressing ones were based on belief that automation would eliminate jobs/diminish the value of their current jobs. Theory of Sensemaking</w:t>
      </w:r>
      <w:r w:rsidR="00500F19">
        <w:rPr>
          <w:rFonts w:ascii="Times New Roman" w:hAnsi="Times New Roman" w:cs="Times New Roman"/>
        </w:rPr>
        <w:t xml:space="preserve"> (</w:t>
      </w:r>
      <w:r w:rsidR="00500F19" w:rsidRPr="00500F19">
        <w:rPr>
          <w:rFonts w:ascii="Times New Roman" w:hAnsi="Times New Roman" w:cs="Times New Roman"/>
        </w:rPr>
        <w:t>Malik, 2025</w:t>
      </w:r>
      <w:r w:rsidR="00500F19">
        <w:rPr>
          <w:rFonts w:ascii="Times New Roman" w:hAnsi="Times New Roman" w:cs="Times New Roman"/>
        </w:rPr>
        <w:t>)</w:t>
      </w:r>
      <w:r w:rsidRPr="003D106B">
        <w:rPr>
          <w:rFonts w:ascii="Times New Roman" w:hAnsi="Times New Roman" w:cs="Times New Roman"/>
        </w:rPr>
        <w:t xml:space="preserve"> states that when an organisational leader provides their employees with a consistent description of changes, informs them of the long-term vision for the organisation, and actively partners with their employees to provide information on the new process or system, employees will generally have a more positive response to organisational change. Conversely, when employees do not receive information from the organisation regarding change, the level of uncertainty that they typically experience tends to increase, which ultimately produces a lack of commitment from employees to adopt the new process (</w:t>
      </w:r>
      <w:proofErr w:type="spellStart"/>
      <w:r w:rsidRPr="003D106B">
        <w:rPr>
          <w:rFonts w:ascii="Times New Roman" w:hAnsi="Times New Roman" w:cs="Times New Roman"/>
        </w:rPr>
        <w:t>Mdletye</w:t>
      </w:r>
      <w:proofErr w:type="spellEnd"/>
      <w:r w:rsidRPr="003D106B">
        <w:rPr>
          <w:rFonts w:ascii="Times New Roman" w:hAnsi="Times New Roman" w:cs="Times New Roman"/>
        </w:rPr>
        <w:t xml:space="preserve"> 2025).</w:t>
      </w:r>
    </w:p>
    <w:p w14:paraId="000FDC4F" w14:textId="7CDAF3B5" w:rsidR="00500F19"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StitchCo also did not consider the socio-technical aspect of technological change. Socio-technical theory explains that for organisations to improve performance via technology improvements, the organisational social systems must co-evolve with the technological systems. StitchCo introduced new, advanced machinery but did not change the structure of their teams, their performance metrics, or their communication channels to accommodate the introduction of this advanced technology. This lack of alignment resulted in confusion, frustration, and delays. Machines were viewed as isolated tools versus integrated components </w:t>
      </w:r>
      <w:r w:rsidRPr="003D106B">
        <w:rPr>
          <w:rFonts w:ascii="Times New Roman" w:hAnsi="Times New Roman" w:cs="Times New Roman"/>
        </w:rPr>
        <w:lastRenderedPageBreak/>
        <w:t xml:space="preserve">of a larger organisational system. To implement successful automation, organisations need to redesign jobs, develop new communication channels, and provide training that reflects the realities associated with human-machine interactions. StitchCo </w:t>
      </w:r>
      <w:r w:rsidR="00500F19" w:rsidRPr="003D106B">
        <w:rPr>
          <w:rFonts w:ascii="Times New Roman" w:hAnsi="Times New Roman" w:cs="Times New Roman"/>
        </w:rPr>
        <w:t>could not</w:t>
      </w:r>
      <w:r w:rsidRPr="003D106B">
        <w:rPr>
          <w:rFonts w:ascii="Times New Roman" w:hAnsi="Times New Roman" w:cs="Times New Roman"/>
        </w:rPr>
        <w:t xml:space="preserve"> achieve its potential through automation due to the combination of not aligning technical and social systems </w:t>
      </w:r>
      <w:r w:rsidR="00500F19" w:rsidRPr="003D106B">
        <w:rPr>
          <w:rFonts w:ascii="Times New Roman" w:hAnsi="Times New Roman" w:cs="Times New Roman"/>
        </w:rPr>
        <w:t>and</w:t>
      </w:r>
      <w:r w:rsidRPr="003D106B">
        <w:rPr>
          <w:rFonts w:ascii="Times New Roman" w:hAnsi="Times New Roman" w:cs="Times New Roman"/>
        </w:rPr>
        <w:t xml:space="preserve"> increasing resistance from employees (Korsten et al. 2025).</w:t>
      </w:r>
    </w:p>
    <w:p w14:paraId="056C47D7" w14:textId="77777777" w:rsidR="00500F19"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Cross-functional collaboration is essential for effective technological change, but the strict nature of StitchCo's division of labour hindered cross-functional collaboration. Employees working in different roles seldom interacted with each other in ways that contributed to productivity and efficiency. When automation was introduced, the result was an increase in interdependence between teams; thus, they were not ready to engage in productive cross-functional collaboration. Often, engineering knowledge and operational knowledge were necessary to resolve technical problems; however, employees worked in silos with no common </w:t>
      </w:r>
      <w:r w:rsidR="00500F19" w:rsidRPr="003D106B">
        <w:rPr>
          <w:rFonts w:ascii="Times New Roman" w:hAnsi="Times New Roman" w:cs="Times New Roman"/>
        </w:rPr>
        <w:t>understanding. To</w:t>
      </w:r>
      <w:r w:rsidRPr="003D106B">
        <w:rPr>
          <w:rFonts w:ascii="Times New Roman" w:hAnsi="Times New Roman" w:cs="Times New Roman"/>
        </w:rPr>
        <w:t xml:space="preserve"> collaborate effectively, structures must be in place to enable shared learning, problem-solving in a coordinated way, and openness regarding communication. StitchCo did not have structures such as cross-functional meetings, joint problem-solving discussions or improvement teams put into place. This lack of structure led to conflicts arising from a focus on comparing performance data of groups rather than uniting groups on common goals (Chen et al., 2025). </w:t>
      </w:r>
    </w:p>
    <w:p w14:paraId="3089C5E7" w14:textId="77777777" w:rsidR="00500F19"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Another reason StitchCo’s change initiative failed was due to the organisation’s inability to foster resilience in its employees. Resilience is the ability to recover from setbacks and adjust to new conditions. The introduction of new technologies provides many opportunities for setbacks to occur including machine breakdowns and interruption in processes. Without resilience, employees respond to challenges with frustration or disengagement. StitchCo did not provide any type of support for developing resilience, such as coaching, reflective practice or establishing a network of support. Creating an emotionally resilient workforce </w:t>
      </w:r>
      <w:r w:rsidRPr="003D106B">
        <w:rPr>
          <w:rFonts w:ascii="Times New Roman" w:hAnsi="Times New Roman" w:cs="Times New Roman"/>
        </w:rPr>
        <w:lastRenderedPageBreak/>
        <w:t xml:space="preserve">requires that employers communicate openly about problems, support employees in problem solving and reward employees for small successes. When employees recognise that experiencing setbacks during the introduction of new technology is a normal occurrence, they will be able to keep their stress levels down and stay engaged in their work (Williams et al., 2003). </w:t>
      </w:r>
    </w:p>
    <w:p w14:paraId="28D485DD" w14:textId="24D02A84"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Trust is the cornerstone of any successful organisation change but the way in which StitchCo implemented its change efforts reduced the level of trust that employees had for the organisation's leadership. Trust erodes when employees believe management's decisions are made unilaterally or without any explanation. The use of digital performance metrics introduced without a process for obtaining employee feedback added to the employee's perception that management was monitoring employees rather than providing them with support. By being more transparent with employees about how performance metrics will be utilised and by being empathetic toward the employee's situation of adjusting to the new resource and behaving in a manner consistent with previous statements regarding Digital Performance Metrics, an employer can increase the level of trust between management and </w:t>
      </w:r>
      <w:r w:rsidR="00500F19" w:rsidRPr="003D106B">
        <w:rPr>
          <w:rFonts w:ascii="Times New Roman" w:hAnsi="Times New Roman" w:cs="Times New Roman"/>
        </w:rPr>
        <w:t>employees. For</w:t>
      </w:r>
      <w:r w:rsidRPr="003D106B">
        <w:rPr>
          <w:rFonts w:ascii="Times New Roman" w:hAnsi="Times New Roman" w:cs="Times New Roman"/>
        </w:rPr>
        <w:t xml:space="preserve"> leaders at StitchCo to gain trust, they will need an open and honest dialogue regarding the use of data to evaluate performance criteria. They will also need to involve employees in that process by ensuring there is equitable implementation of the new systems</w:t>
      </w:r>
      <w:r w:rsidR="00500F19">
        <w:rPr>
          <w:rFonts w:ascii="Times New Roman" w:hAnsi="Times New Roman" w:cs="Times New Roman"/>
        </w:rPr>
        <w:t xml:space="preserve"> </w:t>
      </w:r>
      <w:r w:rsidRPr="003D106B">
        <w:rPr>
          <w:rFonts w:ascii="Times New Roman" w:hAnsi="Times New Roman" w:cs="Times New Roman"/>
        </w:rPr>
        <w:t>(Yao et al., 2025).</w:t>
      </w:r>
    </w:p>
    <w:p w14:paraId="7D65C502" w14:textId="7ADEF80E"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Although digital transformation is largely focused on learning, StitchCo underestimated the need for employee learning. The reliance on automated machines requires employees to possess the technical skills as well as the critical thinking and data interpretation necessary to work with those machines. The short training sessions provided to employees did not allow enough time for them to gain the confidence necessary to adequately perform their roles. In addition to providing adequate time and feedback for employees to gain the knowledge </w:t>
      </w:r>
      <w:r w:rsidRPr="003D106B">
        <w:rPr>
          <w:rFonts w:ascii="Times New Roman" w:hAnsi="Times New Roman" w:cs="Times New Roman"/>
        </w:rPr>
        <w:lastRenderedPageBreak/>
        <w:t>necessary to become competent in their positions, a learning-focused culture that fosters questions, experimentation and collaborative problem-solving will also be helpful</w:t>
      </w:r>
      <w:r w:rsidR="00500F19">
        <w:rPr>
          <w:rFonts w:ascii="Times New Roman" w:hAnsi="Times New Roman" w:cs="Times New Roman"/>
        </w:rPr>
        <w:t xml:space="preserve"> (</w:t>
      </w:r>
      <w:proofErr w:type="spellStart"/>
      <w:r w:rsidRPr="003D106B">
        <w:rPr>
          <w:rFonts w:ascii="Times New Roman" w:hAnsi="Times New Roman" w:cs="Times New Roman"/>
        </w:rPr>
        <w:t>Usadolo</w:t>
      </w:r>
      <w:proofErr w:type="spellEnd"/>
      <w:r w:rsidRPr="003D106B">
        <w:rPr>
          <w:rFonts w:ascii="Times New Roman" w:hAnsi="Times New Roman" w:cs="Times New Roman"/>
        </w:rPr>
        <w:t xml:space="preserve"> et al.</w:t>
      </w:r>
      <w:r w:rsidR="00500F19">
        <w:rPr>
          <w:rFonts w:ascii="Times New Roman" w:hAnsi="Times New Roman" w:cs="Times New Roman"/>
        </w:rPr>
        <w:t xml:space="preserve">, </w:t>
      </w:r>
      <w:r w:rsidRPr="003D106B">
        <w:rPr>
          <w:rFonts w:ascii="Times New Roman" w:hAnsi="Times New Roman" w:cs="Times New Roman"/>
        </w:rPr>
        <w:t>2025)</w:t>
      </w:r>
      <w:r w:rsidR="00500F19">
        <w:rPr>
          <w:rFonts w:ascii="Times New Roman" w:hAnsi="Times New Roman" w:cs="Times New Roman"/>
        </w:rPr>
        <w:t>.</w:t>
      </w:r>
    </w:p>
    <w:p w14:paraId="7C0FF4E9" w14:textId="77777777"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t>A large part of the resistance the employees of StitchCo are facing is also due to their disruption in identity. The manual skills that they had built their identity around, along with speed and craftsmanship, were threatened by the implementation of automation. This type of change in their workplace creates an emotional conflict within them. Change initiatives should focus on respecting the employees' identities and continuing to value their traditional skills while helping them develop new competencies. Identity reconstruction can occur by presenting digital competence as an enhancement to craftsmanship as opposed to replacement. Leaders should also acknowledge past contributions and demonstrate how new skills improve an employee's professional value. Without adequate identity reconstruction, the employee will feel that they are losing their expertise and authority during the change process (Meijers, 2024).</w:t>
      </w:r>
    </w:p>
    <w:p w14:paraId="51E264B0" w14:textId="012C4D88"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Inadequate communication has further exacerbated these </w:t>
      </w:r>
      <w:r w:rsidR="00500F19" w:rsidRPr="003D106B">
        <w:rPr>
          <w:rFonts w:ascii="Times New Roman" w:hAnsi="Times New Roman" w:cs="Times New Roman"/>
        </w:rPr>
        <w:t>issues. The</w:t>
      </w:r>
      <w:r w:rsidRPr="003D106B">
        <w:rPr>
          <w:rFonts w:ascii="Times New Roman" w:hAnsi="Times New Roman" w:cs="Times New Roman"/>
        </w:rPr>
        <w:t xml:space="preserve"> employees expressed that they were not kept informed nor were their concerns heard, so management needs to have constant and compassionate communication through a two-way process during change. Employees need to have access to voice their concerns and questions. Managers should clearly communicate timelines, expectations and why decisions have been made. Inconsistent communication allows employees to fill the voids with negative thoughts. Having open communication allows employees to adapt rather than speculate (Yue et al., 2019).</w:t>
      </w:r>
    </w:p>
    <w:p w14:paraId="553C0D79" w14:textId="77777777" w:rsidR="00847467"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The way that industrial relations were set up affected how employees responded. Union representatives were involved at the beginning of the process but did not actively contribute to the development of the change process. Strong industrial relations pave the way for </w:t>
      </w:r>
      <w:r w:rsidRPr="003D106B">
        <w:rPr>
          <w:rFonts w:ascii="Times New Roman" w:hAnsi="Times New Roman" w:cs="Times New Roman"/>
        </w:rPr>
        <w:lastRenderedPageBreak/>
        <w:t>communication, fairness and collaborative problem-solving. When unions are a part of the process, the employee feels that he/she has protection and credibility. Having strong industrial relations fosters an atmosphere of respect between the union, employer and employee, which can foster an environment that employees see as an opportunity for automation rather than a threat (Ramlall et al., 2025).</w:t>
      </w:r>
    </w:p>
    <w:p w14:paraId="66CC9043" w14:textId="1D97EA78" w:rsidR="003D106B" w:rsidRPr="003D106B" w:rsidRDefault="003D106B" w:rsidP="003D106B">
      <w:pPr>
        <w:spacing w:line="480" w:lineRule="auto"/>
        <w:rPr>
          <w:rFonts w:ascii="Times New Roman" w:hAnsi="Times New Roman" w:cs="Times New Roman"/>
        </w:rPr>
      </w:pPr>
      <w:r w:rsidRPr="003D106B">
        <w:rPr>
          <w:rFonts w:ascii="Times New Roman" w:hAnsi="Times New Roman" w:cs="Times New Roman"/>
        </w:rPr>
        <w:t>A third important aspect of getting ready for change is emotional support. When an organisation implements automation, employees experience emotional stress from two sources: fear of being out placed due to automation and learning curves associated with technology</w:t>
      </w:r>
      <w:r w:rsidR="00847467">
        <w:rPr>
          <w:rFonts w:ascii="Times New Roman" w:hAnsi="Times New Roman" w:cs="Times New Roman"/>
        </w:rPr>
        <w:t xml:space="preserve"> (</w:t>
      </w:r>
      <w:proofErr w:type="spellStart"/>
      <w:r w:rsidRPr="003D106B">
        <w:rPr>
          <w:rFonts w:ascii="Times New Roman" w:hAnsi="Times New Roman" w:cs="Times New Roman"/>
        </w:rPr>
        <w:t>Ausat</w:t>
      </w:r>
      <w:proofErr w:type="spellEnd"/>
      <w:r w:rsidRPr="003D106B">
        <w:rPr>
          <w:rFonts w:ascii="Times New Roman" w:hAnsi="Times New Roman" w:cs="Times New Roman"/>
        </w:rPr>
        <w:t xml:space="preserve"> et al.</w:t>
      </w:r>
      <w:r w:rsidR="00847467">
        <w:rPr>
          <w:rFonts w:ascii="Times New Roman" w:hAnsi="Times New Roman" w:cs="Times New Roman"/>
        </w:rPr>
        <w:t xml:space="preserve">, </w:t>
      </w:r>
      <w:r w:rsidRPr="003D106B">
        <w:rPr>
          <w:rFonts w:ascii="Times New Roman" w:hAnsi="Times New Roman" w:cs="Times New Roman"/>
        </w:rPr>
        <w:t>2024). StitchCo's provision of little emotional support, contributed to higher levels of absenteeism and increased employee turnover. Leaders need to acknowledge their employee's feelings and provide emotional support in the form of encouragement and empathy. Emotional support enhances the employee's resilience and decreases their resistance (</w:t>
      </w:r>
      <w:proofErr w:type="spellStart"/>
      <w:r w:rsidRPr="003D106B">
        <w:rPr>
          <w:rFonts w:ascii="Times New Roman" w:hAnsi="Times New Roman" w:cs="Times New Roman"/>
        </w:rPr>
        <w:t>Ausat</w:t>
      </w:r>
      <w:proofErr w:type="spellEnd"/>
      <w:r w:rsidRPr="003D106B">
        <w:rPr>
          <w:rFonts w:ascii="Times New Roman" w:hAnsi="Times New Roman" w:cs="Times New Roman"/>
        </w:rPr>
        <w:t xml:space="preserve"> et al., 2024).</w:t>
      </w:r>
    </w:p>
    <w:p w14:paraId="08A64ACE" w14:textId="7FFF4C8A" w:rsidR="003D106B" w:rsidRDefault="003D106B" w:rsidP="003D106B">
      <w:pPr>
        <w:spacing w:line="480" w:lineRule="auto"/>
        <w:rPr>
          <w:rFonts w:ascii="Times New Roman" w:hAnsi="Times New Roman" w:cs="Times New Roman"/>
        </w:rPr>
      </w:pPr>
      <w:r w:rsidRPr="003D106B">
        <w:rPr>
          <w:rFonts w:ascii="Times New Roman" w:hAnsi="Times New Roman" w:cs="Times New Roman"/>
        </w:rPr>
        <w:t xml:space="preserve">In conclusion, StitchCo's difficulty in managing technological change demonstrates the importance of emotional awareness, sense-making, socio-technical alignment and a commitment to collaborative learning when dealing with technological change. Technology will only work if the leaders in a company understand the emotional realities and clarify their meaning. Integrating technical and social systems and building trust through collaboration creates a climate that allows employees to feel comfortable and capable of successfully transitioning. If an organisation fails to construct their approach to managing change with an understanding of the </w:t>
      </w:r>
      <w:r w:rsidR="00847467" w:rsidRPr="003D106B">
        <w:rPr>
          <w:rFonts w:ascii="Times New Roman" w:hAnsi="Times New Roman" w:cs="Times New Roman"/>
        </w:rPr>
        <w:t>human</w:t>
      </w:r>
      <w:r w:rsidRPr="003D106B">
        <w:rPr>
          <w:rFonts w:ascii="Times New Roman" w:hAnsi="Times New Roman" w:cs="Times New Roman"/>
        </w:rPr>
        <w:t xml:space="preserve"> factors, continued investments in technology will be met with resistance and under-performance, limiting the organisation's competitive advantage in a rapidly changing industry (Costa &amp; Opare</w:t>
      </w:r>
      <w:r w:rsidR="00847467">
        <w:rPr>
          <w:rFonts w:ascii="Times New Roman" w:hAnsi="Times New Roman" w:cs="Times New Roman"/>
        </w:rPr>
        <w:t>, 2025).</w:t>
      </w:r>
    </w:p>
    <w:p w14:paraId="261D06F4" w14:textId="77777777" w:rsidR="00847467" w:rsidRDefault="00847467" w:rsidP="003D106B">
      <w:pPr>
        <w:spacing w:line="480" w:lineRule="auto"/>
        <w:rPr>
          <w:rFonts w:ascii="Times New Roman" w:hAnsi="Times New Roman" w:cs="Times New Roman"/>
        </w:rPr>
      </w:pPr>
    </w:p>
    <w:p w14:paraId="4764AB08" w14:textId="77777777" w:rsidR="00B57ECE" w:rsidRPr="003E6835" w:rsidRDefault="00847467" w:rsidP="003D106B">
      <w:pPr>
        <w:spacing w:line="480" w:lineRule="auto"/>
        <w:rPr>
          <w:rFonts w:ascii="Times New Roman" w:hAnsi="Times New Roman" w:cs="Times New Roman"/>
          <w:b/>
          <w:bCs/>
        </w:rPr>
      </w:pPr>
      <w:r w:rsidRPr="003E6835">
        <w:rPr>
          <w:rFonts w:ascii="Times New Roman" w:hAnsi="Times New Roman" w:cs="Times New Roman"/>
          <w:b/>
          <w:bCs/>
        </w:rPr>
        <w:lastRenderedPageBreak/>
        <w:t>References</w:t>
      </w:r>
    </w:p>
    <w:p w14:paraId="656816E6" w14:textId="7DD8B129" w:rsidR="00401CB6" w:rsidRDefault="00401CB6" w:rsidP="003D106B">
      <w:pPr>
        <w:spacing w:line="480" w:lineRule="auto"/>
        <w:rPr>
          <w:rFonts w:ascii="Times New Roman" w:hAnsi="Times New Roman" w:cs="Times New Roman"/>
        </w:rPr>
      </w:pPr>
      <w:r w:rsidRPr="00401CB6">
        <w:rPr>
          <w:rFonts w:ascii="Times New Roman" w:hAnsi="Times New Roman" w:cs="Times New Roman"/>
        </w:rPr>
        <w:t xml:space="preserve">Arnold, K. A. (2017). Transformational leadership and employee psychological well-being: A review and directions for future research. </w:t>
      </w:r>
      <w:r w:rsidRPr="00401CB6">
        <w:rPr>
          <w:rFonts w:ascii="Times New Roman" w:hAnsi="Times New Roman" w:cs="Times New Roman"/>
          <w:i/>
          <w:iCs/>
        </w:rPr>
        <w:t>Journal of Occupational Health Psychology</w:t>
      </w:r>
      <w:r w:rsidRPr="00401CB6">
        <w:rPr>
          <w:rFonts w:ascii="Times New Roman" w:hAnsi="Times New Roman" w:cs="Times New Roman"/>
        </w:rPr>
        <w:t xml:space="preserve">, 22(3), 381–393. </w:t>
      </w:r>
      <w:hyperlink r:id="rId6" w:history="1">
        <w:r w:rsidRPr="00F90BF4">
          <w:rPr>
            <w:rStyle w:val="Hyperlink"/>
            <w:rFonts w:ascii="Times New Roman" w:hAnsi="Times New Roman" w:cs="Times New Roman"/>
          </w:rPr>
          <w:t>https://doi.org/10.1037/ocp0000062</w:t>
        </w:r>
      </w:hyperlink>
      <w:r>
        <w:rPr>
          <w:rFonts w:ascii="Times New Roman" w:hAnsi="Times New Roman" w:cs="Times New Roman"/>
        </w:rPr>
        <w:t xml:space="preserve"> </w:t>
      </w:r>
    </w:p>
    <w:p w14:paraId="6D8F75DA" w14:textId="1F097E92" w:rsidR="00401CB6" w:rsidRDefault="00401CB6" w:rsidP="00B57ECE">
      <w:pPr>
        <w:spacing w:line="480" w:lineRule="auto"/>
        <w:rPr>
          <w:rFonts w:ascii="Times New Roman" w:hAnsi="Times New Roman" w:cs="Times New Roman"/>
        </w:rPr>
      </w:pPr>
      <w:proofErr w:type="spellStart"/>
      <w:r w:rsidRPr="00401CB6">
        <w:rPr>
          <w:rFonts w:ascii="Times New Roman" w:hAnsi="Times New Roman" w:cs="Times New Roman"/>
        </w:rPr>
        <w:t>Ausat</w:t>
      </w:r>
      <w:proofErr w:type="spellEnd"/>
      <w:r w:rsidRPr="00401CB6">
        <w:rPr>
          <w:rFonts w:ascii="Times New Roman" w:hAnsi="Times New Roman" w:cs="Times New Roman"/>
        </w:rPr>
        <w:t xml:space="preserve">, A.M.A., Shafiq, M.A., </w:t>
      </w:r>
      <w:proofErr w:type="spellStart"/>
      <w:r w:rsidRPr="00401CB6">
        <w:rPr>
          <w:rFonts w:ascii="Times New Roman" w:hAnsi="Times New Roman" w:cs="Times New Roman"/>
        </w:rPr>
        <w:t>Wafik</w:t>
      </w:r>
      <w:proofErr w:type="spellEnd"/>
      <w:r w:rsidRPr="00401CB6">
        <w:rPr>
          <w:rFonts w:ascii="Times New Roman" w:hAnsi="Times New Roman" w:cs="Times New Roman"/>
        </w:rPr>
        <w:t xml:space="preserve">, D. and López, N.A.S., 2024. The role of transformational leadership in improving employee psychological wellbeing: a review. </w:t>
      </w:r>
      <w:r w:rsidRPr="00401CB6">
        <w:rPr>
          <w:rFonts w:ascii="Times New Roman" w:hAnsi="Times New Roman" w:cs="Times New Roman"/>
          <w:i/>
          <w:iCs/>
        </w:rPr>
        <w:t>Apollo: Journal of Tourism and Business</w:t>
      </w:r>
      <w:r w:rsidRPr="00401CB6">
        <w:rPr>
          <w:rFonts w:ascii="Times New Roman" w:hAnsi="Times New Roman" w:cs="Times New Roman"/>
        </w:rPr>
        <w:t xml:space="preserve">, 2(1), pp.148-157. </w:t>
      </w:r>
      <w:hyperlink r:id="rId7" w:history="1">
        <w:r w:rsidRPr="00F90BF4">
          <w:rPr>
            <w:rStyle w:val="Hyperlink"/>
            <w:rFonts w:ascii="Times New Roman" w:hAnsi="Times New Roman" w:cs="Times New Roman"/>
          </w:rPr>
          <w:t>https://doi.org/10.58905/apollo.v2i1.239</w:t>
        </w:r>
      </w:hyperlink>
    </w:p>
    <w:p w14:paraId="3DC9F527" w14:textId="77777777" w:rsidR="00401CB6"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Chen, W., Luo, Y., Rao, M. and Zhang, P., 2025. Too much teamwork? The effect of corporate collaboration culture on breakthrough innovation. </w:t>
      </w:r>
      <w:r w:rsidRPr="003E6835">
        <w:rPr>
          <w:rFonts w:ascii="Times New Roman" w:hAnsi="Times New Roman" w:cs="Times New Roman"/>
          <w:i/>
          <w:iCs/>
        </w:rPr>
        <w:t>Finance Research Letters</w:t>
      </w:r>
      <w:r w:rsidRPr="00401CB6">
        <w:rPr>
          <w:rFonts w:ascii="Times New Roman" w:hAnsi="Times New Roman" w:cs="Times New Roman"/>
        </w:rPr>
        <w:t>, 78, p.106913.</w:t>
      </w:r>
    </w:p>
    <w:p w14:paraId="038FB264" w14:textId="25E411FD" w:rsidR="00401CB6"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Korsten, G., Ozkan, B., </w:t>
      </w:r>
      <w:proofErr w:type="spellStart"/>
      <w:r w:rsidRPr="00401CB6">
        <w:rPr>
          <w:rFonts w:ascii="Times New Roman" w:hAnsi="Times New Roman" w:cs="Times New Roman"/>
        </w:rPr>
        <w:t>Aysolmaz</w:t>
      </w:r>
      <w:proofErr w:type="spellEnd"/>
      <w:r w:rsidRPr="00401CB6">
        <w:rPr>
          <w:rFonts w:ascii="Times New Roman" w:hAnsi="Times New Roman" w:cs="Times New Roman"/>
        </w:rPr>
        <w:t>, B. et al. How do organizational capabilities mature? maturity level characteristics for organi</w:t>
      </w:r>
      <w:r w:rsidR="003E6835">
        <w:rPr>
          <w:rFonts w:ascii="Times New Roman" w:hAnsi="Times New Roman" w:cs="Times New Roman"/>
        </w:rPr>
        <w:t>s</w:t>
      </w:r>
      <w:r w:rsidRPr="00401CB6">
        <w:rPr>
          <w:rFonts w:ascii="Times New Roman" w:hAnsi="Times New Roman" w:cs="Times New Roman"/>
        </w:rPr>
        <w:t xml:space="preserve">ational capabilities. </w:t>
      </w:r>
      <w:proofErr w:type="spellStart"/>
      <w:r w:rsidRPr="003E6835">
        <w:rPr>
          <w:rFonts w:ascii="Times New Roman" w:hAnsi="Times New Roman" w:cs="Times New Roman"/>
          <w:i/>
          <w:iCs/>
        </w:rPr>
        <w:t>Softw</w:t>
      </w:r>
      <w:proofErr w:type="spellEnd"/>
      <w:r w:rsidRPr="003E6835">
        <w:rPr>
          <w:rFonts w:ascii="Times New Roman" w:hAnsi="Times New Roman" w:cs="Times New Roman"/>
          <w:i/>
          <w:iCs/>
        </w:rPr>
        <w:t xml:space="preserve"> </w:t>
      </w:r>
      <w:proofErr w:type="spellStart"/>
      <w:r w:rsidRPr="003E6835">
        <w:rPr>
          <w:rFonts w:ascii="Times New Roman" w:hAnsi="Times New Roman" w:cs="Times New Roman"/>
          <w:i/>
          <w:iCs/>
        </w:rPr>
        <w:t>Syst</w:t>
      </w:r>
      <w:proofErr w:type="spellEnd"/>
      <w:r w:rsidRPr="003E6835">
        <w:rPr>
          <w:rFonts w:ascii="Times New Roman" w:hAnsi="Times New Roman" w:cs="Times New Roman"/>
          <w:i/>
          <w:iCs/>
        </w:rPr>
        <w:t xml:space="preserve"> Model</w:t>
      </w:r>
      <w:r w:rsidRPr="00401CB6">
        <w:rPr>
          <w:rFonts w:ascii="Times New Roman" w:hAnsi="Times New Roman" w:cs="Times New Roman"/>
        </w:rPr>
        <w:t xml:space="preserve"> (2025). </w:t>
      </w:r>
      <w:hyperlink r:id="rId8" w:history="1">
        <w:r w:rsidRPr="00F90BF4">
          <w:rPr>
            <w:rStyle w:val="Hyperlink"/>
            <w:rFonts w:ascii="Times New Roman" w:hAnsi="Times New Roman" w:cs="Times New Roman"/>
          </w:rPr>
          <w:t>https://doi.org/10.1007/s10270-025-01309-x</w:t>
        </w:r>
      </w:hyperlink>
      <w:r>
        <w:rPr>
          <w:rFonts w:ascii="Times New Roman" w:hAnsi="Times New Roman" w:cs="Times New Roman"/>
        </w:rPr>
        <w:t xml:space="preserve"> </w:t>
      </w:r>
    </w:p>
    <w:p w14:paraId="07067CF6" w14:textId="26CDA8E5" w:rsidR="00401CB6"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Mdletye, Z., 2025. The Link Between Organisational Communication and Organisational Behaviour. In </w:t>
      </w:r>
      <w:r w:rsidRPr="003E6835">
        <w:rPr>
          <w:rFonts w:ascii="Times New Roman" w:hAnsi="Times New Roman" w:cs="Times New Roman"/>
          <w:i/>
          <w:iCs/>
        </w:rPr>
        <w:t>Organisational Behaviour, Communication, and Digitalisation in a Changing World (pp. 93-111).</w:t>
      </w:r>
      <w:r w:rsidRPr="00401CB6">
        <w:rPr>
          <w:rFonts w:ascii="Times New Roman" w:hAnsi="Times New Roman" w:cs="Times New Roman"/>
        </w:rPr>
        <w:t xml:space="preserve"> Cham: Springer Nature Switzerland.</w:t>
      </w:r>
    </w:p>
    <w:p w14:paraId="73272C91" w14:textId="289569BF" w:rsidR="00B57ECE" w:rsidRDefault="00B57ECE" w:rsidP="00B57ECE">
      <w:pPr>
        <w:spacing w:line="480" w:lineRule="auto"/>
        <w:rPr>
          <w:rFonts w:ascii="Times New Roman" w:hAnsi="Times New Roman" w:cs="Times New Roman"/>
        </w:rPr>
      </w:pPr>
      <w:r w:rsidRPr="00B57ECE">
        <w:rPr>
          <w:rFonts w:ascii="Times New Roman" w:hAnsi="Times New Roman" w:cs="Times New Roman"/>
        </w:rPr>
        <w:t xml:space="preserve">Meijers, F., 2024. </w:t>
      </w:r>
      <w:r w:rsidRPr="003E6835">
        <w:rPr>
          <w:rFonts w:ascii="Times New Roman" w:hAnsi="Times New Roman" w:cs="Times New Roman"/>
          <w:i/>
          <w:iCs/>
        </w:rPr>
        <w:t>Identity transitions in organisations.</w:t>
      </w:r>
      <w:r w:rsidRPr="00B57ECE">
        <w:rPr>
          <w:rFonts w:ascii="Times New Roman" w:hAnsi="Times New Roman" w:cs="Times New Roman"/>
        </w:rPr>
        <w:t xml:space="preserve"> In Purpose and Identity.</w:t>
      </w:r>
    </w:p>
    <w:p w14:paraId="36D5DC89" w14:textId="3A6EF14C" w:rsidR="003E6835" w:rsidRDefault="003E6835" w:rsidP="00B57ECE">
      <w:pPr>
        <w:spacing w:line="480" w:lineRule="auto"/>
        <w:rPr>
          <w:rFonts w:ascii="Times New Roman" w:hAnsi="Times New Roman" w:cs="Times New Roman"/>
        </w:rPr>
      </w:pPr>
      <w:r w:rsidRPr="003E6835">
        <w:rPr>
          <w:rFonts w:ascii="Times New Roman" w:hAnsi="Times New Roman" w:cs="Times New Roman"/>
        </w:rPr>
        <w:t xml:space="preserve">Malik, M., </w:t>
      </w:r>
      <w:proofErr w:type="spellStart"/>
      <w:r w:rsidRPr="003E6835">
        <w:rPr>
          <w:rFonts w:ascii="Times New Roman" w:hAnsi="Times New Roman" w:cs="Times New Roman"/>
        </w:rPr>
        <w:t>Andargoli</w:t>
      </w:r>
      <w:proofErr w:type="spellEnd"/>
      <w:r w:rsidRPr="003E6835">
        <w:rPr>
          <w:rFonts w:ascii="Times New Roman" w:hAnsi="Times New Roman" w:cs="Times New Roman"/>
        </w:rPr>
        <w:t xml:space="preserve">, A., Tallon, P. and Wickramasinghe, N., 2025. An organizational sensemaking theorizing of how firms construct digitally enabled strategic agility. </w:t>
      </w:r>
      <w:r w:rsidRPr="003E6835">
        <w:rPr>
          <w:rFonts w:ascii="Times New Roman" w:hAnsi="Times New Roman" w:cs="Times New Roman"/>
          <w:i/>
          <w:iCs/>
        </w:rPr>
        <w:t>Information &amp; Management</w:t>
      </w:r>
      <w:r w:rsidRPr="003E6835">
        <w:rPr>
          <w:rFonts w:ascii="Times New Roman" w:hAnsi="Times New Roman" w:cs="Times New Roman"/>
        </w:rPr>
        <w:t>, 62(4), p.104130.</w:t>
      </w:r>
    </w:p>
    <w:p w14:paraId="385C7B61" w14:textId="53113F9B" w:rsidR="00401CB6" w:rsidRDefault="00401CB6" w:rsidP="00B57ECE">
      <w:pPr>
        <w:spacing w:line="480" w:lineRule="auto"/>
        <w:rPr>
          <w:rFonts w:ascii="Times New Roman" w:hAnsi="Times New Roman" w:cs="Times New Roman"/>
        </w:rPr>
      </w:pPr>
      <w:proofErr w:type="spellStart"/>
      <w:r w:rsidRPr="00401CB6">
        <w:rPr>
          <w:rFonts w:ascii="Times New Roman" w:hAnsi="Times New Roman" w:cs="Times New Roman"/>
        </w:rPr>
        <w:t>Mouazen</w:t>
      </w:r>
      <w:proofErr w:type="spellEnd"/>
      <w:r w:rsidRPr="00401CB6">
        <w:rPr>
          <w:rFonts w:ascii="Times New Roman" w:hAnsi="Times New Roman" w:cs="Times New Roman"/>
        </w:rPr>
        <w:t>, A. M., Hern</w:t>
      </w:r>
      <w:r w:rsidR="003E6835">
        <w:rPr>
          <w:rFonts w:ascii="Times New Roman" w:hAnsi="Times New Roman" w:cs="Times New Roman"/>
        </w:rPr>
        <w:t>a</w:t>
      </w:r>
      <w:r w:rsidRPr="00401CB6">
        <w:rPr>
          <w:rFonts w:ascii="Times New Roman" w:hAnsi="Times New Roman" w:cs="Times New Roman"/>
        </w:rPr>
        <w:t xml:space="preserve">ndez-Lara, A. B., Abdallah, F., Ramadan, M., Chahine, J., Baydoun, H., &amp; Bou </w:t>
      </w:r>
      <w:proofErr w:type="spellStart"/>
      <w:r w:rsidRPr="00401CB6">
        <w:rPr>
          <w:rFonts w:ascii="Times New Roman" w:hAnsi="Times New Roman" w:cs="Times New Roman"/>
        </w:rPr>
        <w:t>Zakhem</w:t>
      </w:r>
      <w:proofErr w:type="spellEnd"/>
      <w:r w:rsidRPr="00401CB6">
        <w:rPr>
          <w:rFonts w:ascii="Times New Roman" w:hAnsi="Times New Roman" w:cs="Times New Roman"/>
        </w:rPr>
        <w:t xml:space="preserve">, N. (2024). Transformational and Transactional Leaders and Their Role in </w:t>
      </w:r>
      <w:r w:rsidRPr="00401CB6">
        <w:rPr>
          <w:rFonts w:ascii="Times New Roman" w:hAnsi="Times New Roman" w:cs="Times New Roman"/>
        </w:rPr>
        <w:lastRenderedPageBreak/>
        <w:t xml:space="preserve">Implementing the Kotter Change Management Model Ensuring Sustainable Change: An Empirical Study. </w:t>
      </w:r>
      <w:r w:rsidRPr="003E6835">
        <w:rPr>
          <w:rFonts w:ascii="Times New Roman" w:hAnsi="Times New Roman" w:cs="Times New Roman"/>
          <w:i/>
          <w:iCs/>
        </w:rPr>
        <w:t>Sustainability</w:t>
      </w:r>
      <w:r w:rsidRPr="00401CB6">
        <w:rPr>
          <w:rFonts w:ascii="Times New Roman" w:hAnsi="Times New Roman" w:cs="Times New Roman"/>
        </w:rPr>
        <w:t xml:space="preserve">, 16(1), 16. </w:t>
      </w:r>
      <w:hyperlink r:id="rId9" w:history="1">
        <w:r w:rsidRPr="00F90BF4">
          <w:rPr>
            <w:rStyle w:val="Hyperlink"/>
            <w:rFonts w:ascii="Times New Roman" w:hAnsi="Times New Roman" w:cs="Times New Roman"/>
          </w:rPr>
          <w:t>https://doi.org/10.3390/su16010016</w:t>
        </w:r>
      </w:hyperlink>
    </w:p>
    <w:p w14:paraId="3AF57396" w14:textId="27213CDE" w:rsidR="00401CB6" w:rsidRPr="00B57ECE"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Morgan, A., Fong-Emmerson, M., D’Alessandro, S. and Ryan, M., 2025. DEI and discrimination in the marketing industry: Exploring the lived experiences in the workplace. Evidence from Western Australia. </w:t>
      </w:r>
      <w:r w:rsidRPr="003E6835">
        <w:rPr>
          <w:rFonts w:ascii="Times New Roman" w:hAnsi="Times New Roman" w:cs="Times New Roman"/>
          <w:i/>
          <w:iCs/>
        </w:rPr>
        <w:t>Australasian Marketing Journal</w:t>
      </w:r>
      <w:r w:rsidRPr="00401CB6">
        <w:rPr>
          <w:rFonts w:ascii="Times New Roman" w:hAnsi="Times New Roman" w:cs="Times New Roman"/>
        </w:rPr>
        <w:t>, p.14413582251358509</w:t>
      </w:r>
      <w:r>
        <w:rPr>
          <w:rFonts w:ascii="Times New Roman" w:hAnsi="Times New Roman" w:cs="Times New Roman"/>
        </w:rPr>
        <w:t xml:space="preserve">. </w:t>
      </w:r>
    </w:p>
    <w:p w14:paraId="1DC1D533" w14:textId="12FEF741" w:rsidR="00401CB6"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Nadler, D.A., 2024. </w:t>
      </w:r>
      <w:r w:rsidRPr="003E6835">
        <w:rPr>
          <w:rFonts w:ascii="Times New Roman" w:hAnsi="Times New Roman" w:cs="Times New Roman"/>
          <w:i/>
          <w:iCs/>
        </w:rPr>
        <w:t>The effective management of organi</w:t>
      </w:r>
      <w:r w:rsidR="003E6835" w:rsidRPr="003E6835">
        <w:rPr>
          <w:rFonts w:ascii="Times New Roman" w:hAnsi="Times New Roman" w:cs="Times New Roman"/>
          <w:i/>
          <w:iCs/>
        </w:rPr>
        <w:t>s</w:t>
      </w:r>
      <w:r w:rsidRPr="003E6835">
        <w:rPr>
          <w:rFonts w:ascii="Times New Roman" w:hAnsi="Times New Roman" w:cs="Times New Roman"/>
          <w:i/>
          <w:iCs/>
        </w:rPr>
        <w:t>ational change</w:t>
      </w:r>
      <w:r w:rsidRPr="00401CB6">
        <w:rPr>
          <w:rFonts w:ascii="Times New Roman" w:hAnsi="Times New Roman" w:cs="Times New Roman"/>
        </w:rPr>
        <w:t>. In Revitali</w:t>
      </w:r>
      <w:r w:rsidR="003E6835">
        <w:rPr>
          <w:rFonts w:ascii="Times New Roman" w:hAnsi="Times New Roman" w:cs="Times New Roman"/>
        </w:rPr>
        <w:t>s</w:t>
      </w:r>
      <w:r w:rsidRPr="00401CB6">
        <w:rPr>
          <w:rFonts w:ascii="Times New Roman" w:hAnsi="Times New Roman" w:cs="Times New Roman"/>
        </w:rPr>
        <w:t>ing Manufacturing (pp. 185-200). CRC Press.</w:t>
      </w:r>
    </w:p>
    <w:p w14:paraId="34DC16DD" w14:textId="67B2713F" w:rsidR="003E6835" w:rsidRDefault="003E6835" w:rsidP="00B57ECE">
      <w:pPr>
        <w:spacing w:line="480" w:lineRule="auto"/>
        <w:rPr>
          <w:rFonts w:ascii="Times New Roman" w:hAnsi="Times New Roman" w:cs="Times New Roman"/>
        </w:rPr>
      </w:pPr>
      <w:r w:rsidRPr="003E6835">
        <w:rPr>
          <w:rFonts w:ascii="Times New Roman" w:hAnsi="Times New Roman" w:cs="Times New Roman"/>
        </w:rPr>
        <w:t xml:space="preserve">Nurul Husna, R. and </w:t>
      </w:r>
      <w:proofErr w:type="spellStart"/>
      <w:r w:rsidRPr="003E6835">
        <w:rPr>
          <w:rFonts w:ascii="Times New Roman" w:hAnsi="Times New Roman" w:cs="Times New Roman"/>
        </w:rPr>
        <w:t>Marjulin</w:t>
      </w:r>
      <w:proofErr w:type="spellEnd"/>
      <w:r w:rsidRPr="003E6835">
        <w:rPr>
          <w:rFonts w:ascii="Times New Roman" w:hAnsi="Times New Roman" w:cs="Times New Roman"/>
        </w:rPr>
        <w:t>, M.N., The Complexity of Implementing Organisational Culture and Good Governance in Achieving City Government Employee Performance.</w:t>
      </w:r>
    </w:p>
    <w:p w14:paraId="6471B8DB" w14:textId="6BAFABB8" w:rsidR="003E6835" w:rsidRDefault="003E6835" w:rsidP="00B57ECE">
      <w:pPr>
        <w:spacing w:line="480" w:lineRule="auto"/>
        <w:rPr>
          <w:rFonts w:ascii="Times New Roman" w:hAnsi="Times New Roman" w:cs="Times New Roman"/>
        </w:rPr>
      </w:pPr>
      <w:r w:rsidRPr="003E6835">
        <w:rPr>
          <w:rFonts w:ascii="Times New Roman" w:hAnsi="Times New Roman" w:cs="Times New Roman"/>
        </w:rPr>
        <w:t xml:space="preserve">Paudel, R., 2024. The impact of automation and artificial intelligence on leadership and the workforce. </w:t>
      </w:r>
      <w:r w:rsidRPr="003E6835">
        <w:rPr>
          <w:rFonts w:ascii="Times New Roman" w:hAnsi="Times New Roman" w:cs="Times New Roman"/>
          <w:i/>
          <w:iCs/>
        </w:rPr>
        <w:t>Indonesian Journal of Banking and Financial Technology</w:t>
      </w:r>
      <w:r w:rsidRPr="003E6835">
        <w:rPr>
          <w:rFonts w:ascii="Times New Roman" w:hAnsi="Times New Roman" w:cs="Times New Roman"/>
        </w:rPr>
        <w:t xml:space="preserve"> (FINTECH), 2(2), pp.109-124.</w:t>
      </w:r>
    </w:p>
    <w:p w14:paraId="0B63D554" w14:textId="298CF7EE" w:rsidR="003E6835" w:rsidRDefault="003E6835" w:rsidP="00B57ECE">
      <w:pPr>
        <w:spacing w:line="480" w:lineRule="auto"/>
        <w:rPr>
          <w:rFonts w:ascii="Times New Roman" w:hAnsi="Times New Roman" w:cs="Times New Roman"/>
        </w:rPr>
      </w:pPr>
      <w:r w:rsidRPr="003E6835">
        <w:rPr>
          <w:rFonts w:ascii="Times New Roman" w:hAnsi="Times New Roman" w:cs="Times New Roman"/>
        </w:rPr>
        <w:t xml:space="preserve">Ramlall, S., </w:t>
      </w:r>
      <w:proofErr w:type="spellStart"/>
      <w:r w:rsidRPr="003E6835">
        <w:rPr>
          <w:rFonts w:ascii="Times New Roman" w:hAnsi="Times New Roman" w:cs="Times New Roman"/>
        </w:rPr>
        <w:t>Hurtienne</w:t>
      </w:r>
      <w:proofErr w:type="spellEnd"/>
      <w:r w:rsidRPr="003E6835">
        <w:rPr>
          <w:rFonts w:ascii="Times New Roman" w:hAnsi="Times New Roman" w:cs="Times New Roman"/>
        </w:rPr>
        <w:t xml:space="preserve">, M., </w:t>
      </w:r>
      <w:proofErr w:type="spellStart"/>
      <w:r w:rsidRPr="003E6835">
        <w:rPr>
          <w:rFonts w:ascii="Times New Roman" w:hAnsi="Times New Roman" w:cs="Times New Roman"/>
        </w:rPr>
        <w:t>Hurtienne</w:t>
      </w:r>
      <w:proofErr w:type="spellEnd"/>
      <w:r w:rsidRPr="003E6835">
        <w:rPr>
          <w:rFonts w:ascii="Times New Roman" w:hAnsi="Times New Roman" w:cs="Times New Roman"/>
        </w:rPr>
        <w:t xml:space="preserve">, L., Ramlall, A. and Knierim, J., 2025. The impact of positive organisational behaviour on employee engagement and performance. International </w:t>
      </w:r>
      <w:r w:rsidRPr="003E6835">
        <w:rPr>
          <w:rFonts w:ascii="Times New Roman" w:hAnsi="Times New Roman" w:cs="Times New Roman"/>
          <w:i/>
          <w:iCs/>
        </w:rPr>
        <w:t>Journal of Human Resources Development and Management</w:t>
      </w:r>
      <w:r w:rsidRPr="003E6835">
        <w:rPr>
          <w:rFonts w:ascii="Times New Roman" w:hAnsi="Times New Roman" w:cs="Times New Roman"/>
        </w:rPr>
        <w:t>, 24(1-2), pp.109-131.</w:t>
      </w:r>
    </w:p>
    <w:p w14:paraId="6E157136" w14:textId="521504BE" w:rsidR="00401CB6" w:rsidRPr="00B57ECE"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Stewart, K.A., 1992. </w:t>
      </w:r>
      <w:r w:rsidRPr="003E6835">
        <w:rPr>
          <w:rFonts w:ascii="Times New Roman" w:hAnsi="Times New Roman" w:cs="Times New Roman"/>
          <w:i/>
          <w:iCs/>
        </w:rPr>
        <w:t>Managing transitions: Making the most of change.</w:t>
      </w:r>
      <w:r w:rsidRPr="00401CB6">
        <w:rPr>
          <w:rFonts w:ascii="Times New Roman" w:hAnsi="Times New Roman" w:cs="Times New Roman"/>
        </w:rPr>
        <w:t xml:space="preserve"> People and Strategy, 15(3), p.93.</w:t>
      </w:r>
    </w:p>
    <w:p w14:paraId="0AC60CDA" w14:textId="280946ED" w:rsidR="00401CB6" w:rsidRDefault="00401CB6" w:rsidP="00B57ECE">
      <w:pPr>
        <w:spacing w:line="480" w:lineRule="auto"/>
        <w:rPr>
          <w:rFonts w:ascii="Times New Roman" w:hAnsi="Times New Roman" w:cs="Times New Roman"/>
        </w:rPr>
      </w:pPr>
      <w:r w:rsidRPr="00401CB6">
        <w:rPr>
          <w:rFonts w:ascii="Times New Roman" w:hAnsi="Times New Roman" w:cs="Times New Roman"/>
        </w:rPr>
        <w:t xml:space="preserve">Usadolo, S.E. and Usadolo, Q.E., 2025. Understanding the Link Between Communication, Participative Leadership, and Agricultural Extension Officer Workplace Engagement. In </w:t>
      </w:r>
      <w:r w:rsidRPr="003E6835">
        <w:rPr>
          <w:rFonts w:ascii="Times New Roman" w:hAnsi="Times New Roman" w:cs="Times New Roman"/>
          <w:i/>
          <w:iCs/>
        </w:rPr>
        <w:t>Organisational Behaviour, Communication, and Digitalisation in a Changing World</w:t>
      </w:r>
      <w:r w:rsidRPr="00401CB6">
        <w:rPr>
          <w:rFonts w:ascii="Times New Roman" w:hAnsi="Times New Roman" w:cs="Times New Roman"/>
        </w:rPr>
        <w:t xml:space="preserve"> (pp. 113-137). Cham: Springer Nature Switzerland.</w:t>
      </w:r>
    </w:p>
    <w:p w14:paraId="20DF8ED5" w14:textId="354BB27A" w:rsidR="00B57ECE" w:rsidRPr="00B57ECE" w:rsidRDefault="003E6835" w:rsidP="00B57ECE">
      <w:pPr>
        <w:spacing w:line="480" w:lineRule="auto"/>
        <w:rPr>
          <w:rFonts w:ascii="Times New Roman" w:hAnsi="Times New Roman" w:cs="Times New Roman"/>
        </w:rPr>
      </w:pPr>
      <w:r w:rsidRPr="003E6835">
        <w:rPr>
          <w:rFonts w:ascii="Times New Roman" w:hAnsi="Times New Roman" w:cs="Times New Roman"/>
        </w:rPr>
        <w:lastRenderedPageBreak/>
        <w:t xml:space="preserve">Wu, T.J., Liang, Y. and Wang, Y., 2024. The buffering role of workplace mindfulness: How job insecurity of human-artificial intelligence collaboration impacts employees’ work–life-related outcomes. </w:t>
      </w:r>
      <w:r w:rsidRPr="003E6835">
        <w:rPr>
          <w:rFonts w:ascii="Times New Roman" w:hAnsi="Times New Roman" w:cs="Times New Roman"/>
          <w:i/>
          <w:iCs/>
        </w:rPr>
        <w:t>Journal of Business and Psychology</w:t>
      </w:r>
      <w:r w:rsidRPr="003E6835">
        <w:rPr>
          <w:rFonts w:ascii="Times New Roman" w:hAnsi="Times New Roman" w:cs="Times New Roman"/>
        </w:rPr>
        <w:t>, 39(6), pp.1395-1411.</w:t>
      </w:r>
    </w:p>
    <w:p w14:paraId="3289221F" w14:textId="2F67D2A3" w:rsidR="00401CB6" w:rsidRPr="00401CB6" w:rsidRDefault="00401CB6" w:rsidP="00401CB6">
      <w:pPr>
        <w:spacing w:line="480" w:lineRule="auto"/>
        <w:rPr>
          <w:rFonts w:ascii="Times New Roman" w:hAnsi="Times New Roman" w:cs="Times New Roman"/>
        </w:rPr>
      </w:pPr>
      <w:proofErr w:type="spellStart"/>
      <w:r w:rsidRPr="00401CB6">
        <w:rPr>
          <w:rFonts w:ascii="Times New Roman" w:hAnsi="Times New Roman" w:cs="Times New Roman"/>
        </w:rPr>
        <w:t>Yangailo</w:t>
      </w:r>
      <w:proofErr w:type="spellEnd"/>
      <w:r w:rsidRPr="00401CB6">
        <w:rPr>
          <w:rFonts w:ascii="Times New Roman" w:hAnsi="Times New Roman" w:cs="Times New Roman"/>
        </w:rPr>
        <w:t xml:space="preserve">, T. </w:t>
      </w:r>
      <w:r w:rsidRPr="003E6835">
        <w:rPr>
          <w:rFonts w:ascii="Times New Roman" w:hAnsi="Times New Roman" w:cs="Times New Roman"/>
          <w:i/>
          <w:iCs/>
        </w:rPr>
        <w:t>The role of transformational leadership and process management in enhancing productivity</w:t>
      </w:r>
      <w:r w:rsidRPr="00401CB6">
        <w:rPr>
          <w:rFonts w:ascii="Times New Roman" w:hAnsi="Times New Roman" w:cs="Times New Roman"/>
        </w:rPr>
        <w:t xml:space="preserve">. SN Bus Econ 5, 98 (2025). </w:t>
      </w:r>
      <w:hyperlink r:id="rId10" w:history="1">
        <w:r w:rsidRPr="00F90BF4">
          <w:rPr>
            <w:rStyle w:val="Hyperlink"/>
            <w:rFonts w:ascii="Times New Roman" w:hAnsi="Times New Roman" w:cs="Times New Roman"/>
          </w:rPr>
          <w:t>https://doi.org/10.1007/s43546-025-00863-2</w:t>
        </w:r>
      </w:hyperlink>
      <w:r>
        <w:rPr>
          <w:rFonts w:ascii="Times New Roman" w:hAnsi="Times New Roman" w:cs="Times New Roman"/>
        </w:rPr>
        <w:t xml:space="preserve"> </w:t>
      </w:r>
      <w:r w:rsidRPr="00401CB6">
        <w:rPr>
          <w:rFonts w:ascii="Times New Roman" w:hAnsi="Times New Roman" w:cs="Times New Roman"/>
        </w:rPr>
        <w:t xml:space="preserve"> </w:t>
      </w:r>
    </w:p>
    <w:p w14:paraId="4337FF85" w14:textId="38BF079D" w:rsidR="00401CB6" w:rsidRDefault="00401CB6" w:rsidP="00401CB6">
      <w:pPr>
        <w:spacing w:line="480" w:lineRule="auto"/>
        <w:rPr>
          <w:rFonts w:ascii="Times New Roman" w:hAnsi="Times New Roman" w:cs="Times New Roman"/>
        </w:rPr>
      </w:pPr>
      <w:r w:rsidRPr="00401CB6">
        <w:rPr>
          <w:rFonts w:ascii="Times New Roman" w:hAnsi="Times New Roman" w:cs="Times New Roman"/>
        </w:rPr>
        <w:t xml:space="preserve">Ye, Z., Liu, H., Gu, J., </w:t>
      </w:r>
      <w:r>
        <w:rPr>
          <w:rFonts w:ascii="Times New Roman" w:hAnsi="Times New Roman" w:cs="Times New Roman"/>
        </w:rPr>
        <w:t>and</w:t>
      </w:r>
      <w:r w:rsidRPr="00401CB6">
        <w:rPr>
          <w:rFonts w:ascii="Times New Roman" w:hAnsi="Times New Roman" w:cs="Times New Roman"/>
        </w:rPr>
        <w:t xml:space="preserve"> Yang, J. (2020). Is relationship conflict totally detrimental to team creativity? Mediating role of team learning and moderating role of transformational leadership. </w:t>
      </w:r>
      <w:r w:rsidRPr="003E6835">
        <w:rPr>
          <w:rFonts w:ascii="Times New Roman" w:hAnsi="Times New Roman" w:cs="Times New Roman"/>
          <w:i/>
          <w:iCs/>
        </w:rPr>
        <w:t>Current Psychology</w:t>
      </w:r>
      <w:r w:rsidRPr="00401CB6">
        <w:rPr>
          <w:rFonts w:ascii="Times New Roman" w:hAnsi="Times New Roman" w:cs="Times New Roman"/>
        </w:rPr>
        <w:t>, 1</w:t>
      </w:r>
      <w:r>
        <w:rPr>
          <w:rFonts w:ascii="Times New Roman" w:hAnsi="Times New Roman" w:cs="Times New Roman"/>
        </w:rPr>
        <w:t>-</w:t>
      </w:r>
      <w:r w:rsidRPr="00401CB6">
        <w:rPr>
          <w:rFonts w:ascii="Times New Roman" w:hAnsi="Times New Roman" w:cs="Times New Roman"/>
        </w:rPr>
        <w:t xml:space="preserve">12. </w:t>
      </w:r>
      <w:hyperlink r:id="rId11" w:history="1">
        <w:r w:rsidRPr="00F90BF4">
          <w:rPr>
            <w:rStyle w:val="Hyperlink"/>
            <w:rFonts w:ascii="Times New Roman" w:hAnsi="Times New Roman" w:cs="Times New Roman"/>
          </w:rPr>
          <w:t>https://doi.org/10.1007/s12144-020-01106-3</w:t>
        </w:r>
      </w:hyperlink>
    </w:p>
    <w:p w14:paraId="252930B4" w14:textId="0E2E7944" w:rsidR="00847467" w:rsidRPr="003D106B" w:rsidRDefault="00401CB6" w:rsidP="00401CB6">
      <w:pPr>
        <w:spacing w:line="480" w:lineRule="auto"/>
        <w:rPr>
          <w:rFonts w:ascii="Times New Roman" w:hAnsi="Times New Roman" w:cs="Times New Roman"/>
        </w:rPr>
      </w:pPr>
      <w:r w:rsidRPr="00401CB6">
        <w:rPr>
          <w:rFonts w:ascii="Times New Roman" w:hAnsi="Times New Roman" w:cs="Times New Roman"/>
        </w:rPr>
        <w:t xml:space="preserve">Yue, C. A., Men, L. R., &amp; Ferguson, M. A. (2019). Bridging transformational leadership, transparent communication, and employee openness to change: The mediating role of trust. </w:t>
      </w:r>
      <w:r w:rsidRPr="003E6835">
        <w:rPr>
          <w:rFonts w:ascii="Times New Roman" w:hAnsi="Times New Roman" w:cs="Times New Roman"/>
          <w:i/>
          <w:iCs/>
        </w:rPr>
        <w:t>Public Relations Review</w:t>
      </w:r>
      <w:r w:rsidRPr="00401CB6">
        <w:rPr>
          <w:rFonts w:ascii="Times New Roman" w:hAnsi="Times New Roman" w:cs="Times New Roman"/>
        </w:rPr>
        <w:t xml:space="preserve">, 45(3). </w:t>
      </w:r>
      <w:hyperlink r:id="rId12" w:history="1">
        <w:r w:rsidRPr="00F90BF4">
          <w:rPr>
            <w:rStyle w:val="Hyperlink"/>
            <w:rFonts w:ascii="Times New Roman" w:hAnsi="Times New Roman" w:cs="Times New Roman"/>
          </w:rPr>
          <w:t>https://doi.org/10.1016/j.pubrev.2019.04.0</w:t>
        </w:r>
        <w:r w:rsidRPr="00F90BF4">
          <w:rPr>
            <w:rStyle w:val="Hyperlink"/>
            <w:rFonts w:ascii="Times New Roman" w:hAnsi="Times New Roman" w:cs="Times New Roman"/>
          </w:rPr>
          <w:t>1</w:t>
        </w:r>
      </w:hyperlink>
      <w:r>
        <w:rPr>
          <w:rFonts w:ascii="Times New Roman" w:hAnsi="Times New Roman" w:cs="Times New Roman"/>
        </w:rPr>
        <w:t xml:space="preserve"> </w:t>
      </w:r>
    </w:p>
    <w:sectPr w:rsidR="00847467" w:rsidRPr="003D106B" w:rsidSect="00847467">
      <w:head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97F52" w14:textId="77777777" w:rsidR="00630B5C" w:rsidRDefault="00630B5C" w:rsidP="00847467">
      <w:pPr>
        <w:spacing w:after="0" w:line="240" w:lineRule="auto"/>
      </w:pPr>
      <w:r>
        <w:separator/>
      </w:r>
    </w:p>
  </w:endnote>
  <w:endnote w:type="continuationSeparator" w:id="0">
    <w:p w14:paraId="456089D8" w14:textId="77777777" w:rsidR="00630B5C" w:rsidRDefault="00630B5C" w:rsidP="00847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DA434" w14:textId="77777777" w:rsidR="00630B5C" w:rsidRDefault="00630B5C" w:rsidP="00847467">
      <w:pPr>
        <w:spacing w:after="0" w:line="240" w:lineRule="auto"/>
      </w:pPr>
      <w:r>
        <w:separator/>
      </w:r>
    </w:p>
  </w:footnote>
  <w:footnote w:type="continuationSeparator" w:id="0">
    <w:p w14:paraId="255776FF" w14:textId="77777777" w:rsidR="00630B5C" w:rsidRDefault="00630B5C" w:rsidP="008474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9DA12" w14:textId="6D0F6201" w:rsidR="00847467" w:rsidRDefault="00847467">
    <w:pPr>
      <w:spacing w:line="264" w:lineRule="auto"/>
    </w:pPr>
    <w:r>
      <w:rPr>
        <w:noProof/>
        <w:color w:val="000000"/>
      </w:rPr>
      <mc:AlternateContent>
        <mc:Choice Requires="wps">
          <w:drawing>
            <wp:anchor distT="0" distB="0" distL="114300" distR="114300" simplePos="0" relativeHeight="251659264" behindDoc="0" locked="0" layoutInCell="1" allowOverlap="1" wp14:anchorId="068FEDF7" wp14:editId="5AA8C5DD">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6A40BCF"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p>
  <w:p w14:paraId="4BCDABD5" w14:textId="77777777" w:rsidR="00847467" w:rsidRDefault="0084746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106B"/>
    <w:rsid w:val="003D106B"/>
    <w:rsid w:val="003E6835"/>
    <w:rsid w:val="00401CB6"/>
    <w:rsid w:val="00500F19"/>
    <w:rsid w:val="00630B5C"/>
    <w:rsid w:val="00847467"/>
    <w:rsid w:val="00B57ECE"/>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808B8"/>
  <w15:chartTrackingRefBased/>
  <w15:docId w15:val="{CB2E9876-CDF7-4831-875A-C91196349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10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10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10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10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10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10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10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10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10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10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10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10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10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10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10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10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10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106B"/>
    <w:rPr>
      <w:rFonts w:eastAsiaTheme="majorEastAsia" w:cstheme="majorBidi"/>
      <w:color w:val="272727" w:themeColor="text1" w:themeTint="D8"/>
    </w:rPr>
  </w:style>
  <w:style w:type="paragraph" w:styleId="Title">
    <w:name w:val="Title"/>
    <w:basedOn w:val="Normal"/>
    <w:next w:val="Normal"/>
    <w:link w:val="TitleChar"/>
    <w:uiPriority w:val="10"/>
    <w:qFormat/>
    <w:rsid w:val="003D10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10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10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10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106B"/>
    <w:pPr>
      <w:spacing w:before="160"/>
      <w:jc w:val="center"/>
    </w:pPr>
    <w:rPr>
      <w:i/>
      <w:iCs/>
      <w:color w:val="404040" w:themeColor="text1" w:themeTint="BF"/>
    </w:rPr>
  </w:style>
  <w:style w:type="character" w:customStyle="1" w:styleId="QuoteChar">
    <w:name w:val="Quote Char"/>
    <w:basedOn w:val="DefaultParagraphFont"/>
    <w:link w:val="Quote"/>
    <w:uiPriority w:val="29"/>
    <w:rsid w:val="003D106B"/>
    <w:rPr>
      <w:i/>
      <w:iCs/>
      <w:color w:val="404040" w:themeColor="text1" w:themeTint="BF"/>
    </w:rPr>
  </w:style>
  <w:style w:type="paragraph" w:styleId="ListParagraph">
    <w:name w:val="List Paragraph"/>
    <w:basedOn w:val="Normal"/>
    <w:uiPriority w:val="34"/>
    <w:qFormat/>
    <w:rsid w:val="003D106B"/>
    <w:pPr>
      <w:ind w:left="720"/>
      <w:contextualSpacing/>
    </w:pPr>
  </w:style>
  <w:style w:type="character" w:styleId="IntenseEmphasis">
    <w:name w:val="Intense Emphasis"/>
    <w:basedOn w:val="DefaultParagraphFont"/>
    <w:uiPriority w:val="21"/>
    <w:qFormat/>
    <w:rsid w:val="003D106B"/>
    <w:rPr>
      <w:i/>
      <w:iCs/>
      <w:color w:val="0F4761" w:themeColor="accent1" w:themeShade="BF"/>
    </w:rPr>
  </w:style>
  <w:style w:type="paragraph" w:styleId="IntenseQuote">
    <w:name w:val="Intense Quote"/>
    <w:basedOn w:val="Normal"/>
    <w:next w:val="Normal"/>
    <w:link w:val="IntenseQuoteChar"/>
    <w:uiPriority w:val="30"/>
    <w:qFormat/>
    <w:rsid w:val="003D10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106B"/>
    <w:rPr>
      <w:i/>
      <w:iCs/>
      <w:color w:val="0F4761" w:themeColor="accent1" w:themeShade="BF"/>
    </w:rPr>
  </w:style>
  <w:style w:type="character" w:styleId="IntenseReference">
    <w:name w:val="Intense Reference"/>
    <w:basedOn w:val="DefaultParagraphFont"/>
    <w:uiPriority w:val="32"/>
    <w:qFormat/>
    <w:rsid w:val="003D106B"/>
    <w:rPr>
      <w:b/>
      <w:bCs/>
      <w:smallCaps/>
      <w:color w:val="0F4761" w:themeColor="accent1" w:themeShade="BF"/>
      <w:spacing w:val="5"/>
    </w:rPr>
  </w:style>
  <w:style w:type="paragraph" w:styleId="Header">
    <w:name w:val="header"/>
    <w:basedOn w:val="Normal"/>
    <w:link w:val="HeaderChar"/>
    <w:uiPriority w:val="99"/>
    <w:unhideWhenUsed/>
    <w:rsid w:val="008474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7467"/>
  </w:style>
  <w:style w:type="paragraph" w:styleId="Footer">
    <w:name w:val="footer"/>
    <w:basedOn w:val="Normal"/>
    <w:link w:val="FooterChar"/>
    <w:uiPriority w:val="99"/>
    <w:unhideWhenUsed/>
    <w:rsid w:val="008474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7467"/>
  </w:style>
  <w:style w:type="paragraph" w:styleId="NoSpacing">
    <w:name w:val="No Spacing"/>
    <w:link w:val="NoSpacingChar"/>
    <w:uiPriority w:val="1"/>
    <w:qFormat/>
    <w:rsid w:val="008474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47467"/>
    <w:rPr>
      <w:rFonts w:eastAsiaTheme="minorEastAsia"/>
      <w:kern w:val="0"/>
      <w:sz w:val="22"/>
      <w:szCs w:val="22"/>
      <w:lang w:val="en-US"/>
      <w14:ligatures w14:val="none"/>
    </w:rPr>
  </w:style>
  <w:style w:type="character" w:styleId="Hyperlink">
    <w:name w:val="Hyperlink"/>
    <w:basedOn w:val="DefaultParagraphFont"/>
    <w:uiPriority w:val="99"/>
    <w:unhideWhenUsed/>
    <w:rsid w:val="00401CB6"/>
    <w:rPr>
      <w:color w:val="467886" w:themeColor="hyperlink"/>
      <w:u w:val="single"/>
    </w:rPr>
  </w:style>
  <w:style w:type="character" w:styleId="UnresolvedMention">
    <w:name w:val="Unresolved Mention"/>
    <w:basedOn w:val="DefaultParagraphFont"/>
    <w:uiPriority w:val="99"/>
    <w:semiHidden/>
    <w:unhideWhenUsed/>
    <w:rsid w:val="00401C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0270-025-01309-x"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58905/apollo.v2i1.239" TargetMode="External"/><Relationship Id="rId12" Type="http://schemas.openxmlformats.org/officeDocument/2006/relationships/hyperlink" Target="https://doi.org/10.1016/j.pubrev.2019.04.0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37/ocp0000062" TargetMode="External"/><Relationship Id="rId11" Type="http://schemas.openxmlformats.org/officeDocument/2006/relationships/hyperlink" Target="https://doi.org/10.1007/s12144-020-01106-3" TargetMode="Externa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yperlink" Target="https://doi.org/10.1007/s43546-025-00863-2" TargetMode="External"/><Relationship Id="rId4" Type="http://schemas.openxmlformats.org/officeDocument/2006/relationships/footnotes" Target="footnotes.xml"/><Relationship Id="rId9" Type="http://schemas.openxmlformats.org/officeDocument/2006/relationships/hyperlink" Target="https://doi.org/10.3390/su16010016"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6C438DB96F4669A114B26AED4C64E4"/>
        <w:category>
          <w:name w:val="General"/>
          <w:gallery w:val="placeholder"/>
        </w:category>
        <w:types>
          <w:type w:val="bbPlcHdr"/>
        </w:types>
        <w:behaviors>
          <w:behavior w:val="content"/>
        </w:behaviors>
        <w:guid w:val="{9FDC75B1-CCCD-402F-BD3E-7AF1D949FBB1}"/>
      </w:docPartPr>
      <w:docPartBody>
        <w:p w:rsidR="00000000" w:rsidRDefault="00761470" w:rsidP="00761470">
          <w:pPr>
            <w:pStyle w:val="D76C438DB96F4669A114B26AED4C64E4"/>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470"/>
    <w:rsid w:val="00761470"/>
    <w:rsid w:val="00F876CF"/>
    <w:rsid w:val="00FE4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531F23E3EEE4FA3A449EC9915EEAF76">
    <w:name w:val="D531F23E3EEE4FA3A449EC9915EEAF76"/>
    <w:rsid w:val="00761470"/>
  </w:style>
  <w:style w:type="paragraph" w:customStyle="1" w:styleId="B2A0DAD81BDB413AB55FD6AE1F41C881">
    <w:name w:val="B2A0DAD81BDB413AB55FD6AE1F41C881"/>
    <w:rsid w:val="00761470"/>
  </w:style>
  <w:style w:type="paragraph" w:customStyle="1" w:styleId="2ACF7038747248A88FA1B4A037080ED7">
    <w:name w:val="2ACF7038747248A88FA1B4A037080ED7"/>
    <w:rsid w:val="00761470"/>
  </w:style>
  <w:style w:type="paragraph" w:customStyle="1" w:styleId="9CEB8A6FCC78491EB5DC3F93F93DC6AC">
    <w:name w:val="9CEB8A6FCC78491EB5DC3F93F93DC6AC"/>
    <w:rsid w:val="00761470"/>
  </w:style>
  <w:style w:type="paragraph" w:customStyle="1" w:styleId="31D1EC5AC6B04A7B92C28D56C99A5C50">
    <w:name w:val="31D1EC5AC6B04A7B92C28D56C99A5C50"/>
    <w:rsid w:val="00761470"/>
  </w:style>
  <w:style w:type="paragraph" w:customStyle="1" w:styleId="D77A8023CD104D5AA7314DF9987CE6C8">
    <w:name w:val="D77A8023CD104D5AA7314DF9987CE6C8"/>
    <w:rsid w:val="00761470"/>
  </w:style>
  <w:style w:type="paragraph" w:customStyle="1" w:styleId="539F5A8421B4402CA2D36EDBCA7936D3">
    <w:name w:val="539F5A8421B4402CA2D36EDBCA7936D3"/>
    <w:rsid w:val="00761470"/>
  </w:style>
  <w:style w:type="paragraph" w:customStyle="1" w:styleId="D76C438DB96F4669A114B26AED4C64E4">
    <w:name w:val="D76C438DB96F4669A114B26AED4C64E4"/>
    <w:rsid w:val="00761470"/>
  </w:style>
  <w:style w:type="paragraph" w:customStyle="1" w:styleId="530D89D7A8AE4EFAA4E05F65487491B5">
    <w:name w:val="530D89D7A8AE4EFAA4E05F65487491B5"/>
    <w:rsid w:val="007614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TotalTime>
  <Pages>10</Pages>
  <Words>2576</Words>
  <Characters>14684</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2025-12-05T19:20:00Z</dcterms:created>
  <dcterms:modified xsi:type="dcterms:W3CDTF">2025-12-05T20:43:00Z</dcterms:modified>
</cp:coreProperties>
</file>