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51576" w14:textId="77777777" w:rsidR="000174C7" w:rsidRPr="000174C7" w:rsidRDefault="000174C7" w:rsidP="000174C7">
      <w:pPr>
        <w:spacing w:before="360" w:after="120" w:line="240" w:lineRule="auto"/>
        <w:outlineLvl w:val="1"/>
        <w:rPr>
          <w:rFonts w:ascii="Times New Roman" w:eastAsia="Times New Roman" w:hAnsi="Times New Roman" w:cs="Times New Roman"/>
          <w:b/>
          <w:bCs/>
          <w:sz w:val="36"/>
          <w:szCs w:val="36"/>
          <w:lang w:eastAsia="en-GB"/>
        </w:rPr>
      </w:pPr>
      <w:bookmarkStart w:id="0" w:name="_Hlk58168873"/>
      <w:r w:rsidRPr="000174C7">
        <w:rPr>
          <w:rFonts w:ascii="Arial" w:eastAsia="Times New Roman" w:hAnsi="Arial" w:cs="Arial"/>
          <w:sz w:val="32"/>
          <w:szCs w:val="32"/>
          <w:lang w:eastAsia="en-GB"/>
        </w:rPr>
        <w:t>Evaluation of Sources</w:t>
      </w:r>
    </w:p>
    <w:p w14:paraId="199543C9"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0E562980" w14:textId="77777777" w:rsidR="000174C7" w:rsidRPr="000174C7" w:rsidRDefault="000174C7" w:rsidP="000174C7">
      <w:pPr>
        <w:spacing w:after="0" w:line="240" w:lineRule="auto"/>
        <w:ind w:firstLine="720"/>
        <w:rPr>
          <w:rFonts w:ascii="Times New Roman" w:eastAsia="Times New Roman" w:hAnsi="Times New Roman" w:cs="Times New Roman"/>
          <w:sz w:val="24"/>
          <w:szCs w:val="24"/>
          <w:lang w:eastAsia="en-GB"/>
        </w:rPr>
      </w:pPr>
      <w:r w:rsidRPr="000174C7">
        <w:rPr>
          <w:rFonts w:ascii="Arial" w:eastAsia="Times New Roman" w:hAnsi="Arial" w:cs="Arial"/>
          <w:i/>
          <w:iCs/>
          <w:lang w:eastAsia="en-GB"/>
        </w:rPr>
        <w:t xml:space="preserve">Characterization of Cosmetic Sticks at </w:t>
      </w:r>
      <w:proofErr w:type="spellStart"/>
      <w:r w:rsidRPr="000174C7">
        <w:rPr>
          <w:rFonts w:ascii="Arial" w:eastAsia="Times New Roman" w:hAnsi="Arial" w:cs="Arial"/>
          <w:i/>
          <w:iCs/>
          <w:lang w:eastAsia="en-GB"/>
        </w:rPr>
        <w:t>Xiaohe</w:t>
      </w:r>
      <w:proofErr w:type="spellEnd"/>
      <w:r w:rsidRPr="000174C7">
        <w:rPr>
          <w:rFonts w:ascii="Arial" w:eastAsia="Times New Roman" w:hAnsi="Arial" w:cs="Arial"/>
          <w:i/>
          <w:iCs/>
          <w:lang w:eastAsia="en-GB"/>
        </w:rPr>
        <w:t xml:space="preserve"> Cemetery in Early Bronze Age Xinjiang, China</w:t>
      </w:r>
      <w:r w:rsidRPr="000174C7">
        <w:rPr>
          <w:rFonts w:ascii="Arial" w:eastAsia="Times New Roman" w:hAnsi="Arial" w:cs="Arial"/>
          <w:lang w:eastAsia="en-GB"/>
        </w:rPr>
        <w:t xml:space="preserve"> by H. Mai, Y. Yang, I. </w:t>
      </w:r>
      <w:proofErr w:type="spellStart"/>
      <w:r w:rsidRPr="000174C7">
        <w:rPr>
          <w:rFonts w:ascii="Arial" w:eastAsia="Times New Roman" w:hAnsi="Arial" w:cs="Arial"/>
          <w:lang w:eastAsia="en-GB"/>
        </w:rPr>
        <w:t>Abuduresule</w:t>
      </w:r>
      <w:proofErr w:type="spellEnd"/>
      <w:r w:rsidRPr="000174C7">
        <w:rPr>
          <w:rFonts w:ascii="Arial" w:eastAsia="Times New Roman" w:hAnsi="Arial" w:cs="Arial"/>
          <w:lang w:eastAsia="en-GB"/>
        </w:rPr>
        <w:t xml:space="preserve">, W. Li, X. Hu, and C. Wang (2016) and </w:t>
      </w:r>
      <w:r w:rsidRPr="000174C7">
        <w:rPr>
          <w:rFonts w:ascii="Arial" w:eastAsia="Times New Roman" w:hAnsi="Arial" w:cs="Arial"/>
          <w:i/>
          <w:iCs/>
          <w:lang w:eastAsia="en-GB"/>
        </w:rPr>
        <w:t xml:space="preserve">First Evidence of the Use of Freshwater Pearls as a Cosmetic in Ancient China: Analysis of White Makeup Powder from a Northern Song Dynasty </w:t>
      </w:r>
      <w:proofErr w:type="spellStart"/>
      <w:r w:rsidRPr="000174C7">
        <w:rPr>
          <w:rFonts w:ascii="Arial" w:eastAsia="Times New Roman" w:hAnsi="Arial" w:cs="Arial"/>
          <w:i/>
          <w:iCs/>
          <w:lang w:eastAsia="en-GB"/>
        </w:rPr>
        <w:t>Lv</w:t>
      </w:r>
      <w:proofErr w:type="spellEnd"/>
      <w:r w:rsidRPr="000174C7">
        <w:rPr>
          <w:rFonts w:ascii="Arial" w:eastAsia="Times New Roman" w:hAnsi="Arial" w:cs="Arial"/>
          <w:i/>
          <w:iCs/>
          <w:lang w:eastAsia="en-GB"/>
        </w:rPr>
        <w:t xml:space="preserve"> Tomb (</w:t>
      </w:r>
      <w:proofErr w:type="spellStart"/>
      <w:r w:rsidRPr="000174C7">
        <w:rPr>
          <w:rFonts w:ascii="Arial" w:eastAsia="Times New Roman" w:hAnsi="Arial" w:cs="Arial"/>
          <w:i/>
          <w:iCs/>
          <w:lang w:eastAsia="en-GB"/>
        </w:rPr>
        <w:t>Lantian</w:t>
      </w:r>
      <w:proofErr w:type="spellEnd"/>
      <w:r w:rsidRPr="000174C7">
        <w:rPr>
          <w:rFonts w:ascii="Arial" w:eastAsia="Times New Roman" w:hAnsi="Arial" w:cs="Arial"/>
          <w:i/>
          <w:iCs/>
          <w:lang w:eastAsia="en-GB"/>
        </w:rPr>
        <w:t>, Shaanxi Province, China)</w:t>
      </w:r>
      <w:r w:rsidRPr="000174C7">
        <w:rPr>
          <w:rFonts w:ascii="Arial" w:eastAsia="Times New Roman" w:hAnsi="Arial" w:cs="Arial"/>
          <w:b/>
          <w:bCs/>
          <w:i/>
          <w:iCs/>
          <w:lang w:eastAsia="en-GB"/>
        </w:rPr>
        <w:t xml:space="preserve"> </w:t>
      </w:r>
      <w:r w:rsidRPr="000174C7">
        <w:rPr>
          <w:rFonts w:ascii="Arial" w:eastAsia="Times New Roman" w:hAnsi="Arial" w:cs="Arial"/>
          <w:lang w:eastAsia="en-GB"/>
        </w:rPr>
        <w:t xml:space="preserve">by Z. R. Yu, X. D. Wang, B. M. </w:t>
      </w:r>
      <w:proofErr w:type="spellStart"/>
      <w:r w:rsidRPr="000174C7">
        <w:rPr>
          <w:rFonts w:ascii="Arial" w:eastAsia="Times New Roman" w:hAnsi="Arial" w:cs="Arial"/>
          <w:lang w:eastAsia="en-GB"/>
        </w:rPr>
        <w:t>Su</w:t>
      </w:r>
      <w:proofErr w:type="spellEnd"/>
      <w:r w:rsidRPr="000174C7">
        <w:rPr>
          <w:rFonts w:ascii="Arial" w:eastAsia="Times New Roman" w:hAnsi="Arial" w:cs="Arial"/>
          <w:lang w:eastAsia="en-GB"/>
        </w:rPr>
        <w:t>, and Y. Zhang (2017</w:t>
      </w:r>
      <w:r w:rsidRPr="000174C7">
        <w:rPr>
          <w:rFonts w:ascii="Arial" w:eastAsia="Times New Roman" w:hAnsi="Arial" w:cs="Arial"/>
          <w:sz w:val="13"/>
          <w:szCs w:val="13"/>
          <w:vertAlign w:val="superscript"/>
          <w:lang w:eastAsia="en-GB"/>
        </w:rPr>
        <w:t>1</w:t>
      </w:r>
      <w:r w:rsidRPr="000174C7">
        <w:rPr>
          <w:rFonts w:ascii="Arial" w:eastAsia="Times New Roman" w:hAnsi="Arial" w:cs="Arial"/>
          <w:lang w:eastAsia="en-GB"/>
        </w:rPr>
        <w:t xml:space="preserve">) are journal articles published in 2016 and </w:t>
      </w:r>
      <w:proofErr w:type="gramStart"/>
      <w:r w:rsidRPr="000174C7">
        <w:rPr>
          <w:rFonts w:ascii="Arial" w:eastAsia="Times New Roman" w:hAnsi="Arial" w:cs="Arial"/>
          <w:lang w:eastAsia="en-GB"/>
        </w:rPr>
        <w:t>2017</w:t>
      </w:r>
      <w:proofErr w:type="gramEnd"/>
      <w:r w:rsidRPr="000174C7">
        <w:rPr>
          <w:rFonts w:ascii="Arial" w:eastAsia="Times New Roman" w:hAnsi="Arial" w:cs="Arial"/>
          <w:lang w:eastAsia="en-GB"/>
        </w:rPr>
        <w:t xml:space="preserve"> respectively. Both are intended for academic audiences, as evidenced by the quantity of technical language featured within their pages (Mai </w:t>
      </w:r>
      <w:r w:rsidRPr="000174C7">
        <w:rPr>
          <w:rFonts w:ascii="Arial" w:eastAsia="Times New Roman" w:hAnsi="Arial" w:cs="Arial"/>
          <w:i/>
          <w:iCs/>
          <w:lang w:eastAsia="en-GB"/>
        </w:rPr>
        <w:t>et al</w:t>
      </w:r>
      <w:r w:rsidRPr="000174C7">
        <w:rPr>
          <w:rFonts w:ascii="Arial" w:eastAsia="Times New Roman" w:hAnsi="Arial" w:cs="Arial"/>
          <w:lang w:eastAsia="en-GB"/>
        </w:rPr>
        <w:t xml:space="preserve">., 2016; Yu </w:t>
      </w:r>
      <w:r w:rsidRPr="000174C7">
        <w:rPr>
          <w:rFonts w:ascii="Arial" w:eastAsia="Times New Roman" w:hAnsi="Arial" w:cs="Arial"/>
          <w:i/>
          <w:iCs/>
          <w:lang w:eastAsia="en-GB"/>
        </w:rPr>
        <w:t>et al.</w:t>
      </w:r>
      <w:r w:rsidRPr="000174C7">
        <w:rPr>
          <w:rFonts w:ascii="Arial" w:eastAsia="Times New Roman" w:hAnsi="Arial" w:cs="Arial"/>
          <w:lang w:eastAsia="en-GB"/>
        </w:rPr>
        <w:t>, 2017). They address similar subjects in a similar manner, both focusing heavily on the chemical analysis of their respective finds. However, there are some notable differences in the approach the authors have taken in their research.</w:t>
      </w:r>
    </w:p>
    <w:p w14:paraId="1A82BED0"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24DEE497" w14:textId="37DA0248" w:rsidR="000174C7" w:rsidRPr="000174C7" w:rsidRDefault="000174C7" w:rsidP="000174C7">
      <w:pPr>
        <w:spacing w:after="0" w:line="240" w:lineRule="auto"/>
        <w:ind w:firstLine="720"/>
        <w:rPr>
          <w:rFonts w:ascii="Times New Roman" w:eastAsia="Times New Roman" w:hAnsi="Times New Roman" w:cs="Times New Roman"/>
          <w:sz w:val="24"/>
          <w:szCs w:val="24"/>
          <w:lang w:eastAsia="en-GB"/>
        </w:rPr>
      </w:pPr>
      <w:r w:rsidRPr="000174C7">
        <w:rPr>
          <w:rFonts w:ascii="Arial" w:eastAsia="Times New Roman" w:hAnsi="Arial" w:cs="Arial"/>
          <w:lang w:eastAsia="en-GB"/>
        </w:rPr>
        <w:t>Mai, the author of the first article, has a PhD in archaeometry (Zhang, 2018)</w:t>
      </w:r>
      <w:r w:rsidR="003065EB">
        <w:rPr>
          <w:rFonts w:ascii="Arial" w:eastAsia="Times New Roman" w:hAnsi="Arial" w:cs="Arial"/>
          <w:lang w:eastAsia="en-GB"/>
        </w:rPr>
        <w:t>;</w:t>
      </w:r>
      <w:r w:rsidRPr="000174C7">
        <w:rPr>
          <w:rFonts w:ascii="Arial" w:eastAsia="Times New Roman" w:hAnsi="Arial" w:cs="Arial"/>
          <w:lang w:eastAsia="en-GB"/>
        </w:rPr>
        <w:t xml:space="preserve"> </w:t>
      </w:r>
      <w:r w:rsidR="003065EB">
        <w:rPr>
          <w:rFonts w:ascii="Arial" w:eastAsia="Times New Roman" w:hAnsi="Arial" w:cs="Arial"/>
          <w:lang w:eastAsia="en-GB"/>
        </w:rPr>
        <w:t>this</w:t>
      </w:r>
      <w:r w:rsidRPr="000174C7">
        <w:rPr>
          <w:rFonts w:ascii="Arial" w:eastAsia="Times New Roman" w:hAnsi="Arial" w:cs="Arial"/>
          <w:lang w:eastAsia="en-GB"/>
        </w:rPr>
        <w:t xml:space="preserve"> would suggest an authority to write</w:t>
      </w:r>
      <w:r w:rsidR="004A4E29">
        <w:rPr>
          <w:rFonts w:ascii="Arial" w:eastAsia="Times New Roman" w:hAnsi="Arial" w:cs="Arial"/>
          <w:lang w:eastAsia="en-GB"/>
        </w:rPr>
        <w:t xml:space="preserve"> an</w:t>
      </w:r>
      <w:r w:rsidRPr="000174C7">
        <w:rPr>
          <w:rFonts w:ascii="Arial" w:eastAsia="Times New Roman" w:hAnsi="Arial" w:cs="Arial"/>
          <w:lang w:eastAsia="en-GB"/>
        </w:rPr>
        <w:t xml:space="preserve"> analy</w:t>
      </w:r>
      <w:r w:rsidR="004A4E29">
        <w:rPr>
          <w:rFonts w:ascii="Arial" w:eastAsia="Times New Roman" w:hAnsi="Arial" w:cs="Arial"/>
          <w:lang w:eastAsia="en-GB"/>
        </w:rPr>
        <w:t>sis</w:t>
      </w:r>
      <w:r w:rsidRPr="000174C7">
        <w:rPr>
          <w:rFonts w:ascii="Arial" w:eastAsia="Times New Roman" w:hAnsi="Arial" w:cs="Arial"/>
          <w:lang w:eastAsia="en-GB"/>
        </w:rPr>
        <w:t xml:space="preserve"> </w:t>
      </w:r>
      <w:r w:rsidR="00562EDF">
        <w:rPr>
          <w:rFonts w:ascii="Arial" w:eastAsia="Times New Roman" w:hAnsi="Arial" w:cs="Arial"/>
          <w:lang w:eastAsia="en-GB"/>
        </w:rPr>
        <w:t xml:space="preserve">of </w:t>
      </w:r>
      <w:r w:rsidRPr="000174C7">
        <w:rPr>
          <w:rFonts w:ascii="Arial" w:eastAsia="Times New Roman" w:hAnsi="Arial" w:cs="Arial"/>
          <w:lang w:eastAsia="en-GB"/>
        </w:rPr>
        <w:t xml:space="preserve">the pigment stick find and its purpose. Yu, the author of the second article, studied Civil Engineering and Mechanics but is tied to the National Ancient Wall Painting and Earthen Archaeological Site Engineering Research Centre in China (Yu </w:t>
      </w:r>
      <w:r w:rsidRPr="000174C7">
        <w:rPr>
          <w:rFonts w:ascii="Arial" w:eastAsia="Times New Roman" w:hAnsi="Arial" w:cs="Arial"/>
          <w:i/>
          <w:iCs/>
          <w:lang w:eastAsia="en-GB"/>
        </w:rPr>
        <w:t>et al.</w:t>
      </w:r>
      <w:r w:rsidRPr="000174C7">
        <w:rPr>
          <w:rFonts w:ascii="Arial" w:eastAsia="Times New Roman" w:hAnsi="Arial" w:cs="Arial"/>
          <w:lang w:eastAsia="en-GB"/>
        </w:rPr>
        <w:t>, 2016</w:t>
      </w:r>
      <w:r w:rsidRPr="000174C7">
        <w:rPr>
          <w:rFonts w:ascii="Arial" w:eastAsia="Times New Roman" w:hAnsi="Arial" w:cs="Arial"/>
          <w:sz w:val="13"/>
          <w:szCs w:val="13"/>
          <w:vertAlign w:val="superscript"/>
          <w:lang w:eastAsia="en-GB"/>
        </w:rPr>
        <w:t>2</w:t>
      </w:r>
      <w:r w:rsidRPr="000174C7">
        <w:rPr>
          <w:rFonts w:ascii="Arial" w:eastAsia="Times New Roman" w:hAnsi="Arial" w:cs="Arial"/>
          <w:lang w:eastAsia="en-GB"/>
        </w:rPr>
        <w:t xml:space="preserve">). Despite the fact both papers are published in English, the teams who worked on the papers are based in China (Mai </w:t>
      </w:r>
      <w:r w:rsidRPr="000174C7">
        <w:rPr>
          <w:rFonts w:ascii="Arial" w:eastAsia="Times New Roman" w:hAnsi="Arial" w:cs="Arial"/>
          <w:i/>
          <w:iCs/>
          <w:lang w:eastAsia="en-GB"/>
        </w:rPr>
        <w:t>et al.</w:t>
      </w:r>
      <w:r w:rsidRPr="000174C7">
        <w:rPr>
          <w:rFonts w:ascii="Arial" w:eastAsia="Times New Roman" w:hAnsi="Arial" w:cs="Arial"/>
          <w:lang w:eastAsia="en-GB"/>
        </w:rPr>
        <w:t>,</w:t>
      </w:r>
      <w:r w:rsidRPr="000174C7">
        <w:rPr>
          <w:rFonts w:ascii="Arial" w:eastAsia="Times New Roman" w:hAnsi="Arial" w:cs="Arial"/>
          <w:i/>
          <w:iCs/>
          <w:lang w:eastAsia="en-GB"/>
        </w:rPr>
        <w:t xml:space="preserve"> </w:t>
      </w:r>
      <w:r w:rsidRPr="000174C7">
        <w:rPr>
          <w:rFonts w:ascii="Arial" w:eastAsia="Times New Roman" w:hAnsi="Arial" w:cs="Arial"/>
          <w:lang w:eastAsia="en-GB"/>
        </w:rPr>
        <w:t xml:space="preserve">2016; Yu </w:t>
      </w:r>
      <w:r w:rsidRPr="000174C7">
        <w:rPr>
          <w:rFonts w:ascii="Arial" w:eastAsia="Times New Roman" w:hAnsi="Arial" w:cs="Arial"/>
          <w:i/>
          <w:iCs/>
          <w:lang w:eastAsia="en-GB"/>
        </w:rPr>
        <w:t>et al.</w:t>
      </w:r>
      <w:r w:rsidRPr="000174C7">
        <w:rPr>
          <w:rFonts w:ascii="Arial" w:eastAsia="Times New Roman" w:hAnsi="Arial" w:cs="Arial"/>
          <w:lang w:eastAsia="en-GB"/>
        </w:rPr>
        <w:t>,</w:t>
      </w:r>
      <w:r w:rsidRPr="000174C7">
        <w:rPr>
          <w:rFonts w:ascii="Arial" w:eastAsia="Times New Roman" w:hAnsi="Arial" w:cs="Arial"/>
          <w:i/>
          <w:iCs/>
          <w:lang w:eastAsia="en-GB"/>
        </w:rPr>
        <w:t xml:space="preserve"> </w:t>
      </w:r>
      <w:r w:rsidRPr="000174C7">
        <w:rPr>
          <w:rFonts w:ascii="Arial" w:eastAsia="Times New Roman" w:hAnsi="Arial" w:cs="Arial"/>
          <w:lang w:eastAsia="en-GB"/>
        </w:rPr>
        <w:t>2017</w:t>
      </w:r>
      <w:r w:rsidRPr="000174C7">
        <w:rPr>
          <w:rFonts w:ascii="Arial" w:eastAsia="Times New Roman" w:hAnsi="Arial" w:cs="Arial"/>
          <w:sz w:val="13"/>
          <w:szCs w:val="13"/>
          <w:vertAlign w:val="superscript"/>
          <w:lang w:eastAsia="en-GB"/>
        </w:rPr>
        <w:t>2</w:t>
      </w:r>
      <w:r w:rsidRPr="000174C7">
        <w:rPr>
          <w:rFonts w:ascii="Arial" w:eastAsia="Times New Roman" w:hAnsi="Arial" w:cs="Arial"/>
          <w:lang w:eastAsia="en-GB"/>
        </w:rPr>
        <w:t>;</w:t>
      </w:r>
      <w:r w:rsidRPr="000174C7">
        <w:rPr>
          <w:rFonts w:ascii="Arial" w:eastAsia="Times New Roman" w:hAnsi="Arial" w:cs="Arial"/>
          <w:sz w:val="13"/>
          <w:szCs w:val="13"/>
          <w:vertAlign w:val="superscript"/>
          <w:lang w:eastAsia="en-GB"/>
        </w:rPr>
        <w:t xml:space="preserve"> </w:t>
      </w:r>
      <w:r w:rsidRPr="000174C7">
        <w:rPr>
          <w:rFonts w:ascii="Arial" w:eastAsia="Times New Roman" w:hAnsi="Arial" w:cs="Arial"/>
          <w:lang w:eastAsia="en-GB"/>
        </w:rPr>
        <w:t xml:space="preserve">Zhang, 2018), and as such, </w:t>
      </w:r>
      <w:r w:rsidR="00562EDF">
        <w:rPr>
          <w:rFonts w:ascii="Arial" w:eastAsia="Times New Roman" w:hAnsi="Arial" w:cs="Arial"/>
          <w:lang w:eastAsia="en-GB"/>
        </w:rPr>
        <w:t>the papers may</w:t>
      </w:r>
      <w:r w:rsidRPr="000174C7">
        <w:rPr>
          <w:rFonts w:ascii="Arial" w:eastAsia="Times New Roman" w:hAnsi="Arial" w:cs="Arial"/>
          <w:lang w:eastAsia="en-GB"/>
        </w:rPr>
        <w:t xml:space="preserve"> have been subjected to a critical eye from the Chinese government, as is claimed to happen with other forms of media (Brady, 2010; Edney, 2014; Lim </w:t>
      </w:r>
      <w:r w:rsidRPr="000174C7">
        <w:rPr>
          <w:rFonts w:ascii="Arial" w:eastAsia="Times New Roman" w:hAnsi="Arial" w:cs="Arial"/>
          <w:i/>
          <w:iCs/>
          <w:lang w:eastAsia="en-GB"/>
        </w:rPr>
        <w:t>et al.</w:t>
      </w:r>
      <w:r w:rsidRPr="000174C7">
        <w:rPr>
          <w:rFonts w:ascii="Arial" w:eastAsia="Times New Roman" w:hAnsi="Arial" w:cs="Arial"/>
          <w:lang w:eastAsia="en-GB"/>
        </w:rPr>
        <w:t>, 2018). This could be due to China struggling with its image overseas for many years (Brady, 2015).</w:t>
      </w:r>
    </w:p>
    <w:p w14:paraId="15F44315"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    </w:t>
      </w:r>
    </w:p>
    <w:p w14:paraId="56BE4861" w14:textId="10D04566" w:rsidR="000174C7" w:rsidRPr="000174C7" w:rsidRDefault="000174C7" w:rsidP="000174C7">
      <w:pPr>
        <w:spacing w:after="0" w:line="240" w:lineRule="auto"/>
        <w:ind w:firstLine="720"/>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Mai’s article (2016) lacks clarity in defining its overall purpose. The abstract identifies a broad range of topics </w:t>
      </w:r>
      <w:r w:rsidR="004A4E29">
        <w:rPr>
          <w:rFonts w:ascii="Arial" w:eastAsia="Times New Roman" w:hAnsi="Arial" w:cs="Arial"/>
          <w:lang w:eastAsia="en-GB"/>
        </w:rPr>
        <w:t>to</w:t>
      </w:r>
      <w:r w:rsidRPr="000174C7">
        <w:rPr>
          <w:rFonts w:ascii="Arial" w:eastAsia="Times New Roman" w:hAnsi="Arial" w:cs="Arial"/>
          <w:lang w:eastAsia="en-GB"/>
        </w:rPr>
        <w:t xml:space="preserve"> be covered, however</w:t>
      </w:r>
      <w:r w:rsidR="00562EDF">
        <w:rPr>
          <w:rFonts w:ascii="Arial" w:eastAsia="Times New Roman" w:hAnsi="Arial" w:cs="Arial"/>
          <w:lang w:eastAsia="en-GB"/>
        </w:rPr>
        <w:t>,</w:t>
      </w:r>
      <w:r w:rsidRPr="000174C7">
        <w:rPr>
          <w:rFonts w:ascii="Arial" w:eastAsia="Times New Roman" w:hAnsi="Arial" w:cs="Arial"/>
          <w:lang w:eastAsia="en-GB"/>
        </w:rPr>
        <w:t xml:space="preserve"> the constraint of the word count has resulted in a fractured article that suffers from a poor flow and an unclear objective. This constraint may be due to a possible bias in academia, and particularly the sciences, in favouring men when considering funding (Moss-</w:t>
      </w:r>
      <w:proofErr w:type="spellStart"/>
      <w:r w:rsidRPr="000174C7">
        <w:rPr>
          <w:rFonts w:ascii="Arial" w:eastAsia="Times New Roman" w:hAnsi="Arial" w:cs="Arial"/>
          <w:lang w:eastAsia="en-GB"/>
        </w:rPr>
        <w:t>Racusin</w:t>
      </w:r>
      <w:proofErr w:type="spellEnd"/>
      <w:r w:rsidRPr="000174C7">
        <w:rPr>
          <w:rFonts w:ascii="Arial" w:eastAsia="Times New Roman" w:hAnsi="Arial" w:cs="Arial"/>
          <w:lang w:eastAsia="en-GB"/>
        </w:rPr>
        <w:t xml:space="preserve"> </w:t>
      </w:r>
      <w:r w:rsidRPr="000174C7">
        <w:rPr>
          <w:rFonts w:ascii="Arial" w:eastAsia="Times New Roman" w:hAnsi="Arial" w:cs="Arial"/>
          <w:i/>
          <w:iCs/>
          <w:lang w:eastAsia="en-GB"/>
        </w:rPr>
        <w:t>et al.</w:t>
      </w:r>
      <w:r w:rsidRPr="000174C7">
        <w:rPr>
          <w:rFonts w:ascii="Arial" w:eastAsia="Times New Roman" w:hAnsi="Arial" w:cs="Arial"/>
          <w:lang w:eastAsia="en-GB"/>
        </w:rPr>
        <w:t xml:space="preserve">, 2012; Tamblyn </w:t>
      </w:r>
      <w:r w:rsidRPr="000174C7">
        <w:rPr>
          <w:rFonts w:ascii="Arial" w:eastAsia="Times New Roman" w:hAnsi="Arial" w:cs="Arial"/>
          <w:i/>
          <w:iCs/>
          <w:lang w:eastAsia="en-GB"/>
        </w:rPr>
        <w:t>et al.</w:t>
      </w:r>
      <w:r w:rsidRPr="000174C7">
        <w:rPr>
          <w:rFonts w:ascii="Arial" w:eastAsia="Times New Roman" w:hAnsi="Arial" w:cs="Arial"/>
          <w:lang w:eastAsia="en-GB"/>
        </w:rPr>
        <w:t>, 2018). Consequently, projects that interest male researchers are given more space within the academic community. This may have resulted in a situation wherein Mai feels the need to fill the article with as many elements she uncovered in her research as possible. However</w:t>
      </w:r>
      <w:r>
        <w:rPr>
          <w:rFonts w:ascii="Arial" w:eastAsia="Times New Roman" w:hAnsi="Arial" w:cs="Arial"/>
          <w:lang w:eastAsia="en-GB"/>
        </w:rPr>
        <w:t>,</w:t>
      </w:r>
      <w:r w:rsidRPr="000174C7">
        <w:rPr>
          <w:rFonts w:ascii="Arial" w:eastAsia="Times New Roman" w:hAnsi="Arial" w:cs="Arial"/>
          <w:lang w:eastAsia="en-GB"/>
        </w:rPr>
        <w:t xml:space="preserve"> increasing the number of topics the paper covers to maximise both the use of the space she</w:t>
      </w:r>
      <w:r w:rsidR="004A4E29">
        <w:rPr>
          <w:rFonts w:ascii="Arial" w:eastAsia="Times New Roman" w:hAnsi="Arial" w:cs="Arial"/>
          <w:lang w:eastAsia="en-GB"/>
        </w:rPr>
        <w:t xml:space="preserve"> ha</w:t>
      </w:r>
      <w:r w:rsidRPr="000174C7">
        <w:rPr>
          <w:rFonts w:ascii="Arial" w:eastAsia="Times New Roman" w:hAnsi="Arial" w:cs="Arial"/>
          <w:lang w:eastAsia="en-GB"/>
        </w:rPr>
        <w:t>s been given and the potential for one of those topics being of interest to a potential future funder has resulted in an article that is somewhat directionless. </w:t>
      </w:r>
    </w:p>
    <w:p w14:paraId="5CEBA394"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56EF45A6" w14:textId="7C614739" w:rsidR="000174C7" w:rsidRPr="000174C7" w:rsidRDefault="000174C7" w:rsidP="000174C7">
      <w:pPr>
        <w:spacing w:after="0" w:line="240" w:lineRule="auto"/>
        <w:ind w:firstLine="720"/>
        <w:rPr>
          <w:rFonts w:ascii="Times New Roman" w:eastAsia="Times New Roman" w:hAnsi="Times New Roman" w:cs="Times New Roman"/>
          <w:sz w:val="24"/>
          <w:szCs w:val="24"/>
          <w:lang w:eastAsia="en-GB"/>
        </w:rPr>
      </w:pPr>
      <w:r w:rsidRPr="000174C7">
        <w:rPr>
          <w:rFonts w:ascii="Arial" w:eastAsia="Times New Roman" w:hAnsi="Arial" w:cs="Arial"/>
          <w:lang w:eastAsia="en-GB"/>
        </w:rPr>
        <w:t>Yu’s paper (2017</w:t>
      </w:r>
      <w:r w:rsidRPr="000174C7">
        <w:rPr>
          <w:rFonts w:ascii="Arial" w:eastAsia="Times New Roman" w:hAnsi="Arial" w:cs="Arial"/>
          <w:sz w:val="13"/>
          <w:szCs w:val="13"/>
          <w:vertAlign w:val="superscript"/>
          <w:lang w:eastAsia="en-GB"/>
        </w:rPr>
        <w:t>1</w:t>
      </w:r>
      <w:r w:rsidRPr="000174C7">
        <w:rPr>
          <w:rFonts w:ascii="Arial" w:eastAsia="Times New Roman" w:hAnsi="Arial" w:cs="Arial"/>
          <w:lang w:eastAsia="en-GB"/>
        </w:rPr>
        <w:t>) is clear in its purpose. It sets out to analyse the white powder found and provide some insight into the context surrounding the powder, and it achieves this goal succinctly. This focus of purpose could be due to Yu’s team being more confident of finding funding for further research into their powder, compared to Mai’s team (Moss-</w:t>
      </w:r>
      <w:proofErr w:type="spellStart"/>
      <w:r w:rsidRPr="000174C7">
        <w:rPr>
          <w:rFonts w:ascii="Arial" w:eastAsia="Times New Roman" w:hAnsi="Arial" w:cs="Arial"/>
          <w:lang w:eastAsia="en-GB"/>
        </w:rPr>
        <w:t>Racusin</w:t>
      </w:r>
      <w:proofErr w:type="spellEnd"/>
      <w:r w:rsidRPr="000174C7">
        <w:rPr>
          <w:rFonts w:ascii="Arial" w:eastAsia="Times New Roman" w:hAnsi="Arial" w:cs="Arial"/>
          <w:lang w:eastAsia="en-GB"/>
        </w:rPr>
        <w:t xml:space="preserve"> </w:t>
      </w:r>
      <w:r w:rsidRPr="000174C7">
        <w:rPr>
          <w:rFonts w:ascii="Arial" w:eastAsia="Times New Roman" w:hAnsi="Arial" w:cs="Arial"/>
          <w:i/>
          <w:iCs/>
          <w:lang w:eastAsia="en-GB"/>
        </w:rPr>
        <w:t>et al.</w:t>
      </w:r>
      <w:r w:rsidRPr="000174C7">
        <w:rPr>
          <w:rFonts w:ascii="Arial" w:eastAsia="Times New Roman" w:hAnsi="Arial" w:cs="Arial"/>
          <w:lang w:eastAsia="en-GB"/>
        </w:rPr>
        <w:t xml:space="preserve">, 2012; Tamblyn </w:t>
      </w:r>
      <w:r w:rsidRPr="000174C7">
        <w:rPr>
          <w:rFonts w:ascii="Arial" w:eastAsia="Times New Roman" w:hAnsi="Arial" w:cs="Arial"/>
          <w:i/>
          <w:iCs/>
          <w:lang w:eastAsia="en-GB"/>
        </w:rPr>
        <w:t>et al.</w:t>
      </w:r>
      <w:r w:rsidRPr="000174C7">
        <w:rPr>
          <w:rFonts w:ascii="Arial" w:eastAsia="Times New Roman" w:hAnsi="Arial" w:cs="Arial"/>
          <w:lang w:eastAsia="en-GB"/>
        </w:rPr>
        <w:t>, 2018).</w:t>
      </w:r>
    </w:p>
    <w:p w14:paraId="344FC5D3"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7365054B" w14:textId="36A753D7" w:rsidR="000174C7" w:rsidRPr="000174C7" w:rsidRDefault="000174C7" w:rsidP="000174C7">
      <w:pPr>
        <w:spacing w:after="0" w:line="240" w:lineRule="auto"/>
        <w:ind w:firstLine="720"/>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Both papers make claims regarding the origin and purpose of the items discovered (Mai </w:t>
      </w:r>
      <w:r w:rsidRPr="000174C7">
        <w:rPr>
          <w:rFonts w:ascii="Arial" w:eastAsia="Times New Roman" w:hAnsi="Arial" w:cs="Arial"/>
          <w:i/>
          <w:iCs/>
          <w:lang w:eastAsia="en-GB"/>
        </w:rPr>
        <w:t>et al.</w:t>
      </w:r>
      <w:r w:rsidRPr="000174C7">
        <w:rPr>
          <w:rFonts w:ascii="Arial" w:eastAsia="Times New Roman" w:hAnsi="Arial" w:cs="Arial"/>
          <w:lang w:eastAsia="en-GB"/>
        </w:rPr>
        <w:t>, 2016; Yu et al., 2017</w:t>
      </w:r>
      <w:r w:rsidRPr="000174C7">
        <w:rPr>
          <w:rFonts w:ascii="Arial" w:eastAsia="Times New Roman" w:hAnsi="Arial" w:cs="Arial"/>
          <w:sz w:val="13"/>
          <w:szCs w:val="13"/>
          <w:vertAlign w:val="superscript"/>
          <w:lang w:eastAsia="en-GB"/>
        </w:rPr>
        <w:t>1</w:t>
      </w:r>
      <w:r w:rsidRPr="000174C7">
        <w:rPr>
          <w:rFonts w:ascii="Arial" w:eastAsia="Times New Roman" w:hAnsi="Arial" w:cs="Arial"/>
          <w:lang w:eastAsia="en-GB"/>
        </w:rPr>
        <w:t xml:space="preserve">). However, Yu’s paper makes several significant claims which are not supported by referenced evidence. Yu suggests that the white powder analysed was cosmetic and that its container was an item of dowry (Yu </w:t>
      </w:r>
      <w:r w:rsidRPr="000174C7">
        <w:rPr>
          <w:rFonts w:ascii="Arial" w:eastAsia="Times New Roman" w:hAnsi="Arial" w:cs="Arial"/>
          <w:i/>
          <w:iCs/>
          <w:lang w:eastAsia="en-GB"/>
        </w:rPr>
        <w:t>et al.</w:t>
      </w:r>
      <w:r w:rsidRPr="000174C7">
        <w:rPr>
          <w:rFonts w:ascii="Arial" w:eastAsia="Times New Roman" w:hAnsi="Arial" w:cs="Arial"/>
          <w:lang w:eastAsia="en-GB"/>
        </w:rPr>
        <w:t>, 2017</w:t>
      </w:r>
      <w:r w:rsidRPr="000174C7">
        <w:rPr>
          <w:rFonts w:ascii="Arial" w:eastAsia="Times New Roman" w:hAnsi="Arial" w:cs="Arial"/>
          <w:sz w:val="13"/>
          <w:szCs w:val="13"/>
          <w:vertAlign w:val="superscript"/>
          <w:lang w:eastAsia="en-GB"/>
        </w:rPr>
        <w:t>1</w:t>
      </w:r>
      <w:r w:rsidRPr="000174C7">
        <w:rPr>
          <w:rFonts w:ascii="Arial" w:eastAsia="Times New Roman" w:hAnsi="Arial" w:cs="Arial"/>
          <w:lang w:eastAsia="en-GB"/>
        </w:rPr>
        <w:t xml:space="preserve">). He also claims his paper is the first evidence to support the use of freshwater pearls as a cosmetic product (Yu </w:t>
      </w:r>
      <w:r w:rsidRPr="000174C7">
        <w:rPr>
          <w:rFonts w:ascii="Arial" w:eastAsia="Times New Roman" w:hAnsi="Arial" w:cs="Arial"/>
          <w:i/>
          <w:iCs/>
          <w:lang w:eastAsia="en-GB"/>
        </w:rPr>
        <w:t>et al.</w:t>
      </w:r>
      <w:r w:rsidRPr="000174C7">
        <w:rPr>
          <w:rFonts w:ascii="Arial" w:eastAsia="Times New Roman" w:hAnsi="Arial" w:cs="Arial"/>
          <w:lang w:eastAsia="en-GB"/>
        </w:rPr>
        <w:t>, 2017</w:t>
      </w:r>
      <w:r w:rsidRPr="000174C7">
        <w:rPr>
          <w:rFonts w:ascii="Arial" w:eastAsia="Times New Roman" w:hAnsi="Arial" w:cs="Arial"/>
          <w:sz w:val="13"/>
          <w:szCs w:val="13"/>
          <w:vertAlign w:val="superscript"/>
          <w:lang w:eastAsia="en-GB"/>
        </w:rPr>
        <w:t>1</w:t>
      </w:r>
      <w:r w:rsidRPr="000174C7">
        <w:rPr>
          <w:rFonts w:ascii="Arial" w:eastAsia="Times New Roman" w:hAnsi="Arial" w:cs="Arial"/>
          <w:lang w:eastAsia="en-GB"/>
        </w:rPr>
        <w:t xml:space="preserve">), leaving little room to challenge the notion of the find’s purpose due to there being no previous research to compare it to. He does attempt to support his claims with evidence of other white powders found in tombs (Yu </w:t>
      </w:r>
      <w:r w:rsidRPr="000174C7">
        <w:rPr>
          <w:rFonts w:ascii="Arial" w:eastAsia="Times New Roman" w:hAnsi="Arial" w:cs="Arial"/>
          <w:i/>
          <w:iCs/>
          <w:lang w:eastAsia="en-GB"/>
        </w:rPr>
        <w:t>et al.</w:t>
      </w:r>
      <w:r w:rsidRPr="000174C7">
        <w:rPr>
          <w:rFonts w:ascii="Arial" w:eastAsia="Times New Roman" w:hAnsi="Arial" w:cs="Arial"/>
          <w:lang w:eastAsia="en-GB"/>
        </w:rPr>
        <w:t>, 2017</w:t>
      </w:r>
      <w:r w:rsidRPr="000174C7">
        <w:rPr>
          <w:rFonts w:ascii="Arial" w:eastAsia="Times New Roman" w:hAnsi="Arial" w:cs="Arial"/>
          <w:sz w:val="13"/>
          <w:szCs w:val="13"/>
          <w:vertAlign w:val="superscript"/>
          <w:lang w:eastAsia="en-GB"/>
        </w:rPr>
        <w:t>1</w:t>
      </w:r>
      <w:r w:rsidRPr="000174C7">
        <w:rPr>
          <w:rFonts w:ascii="Arial" w:eastAsia="Times New Roman" w:hAnsi="Arial" w:cs="Arial"/>
          <w:lang w:eastAsia="en-GB"/>
        </w:rPr>
        <w:t xml:space="preserve">), but fails to acknowledge that also found in this </w:t>
      </w:r>
      <w:proofErr w:type="gramStart"/>
      <w:r w:rsidRPr="000174C7">
        <w:rPr>
          <w:rFonts w:ascii="Arial" w:eastAsia="Times New Roman" w:hAnsi="Arial" w:cs="Arial"/>
          <w:lang w:eastAsia="en-GB"/>
        </w:rPr>
        <w:t>particular tomb</w:t>
      </w:r>
      <w:proofErr w:type="gramEnd"/>
      <w:r w:rsidRPr="000174C7">
        <w:rPr>
          <w:rFonts w:ascii="Arial" w:eastAsia="Times New Roman" w:hAnsi="Arial" w:cs="Arial"/>
          <w:lang w:eastAsia="en-GB"/>
        </w:rPr>
        <w:t xml:space="preserve"> was a second box with another powder that is identified as medicinal in nature, a claim backed up with previous </w:t>
      </w:r>
      <w:r w:rsidRPr="000174C7">
        <w:rPr>
          <w:rFonts w:ascii="Arial" w:eastAsia="Times New Roman" w:hAnsi="Arial" w:cs="Arial"/>
          <w:lang w:eastAsia="en-GB"/>
        </w:rPr>
        <w:lastRenderedPageBreak/>
        <w:t xml:space="preserve">research in a paper written by one of his cohorts, published two years later (Gong </w:t>
      </w:r>
      <w:r w:rsidRPr="000174C7">
        <w:rPr>
          <w:rFonts w:ascii="Arial" w:eastAsia="Times New Roman" w:hAnsi="Arial" w:cs="Arial"/>
          <w:i/>
          <w:iCs/>
          <w:lang w:eastAsia="en-GB"/>
        </w:rPr>
        <w:t>et al.</w:t>
      </w:r>
      <w:r w:rsidRPr="000174C7">
        <w:rPr>
          <w:rFonts w:ascii="Arial" w:eastAsia="Times New Roman" w:hAnsi="Arial" w:cs="Arial"/>
          <w:lang w:eastAsia="en-GB"/>
        </w:rPr>
        <w:t xml:space="preserve">, 2019). In his own paper, Yu acknowledges an established written record of pearl being used for medical and healthcare purposes (Yu </w:t>
      </w:r>
      <w:r w:rsidRPr="000174C7">
        <w:rPr>
          <w:rFonts w:ascii="Arial" w:eastAsia="Times New Roman" w:hAnsi="Arial" w:cs="Arial"/>
          <w:i/>
          <w:iCs/>
          <w:lang w:eastAsia="en-GB"/>
        </w:rPr>
        <w:t>et al.</w:t>
      </w:r>
      <w:r w:rsidRPr="000174C7">
        <w:rPr>
          <w:rFonts w:ascii="Arial" w:eastAsia="Times New Roman" w:hAnsi="Arial" w:cs="Arial"/>
          <w:lang w:eastAsia="en-GB"/>
        </w:rPr>
        <w:t>, 2017</w:t>
      </w:r>
      <w:r w:rsidRPr="000174C7">
        <w:rPr>
          <w:rFonts w:ascii="Arial" w:eastAsia="Times New Roman" w:hAnsi="Arial" w:cs="Arial"/>
          <w:sz w:val="13"/>
          <w:szCs w:val="13"/>
          <w:vertAlign w:val="superscript"/>
          <w:lang w:eastAsia="en-GB"/>
        </w:rPr>
        <w:t>1</w:t>
      </w:r>
      <w:r w:rsidRPr="000174C7">
        <w:rPr>
          <w:rFonts w:ascii="Arial" w:eastAsia="Times New Roman" w:hAnsi="Arial" w:cs="Arial"/>
          <w:lang w:eastAsia="en-GB"/>
        </w:rPr>
        <w:t>), but</w:t>
      </w:r>
      <w:r w:rsidR="004A4E29">
        <w:rPr>
          <w:rFonts w:ascii="Arial" w:eastAsia="Times New Roman" w:hAnsi="Arial" w:cs="Arial"/>
          <w:lang w:eastAsia="en-GB"/>
        </w:rPr>
        <w:t xml:space="preserve"> despite</w:t>
      </w:r>
      <w:r w:rsidR="003065EB">
        <w:rPr>
          <w:rFonts w:ascii="Arial" w:eastAsia="Times New Roman" w:hAnsi="Arial" w:cs="Arial"/>
          <w:lang w:eastAsia="en-GB"/>
        </w:rPr>
        <w:t xml:space="preserve"> this</w:t>
      </w:r>
      <w:r w:rsidRPr="000174C7">
        <w:rPr>
          <w:rFonts w:ascii="Arial" w:eastAsia="Times New Roman" w:hAnsi="Arial" w:cs="Arial"/>
          <w:lang w:eastAsia="en-GB"/>
        </w:rPr>
        <w:t>, Yu does not acknowledge there could be any potential purpose for the freshwater pearl powder other than cosmetic.</w:t>
      </w:r>
    </w:p>
    <w:p w14:paraId="0588FFB1"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73C5DD13" w14:textId="0BEF277E" w:rsidR="000174C7" w:rsidRPr="000174C7" w:rsidRDefault="000174C7" w:rsidP="000174C7">
      <w:pPr>
        <w:spacing w:after="0" w:line="240" w:lineRule="auto"/>
        <w:ind w:firstLine="720"/>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Furthermore, Yu does not provide any citations which would substantiate his claims about the purpose of the box </w:t>
      </w:r>
      <w:r w:rsidR="004A4E29">
        <w:rPr>
          <w:rFonts w:ascii="Arial" w:eastAsia="Times New Roman" w:hAnsi="Arial" w:cs="Arial"/>
          <w:lang w:eastAsia="en-GB"/>
        </w:rPr>
        <w:t>the powder</w:t>
      </w:r>
      <w:r w:rsidRPr="000174C7">
        <w:rPr>
          <w:rFonts w:ascii="Arial" w:eastAsia="Times New Roman" w:hAnsi="Arial" w:cs="Arial"/>
          <w:lang w:eastAsia="en-GB"/>
        </w:rPr>
        <w:t xml:space="preserve"> was found in, which makes the task of validating the claim a difficult one. For example, </w:t>
      </w:r>
      <w:proofErr w:type="spellStart"/>
      <w:r w:rsidRPr="000174C7">
        <w:rPr>
          <w:rFonts w:ascii="Arial" w:eastAsia="Times New Roman" w:hAnsi="Arial" w:cs="Arial"/>
          <w:lang w:eastAsia="en-GB"/>
        </w:rPr>
        <w:t>Lü</w:t>
      </w:r>
      <w:proofErr w:type="spellEnd"/>
      <w:r w:rsidRPr="000174C7">
        <w:rPr>
          <w:rFonts w:ascii="Arial" w:eastAsia="Times New Roman" w:hAnsi="Arial" w:cs="Arial"/>
          <w:lang w:eastAsia="en-GB"/>
        </w:rPr>
        <w:t xml:space="preserve"> (2010) wrote a paper on dowries during the Northern Song Dynasty, which does not mention the concept of dowry boxes.</w:t>
      </w:r>
    </w:p>
    <w:p w14:paraId="08BF0F74"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24C077D6" w14:textId="3F5D610F" w:rsidR="000174C7" w:rsidRPr="000174C7" w:rsidRDefault="000174C7" w:rsidP="000174C7">
      <w:pPr>
        <w:spacing w:after="0" w:line="240" w:lineRule="auto"/>
        <w:ind w:firstLine="720"/>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While Mai does cite her sources where relevant (Mai </w:t>
      </w:r>
      <w:r w:rsidRPr="000174C7">
        <w:rPr>
          <w:rFonts w:ascii="Arial" w:eastAsia="Times New Roman" w:hAnsi="Arial" w:cs="Arial"/>
          <w:i/>
          <w:iCs/>
          <w:lang w:eastAsia="en-GB"/>
        </w:rPr>
        <w:t>et al.</w:t>
      </w:r>
      <w:r w:rsidRPr="000174C7">
        <w:rPr>
          <w:rFonts w:ascii="Arial" w:eastAsia="Times New Roman" w:hAnsi="Arial" w:cs="Arial"/>
          <w:lang w:eastAsia="en-GB"/>
        </w:rPr>
        <w:t xml:space="preserve">, 2016), she also fails to suppose an alternative interpretation of the find. Discussing at length the potential religious connection between the cosmetic stick and the women the sticks were buried with, she claims the implication is “woman played a special role in religious activities” (Mai </w:t>
      </w:r>
      <w:r w:rsidRPr="000174C7">
        <w:rPr>
          <w:rFonts w:ascii="Arial" w:eastAsia="Times New Roman" w:hAnsi="Arial" w:cs="Arial"/>
          <w:i/>
          <w:iCs/>
          <w:lang w:eastAsia="en-GB"/>
        </w:rPr>
        <w:t>et al.</w:t>
      </w:r>
      <w:r w:rsidRPr="000174C7">
        <w:rPr>
          <w:rFonts w:ascii="Arial" w:eastAsia="Times New Roman" w:hAnsi="Arial" w:cs="Arial"/>
          <w:lang w:eastAsia="en-GB"/>
        </w:rPr>
        <w:t>, 2016), which frames the relationship between women and the cosmetic stick in a positive light, without acknowledging years of an oppressive relationship between women and cosmetic or beauty standards, particularly in China (Yang, 2011).</w:t>
      </w:r>
    </w:p>
    <w:p w14:paraId="06C2040B"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5C21CF6B" w14:textId="77777777" w:rsidR="000174C7" w:rsidRPr="000174C7" w:rsidRDefault="000174C7" w:rsidP="000174C7">
      <w:pPr>
        <w:spacing w:after="0" w:line="240" w:lineRule="auto"/>
        <w:ind w:firstLine="720"/>
        <w:rPr>
          <w:rFonts w:ascii="Times New Roman" w:eastAsia="Times New Roman" w:hAnsi="Times New Roman" w:cs="Times New Roman"/>
          <w:sz w:val="24"/>
          <w:szCs w:val="24"/>
          <w:lang w:eastAsia="en-GB"/>
        </w:rPr>
      </w:pPr>
      <w:r w:rsidRPr="000174C7">
        <w:rPr>
          <w:rFonts w:ascii="Arial" w:eastAsia="Times New Roman" w:hAnsi="Arial" w:cs="Arial"/>
          <w:lang w:eastAsia="en-GB"/>
        </w:rPr>
        <w:t>Overall, both articles are useful and discuss marginalised finds, shining a light onto discoveries that are not the usual contenders for widespread academic attention. They both lay the groundwork for future discussion and discovery, and they both set out to achieve their goals, even if that goal is implicit and not stated in the abstract. However, both articles highlight a need for more focus on feminine-related finds, and the space within which this focus can occur in the academic community.</w:t>
      </w:r>
    </w:p>
    <w:p w14:paraId="181F2945" w14:textId="77777777" w:rsidR="000174C7" w:rsidRPr="000174C7" w:rsidRDefault="000174C7" w:rsidP="000174C7">
      <w:pPr>
        <w:spacing w:after="240" w:line="240" w:lineRule="auto"/>
        <w:rPr>
          <w:rFonts w:ascii="Times New Roman" w:eastAsia="Times New Roman" w:hAnsi="Times New Roman" w:cs="Times New Roman"/>
          <w:sz w:val="24"/>
          <w:szCs w:val="24"/>
          <w:lang w:eastAsia="en-GB"/>
        </w:rPr>
      </w:pPr>
    </w:p>
    <w:p w14:paraId="7E7EF708" w14:textId="77777777" w:rsidR="000174C7" w:rsidRPr="000174C7" w:rsidRDefault="000174C7" w:rsidP="000174C7">
      <w:pPr>
        <w:spacing w:before="320" w:after="80" w:line="240" w:lineRule="auto"/>
        <w:outlineLvl w:val="2"/>
        <w:rPr>
          <w:rFonts w:ascii="Times New Roman" w:eastAsia="Times New Roman" w:hAnsi="Times New Roman" w:cs="Times New Roman"/>
          <w:b/>
          <w:bCs/>
          <w:sz w:val="27"/>
          <w:szCs w:val="27"/>
          <w:lang w:eastAsia="en-GB"/>
        </w:rPr>
      </w:pPr>
      <w:r w:rsidRPr="000174C7">
        <w:rPr>
          <w:rFonts w:ascii="Arial" w:eastAsia="Times New Roman" w:hAnsi="Arial" w:cs="Arial"/>
          <w:sz w:val="28"/>
          <w:szCs w:val="28"/>
          <w:lang w:eastAsia="en-GB"/>
        </w:rPr>
        <w:t>Bibliography</w:t>
      </w:r>
    </w:p>
    <w:p w14:paraId="67D7EC3C"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618E9D3A"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Brady, A.-M., 2015. Authoritarianism Goes Global (II): China’s Foreign Propaganda Machine. </w:t>
      </w:r>
      <w:r w:rsidRPr="000174C7">
        <w:rPr>
          <w:rFonts w:ascii="Arial" w:eastAsia="Times New Roman" w:hAnsi="Arial" w:cs="Arial"/>
          <w:i/>
          <w:iCs/>
          <w:lang w:eastAsia="en-GB"/>
        </w:rPr>
        <w:t>Journal of democracy</w:t>
      </w:r>
      <w:r w:rsidRPr="000174C7">
        <w:rPr>
          <w:rFonts w:ascii="Arial" w:eastAsia="Times New Roman" w:hAnsi="Arial" w:cs="Arial"/>
          <w:lang w:eastAsia="en-GB"/>
        </w:rPr>
        <w:t>, 26(4), pp.51–59.</w:t>
      </w:r>
    </w:p>
    <w:p w14:paraId="37329555"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2A97C0DC"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Brady, A.-M. (2010) Marketing Dictatorship: Propaganda and Thought Work in Contemporary China. Maryland: Rowman &amp; Littlefield</w:t>
      </w:r>
    </w:p>
    <w:p w14:paraId="1ACE8FBE"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016D1B02"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Edney, K. (2014) </w:t>
      </w:r>
      <w:r w:rsidRPr="000174C7">
        <w:rPr>
          <w:rFonts w:ascii="Arial" w:eastAsia="Times New Roman" w:hAnsi="Arial" w:cs="Arial"/>
          <w:i/>
          <w:iCs/>
          <w:lang w:eastAsia="en-GB"/>
        </w:rPr>
        <w:t>The Globalization of Chinese Propaganda: International Power and Domestic Political Cohesion</w:t>
      </w:r>
      <w:r w:rsidRPr="000174C7">
        <w:rPr>
          <w:rFonts w:ascii="Arial" w:eastAsia="Times New Roman" w:hAnsi="Arial" w:cs="Arial"/>
          <w:lang w:eastAsia="en-GB"/>
        </w:rPr>
        <w:t xml:space="preserve">. 1st </w:t>
      </w:r>
      <w:proofErr w:type="spellStart"/>
      <w:r w:rsidRPr="000174C7">
        <w:rPr>
          <w:rFonts w:ascii="Arial" w:eastAsia="Times New Roman" w:hAnsi="Arial" w:cs="Arial"/>
          <w:lang w:eastAsia="en-GB"/>
        </w:rPr>
        <w:t>edn</w:t>
      </w:r>
      <w:proofErr w:type="spellEnd"/>
      <w:r w:rsidRPr="000174C7">
        <w:rPr>
          <w:rFonts w:ascii="Arial" w:eastAsia="Times New Roman" w:hAnsi="Arial" w:cs="Arial"/>
          <w:lang w:eastAsia="en-GB"/>
        </w:rPr>
        <w:t>. New York: Palgrave Macmillan</w:t>
      </w:r>
    </w:p>
    <w:p w14:paraId="51B1CAEE"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2CC2F6F0"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Gong, Y., Li, C., Zhang, Y. and Gong, D. 2019. Discovery of Ancient Mineral Medicine in the </w:t>
      </w:r>
      <w:proofErr w:type="spellStart"/>
      <w:r w:rsidRPr="000174C7">
        <w:rPr>
          <w:rFonts w:ascii="Arial" w:eastAsia="Times New Roman" w:hAnsi="Arial" w:cs="Arial"/>
          <w:lang w:eastAsia="en-GB"/>
        </w:rPr>
        <w:t>Lv</w:t>
      </w:r>
      <w:proofErr w:type="spellEnd"/>
      <w:r w:rsidRPr="000174C7">
        <w:rPr>
          <w:rFonts w:ascii="Arial" w:eastAsia="Times New Roman" w:hAnsi="Arial" w:cs="Arial"/>
          <w:lang w:eastAsia="en-GB"/>
        </w:rPr>
        <w:t xml:space="preserve"> Family Tomb of the Northern Song Dynasty (1074–1111 CE). </w:t>
      </w:r>
      <w:r w:rsidRPr="000174C7">
        <w:rPr>
          <w:rFonts w:ascii="Arial" w:eastAsia="Times New Roman" w:hAnsi="Arial" w:cs="Arial"/>
          <w:i/>
          <w:iCs/>
          <w:lang w:eastAsia="en-GB"/>
        </w:rPr>
        <w:t>Archaeometry</w:t>
      </w:r>
      <w:r w:rsidRPr="000174C7">
        <w:rPr>
          <w:rFonts w:ascii="Arial" w:eastAsia="Times New Roman" w:hAnsi="Arial" w:cs="Arial"/>
          <w:lang w:eastAsia="en-GB"/>
        </w:rPr>
        <w:t>, 61(2), pp.442–450.</w:t>
      </w:r>
    </w:p>
    <w:p w14:paraId="4E881866"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561CD845"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Lim, L. and Bergin, J. (2018) ‘Inside China's Audacious Global Propaganda Campaign’, </w:t>
      </w:r>
      <w:r w:rsidRPr="000174C7">
        <w:rPr>
          <w:rFonts w:ascii="Arial" w:eastAsia="Times New Roman" w:hAnsi="Arial" w:cs="Arial"/>
          <w:i/>
          <w:iCs/>
          <w:lang w:eastAsia="en-GB"/>
        </w:rPr>
        <w:t>The Guardian</w:t>
      </w:r>
      <w:r w:rsidRPr="000174C7">
        <w:rPr>
          <w:rFonts w:ascii="Arial" w:eastAsia="Times New Roman" w:hAnsi="Arial" w:cs="Arial"/>
          <w:lang w:eastAsia="en-GB"/>
        </w:rPr>
        <w:t xml:space="preserve">, 7th December. Available at: </w:t>
      </w:r>
      <w:hyperlink r:id="rId4" w:history="1">
        <w:r w:rsidRPr="000174C7">
          <w:rPr>
            <w:rFonts w:ascii="Arial" w:eastAsia="Times New Roman" w:hAnsi="Arial" w:cs="Arial"/>
            <w:color w:val="1155CC"/>
            <w:u w:val="single"/>
            <w:lang w:eastAsia="en-GB"/>
          </w:rPr>
          <w:t>https://www.theguardian.com/news/2018/dec/07/china-plan-for-global-media-dominance-propaganda-xi-jinping</w:t>
        </w:r>
      </w:hyperlink>
      <w:r w:rsidRPr="000174C7">
        <w:rPr>
          <w:rFonts w:ascii="Arial" w:eastAsia="Times New Roman" w:hAnsi="Arial" w:cs="Arial"/>
          <w:lang w:eastAsia="en-GB"/>
        </w:rPr>
        <w:t xml:space="preserve"> (Accessed 4 December 2020)</w:t>
      </w:r>
    </w:p>
    <w:p w14:paraId="2BA1B964"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76520180"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roofErr w:type="spellStart"/>
      <w:r w:rsidRPr="000174C7">
        <w:rPr>
          <w:rFonts w:ascii="Arial" w:eastAsia="Times New Roman" w:hAnsi="Arial" w:cs="Arial"/>
          <w:lang w:eastAsia="en-GB"/>
        </w:rPr>
        <w:t>Lü</w:t>
      </w:r>
      <w:proofErr w:type="spellEnd"/>
      <w:r w:rsidRPr="000174C7">
        <w:rPr>
          <w:rFonts w:ascii="Arial" w:eastAsia="Times New Roman" w:hAnsi="Arial" w:cs="Arial"/>
          <w:lang w:eastAsia="en-GB"/>
        </w:rPr>
        <w:t>, B. 2010. Bridal Dowry Land and the Economic Status of Women from Wealthy Families in the Song Dynasty. Frontiers of History in China, 5(1), pp.106–125.</w:t>
      </w:r>
    </w:p>
    <w:p w14:paraId="431072FA"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6917B4D0" w14:textId="40E12B3F"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Mai, H., Yang, Y., </w:t>
      </w:r>
      <w:proofErr w:type="spellStart"/>
      <w:r w:rsidRPr="000174C7">
        <w:rPr>
          <w:rFonts w:ascii="Arial" w:eastAsia="Times New Roman" w:hAnsi="Arial" w:cs="Arial"/>
          <w:lang w:eastAsia="en-GB"/>
        </w:rPr>
        <w:t>Abuduresule</w:t>
      </w:r>
      <w:proofErr w:type="spellEnd"/>
      <w:r w:rsidRPr="000174C7">
        <w:rPr>
          <w:rFonts w:ascii="Arial" w:eastAsia="Times New Roman" w:hAnsi="Arial" w:cs="Arial"/>
          <w:lang w:eastAsia="en-GB"/>
        </w:rPr>
        <w:t xml:space="preserve">, I., Li, W., Hu, X., Wang, C. (2016), Characterization of cosmetic sticks at </w:t>
      </w:r>
      <w:proofErr w:type="spellStart"/>
      <w:r w:rsidRPr="000174C7">
        <w:rPr>
          <w:rFonts w:ascii="Arial" w:eastAsia="Times New Roman" w:hAnsi="Arial" w:cs="Arial"/>
          <w:lang w:eastAsia="en-GB"/>
        </w:rPr>
        <w:t>Xiaohe</w:t>
      </w:r>
      <w:proofErr w:type="spellEnd"/>
      <w:r w:rsidRPr="000174C7">
        <w:rPr>
          <w:rFonts w:ascii="Arial" w:eastAsia="Times New Roman" w:hAnsi="Arial" w:cs="Arial"/>
          <w:lang w:eastAsia="en-GB"/>
        </w:rPr>
        <w:t xml:space="preserve"> Cemetery in </w:t>
      </w:r>
      <w:r>
        <w:rPr>
          <w:rFonts w:ascii="Arial" w:eastAsia="Times New Roman" w:hAnsi="Arial" w:cs="Arial"/>
          <w:lang w:eastAsia="en-GB"/>
        </w:rPr>
        <w:t>E</w:t>
      </w:r>
      <w:r w:rsidRPr="000174C7">
        <w:rPr>
          <w:rFonts w:ascii="Arial" w:eastAsia="Times New Roman" w:hAnsi="Arial" w:cs="Arial"/>
          <w:lang w:eastAsia="en-GB"/>
        </w:rPr>
        <w:t>arly Bronze Age Xinjiang, China [online] Springer Nature  </w:t>
      </w:r>
    </w:p>
    <w:p w14:paraId="4D808127"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lastRenderedPageBreak/>
        <w:t xml:space="preserve">Available at: </w:t>
      </w:r>
      <w:hyperlink r:id="rId5" w:history="1">
        <w:r w:rsidRPr="000174C7">
          <w:rPr>
            <w:rFonts w:ascii="Arial" w:eastAsia="Times New Roman" w:hAnsi="Arial" w:cs="Arial"/>
            <w:color w:val="1155CC"/>
            <w:u w:val="single"/>
            <w:lang w:eastAsia="en-GB"/>
          </w:rPr>
          <w:t>https://www.nature.com/articles/srep18939</w:t>
        </w:r>
      </w:hyperlink>
      <w:r w:rsidRPr="000174C7">
        <w:rPr>
          <w:rFonts w:ascii="Arial" w:eastAsia="Times New Roman" w:hAnsi="Arial" w:cs="Arial"/>
          <w:lang w:eastAsia="en-GB"/>
        </w:rPr>
        <w:t xml:space="preserve"> (Accessed: 13 October 2020)</w:t>
      </w:r>
    </w:p>
    <w:p w14:paraId="55E79D18"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31827916"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Moss-</w:t>
      </w:r>
      <w:proofErr w:type="spellStart"/>
      <w:r w:rsidRPr="000174C7">
        <w:rPr>
          <w:rFonts w:ascii="Arial" w:eastAsia="Times New Roman" w:hAnsi="Arial" w:cs="Arial"/>
          <w:lang w:eastAsia="en-GB"/>
        </w:rPr>
        <w:t>Racusin</w:t>
      </w:r>
      <w:proofErr w:type="spellEnd"/>
      <w:r w:rsidRPr="000174C7">
        <w:rPr>
          <w:rFonts w:ascii="Arial" w:eastAsia="Times New Roman" w:hAnsi="Arial" w:cs="Arial"/>
          <w:lang w:eastAsia="en-GB"/>
        </w:rPr>
        <w:t xml:space="preserve">, C. A., Dovidio, J. F., </w:t>
      </w:r>
      <w:proofErr w:type="spellStart"/>
      <w:r w:rsidRPr="000174C7">
        <w:rPr>
          <w:rFonts w:ascii="Arial" w:eastAsia="Times New Roman" w:hAnsi="Arial" w:cs="Arial"/>
          <w:lang w:eastAsia="en-GB"/>
        </w:rPr>
        <w:t>Brescoll</w:t>
      </w:r>
      <w:proofErr w:type="spellEnd"/>
      <w:r w:rsidRPr="000174C7">
        <w:rPr>
          <w:rFonts w:ascii="Arial" w:eastAsia="Times New Roman" w:hAnsi="Arial" w:cs="Arial"/>
          <w:lang w:eastAsia="en-GB"/>
        </w:rPr>
        <w:t xml:space="preserve">, V. L. Graham, M. J., </w:t>
      </w:r>
      <w:proofErr w:type="spellStart"/>
      <w:r w:rsidRPr="000174C7">
        <w:rPr>
          <w:rFonts w:ascii="Arial" w:eastAsia="Times New Roman" w:hAnsi="Arial" w:cs="Arial"/>
          <w:lang w:eastAsia="en-GB"/>
        </w:rPr>
        <w:t>Handelsman</w:t>
      </w:r>
      <w:proofErr w:type="spellEnd"/>
      <w:r w:rsidRPr="000174C7">
        <w:rPr>
          <w:rFonts w:ascii="Arial" w:eastAsia="Times New Roman" w:hAnsi="Arial" w:cs="Arial"/>
          <w:lang w:eastAsia="en-GB"/>
        </w:rPr>
        <w:t xml:space="preserve">, J. A. 2012. Science Faculty's Subtle Gender Biases </w:t>
      </w:r>
      <w:proofErr w:type="spellStart"/>
      <w:r w:rsidRPr="000174C7">
        <w:rPr>
          <w:rFonts w:ascii="Arial" w:eastAsia="Times New Roman" w:hAnsi="Arial" w:cs="Arial"/>
          <w:lang w:eastAsia="en-GB"/>
        </w:rPr>
        <w:t>Favor</w:t>
      </w:r>
      <w:proofErr w:type="spellEnd"/>
      <w:r w:rsidRPr="000174C7">
        <w:rPr>
          <w:rFonts w:ascii="Arial" w:eastAsia="Times New Roman" w:hAnsi="Arial" w:cs="Arial"/>
          <w:lang w:eastAsia="en-GB"/>
        </w:rPr>
        <w:t xml:space="preserve"> Male Students. </w:t>
      </w:r>
      <w:r w:rsidRPr="000174C7">
        <w:rPr>
          <w:rFonts w:ascii="Arial" w:eastAsia="Times New Roman" w:hAnsi="Arial" w:cs="Arial"/>
          <w:i/>
          <w:iCs/>
          <w:lang w:eastAsia="en-GB"/>
        </w:rPr>
        <w:t>Proceedings of the National Academy of Sciences of the United States of America</w:t>
      </w:r>
      <w:r w:rsidRPr="000174C7">
        <w:rPr>
          <w:rFonts w:ascii="Arial" w:eastAsia="Times New Roman" w:hAnsi="Arial" w:cs="Arial"/>
          <w:lang w:eastAsia="en-GB"/>
        </w:rPr>
        <w:t>, 109(41), pp.16474–16480.</w:t>
      </w:r>
    </w:p>
    <w:p w14:paraId="756C12E3"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4E1D7CC2"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Rastelli, S. 2017, </w:t>
      </w:r>
      <w:r w:rsidRPr="000174C7">
        <w:rPr>
          <w:rFonts w:ascii="Arial" w:eastAsia="Times New Roman" w:hAnsi="Arial" w:cs="Arial"/>
          <w:i/>
          <w:iCs/>
          <w:lang w:eastAsia="en-GB"/>
        </w:rPr>
        <w:t xml:space="preserve">The </w:t>
      </w:r>
      <w:proofErr w:type="spellStart"/>
      <w:r w:rsidRPr="000174C7">
        <w:rPr>
          <w:rFonts w:ascii="Arial" w:eastAsia="Times New Roman" w:hAnsi="Arial" w:cs="Arial"/>
          <w:i/>
          <w:iCs/>
          <w:lang w:eastAsia="en-GB"/>
        </w:rPr>
        <w:t>Yaozhou</w:t>
      </w:r>
      <w:proofErr w:type="spellEnd"/>
      <w:r w:rsidRPr="000174C7">
        <w:rPr>
          <w:rFonts w:ascii="Arial" w:eastAsia="Times New Roman" w:hAnsi="Arial" w:cs="Arial"/>
          <w:i/>
          <w:iCs/>
          <w:lang w:eastAsia="en-GB"/>
        </w:rPr>
        <w:t xml:space="preserve"> Kilns: A Re-evaluation</w:t>
      </w:r>
      <w:r w:rsidRPr="000174C7">
        <w:rPr>
          <w:rFonts w:ascii="Arial" w:eastAsia="Times New Roman" w:hAnsi="Arial" w:cs="Arial"/>
          <w:lang w:eastAsia="en-GB"/>
        </w:rPr>
        <w:t>. Michigan: ProQuest</w:t>
      </w:r>
    </w:p>
    <w:p w14:paraId="5C4806B3"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5235F444"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Smith, H. A. 2008. Understanding the ‘</w:t>
      </w:r>
      <w:proofErr w:type="spellStart"/>
      <w:r w:rsidRPr="000174C7">
        <w:rPr>
          <w:rFonts w:ascii="Arial" w:eastAsia="Times New Roman" w:hAnsi="Arial" w:cs="Arial"/>
          <w:lang w:eastAsia="en-GB"/>
        </w:rPr>
        <w:t>Jiaoqi</w:t>
      </w:r>
      <w:proofErr w:type="spellEnd"/>
      <w:r w:rsidRPr="000174C7">
        <w:rPr>
          <w:rFonts w:ascii="Arial" w:eastAsia="Times New Roman" w:hAnsi="Arial" w:cs="Arial"/>
          <w:lang w:eastAsia="en-GB"/>
        </w:rPr>
        <w:t xml:space="preserve">’ Experience: The Medical Approach to Illness in </w:t>
      </w:r>
      <w:proofErr w:type="gramStart"/>
      <w:r w:rsidRPr="000174C7">
        <w:rPr>
          <w:rFonts w:ascii="Arial" w:eastAsia="Times New Roman" w:hAnsi="Arial" w:cs="Arial"/>
          <w:lang w:eastAsia="en-GB"/>
        </w:rPr>
        <w:t>Seventh-Century China</w:t>
      </w:r>
      <w:proofErr w:type="gramEnd"/>
      <w:r w:rsidRPr="000174C7">
        <w:rPr>
          <w:rFonts w:ascii="Arial" w:eastAsia="Times New Roman" w:hAnsi="Arial" w:cs="Arial"/>
          <w:lang w:eastAsia="en-GB"/>
        </w:rPr>
        <w:t xml:space="preserve">. </w:t>
      </w:r>
      <w:r w:rsidRPr="000174C7">
        <w:rPr>
          <w:rFonts w:ascii="Arial" w:eastAsia="Times New Roman" w:hAnsi="Arial" w:cs="Arial"/>
          <w:i/>
          <w:iCs/>
          <w:lang w:eastAsia="en-GB"/>
        </w:rPr>
        <w:t>Asia major</w:t>
      </w:r>
      <w:r w:rsidRPr="000174C7">
        <w:rPr>
          <w:rFonts w:ascii="Arial" w:eastAsia="Times New Roman" w:hAnsi="Arial" w:cs="Arial"/>
          <w:lang w:eastAsia="en-GB"/>
        </w:rPr>
        <w:t>, 21(1), pp.273–292.</w:t>
      </w:r>
    </w:p>
    <w:p w14:paraId="7AE8BC7A"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4D93841D"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Tamblyn, R., Girard, N., Qian, C. J., Hanley, J. 2018. Assessment of Potential Bias in Research Grant Peer Review in Canada. </w:t>
      </w:r>
      <w:r w:rsidRPr="000174C7">
        <w:rPr>
          <w:rFonts w:ascii="Arial" w:eastAsia="Times New Roman" w:hAnsi="Arial" w:cs="Arial"/>
          <w:i/>
          <w:iCs/>
          <w:lang w:eastAsia="en-GB"/>
        </w:rPr>
        <w:t>CMAJ: Canadian Medical Association Journal</w:t>
      </w:r>
      <w:r w:rsidRPr="000174C7">
        <w:rPr>
          <w:rFonts w:ascii="Arial" w:eastAsia="Times New Roman" w:hAnsi="Arial" w:cs="Arial"/>
          <w:lang w:eastAsia="en-GB"/>
        </w:rPr>
        <w:t>, 190(16), p.E489.</w:t>
      </w:r>
    </w:p>
    <w:p w14:paraId="2F4026AD"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4B188207"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Wei, J. (2016) Research on the Epitaph from </w:t>
      </w:r>
      <w:proofErr w:type="spellStart"/>
      <w:r w:rsidRPr="000174C7">
        <w:rPr>
          <w:rFonts w:ascii="Arial" w:eastAsia="Times New Roman" w:hAnsi="Arial" w:cs="Arial"/>
          <w:lang w:eastAsia="en-GB"/>
        </w:rPr>
        <w:t>Lv</w:t>
      </w:r>
      <w:proofErr w:type="spellEnd"/>
      <w:r w:rsidRPr="000174C7">
        <w:rPr>
          <w:rFonts w:ascii="Arial" w:eastAsia="Times New Roman" w:hAnsi="Arial" w:cs="Arial"/>
          <w:lang w:eastAsia="en-GB"/>
        </w:rPr>
        <w:t xml:space="preserve"> </w:t>
      </w:r>
      <w:proofErr w:type="spellStart"/>
      <w:r w:rsidRPr="000174C7">
        <w:rPr>
          <w:rFonts w:ascii="Arial" w:eastAsia="Times New Roman" w:hAnsi="Arial" w:cs="Arial"/>
          <w:lang w:eastAsia="en-GB"/>
        </w:rPr>
        <w:t>Qianrong</w:t>
      </w:r>
      <w:proofErr w:type="spellEnd"/>
      <w:r w:rsidRPr="000174C7">
        <w:rPr>
          <w:rFonts w:ascii="Arial" w:eastAsia="Times New Roman" w:hAnsi="Arial" w:cs="Arial"/>
          <w:lang w:eastAsia="en-GB"/>
        </w:rPr>
        <w:t xml:space="preserve">' s Burial in North Song </w:t>
      </w:r>
      <w:proofErr w:type="spellStart"/>
      <w:r w:rsidRPr="000174C7">
        <w:rPr>
          <w:rFonts w:ascii="Arial" w:eastAsia="Times New Roman" w:hAnsi="Arial" w:cs="Arial"/>
          <w:lang w:eastAsia="en-GB"/>
        </w:rPr>
        <w:t>Dynesty</w:t>
      </w:r>
      <w:proofErr w:type="spellEnd"/>
      <w:r w:rsidRPr="000174C7">
        <w:rPr>
          <w:rFonts w:ascii="Arial" w:eastAsia="Times New Roman" w:hAnsi="Arial" w:cs="Arial"/>
          <w:lang w:eastAsia="en-GB"/>
        </w:rPr>
        <w:t xml:space="preserve"> [sic], Tsinghua </w:t>
      </w:r>
      <w:proofErr w:type="spellStart"/>
      <w:r w:rsidRPr="000174C7">
        <w:rPr>
          <w:rFonts w:ascii="Arial" w:eastAsia="Times New Roman" w:hAnsi="Arial" w:cs="Arial"/>
          <w:lang w:eastAsia="en-GB"/>
        </w:rPr>
        <w:t>Tongfang</w:t>
      </w:r>
      <w:proofErr w:type="spellEnd"/>
      <w:r w:rsidRPr="000174C7">
        <w:rPr>
          <w:rFonts w:ascii="Arial" w:eastAsia="Times New Roman" w:hAnsi="Arial" w:cs="Arial"/>
          <w:lang w:eastAsia="en-GB"/>
        </w:rPr>
        <w:t xml:space="preserve"> Knowledge Network Technology Co., Ltd. [online]</w:t>
      </w:r>
    </w:p>
    <w:p w14:paraId="064135D1"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Available at: </w:t>
      </w:r>
      <w:hyperlink r:id="rId6" w:history="1">
        <w:r w:rsidRPr="000174C7">
          <w:rPr>
            <w:rFonts w:ascii="Arial" w:eastAsia="Times New Roman" w:hAnsi="Arial" w:cs="Arial"/>
            <w:color w:val="1155CC"/>
            <w:u w:val="single"/>
            <w:lang w:eastAsia="en-GB"/>
          </w:rPr>
          <w:t>https://en.cnki.com.cn/Article_en/CJFDTotal-KGYW201603011.htm</w:t>
        </w:r>
      </w:hyperlink>
      <w:r w:rsidRPr="000174C7">
        <w:rPr>
          <w:rFonts w:ascii="Arial" w:eastAsia="Times New Roman" w:hAnsi="Arial" w:cs="Arial"/>
          <w:color w:val="000000"/>
          <w:lang w:eastAsia="en-GB"/>
        </w:rPr>
        <w:t xml:space="preserve"> </w:t>
      </w:r>
      <w:r w:rsidRPr="000174C7">
        <w:rPr>
          <w:rFonts w:ascii="Arial" w:eastAsia="Times New Roman" w:hAnsi="Arial" w:cs="Arial"/>
          <w:lang w:eastAsia="en-GB"/>
        </w:rPr>
        <w:t>(Accessed: 19 November 2020)</w:t>
      </w:r>
    </w:p>
    <w:p w14:paraId="0EBA3C4A"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p>
    <w:p w14:paraId="19A7A08D" w14:textId="73F1522E"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Yang, J., 2011. </w:t>
      </w:r>
      <w:proofErr w:type="spellStart"/>
      <w:r w:rsidRPr="000174C7">
        <w:rPr>
          <w:rFonts w:ascii="Arial" w:eastAsia="Times New Roman" w:hAnsi="Arial" w:cs="Arial"/>
          <w:lang w:eastAsia="en-GB"/>
        </w:rPr>
        <w:t>Nennu</w:t>
      </w:r>
      <w:proofErr w:type="spellEnd"/>
      <w:r w:rsidRPr="000174C7">
        <w:rPr>
          <w:rFonts w:ascii="Arial" w:eastAsia="Times New Roman" w:hAnsi="Arial" w:cs="Arial"/>
          <w:lang w:eastAsia="en-GB"/>
        </w:rPr>
        <w:t xml:space="preserve"> and </w:t>
      </w:r>
      <w:proofErr w:type="spellStart"/>
      <w:r w:rsidRPr="000174C7">
        <w:rPr>
          <w:rFonts w:ascii="Arial" w:eastAsia="Times New Roman" w:hAnsi="Arial" w:cs="Arial"/>
          <w:lang w:eastAsia="en-GB"/>
        </w:rPr>
        <w:t>Shunu</w:t>
      </w:r>
      <w:proofErr w:type="spellEnd"/>
      <w:r w:rsidRPr="000174C7">
        <w:rPr>
          <w:rFonts w:ascii="Arial" w:eastAsia="Times New Roman" w:hAnsi="Arial" w:cs="Arial"/>
          <w:lang w:eastAsia="en-GB"/>
        </w:rPr>
        <w:t xml:space="preserve">: Gender, Body Politics, and the Beauty Economy in China. </w:t>
      </w:r>
      <w:r w:rsidRPr="000174C7">
        <w:rPr>
          <w:rFonts w:ascii="Arial" w:eastAsia="Times New Roman" w:hAnsi="Arial" w:cs="Arial"/>
          <w:i/>
          <w:iCs/>
          <w:lang w:eastAsia="en-GB"/>
        </w:rPr>
        <w:t>Signs: Journal of Women in Culture and Society</w:t>
      </w:r>
      <w:r w:rsidRPr="000174C7">
        <w:rPr>
          <w:rFonts w:ascii="Arial" w:eastAsia="Times New Roman" w:hAnsi="Arial" w:cs="Arial"/>
          <w:lang w:eastAsia="en-GB"/>
        </w:rPr>
        <w:t>, 36(2), pp.333–357.</w:t>
      </w:r>
    </w:p>
    <w:p w14:paraId="4EC70781" w14:textId="77777777" w:rsidR="000174C7" w:rsidRPr="000174C7" w:rsidRDefault="000174C7" w:rsidP="000174C7">
      <w:pPr>
        <w:spacing w:before="240" w:after="24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Yu, Z. R., Wang, X. D., </w:t>
      </w:r>
      <w:proofErr w:type="spellStart"/>
      <w:r w:rsidRPr="000174C7">
        <w:rPr>
          <w:rFonts w:ascii="Arial" w:eastAsia="Times New Roman" w:hAnsi="Arial" w:cs="Arial"/>
          <w:lang w:eastAsia="en-GB"/>
        </w:rPr>
        <w:t>Su</w:t>
      </w:r>
      <w:proofErr w:type="spellEnd"/>
      <w:r w:rsidRPr="000174C7">
        <w:rPr>
          <w:rFonts w:ascii="Arial" w:eastAsia="Times New Roman" w:hAnsi="Arial" w:cs="Arial"/>
          <w:lang w:eastAsia="en-GB"/>
        </w:rPr>
        <w:t xml:space="preserve">, B. M. and Zhang, Y. 2017. First Evidence of the Use of Freshwater Pearls as a Cosmetic in Ancient China: Analysis of White Makeup Powder from a Northern Song Dynasty </w:t>
      </w:r>
      <w:proofErr w:type="spellStart"/>
      <w:r w:rsidRPr="000174C7">
        <w:rPr>
          <w:rFonts w:ascii="Arial" w:eastAsia="Times New Roman" w:hAnsi="Arial" w:cs="Arial"/>
          <w:lang w:eastAsia="en-GB"/>
        </w:rPr>
        <w:t>Lv</w:t>
      </w:r>
      <w:proofErr w:type="spellEnd"/>
      <w:r w:rsidRPr="000174C7">
        <w:rPr>
          <w:rFonts w:ascii="Arial" w:eastAsia="Times New Roman" w:hAnsi="Arial" w:cs="Arial"/>
          <w:lang w:eastAsia="en-GB"/>
        </w:rPr>
        <w:t xml:space="preserve"> Tomb (</w:t>
      </w:r>
      <w:proofErr w:type="spellStart"/>
      <w:r w:rsidRPr="000174C7">
        <w:rPr>
          <w:rFonts w:ascii="Arial" w:eastAsia="Times New Roman" w:hAnsi="Arial" w:cs="Arial"/>
          <w:lang w:eastAsia="en-GB"/>
        </w:rPr>
        <w:t>Lantian</w:t>
      </w:r>
      <w:proofErr w:type="spellEnd"/>
      <w:r w:rsidRPr="000174C7">
        <w:rPr>
          <w:rFonts w:ascii="Arial" w:eastAsia="Times New Roman" w:hAnsi="Arial" w:cs="Arial"/>
          <w:lang w:eastAsia="en-GB"/>
        </w:rPr>
        <w:t xml:space="preserve">, Shaanxi Province, China). Archaeometry, 59(4), pp.762–774. </w:t>
      </w:r>
      <w:r w:rsidRPr="000174C7">
        <w:rPr>
          <w:rFonts w:ascii="Arial" w:eastAsia="Times New Roman" w:hAnsi="Arial" w:cs="Arial"/>
          <w:sz w:val="13"/>
          <w:szCs w:val="13"/>
          <w:vertAlign w:val="superscript"/>
          <w:lang w:eastAsia="en-GB"/>
        </w:rPr>
        <w:t>1</w:t>
      </w:r>
    </w:p>
    <w:p w14:paraId="4477C83D" w14:textId="77777777" w:rsidR="000174C7" w:rsidRPr="000174C7" w:rsidRDefault="000174C7" w:rsidP="000174C7">
      <w:pPr>
        <w:spacing w:before="240" w:after="24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Yu, Z. R., Wang, X. D., </w:t>
      </w:r>
      <w:proofErr w:type="spellStart"/>
      <w:r w:rsidRPr="000174C7">
        <w:rPr>
          <w:rFonts w:ascii="Arial" w:eastAsia="Times New Roman" w:hAnsi="Arial" w:cs="Arial"/>
          <w:lang w:eastAsia="en-GB"/>
        </w:rPr>
        <w:t>Su</w:t>
      </w:r>
      <w:proofErr w:type="spellEnd"/>
      <w:r w:rsidRPr="000174C7">
        <w:rPr>
          <w:rFonts w:ascii="Arial" w:eastAsia="Times New Roman" w:hAnsi="Arial" w:cs="Arial"/>
          <w:lang w:eastAsia="en-GB"/>
        </w:rPr>
        <w:t xml:space="preserve">, B. M. and Zhang, Y. (2017) First Evidence of the Use of Freshwater Pearls as a Cosmetic in Ancient China: Analysis of White Makeup Powder from a Northern Song Dynasty </w:t>
      </w:r>
      <w:proofErr w:type="spellStart"/>
      <w:r w:rsidRPr="000174C7">
        <w:rPr>
          <w:rFonts w:ascii="Arial" w:eastAsia="Times New Roman" w:hAnsi="Arial" w:cs="Arial"/>
          <w:lang w:eastAsia="en-GB"/>
        </w:rPr>
        <w:t>Lv</w:t>
      </w:r>
      <w:proofErr w:type="spellEnd"/>
      <w:r w:rsidRPr="000174C7">
        <w:rPr>
          <w:rFonts w:ascii="Arial" w:eastAsia="Times New Roman" w:hAnsi="Arial" w:cs="Arial"/>
          <w:lang w:eastAsia="en-GB"/>
        </w:rPr>
        <w:t xml:space="preserve"> Tomb (</w:t>
      </w:r>
      <w:proofErr w:type="spellStart"/>
      <w:r w:rsidRPr="000174C7">
        <w:rPr>
          <w:rFonts w:ascii="Arial" w:eastAsia="Times New Roman" w:hAnsi="Arial" w:cs="Arial"/>
          <w:lang w:eastAsia="en-GB"/>
        </w:rPr>
        <w:t>Lantian</w:t>
      </w:r>
      <w:proofErr w:type="spellEnd"/>
      <w:r w:rsidRPr="000174C7">
        <w:rPr>
          <w:rFonts w:ascii="Arial" w:eastAsia="Times New Roman" w:hAnsi="Arial" w:cs="Arial"/>
          <w:lang w:eastAsia="en-GB"/>
        </w:rPr>
        <w:t xml:space="preserve">, Shaanxi Province, China) [Online] Wiley Online Library Available at: </w:t>
      </w:r>
      <w:hyperlink r:id="rId7" w:history="1">
        <w:r w:rsidRPr="000174C7">
          <w:rPr>
            <w:rFonts w:ascii="Arial" w:eastAsia="Times New Roman" w:hAnsi="Arial" w:cs="Arial"/>
            <w:color w:val="1155CC"/>
            <w:u w:val="single"/>
            <w:lang w:eastAsia="en-GB"/>
          </w:rPr>
          <w:t>https://onlinelibrary-wiley-com.ezproxy.uwtsd.ac.uk/doi/full/10.1111/arcm.12268</w:t>
        </w:r>
      </w:hyperlink>
      <w:r w:rsidRPr="000174C7">
        <w:rPr>
          <w:rFonts w:ascii="Arial" w:eastAsia="Times New Roman" w:hAnsi="Arial" w:cs="Arial"/>
          <w:color w:val="B7B7B7"/>
          <w:lang w:eastAsia="en-GB"/>
        </w:rPr>
        <w:t xml:space="preserve"> </w:t>
      </w:r>
      <w:r w:rsidRPr="000174C7">
        <w:rPr>
          <w:rFonts w:ascii="Arial" w:eastAsia="Times New Roman" w:hAnsi="Arial" w:cs="Arial"/>
          <w:lang w:eastAsia="en-GB"/>
        </w:rPr>
        <w:t xml:space="preserve">(Accessed: 13 October 2020) </w:t>
      </w:r>
      <w:r w:rsidRPr="000174C7">
        <w:rPr>
          <w:rFonts w:ascii="Arial" w:eastAsia="Times New Roman" w:hAnsi="Arial" w:cs="Arial"/>
          <w:sz w:val="13"/>
          <w:szCs w:val="13"/>
          <w:vertAlign w:val="superscript"/>
          <w:lang w:eastAsia="en-GB"/>
        </w:rPr>
        <w:t>2</w:t>
      </w:r>
    </w:p>
    <w:p w14:paraId="4249A6F9" w14:textId="77777777" w:rsidR="000174C7" w:rsidRPr="000174C7" w:rsidRDefault="000174C7" w:rsidP="000174C7">
      <w:pPr>
        <w:spacing w:after="0" w:line="240" w:lineRule="auto"/>
        <w:rPr>
          <w:rFonts w:ascii="Times New Roman" w:eastAsia="Times New Roman" w:hAnsi="Times New Roman" w:cs="Times New Roman"/>
          <w:sz w:val="24"/>
          <w:szCs w:val="24"/>
          <w:lang w:eastAsia="en-GB"/>
        </w:rPr>
      </w:pPr>
      <w:r w:rsidRPr="000174C7">
        <w:rPr>
          <w:rFonts w:ascii="Arial" w:eastAsia="Times New Roman" w:hAnsi="Arial" w:cs="Arial"/>
          <w:lang w:eastAsia="en-GB"/>
        </w:rPr>
        <w:t xml:space="preserve">Zhang, M. (2018) </w:t>
      </w:r>
      <w:r w:rsidRPr="000174C7">
        <w:rPr>
          <w:rFonts w:ascii="Arial" w:eastAsia="Times New Roman" w:hAnsi="Arial" w:cs="Arial"/>
          <w:i/>
          <w:iCs/>
          <w:lang w:eastAsia="en-GB"/>
        </w:rPr>
        <w:t>Hui-</w:t>
      </w:r>
      <w:proofErr w:type="spellStart"/>
      <w:r w:rsidRPr="000174C7">
        <w:rPr>
          <w:rFonts w:ascii="Arial" w:eastAsia="Times New Roman" w:hAnsi="Arial" w:cs="Arial"/>
          <w:i/>
          <w:iCs/>
          <w:lang w:eastAsia="en-GB"/>
        </w:rPr>
        <w:t>juan</w:t>
      </w:r>
      <w:proofErr w:type="spellEnd"/>
      <w:r w:rsidRPr="000174C7">
        <w:rPr>
          <w:rFonts w:ascii="Arial" w:eastAsia="Times New Roman" w:hAnsi="Arial" w:cs="Arial"/>
          <w:i/>
          <w:iCs/>
          <w:lang w:eastAsia="en-GB"/>
        </w:rPr>
        <w:t xml:space="preserve"> Mai</w:t>
      </w:r>
      <w:r w:rsidRPr="000174C7">
        <w:rPr>
          <w:rFonts w:ascii="Arial" w:eastAsia="Times New Roman" w:hAnsi="Arial" w:cs="Arial"/>
          <w:lang w:eastAsia="en-GB"/>
        </w:rPr>
        <w:t xml:space="preserve"> [online] Available at: </w:t>
      </w:r>
      <w:hyperlink r:id="rId8" w:history="1">
        <w:r w:rsidRPr="000174C7">
          <w:rPr>
            <w:rFonts w:ascii="Arial" w:eastAsia="Times New Roman" w:hAnsi="Arial" w:cs="Arial"/>
            <w:color w:val="1155CC"/>
            <w:u w:val="single"/>
            <w:lang w:eastAsia="en-GB"/>
          </w:rPr>
          <w:t>http://www.yklp.ynu.edu.cn/info/1063/1261.htm</w:t>
        </w:r>
      </w:hyperlink>
      <w:r w:rsidRPr="000174C7">
        <w:rPr>
          <w:rFonts w:ascii="Arial" w:eastAsia="Times New Roman" w:hAnsi="Arial" w:cs="Arial"/>
          <w:color w:val="B7B7B7"/>
          <w:lang w:eastAsia="en-GB"/>
        </w:rPr>
        <w:t xml:space="preserve"> </w:t>
      </w:r>
      <w:r w:rsidRPr="000174C7">
        <w:rPr>
          <w:rFonts w:ascii="Arial" w:eastAsia="Times New Roman" w:hAnsi="Arial" w:cs="Arial"/>
          <w:lang w:eastAsia="en-GB"/>
        </w:rPr>
        <w:t>(Accessed: 4 December 2020)</w:t>
      </w:r>
    </w:p>
    <w:bookmarkEnd w:id="0"/>
    <w:p w14:paraId="116FBE73" w14:textId="77777777" w:rsidR="003B062D" w:rsidRPr="000174C7" w:rsidRDefault="003B062D"/>
    <w:sectPr w:rsidR="003B062D" w:rsidRPr="000174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4C7"/>
    <w:rsid w:val="000174C7"/>
    <w:rsid w:val="003065EB"/>
    <w:rsid w:val="003B062D"/>
    <w:rsid w:val="004A4E29"/>
    <w:rsid w:val="00562EDF"/>
    <w:rsid w:val="00EE3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6A93A"/>
  <w15:chartTrackingRefBased/>
  <w15:docId w15:val="{79374BD0-B2D3-4784-8AA2-C2F03CA92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174C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174C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74C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174C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174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174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6265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klp.ynu.edu.cn/info/1063/1261.htm" TargetMode="External"/><Relationship Id="rId3" Type="http://schemas.openxmlformats.org/officeDocument/2006/relationships/webSettings" Target="webSettings.xml"/><Relationship Id="rId7" Type="http://schemas.openxmlformats.org/officeDocument/2006/relationships/hyperlink" Target="https://onlinelibrary-wiley-com.ezproxy.uwtsd.ac.uk/doi/full/10.1111/arcm.1226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cnki.com.cn/Article_en/CJFDTotal-KGYW201603011.htm" TargetMode="External"/><Relationship Id="rId5" Type="http://schemas.openxmlformats.org/officeDocument/2006/relationships/hyperlink" Target="https://www.nature.com/articles/srep18939" TargetMode="External"/><Relationship Id="rId10" Type="http://schemas.openxmlformats.org/officeDocument/2006/relationships/theme" Target="theme/theme1.xml"/><Relationship Id="rId4" Type="http://schemas.openxmlformats.org/officeDocument/2006/relationships/hyperlink" Target="https://www.theguardian.com/news/2018/dec/07/china-plan-for-global-media-dominance-propaganda-xi-jinping"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1396</Words>
  <Characters>7962</Characters>
  <Application>Microsoft Office Word</Application>
  <DocSecurity>0</DocSecurity>
  <Lines>66</Lines>
  <Paragraphs>18</Paragraphs>
  <ScaleCrop>false</ScaleCrop>
  <Company/>
  <LinksUpToDate>false</LinksUpToDate>
  <CharactersWithSpaces>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May</dc:creator>
  <cp:keywords/>
  <dc:description/>
  <cp:lastModifiedBy>Max May</cp:lastModifiedBy>
  <cp:revision>5</cp:revision>
  <dcterms:created xsi:type="dcterms:W3CDTF">2020-12-06T17:25:00Z</dcterms:created>
  <dcterms:modified xsi:type="dcterms:W3CDTF">2020-12-06T17:58:00Z</dcterms:modified>
</cp:coreProperties>
</file>