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16117" w14:textId="77777777" w:rsidR="00E24BDC" w:rsidRDefault="00E24BDC">
      <w:pPr>
        <w:pStyle w:val="Title"/>
      </w:pPr>
    </w:p>
    <w:p w14:paraId="00546BCE" w14:textId="77777777" w:rsidR="00E24BDC" w:rsidRDefault="00E24BDC">
      <w:pPr>
        <w:pStyle w:val="Title"/>
      </w:pPr>
    </w:p>
    <w:p w14:paraId="59D1D367" w14:textId="77777777" w:rsidR="00E24BDC" w:rsidRDefault="00E24BDC">
      <w:pPr>
        <w:pStyle w:val="Title"/>
      </w:pPr>
    </w:p>
    <w:p w14:paraId="02D8843B" w14:textId="77777777" w:rsidR="00E24BDC" w:rsidRDefault="00E24BDC">
      <w:pPr>
        <w:pStyle w:val="Title"/>
      </w:pPr>
    </w:p>
    <w:p w14:paraId="34D5EF1F" w14:textId="77777777" w:rsidR="00E24BDC" w:rsidRDefault="00E24BDC">
      <w:pPr>
        <w:pStyle w:val="Title"/>
      </w:pPr>
    </w:p>
    <w:p w14:paraId="48F93260" w14:textId="77777777" w:rsidR="00E24BDC" w:rsidRDefault="00E24BDC">
      <w:pPr>
        <w:pStyle w:val="Title"/>
      </w:pPr>
    </w:p>
    <w:p w14:paraId="110BDD3A" w14:textId="77777777" w:rsidR="00E24BDC" w:rsidRDefault="00E24BDC">
      <w:pPr>
        <w:pStyle w:val="Title"/>
      </w:pPr>
    </w:p>
    <w:p w14:paraId="272FDA69" w14:textId="77777777" w:rsidR="00E24BDC" w:rsidRDefault="00E24BDC">
      <w:pPr>
        <w:pStyle w:val="Title"/>
      </w:pPr>
    </w:p>
    <w:p w14:paraId="6FC6F0C5" w14:textId="77777777" w:rsidR="00E24BDC" w:rsidRDefault="00E24BDC">
      <w:pPr>
        <w:pStyle w:val="Title"/>
      </w:pPr>
    </w:p>
    <w:p w14:paraId="7A41A962" w14:textId="77777777" w:rsidR="00E24BDC" w:rsidRDefault="00E24BDC">
      <w:pPr>
        <w:pStyle w:val="Title"/>
      </w:pPr>
    </w:p>
    <w:p w14:paraId="1AC9BFBA" w14:textId="77777777" w:rsidR="00E24BDC" w:rsidRDefault="00E24BDC">
      <w:pPr>
        <w:pStyle w:val="Title"/>
      </w:pPr>
    </w:p>
    <w:p w14:paraId="7ABD13E1" w14:textId="77777777" w:rsidR="00E24BDC" w:rsidRDefault="00E24BDC">
      <w:pPr>
        <w:pStyle w:val="Title"/>
      </w:pPr>
    </w:p>
    <w:p w14:paraId="0E13269D" w14:textId="77777777" w:rsidR="00E24BDC" w:rsidRDefault="00E24BDC">
      <w:pPr>
        <w:pStyle w:val="Title"/>
      </w:pPr>
    </w:p>
    <w:p w14:paraId="611F0538" w14:textId="77777777" w:rsidR="00E24BDC" w:rsidRDefault="00E24BDC">
      <w:pPr>
        <w:pStyle w:val="Title"/>
      </w:pPr>
    </w:p>
    <w:p w14:paraId="7D899E8B" w14:textId="77777777" w:rsidR="00E24BDC" w:rsidRDefault="00E24BDC">
      <w:pPr>
        <w:pStyle w:val="Title"/>
      </w:pPr>
    </w:p>
    <w:p w14:paraId="06E7CA6F" w14:textId="77777777" w:rsidR="00E24BDC" w:rsidRDefault="00E24BDC">
      <w:pPr>
        <w:pStyle w:val="Title"/>
      </w:pPr>
    </w:p>
    <w:p w14:paraId="146E042B" w14:textId="77777777" w:rsidR="00E24BDC" w:rsidRDefault="00E24BDC">
      <w:pPr>
        <w:pStyle w:val="Title"/>
      </w:pPr>
    </w:p>
    <w:p w14:paraId="0B44DE50" w14:textId="77777777" w:rsidR="00E24BDC" w:rsidRDefault="00E24BDC">
      <w:pPr>
        <w:pStyle w:val="Title"/>
      </w:pPr>
    </w:p>
    <w:p w14:paraId="717C4EEE" w14:textId="77777777" w:rsidR="00E24BDC" w:rsidRDefault="00E24BDC">
      <w:pPr>
        <w:pStyle w:val="Title"/>
      </w:pPr>
    </w:p>
    <w:p w14:paraId="4528A38F" w14:textId="77777777" w:rsidR="00E24BDC" w:rsidRDefault="00E24BDC">
      <w:pPr>
        <w:pStyle w:val="Title"/>
      </w:pPr>
    </w:p>
    <w:p w14:paraId="78453318" w14:textId="77777777" w:rsidR="00E24BDC" w:rsidRDefault="00E24BDC">
      <w:pPr>
        <w:pStyle w:val="Title"/>
      </w:pPr>
    </w:p>
    <w:p w14:paraId="7722A54E" w14:textId="77777777" w:rsidR="00E24BDC" w:rsidRDefault="00E24BDC">
      <w:pPr>
        <w:pStyle w:val="Title"/>
      </w:pPr>
    </w:p>
    <w:p w14:paraId="55D3A1BD" w14:textId="77777777" w:rsidR="00E24BDC" w:rsidRDefault="00E24BDC">
      <w:pPr>
        <w:pStyle w:val="Title"/>
      </w:pPr>
    </w:p>
    <w:p w14:paraId="57836F93" w14:textId="77777777" w:rsidR="00E24BDC" w:rsidRDefault="00E24BDC">
      <w:pPr>
        <w:pStyle w:val="Title"/>
      </w:pPr>
    </w:p>
    <w:p w14:paraId="3494DCF7" w14:textId="77777777" w:rsidR="00E24BDC" w:rsidRDefault="00E24BDC">
      <w:pPr>
        <w:pStyle w:val="Title"/>
      </w:pPr>
    </w:p>
    <w:p w14:paraId="325885E2" w14:textId="77777777" w:rsidR="00E24BDC" w:rsidRDefault="00E24BDC">
      <w:pPr>
        <w:pStyle w:val="Title"/>
      </w:pPr>
    </w:p>
    <w:p w14:paraId="03366311" w14:textId="77777777" w:rsidR="00E24BDC" w:rsidRDefault="00E24BDC">
      <w:pPr>
        <w:pStyle w:val="Title"/>
      </w:pPr>
    </w:p>
    <w:p w14:paraId="3F277B92" w14:textId="77777777" w:rsidR="00E24BDC" w:rsidRDefault="00E24BDC">
      <w:pPr>
        <w:pStyle w:val="Title"/>
      </w:pPr>
    </w:p>
    <w:p w14:paraId="213C1722" w14:textId="77777777" w:rsidR="00E24BDC" w:rsidRDefault="00E24BDC">
      <w:pPr>
        <w:pStyle w:val="Title"/>
      </w:pPr>
    </w:p>
    <w:p w14:paraId="36AE797E" w14:textId="77777777" w:rsidR="00E24BDC" w:rsidRDefault="00E24BDC">
      <w:pPr>
        <w:pStyle w:val="Title"/>
      </w:pPr>
    </w:p>
    <w:p w14:paraId="31604177" w14:textId="77777777" w:rsidR="00E24BDC" w:rsidRDefault="00E24BDC">
      <w:pPr>
        <w:pStyle w:val="Title"/>
      </w:pPr>
    </w:p>
    <w:p w14:paraId="5696E205" w14:textId="77777777" w:rsidR="00E24BDC" w:rsidRDefault="00E24BDC">
      <w:pPr>
        <w:pStyle w:val="Title"/>
      </w:pPr>
    </w:p>
    <w:p w14:paraId="75F2651C" w14:textId="77777777" w:rsidR="00E24BDC" w:rsidRDefault="00E24BDC">
      <w:pPr>
        <w:pStyle w:val="Title"/>
      </w:pPr>
    </w:p>
    <w:p w14:paraId="6835B0CB" w14:textId="77777777" w:rsidR="00E24BDC" w:rsidRDefault="00E24BDC">
      <w:pPr>
        <w:pStyle w:val="Title"/>
      </w:pPr>
    </w:p>
    <w:p w14:paraId="2DE26E21" w14:textId="77777777" w:rsidR="00E24BDC" w:rsidRDefault="00E24BDC">
      <w:pPr>
        <w:pStyle w:val="Title"/>
      </w:pPr>
    </w:p>
    <w:p w14:paraId="543A67EF" w14:textId="77777777" w:rsidR="00E24BDC" w:rsidRDefault="00E24BDC">
      <w:pPr>
        <w:pStyle w:val="Title"/>
      </w:pPr>
    </w:p>
    <w:p w14:paraId="502F12D3" w14:textId="77777777" w:rsidR="00E24BDC" w:rsidRDefault="00E24BDC">
      <w:pPr>
        <w:pStyle w:val="Title"/>
      </w:pPr>
    </w:p>
    <w:p w14:paraId="35B88012" w14:textId="77777777" w:rsidR="00E24BDC" w:rsidRDefault="00E24BDC">
      <w:pPr>
        <w:pStyle w:val="Title"/>
      </w:pPr>
    </w:p>
    <w:p w14:paraId="1FC69ADD" w14:textId="77777777" w:rsidR="00E24BDC" w:rsidRDefault="00E24BDC">
      <w:pPr>
        <w:pStyle w:val="Title"/>
      </w:pPr>
    </w:p>
    <w:p w14:paraId="455B4021" w14:textId="77777777" w:rsidR="00E24BDC" w:rsidRDefault="00E24BDC">
      <w:pPr>
        <w:pStyle w:val="Title"/>
      </w:pPr>
    </w:p>
    <w:p w14:paraId="272EFB40" w14:textId="77777777" w:rsidR="00E24BDC" w:rsidRDefault="00E24BDC">
      <w:pPr>
        <w:pStyle w:val="Title"/>
      </w:pPr>
    </w:p>
    <w:p w14:paraId="7CED9E05" w14:textId="77777777" w:rsidR="00E24BDC" w:rsidRDefault="00E24BDC">
      <w:pPr>
        <w:pStyle w:val="Title"/>
      </w:pPr>
    </w:p>
    <w:p w14:paraId="5D595B4B" w14:textId="77777777" w:rsidR="00E24BDC" w:rsidRDefault="00E24BDC">
      <w:pPr>
        <w:pStyle w:val="Title"/>
      </w:pPr>
    </w:p>
    <w:p w14:paraId="4CDBDE61" w14:textId="42D415E9" w:rsidR="00871DF7" w:rsidRDefault="006E0DE2">
      <w:pPr>
        <w:pStyle w:val="Title"/>
      </w:pPr>
      <w:r>
        <w:t>Research Question, Aim and Objectives</w:t>
      </w:r>
    </w:p>
    <w:p w14:paraId="29EF0B54" w14:textId="4E891C4A" w:rsidR="00871DF7" w:rsidRDefault="006E0DE2">
      <w:pPr>
        <w:pStyle w:val="Heading1"/>
      </w:pPr>
      <w:r>
        <w:t>Research Question</w:t>
      </w:r>
    </w:p>
    <w:p w14:paraId="5292520F" w14:textId="77777777" w:rsidR="00871DF7" w:rsidRDefault="00000000">
      <w:r>
        <w:t>What are the barriers and facilitators influencing older adults’ engagement with digital health technologies in UK primary care?</w:t>
      </w:r>
    </w:p>
    <w:p w14:paraId="5262DA4C" w14:textId="77777777" w:rsidR="00871DF7" w:rsidRDefault="00000000">
      <w:pPr>
        <w:pStyle w:val="Heading1"/>
      </w:pPr>
      <w:r>
        <w:t>Aim</w:t>
      </w:r>
    </w:p>
    <w:p w14:paraId="355D6F13" w14:textId="77777777" w:rsidR="00871DF7" w:rsidRDefault="00000000">
      <w:r>
        <w:t>To explore and map the barriers and facilitators affecting older adults’ engagement with digital health technologies in UK primary care.</w:t>
      </w:r>
    </w:p>
    <w:p w14:paraId="5C7B0118" w14:textId="77777777" w:rsidR="00871DF7" w:rsidRDefault="00000000">
      <w:pPr>
        <w:pStyle w:val="Heading1"/>
      </w:pPr>
      <w:r>
        <w:t>Objectives</w:t>
      </w:r>
    </w:p>
    <w:p w14:paraId="75E5E3B6" w14:textId="77777777" w:rsidR="00871DF7" w:rsidRDefault="00000000">
      <w:r>
        <w:t>1. To identify key barriers affecting digital health use among older adults.</w:t>
      </w:r>
      <w:r>
        <w:br/>
        <w:t>2. To explore facilitators that support engagement with digital health technologies.</w:t>
      </w:r>
      <w:r>
        <w:br/>
        <w:t>3. To examine implications for improving accessibility and service delivery within UK primary care.</w:t>
      </w:r>
    </w:p>
    <w:p w14:paraId="0F5DAFD6" w14:textId="77777777" w:rsidR="00871DF7" w:rsidRDefault="00000000">
      <w:r>
        <w:br w:type="page"/>
      </w:r>
    </w:p>
    <w:p w14:paraId="182F5BD1" w14:textId="77777777" w:rsidR="00871DF7" w:rsidRDefault="00000000">
      <w:pPr>
        <w:pStyle w:val="Title"/>
      </w:pPr>
      <w:r>
        <w:lastRenderedPageBreak/>
        <w:t>Introduction</w:t>
      </w:r>
    </w:p>
    <w:p w14:paraId="2B27BD34" w14:textId="77777777" w:rsidR="00E24BDC" w:rsidRDefault="00E24BDC" w:rsidP="00E24BDC">
      <w:pPr>
        <w:pStyle w:val="NormalWeb"/>
      </w:pPr>
      <w:r>
        <w:t>Digital health has become an important part of modern healthcare, referring to the use of technologies such as online platforms, mobile apps and remote consultations to support how care is delivered and accessed (World Health Organization, 2021). In the UK, these technologies are now widely used in primary care, including services like online appointment booking, electronic prescriptions and virtual GP consultations (NHS England, 2019). As primary care is usually the first point of contact for patients, these changes play a key role in shaping how easily people can access healthcare.</w:t>
      </w:r>
    </w:p>
    <w:p w14:paraId="2E922E1C" w14:textId="77777777" w:rsidR="00E24BDC" w:rsidRDefault="00E24BDC" w:rsidP="00E24BDC">
      <w:pPr>
        <w:pStyle w:val="NormalWeb"/>
      </w:pPr>
      <w:r>
        <w:t>Despite these developments, not all groups benefit equally from digital health services. Older adults, typically those aged 65 and over, are often seen as more likely to face challenges when using digital technologies. This can be linked to lower levels of digital literacy, reduced confidence, and limited access to devices or the internet (Age UK, 2022; van Deursen and Helsper, 2015). However, it is important not to treat older adults as a single, uniform group. Research suggests that digital engagement is influenced not just by age, but also by factors such as education, previous experience with technology, and the availability of support (Helsper, 2012).</w:t>
      </w:r>
    </w:p>
    <w:p w14:paraId="38FFC72F" w14:textId="77777777" w:rsidR="00E24BDC" w:rsidRDefault="00E24BDC" w:rsidP="00E24BDC">
      <w:pPr>
        <w:pStyle w:val="NormalWeb"/>
      </w:pPr>
      <w:r>
        <w:t>This highlights the need to look more closely at how digital healthcare is affecting older adults in practice. While digital tools can improve efficiency and convenience, they may also create new barriers and risk increasing existing inequalities. At the same time, factors such as training, support from family or professionals, and user-friendly design can help improve engagement (Seifert et al., 2020). This study therefore aims to explore both the barriers and facilitators shaping older adults’ use of digital health technologies in UK primary care.</w:t>
      </w:r>
    </w:p>
    <w:p w14:paraId="5E1E0398" w14:textId="1D784CD1" w:rsidR="00871DF7" w:rsidRDefault="00871DF7" w:rsidP="006E0DE2">
      <w:pPr>
        <w:spacing w:line="360" w:lineRule="auto"/>
        <w:rPr>
          <w:rFonts w:ascii="Times New Roman" w:hAnsi="Times New Roman" w:cs="Times New Roman"/>
          <w:sz w:val="24"/>
          <w:szCs w:val="24"/>
        </w:rPr>
      </w:pPr>
    </w:p>
    <w:p w14:paraId="10D46B35" w14:textId="77777777" w:rsidR="00E24BDC" w:rsidRDefault="00E24BDC" w:rsidP="006E0DE2">
      <w:pPr>
        <w:spacing w:line="360" w:lineRule="auto"/>
        <w:rPr>
          <w:rFonts w:ascii="Times New Roman" w:hAnsi="Times New Roman" w:cs="Times New Roman"/>
          <w:sz w:val="24"/>
          <w:szCs w:val="24"/>
        </w:rPr>
      </w:pPr>
    </w:p>
    <w:p w14:paraId="634B51A2" w14:textId="77777777" w:rsidR="00E24BDC" w:rsidRDefault="00E24BDC" w:rsidP="006E0DE2">
      <w:pPr>
        <w:spacing w:line="360" w:lineRule="auto"/>
        <w:rPr>
          <w:rFonts w:ascii="Times New Roman" w:hAnsi="Times New Roman" w:cs="Times New Roman"/>
          <w:sz w:val="24"/>
          <w:szCs w:val="24"/>
        </w:rPr>
      </w:pPr>
    </w:p>
    <w:p w14:paraId="7FA613AB" w14:textId="77777777" w:rsidR="00E24BDC" w:rsidRDefault="00E24BDC" w:rsidP="006E0DE2">
      <w:pPr>
        <w:spacing w:line="360" w:lineRule="auto"/>
        <w:rPr>
          <w:rFonts w:ascii="Times New Roman" w:hAnsi="Times New Roman" w:cs="Times New Roman"/>
          <w:sz w:val="24"/>
          <w:szCs w:val="24"/>
        </w:rPr>
      </w:pPr>
    </w:p>
    <w:p w14:paraId="36B4C83F" w14:textId="77777777" w:rsidR="00E24BDC" w:rsidRDefault="00E24BDC" w:rsidP="006E0DE2">
      <w:pPr>
        <w:spacing w:line="360" w:lineRule="auto"/>
        <w:rPr>
          <w:rFonts w:ascii="Times New Roman" w:hAnsi="Times New Roman" w:cs="Times New Roman"/>
          <w:sz w:val="24"/>
          <w:szCs w:val="24"/>
        </w:rPr>
      </w:pPr>
    </w:p>
    <w:p w14:paraId="60D46969" w14:textId="77777777" w:rsidR="00E24BDC" w:rsidRDefault="00E24BDC" w:rsidP="006E0DE2">
      <w:pPr>
        <w:spacing w:line="360" w:lineRule="auto"/>
        <w:rPr>
          <w:rFonts w:ascii="Times New Roman" w:hAnsi="Times New Roman" w:cs="Times New Roman"/>
          <w:sz w:val="24"/>
          <w:szCs w:val="24"/>
        </w:rPr>
      </w:pPr>
    </w:p>
    <w:p w14:paraId="63EF70D8" w14:textId="77777777" w:rsidR="00E24BDC" w:rsidRPr="006E0DE2" w:rsidRDefault="00E24BDC" w:rsidP="006E0DE2">
      <w:pPr>
        <w:spacing w:line="360" w:lineRule="auto"/>
        <w:rPr>
          <w:rFonts w:ascii="Times New Roman" w:hAnsi="Times New Roman" w:cs="Times New Roman"/>
          <w:sz w:val="24"/>
          <w:szCs w:val="24"/>
        </w:rPr>
      </w:pPr>
    </w:p>
    <w:p w14:paraId="407CBE80" w14:textId="77777777" w:rsidR="00871DF7" w:rsidRDefault="00000000">
      <w:pPr>
        <w:pStyle w:val="Title"/>
      </w:pPr>
      <w:r>
        <w:lastRenderedPageBreak/>
        <w:t>Background</w:t>
      </w:r>
    </w:p>
    <w:p w14:paraId="0E775966" w14:textId="77777777" w:rsidR="00E24BDC" w:rsidRDefault="00E24BDC" w:rsidP="00E24BDC">
      <w:pPr>
        <w:pStyle w:val="NormalWeb"/>
      </w:pPr>
      <w:r>
        <w:t>The move towards digital health in the UK has largely been driven by increasing pressure on healthcare services, along with national policies promoting more efficient and accessible care. NHS strategies have placed strong emphasis on digital transformation, encouraging the use of online systems and remote consultations within primary care (NHS England, 2019). This shift became even more noticeable during the COVID-19 pandemic, when services rapidly moved towards telephone and video consultations, as well as digital triage systems (Murphy et al., 2021).</w:t>
      </w:r>
    </w:p>
    <w:p w14:paraId="13AD4E9C" w14:textId="77777777" w:rsidR="00E24BDC" w:rsidRDefault="00E24BDC" w:rsidP="00E24BDC">
      <w:pPr>
        <w:pStyle w:val="NormalWeb"/>
      </w:pPr>
      <w:r>
        <w:t>Although these changes have made access to care more convenient for some patients, they have also highlighted gaps in who is able to benefit from digital services. Older adults are often identified as being at greater risk of digital exclusion, but this is not simply due to age alone. Instead, it is influenced by a mix of factors, including digital skills, confidence, cost, and access to reliable internet and devices (Age UK, 2022; Helsper, 2012). In addition, age-related conditions such as poor eyesight, cognitive decline and long-term health issues can make using digital technologies more difficult (Seifert et al., 2020).</w:t>
      </w:r>
    </w:p>
    <w:p w14:paraId="7AAD851E" w14:textId="77777777" w:rsidR="00E24BDC" w:rsidRDefault="00E24BDC" w:rsidP="00E24BDC">
      <w:pPr>
        <w:pStyle w:val="NormalWeb"/>
      </w:pPr>
      <w:r>
        <w:t xml:space="preserve">At the same time, research shows that older adults are not necessarily resistant to technology. Many are willing to engage with digital health services when the right support is available. For example, help from family members, training programmes, and clear, easy-to-use systems can make a significant difference (van Deursen and Helsper, 2015). This suggests that barriers to digital health use are not </w:t>
      </w:r>
      <w:proofErr w:type="gramStart"/>
      <w:r>
        <w:t>fixed, but</w:t>
      </w:r>
      <w:proofErr w:type="gramEnd"/>
      <w:r>
        <w:t xml:space="preserve"> can be reduced through better support and more inclusive design.</w:t>
      </w:r>
    </w:p>
    <w:p w14:paraId="6DD8D6EB" w14:textId="77777777" w:rsidR="00E24BDC" w:rsidRDefault="00E24BDC" w:rsidP="00E24BDC">
      <w:pPr>
        <w:pStyle w:val="NormalWeb"/>
      </w:pPr>
      <w:r>
        <w:t>However, the increasing reliance on digital-first healthcare raises important concerns about fairness and access. If digital systems become the main way of accessing care, those who struggle to use them may be left behind. Murphy et al. (2021) argue that without careful planning, digital healthcare could reinforce existing inequalities rather than reduce them. This highlights the importance of ensuring that digital innovation in UK primary care is balanced with inclusive approaches that meet the needs of all patients</w:t>
      </w:r>
    </w:p>
    <w:p w14:paraId="0E24C52C" w14:textId="77777777" w:rsidR="006E0DE2" w:rsidRDefault="006E0DE2" w:rsidP="006E0DE2">
      <w:pPr>
        <w:spacing w:line="360" w:lineRule="auto"/>
        <w:rPr>
          <w:rFonts w:ascii="Times New Roman" w:hAnsi="Times New Roman" w:cs="Times New Roman"/>
          <w:sz w:val="24"/>
          <w:szCs w:val="24"/>
        </w:rPr>
      </w:pPr>
    </w:p>
    <w:p w14:paraId="07A402C9" w14:textId="77777777" w:rsidR="006E0DE2" w:rsidRDefault="006E0DE2" w:rsidP="006E0DE2">
      <w:pPr>
        <w:spacing w:line="360" w:lineRule="auto"/>
        <w:rPr>
          <w:rFonts w:ascii="Times New Roman" w:hAnsi="Times New Roman" w:cs="Times New Roman"/>
          <w:sz w:val="24"/>
          <w:szCs w:val="24"/>
        </w:rPr>
      </w:pPr>
    </w:p>
    <w:p w14:paraId="6AC5D707" w14:textId="77777777" w:rsidR="006E0DE2" w:rsidRDefault="006E0DE2" w:rsidP="006E0DE2">
      <w:pPr>
        <w:spacing w:line="360" w:lineRule="auto"/>
        <w:rPr>
          <w:rFonts w:ascii="Times New Roman" w:hAnsi="Times New Roman" w:cs="Times New Roman"/>
          <w:sz w:val="24"/>
          <w:szCs w:val="24"/>
        </w:rPr>
      </w:pPr>
    </w:p>
    <w:p w14:paraId="4FC9C26A" w14:textId="77777777" w:rsidR="006E0DE2" w:rsidRDefault="006E0DE2" w:rsidP="006E0DE2">
      <w:pPr>
        <w:spacing w:line="360" w:lineRule="auto"/>
        <w:rPr>
          <w:rFonts w:ascii="Times New Roman" w:hAnsi="Times New Roman" w:cs="Times New Roman"/>
          <w:sz w:val="24"/>
          <w:szCs w:val="24"/>
        </w:rPr>
      </w:pPr>
    </w:p>
    <w:p w14:paraId="55AAC0A8" w14:textId="77777777" w:rsidR="006E0DE2" w:rsidRDefault="006E0DE2" w:rsidP="006E0DE2">
      <w:pPr>
        <w:spacing w:line="360" w:lineRule="auto"/>
        <w:rPr>
          <w:rFonts w:ascii="Times New Roman" w:hAnsi="Times New Roman" w:cs="Times New Roman"/>
          <w:sz w:val="24"/>
          <w:szCs w:val="24"/>
        </w:rPr>
      </w:pPr>
    </w:p>
    <w:p w14:paraId="1E7C42C6" w14:textId="77777777" w:rsidR="006E0DE2" w:rsidRDefault="006E0DE2" w:rsidP="006E0DE2">
      <w:pPr>
        <w:pStyle w:val="Heading1"/>
        <w:jc w:val="center"/>
        <w:rPr>
          <w:lang w:val="en-GB" w:eastAsia="en-GB"/>
        </w:rPr>
      </w:pPr>
      <w:r w:rsidRPr="006E0DE2">
        <w:rPr>
          <w:lang w:val="en-GB" w:eastAsia="en-GB"/>
        </w:rPr>
        <w:lastRenderedPageBreak/>
        <w:t>Methodology</w:t>
      </w:r>
    </w:p>
    <w:p w14:paraId="78A932E9" w14:textId="77777777" w:rsidR="006E0DE2" w:rsidRPr="006E0DE2" w:rsidRDefault="006E0DE2" w:rsidP="006E0DE2">
      <w:pPr>
        <w:rPr>
          <w:lang w:val="en-GB" w:eastAsia="en-GB"/>
        </w:rPr>
      </w:pPr>
    </w:p>
    <w:p w14:paraId="026314A6" w14:textId="77777777" w:rsidR="00E24BDC" w:rsidRDefault="00E24BDC" w:rsidP="00E24BDC">
      <w:pPr>
        <w:pStyle w:val="NormalWeb"/>
      </w:pPr>
      <w:r>
        <w:t>This study uses a secondary research approach, drawing on existing literature to explore barriers and facilitators influencing older adults’ use of digital health technologies in UK primary care. Secondary research involves analysing previously published studies rather than collecting new data, making it suitable for examining current evidence in this area (Johnston, 2017).</w:t>
      </w:r>
    </w:p>
    <w:p w14:paraId="2E1BE678" w14:textId="77777777" w:rsidR="00E24BDC" w:rsidRDefault="00E24BDC" w:rsidP="00E24BDC">
      <w:pPr>
        <w:pStyle w:val="NormalWeb"/>
      </w:pPr>
      <w:r>
        <w:t>A scoping review was chosen as the most appropriate method, as it allows for a broad overview of available research and helps identify key themes and gaps in the literature (Arksey and O’Malley, 2005). This approach is particularly useful in areas where research is still developing and findings are varied (Munn et al., 2018). It also aligns with the aim of this study, which is to explore a range of factors rather than measure the effectiveness of a specific intervention.</w:t>
      </w:r>
    </w:p>
    <w:p w14:paraId="7F654BFB" w14:textId="77777777" w:rsidR="00E24BDC" w:rsidRDefault="00E24BDC" w:rsidP="00E24BDC">
      <w:pPr>
        <w:pStyle w:val="NormalWeb"/>
      </w:pPr>
      <w:r>
        <w:t>A structured search strategy was used to identify relevant studies. Databases including PubMed, CINAHL and Google Scholar were searched using keywords such as “digital health,” “older adults,” “primary care,” “UK,” “digital exclusion,” and “telehealth.” These terms were combined using Boolean operators (AND, OR) to improve the accuracy and relevance of the results (Bramer et al., 2018).</w:t>
      </w:r>
    </w:p>
    <w:p w14:paraId="6C20CA7A" w14:textId="77777777" w:rsidR="00E24BDC" w:rsidRDefault="00E24BDC" w:rsidP="00E24BDC">
      <w:pPr>
        <w:pStyle w:val="NormalWeb"/>
      </w:pPr>
      <w:r>
        <w:t>To ensure consistency, inclusion and exclusion criteria were applied. Studies were included if they were peer-reviewed, published in English within the last ten years, and focused on older adults aged 65 and over in relation to digital health within primary care or similar settings. Studies were excluded if they were not peer-reviewed, did not focus on older adults, or were not relevant to digital health engagement. Policy documents and reports were not included in the analysis but were used to support the background where appropriate (Peters et al., 2020).</w:t>
      </w:r>
    </w:p>
    <w:p w14:paraId="4104928C" w14:textId="77777777" w:rsidR="00E24BDC" w:rsidRDefault="00E24BDC" w:rsidP="00E24BDC">
      <w:pPr>
        <w:pStyle w:val="NormalWeb"/>
      </w:pPr>
      <w:r>
        <w:t>The selected studies were first screened by title and abstract, followed by a full-text review to confirm their relevance. A final selection of three to five studies was made in line with the requirements of the scoping review. Key information was then extracted from each study, including study design, participant details, and main findings related to barriers and facilitators (Arksey and O’Malley, 2005).</w:t>
      </w:r>
    </w:p>
    <w:p w14:paraId="6776D1CF" w14:textId="77777777" w:rsidR="00E24BDC" w:rsidRDefault="00E24BDC" w:rsidP="00E24BDC">
      <w:pPr>
        <w:pStyle w:val="NormalWeb"/>
      </w:pPr>
      <w:r>
        <w:t>The data were analysed using thematic analysis, which involved identifying patterns across the studies and grouping them into key themes such as technological barriers, individual capabilities, and external support systems. This approach allows for a clear comparison of findings across different studies (Braun and Clarke, 2006).</w:t>
      </w:r>
    </w:p>
    <w:p w14:paraId="67AACD0D" w14:textId="7BE55F6B" w:rsidR="006E0DE2" w:rsidRDefault="00E24BDC" w:rsidP="00D23ECA">
      <w:pPr>
        <w:pStyle w:val="NormalWeb"/>
      </w:pPr>
      <w:r>
        <w:t>As this study is based on existing research, no direct involvement of participants was required, and formal ethical approval was not necessary. However, ethical standards were maintained by ensuring accurate referencing and respectful use of all sources (Wiles, 2013).</w:t>
      </w:r>
    </w:p>
    <w:p w14:paraId="1EEE061E" w14:textId="08E5F1C5" w:rsidR="00D23ECA" w:rsidRDefault="00D23ECA" w:rsidP="00D23ECA">
      <w:pPr>
        <w:pStyle w:val="Heading1"/>
        <w:jc w:val="center"/>
        <w:rPr>
          <w:rFonts w:ascii="Times New Roman" w:hAnsi="Times New Roman" w:cs="Times New Roman"/>
          <w:sz w:val="36"/>
          <w:szCs w:val="36"/>
        </w:rPr>
      </w:pPr>
      <w:r w:rsidRPr="00D23ECA">
        <w:rPr>
          <w:rFonts w:ascii="Times New Roman" w:hAnsi="Times New Roman" w:cs="Times New Roman"/>
          <w:sz w:val="36"/>
          <w:szCs w:val="36"/>
        </w:rPr>
        <w:lastRenderedPageBreak/>
        <w:t>Results</w:t>
      </w:r>
    </w:p>
    <w:p w14:paraId="60B59BA6" w14:textId="77777777" w:rsidR="00D23ECA" w:rsidRDefault="00D23ECA" w:rsidP="00D23ECA"/>
    <w:p w14:paraId="3862F0C2" w14:textId="77777777" w:rsidR="00D23ECA" w:rsidRDefault="00D23ECA" w:rsidP="00D23ECA"/>
    <w:p w14:paraId="60D4992B"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A total of four peer-reviewed studies were selected for this scoping review based on their relevance to older adults’ engagement with digital health technologies in primary care and comparable healthcare settings. The studies included a mix of qualitative, quantitative and review-based approaches, which provided a broad but varied evidence base. While this diversity allows for a wider understanding of the topic, it also introduces differences in focus and methodology that may affect the consistency of findings.</w:t>
      </w:r>
    </w:p>
    <w:p w14:paraId="5704EC13" w14:textId="4100F6D9" w:rsidR="00D23ECA" w:rsidRPr="00D23ECA" w:rsidRDefault="00D23ECA" w:rsidP="00D23ECA">
      <w:pPr>
        <w:spacing w:after="0" w:line="240" w:lineRule="auto"/>
        <w:rPr>
          <w:rFonts w:ascii="Times New Roman" w:eastAsia="Times New Roman" w:hAnsi="Times New Roman" w:cs="Times New Roman"/>
          <w:sz w:val="24"/>
          <w:szCs w:val="24"/>
          <w:lang w:val="en-GB" w:eastAsia="en-GB"/>
        </w:rPr>
      </w:pPr>
    </w:p>
    <w:p w14:paraId="72E16C7E" w14:textId="77777777" w:rsidR="00D23ECA" w:rsidRPr="00D23ECA" w:rsidRDefault="00D23ECA" w:rsidP="00D23ECA">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sidRPr="00D23ECA">
        <w:rPr>
          <w:rFonts w:ascii="Times New Roman" w:eastAsia="Times New Roman" w:hAnsi="Times New Roman" w:cs="Times New Roman"/>
          <w:b/>
          <w:bCs/>
          <w:sz w:val="36"/>
          <w:szCs w:val="36"/>
          <w:lang w:val="en-GB" w:eastAsia="en-GB"/>
        </w:rPr>
        <w:t>Summary of Included Studies (Table 1)</w:t>
      </w:r>
    </w:p>
    <w:tbl>
      <w:tblPr>
        <w:tblStyle w:val="GridTable2-Accent5"/>
        <w:tblW w:w="0" w:type="auto"/>
        <w:tblLook w:val="04A0" w:firstRow="1" w:lastRow="0" w:firstColumn="1" w:lastColumn="0" w:noHBand="0" w:noVBand="1"/>
      </w:tblPr>
      <w:tblGrid>
        <w:gridCol w:w="1520"/>
        <w:gridCol w:w="723"/>
        <w:gridCol w:w="1528"/>
        <w:gridCol w:w="1699"/>
        <w:gridCol w:w="3170"/>
      </w:tblGrid>
      <w:tr w:rsidR="00D23ECA" w:rsidRPr="00D23ECA" w14:paraId="121B940A" w14:textId="77777777" w:rsidTr="00D23E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0C0493" w14:textId="77777777" w:rsidR="00D23ECA" w:rsidRPr="00D23ECA" w:rsidRDefault="00D23ECA" w:rsidP="00D23ECA">
            <w:pPr>
              <w:jc w:val="center"/>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Author(s)</w:t>
            </w:r>
          </w:p>
        </w:tc>
        <w:tc>
          <w:tcPr>
            <w:tcW w:w="0" w:type="auto"/>
            <w:hideMark/>
          </w:tcPr>
          <w:p w14:paraId="61185D55" w14:textId="77777777" w:rsidR="00D23ECA" w:rsidRPr="00D23ECA" w:rsidRDefault="00D23ECA" w:rsidP="00D23EC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Year</w:t>
            </w:r>
          </w:p>
        </w:tc>
        <w:tc>
          <w:tcPr>
            <w:tcW w:w="0" w:type="auto"/>
            <w:hideMark/>
          </w:tcPr>
          <w:p w14:paraId="7EC16F39" w14:textId="77777777" w:rsidR="00D23ECA" w:rsidRPr="00D23ECA" w:rsidRDefault="00D23ECA" w:rsidP="00D23EC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Study Design</w:t>
            </w:r>
          </w:p>
        </w:tc>
        <w:tc>
          <w:tcPr>
            <w:tcW w:w="0" w:type="auto"/>
            <w:hideMark/>
          </w:tcPr>
          <w:p w14:paraId="5DD4ECBE" w14:textId="77777777" w:rsidR="00D23ECA" w:rsidRPr="00D23ECA" w:rsidRDefault="00D23ECA" w:rsidP="00D23EC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Population</w:t>
            </w:r>
          </w:p>
        </w:tc>
        <w:tc>
          <w:tcPr>
            <w:tcW w:w="0" w:type="auto"/>
            <w:hideMark/>
          </w:tcPr>
          <w:p w14:paraId="4C8B2BC9" w14:textId="77777777" w:rsidR="00D23ECA" w:rsidRPr="00D23ECA" w:rsidRDefault="00D23ECA" w:rsidP="00D23EC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Key Findings</w:t>
            </w:r>
          </w:p>
        </w:tc>
      </w:tr>
      <w:tr w:rsidR="00D23ECA" w:rsidRPr="00D23ECA" w14:paraId="0C1154DB" w14:textId="77777777" w:rsidTr="00D23E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0B0B30" w14:textId="77777777" w:rsidR="00D23ECA" w:rsidRPr="00D23ECA" w:rsidRDefault="00D23ECA" w:rsidP="00D23ECA">
            <w:pPr>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Seifert et al.</w:t>
            </w:r>
          </w:p>
        </w:tc>
        <w:tc>
          <w:tcPr>
            <w:tcW w:w="0" w:type="auto"/>
            <w:hideMark/>
          </w:tcPr>
          <w:p w14:paraId="0DB91C30" w14:textId="77777777" w:rsidR="00D23ECA" w:rsidRPr="00D23ECA" w:rsidRDefault="00D23ECA" w:rsidP="00D23EC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2020</w:t>
            </w:r>
          </w:p>
        </w:tc>
        <w:tc>
          <w:tcPr>
            <w:tcW w:w="0" w:type="auto"/>
            <w:hideMark/>
          </w:tcPr>
          <w:p w14:paraId="117B188F" w14:textId="77777777" w:rsidR="00D23ECA" w:rsidRPr="00D23ECA" w:rsidRDefault="00D23ECA" w:rsidP="00D23EC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Systematic review</w:t>
            </w:r>
          </w:p>
        </w:tc>
        <w:tc>
          <w:tcPr>
            <w:tcW w:w="0" w:type="auto"/>
            <w:hideMark/>
          </w:tcPr>
          <w:p w14:paraId="3A69E57D" w14:textId="77777777" w:rsidR="00D23ECA" w:rsidRPr="00D23ECA" w:rsidRDefault="00D23ECA" w:rsidP="00D23EC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Older adults (65+)</w:t>
            </w:r>
          </w:p>
        </w:tc>
        <w:tc>
          <w:tcPr>
            <w:tcW w:w="0" w:type="auto"/>
            <w:hideMark/>
          </w:tcPr>
          <w:p w14:paraId="0B95C774" w14:textId="77777777" w:rsidR="00D23ECA" w:rsidRPr="00D23ECA" w:rsidRDefault="00D23ECA" w:rsidP="00D23EC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Barriers include low digital literacy and physical limitations. Facilitators include support and training</w:t>
            </w:r>
          </w:p>
        </w:tc>
      </w:tr>
      <w:tr w:rsidR="00D23ECA" w:rsidRPr="00D23ECA" w14:paraId="1661FF6E" w14:textId="77777777" w:rsidTr="00D23ECA">
        <w:tc>
          <w:tcPr>
            <w:cnfStyle w:val="001000000000" w:firstRow="0" w:lastRow="0" w:firstColumn="1" w:lastColumn="0" w:oddVBand="0" w:evenVBand="0" w:oddHBand="0" w:evenHBand="0" w:firstRowFirstColumn="0" w:firstRowLastColumn="0" w:lastRowFirstColumn="0" w:lastRowLastColumn="0"/>
            <w:tcW w:w="0" w:type="auto"/>
            <w:hideMark/>
          </w:tcPr>
          <w:p w14:paraId="0FF11361" w14:textId="77777777" w:rsidR="00D23ECA" w:rsidRPr="00D23ECA" w:rsidRDefault="00D23ECA" w:rsidP="00D23ECA">
            <w:pPr>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van Deursen &amp; Helsper</w:t>
            </w:r>
          </w:p>
        </w:tc>
        <w:tc>
          <w:tcPr>
            <w:tcW w:w="0" w:type="auto"/>
            <w:hideMark/>
          </w:tcPr>
          <w:p w14:paraId="2E811E19" w14:textId="77777777" w:rsidR="00D23ECA" w:rsidRPr="00D23ECA" w:rsidRDefault="00D23ECA" w:rsidP="00D23EC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2015</w:t>
            </w:r>
          </w:p>
        </w:tc>
        <w:tc>
          <w:tcPr>
            <w:tcW w:w="0" w:type="auto"/>
            <w:hideMark/>
          </w:tcPr>
          <w:p w14:paraId="2A6C5EDA" w14:textId="77777777" w:rsidR="00D23ECA" w:rsidRPr="00D23ECA" w:rsidRDefault="00D23ECA" w:rsidP="00D23EC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Quantitative</w:t>
            </w:r>
          </w:p>
        </w:tc>
        <w:tc>
          <w:tcPr>
            <w:tcW w:w="0" w:type="auto"/>
            <w:hideMark/>
          </w:tcPr>
          <w:p w14:paraId="1A7FACC3" w14:textId="77777777" w:rsidR="00D23ECA" w:rsidRPr="00D23ECA" w:rsidRDefault="00D23ECA" w:rsidP="00D23EC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Adults including older adults</w:t>
            </w:r>
          </w:p>
        </w:tc>
        <w:tc>
          <w:tcPr>
            <w:tcW w:w="0" w:type="auto"/>
            <w:hideMark/>
          </w:tcPr>
          <w:p w14:paraId="2F1366F8" w14:textId="77777777" w:rsidR="00D23ECA" w:rsidRPr="00D23ECA" w:rsidRDefault="00D23ECA" w:rsidP="00D23EC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Digital inequality is linked more to skills and access than age alone</w:t>
            </w:r>
          </w:p>
        </w:tc>
      </w:tr>
      <w:tr w:rsidR="00D23ECA" w:rsidRPr="00D23ECA" w14:paraId="7C64FC52" w14:textId="77777777" w:rsidTr="00D23E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90CF70" w14:textId="77777777" w:rsidR="00D23ECA" w:rsidRPr="00D23ECA" w:rsidRDefault="00D23ECA" w:rsidP="00D23ECA">
            <w:pPr>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Murphy et al.</w:t>
            </w:r>
          </w:p>
        </w:tc>
        <w:tc>
          <w:tcPr>
            <w:tcW w:w="0" w:type="auto"/>
            <w:hideMark/>
          </w:tcPr>
          <w:p w14:paraId="7672E988" w14:textId="77777777" w:rsidR="00D23ECA" w:rsidRPr="00D23ECA" w:rsidRDefault="00D23ECA" w:rsidP="00D23EC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2021</w:t>
            </w:r>
          </w:p>
        </w:tc>
        <w:tc>
          <w:tcPr>
            <w:tcW w:w="0" w:type="auto"/>
            <w:hideMark/>
          </w:tcPr>
          <w:p w14:paraId="3175EB30" w14:textId="77777777" w:rsidR="00D23ECA" w:rsidRPr="00D23ECA" w:rsidRDefault="00D23ECA" w:rsidP="00D23EC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Qualitative</w:t>
            </w:r>
          </w:p>
        </w:tc>
        <w:tc>
          <w:tcPr>
            <w:tcW w:w="0" w:type="auto"/>
            <w:hideMark/>
          </w:tcPr>
          <w:p w14:paraId="13CC4FC1" w14:textId="77777777" w:rsidR="00D23ECA" w:rsidRPr="00D23ECA" w:rsidRDefault="00D23ECA" w:rsidP="00D23EC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UK primary care patients</w:t>
            </w:r>
          </w:p>
        </w:tc>
        <w:tc>
          <w:tcPr>
            <w:tcW w:w="0" w:type="auto"/>
            <w:hideMark/>
          </w:tcPr>
          <w:p w14:paraId="201C6540" w14:textId="77777777" w:rsidR="00D23ECA" w:rsidRPr="00D23ECA" w:rsidRDefault="00D23ECA" w:rsidP="00D23EC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COVID-19 increased digital use but created access barriers for vulnerable groups</w:t>
            </w:r>
          </w:p>
        </w:tc>
      </w:tr>
      <w:tr w:rsidR="00D23ECA" w:rsidRPr="00D23ECA" w14:paraId="2050210A" w14:textId="77777777" w:rsidTr="00D23ECA">
        <w:tc>
          <w:tcPr>
            <w:cnfStyle w:val="001000000000" w:firstRow="0" w:lastRow="0" w:firstColumn="1" w:lastColumn="0" w:oddVBand="0" w:evenVBand="0" w:oddHBand="0" w:evenHBand="0" w:firstRowFirstColumn="0" w:firstRowLastColumn="0" w:lastRowFirstColumn="0" w:lastRowLastColumn="0"/>
            <w:tcW w:w="0" w:type="auto"/>
            <w:hideMark/>
          </w:tcPr>
          <w:p w14:paraId="4930DF35" w14:textId="77777777" w:rsidR="00D23ECA" w:rsidRPr="00D23ECA" w:rsidRDefault="00D23ECA" w:rsidP="00D23ECA">
            <w:pPr>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Helsper</w:t>
            </w:r>
          </w:p>
        </w:tc>
        <w:tc>
          <w:tcPr>
            <w:tcW w:w="0" w:type="auto"/>
            <w:hideMark/>
          </w:tcPr>
          <w:p w14:paraId="72EFD32F" w14:textId="77777777" w:rsidR="00D23ECA" w:rsidRPr="00D23ECA" w:rsidRDefault="00D23ECA" w:rsidP="00D23EC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2012</w:t>
            </w:r>
          </w:p>
        </w:tc>
        <w:tc>
          <w:tcPr>
            <w:tcW w:w="0" w:type="auto"/>
            <w:hideMark/>
          </w:tcPr>
          <w:p w14:paraId="7585B798" w14:textId="77777777" w:rsidR="00D23ECA" w:rsidRPr="00D23ECA" w:rsidRDefault="00D23ECA" w:rsidP="00D23EC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Empirical study</w:t>
            </w:r>
          </w:p>
        </w:tc>
        <w:tc>
          <w:tcPr>
            <w:tcW w:w="0" w:type="auto"/>
            <w:hideMark/>
          </w:tcPr>
          <w:p w14:paraId="25E1366F" w14:textId="77777777" w:rsidR="00D23ECA" w:rsidRPr="00D23ECA" w:rsidRDefault="00D23ECA" w:rsidP="00D23EC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General population</w:t>
            </w:r>
          </w:p>
        </w:tc>
        <w:tc>
          <w:tcPr>
            <w:tcW w:w="0" w:type="auto"/>
            <w:hideMark/>
          </w:tcPr>
          <w:p w14:paraId="4BF20FAC" w14:textId="77777777" w:rsidR="00D23ECA" w:rsidRPr="00D23ECA" w:rsidRDefault="00D23ECA" w:rsidP="00D23EC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Digital exclusion is influenced by socio-economic factors</w:t>
            </w:r>
          </w:p>
        </w:tc>
      </w:tr>
    </w:tbl>
    <w:p w14:paraId="3D103128" w14:textId="3B07FDDA" w:rsidR="00D23ECA" w:rsidRPr="00D23ECA" w:rsidRDefault="00D23ECA" w:rsidP="00D23ECA">
      <w:pPr>
        <w:spacing w:after="0" w:line="240" w:lineRule="auto"/>
        <w:rPr>
          <w:rFonts w:ascii="Times New Roman" w:eastAsia="Times New Roman" w:hAnsi="Times New Roman" w:cs="Times New Roman"/>
          <w:sz w:val="24"/>
          <w:szCs w:val="24"/>
          <w:lang w:val="en-GB" w:eastAsia="en-GB"/>
        </w:rPr>
      </w:pPr>
    </w:p>
    <w:p w14:paraId="313AB209" w14:textId="77777777" w:rsidR="00D23ECA" w:rsidRPr="00D23ECA" w:rsidRDefault="00D23ECA" w:rsidP="00D23ECA">
      <w:pPr>
        <w:rPr>
          <w:b/>
          <w:bCs/>
          <w:lang w:val="en-GB" w:eastAsia="en-GB"/>
        </w:rPr>
      </w:pPr>
      <w:r w:rsidRPr="00D23ECA">
        <w:rPr>
          <w:b/>
          <w:bCs/>
          <w:lang w:val="en-GB" w:eastAsia="en-GB"/>
        </w:rPr>
        <w:t>Thematic Findings</w:t>
      </w:r>
    </w:p>
    <w:p w14:paraId="52546EFC" w14:textId="7E48976C"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Analysis of the selected studies identified three main themes. These are barriers to engagement, facilitators of engagement, and inequality and access.</w:t>
      </w:r>
    </w:p>
    <w:p w14:paraId="419137AF"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b/>
          <w:bCs/>
          <w:sz w:val="24"/>
          <w:szCs w:val="24"/>
          <w:lang w:val="en-GB" w:eastAsia="en-GB"/>
        </w:rPr>
        <w:t>Barriers to Digital Engagement:</w:t>
      </w:r>
      <w:r w:rsidRPr="00D23ECA">
        <w:rPr>
          <w:rFonts w:ascii="Times New Roman" w:eastAsia="Times New Roman" w:hAnsi="Times New Roman" w:cs="Times New Roman"/>
          <w:sz w:val="24"/>
          <w:szCs w:val="24"/>
          <w:lang w:val="en-GB" w:eastAsia="en-GB"/>
        </w:rPr>
        <w:t xml:space="preserve"> Across all studies, several consistent barriers were identified. Low digital literacy emerged as a central issue, limiting both confidence and the ability to use digital systems effectively (Seifert et al., 2020). Many older adults have limited prior experience with technology, which can make digital healthcare platforms appear complex and difficult to navigate. However, while this is often framed as an age-related issue, the evidence suggests it is more closely linked to exposure and opportunity rather than age itself.</w:t>
      </w:r>
    </w:p>
    <w:p w14:paraId="7B1207BE"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lastRenderedPageBreak/>
        <w:t>Physical and cognitive challenges were also highlighted, including reduced vision, limited dexterity and memory difficulties. These factors can make interacting with digital systems more demanding, particularly where platforms are not designed with accessibility in mind. This raises questions about whether current digital health systems are adequately tailored to the needs of older users.</w:t>
      </w:r>
    </w:p>
    <w:p w14:paraId="7DBFF5B0"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Access-related barriers were also significant. Lack of devices, unreliable internet connections and affordability were identified as key issues (Helsper, 2012). In addition, psychological barriers such as fear of making mistakes and concerns about privacy and security may further limit engagement. Some older adults may be hesitant to use digital systems due to uncertainty about how their data is handled or a lack of trust in technology.</w:t>
      </w:r>
    </w:p>
    <w:p w14:paraId="48414FE8"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Murphy et al. (2021) found that the rapid shift to digital healthcare during the COVID-19 pandemic intensified these challenges. While digital services became more widely available, not all individuals were able to access them, highlighting how system-level changes can unintentionally exclude certain groups.</w:t>
      </w:r>
    </w:p>
    <w:p w14:paraId="0CA35193" w14:textId="30068E35" w:rsidR="00D23ECA" w:rsidRPr="00D23ECA" w:rsidRDefault="00D23ECA" w:rsidP="00D23ECA">
      <w:pPr>
        <w:spacing w:after="0" w:line="240" w:lineRule="auto"/>
        <w:rPr>
          <w:rFonts w:ascii="Times New Roman" w:eastAsia="Times New Roman" w:hAnsi="Times New Roman" w:cs="Times New Roman"/>
          <w:sz w:val="24"/>
          <w:szCs w:val="24"/>
          <w:lang w:val="en-GB" w:eastAsia="en-GB"/>
        </w:rPr>
      </w:pPr>
    </w:p>
    <w:p w14:paraId="707D2328" w14:textId="35700E90"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b/>
          <w:bCs/>
          <w:sz w:val="24"/>
          <w:szCs w:val="24"/>
          <w:lang w:val="en-GB" w:eastAsia="en-GB"/>
        </w:rPr>
        <w:t>Facilitators of Engagement:</w:t>
      </w:r>
      <w:r w:rsidRPr="00D23ECA">
        <w:rPr>
          <w:rFonts w:ascii="Times New Roman" w:eastAsia="Times New Roman" w:hAnsi="Times New Roman" w:cs="Times New Roman"/>
          <w:sz w:val="24"/>
          <w:szCs w:val="24"/>
          <w:lang w:val="en-GB" w:eastAsia="en-GB"/>
        </w:rPr>
        <w:t xml:space="preserve"> Despite these barriers, the studies identified several factors that support digital engagement. Access to support was consistently highlighted as a key facilitator. Family members, carers and healthcare professionals can play an important role in helping older adults understand and use digital technologies (van Deursen and Helsper, 2015). This suggests that engagement is not solely dependent on individual </w:t>
      </w:r>
      <w:r w:rsidRPr="00D23ECA">
        <w:rPr>
          <w:rFonts w:ascii="Times New Roman" w:eastAsia="Times New Roman" w:hAnsi="Times New Roman" w:cs="Times New Roman"/>
          <w:sz w:val="24"/>
          <w:szCs w:val="24"/>
          <w:lang w:val="en-GB" w:eastAsia="en-GB"/>
        </w:rPr>
        <w:t>ability but</w:t>
      </w:r>
      <w:r w:rsidRPr="00D23ECA">
        <w:rPr>
          <w:rFonts w:ascii="Times New Roman" w:eastAsia="Times New Roman" w:hAnsi="Times New Roman" w:cs="Times New Roman"/>
          <w:sz w:val="24"/>
          <w:szCs w:val="24"/>
          <w:lang w:val="en-GB" w:eastAsia="en-GB"/>
        </w:rPr>
        <w:t xml:space="preserve"> is also influenced by the level of support available.</w:t>
      </w:r>
    </w:p>
    <w:p w14:paraId="0BBA9C90"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Training and education were also identified as important. Digital skills programmes and clear guidance can improve both confidence and competence. However, the effectiveness of these interventions may depend on how accessible and tailored they are. General training may not be sufficient, and more personalised approaches may be needed to address individual needs.</w:t>
      </w:r>
    </w:p>
    <w:p w14:paraId="1114EA80"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In addition, user-friendly design was found to be a significant factor. Simple interfaces, clear instructions and accessible features can make digital systems easier to use (Seifert et al., 2020). This indicates that barriers to engagement are not fixed and may be reduced through more inclusive design approaches. The role of healthcare professionals is also important, as active support can increase confidence and encourage continued use.</w:t>
      </w:r>
    </w:p>
    <w:p w14:paraId="6A74EE17" w14:textId="26EB6821" w:rsidR="00D23ECA" w:rsidRPr="00D23ECA" w:rsidRDefault="00D23ECA" w:rsidP="00D23ECA">
      <w:pPr>
        <w:spacing w:after="0" w:line="240" w:lineRule="auto"/>
        <w:rPr>
          <w:rFonts w:ascii="Times New Roman" w:eastAsia="Times New Roman" w:hAnsi="Times New Roman" w:cs="Times New Roman"/>
          <w:sz w:val="24"/>
          <w:szCs w:val="24"/>
          <w:lang w:val="en-GB" w:eastAsia="en-GB"/>
        </w:rPr>
      </w:pPr>
    </w:p>
    <w:p w14:paraId="22DECE09"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b/>
          <w:bCs/>
          <w:sz w:val="24"/>
          <w:szCs w:val="24"/>
          <w:lang w:val="en-GB" w:eastAsia="en-GB"/>
        </w:rPr>
        <w:t>Inequality and Access:</w:t>
      </w:r>
      <w:r w:rsidRPr="00D23ECA">
        <w:rPr>
          <w:rFonts w:ascii="Times New Roman" w:eastAsia="Times New Roman" w:hAnsi="Times New Roman" w:cs="Times New Roman"/>
          <w:sz w:val="24"/>
          <w:szCs w:val="24"/>
          <w:lang w:val="en-GB" w:eastAsia="en-GB"/>
        </w:rPr>
        <w:t xml:space="preserve"> A key theme across the studies was the role of wider social and economic inequalities in shaping digital engagement. While older adults are often described as digitally excluded, the evidence suggests that exclusion is more strongly linked to factors such as income, education and access to resources rather than age alone (Helsper, 2012; van Deursen and Helsper, 2015).</w:t>
      </w:r>
    </w:p>
    <w:p w14:paraId="5892F567"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lastRenderedPageBreak/>
        <w:t>This challenges the assumption that digital exclusion is primarily age-related and highlights the importance of structural factors. Digital exclusion may also intersect with other forms of inequality, such as disability, language barriers and social isolation. These overlapping factors can further limit engagement and create additional challenges.</w:t>
      </w:r>
    </w:p>
    <w:p w14:paraId="18DD4ADC"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Murphy et al. (2021) emphasise that digital-first healthcare models may reinforce existing inequalities if adequate support is not provided. Individuals who lack access or skills may be disproportionately affected, particularly when digital systems become the primary route to care.</w:t>
      </w:r>
    </w:p>
    <w:p w14:paraId="4C56FE09" w14:textId="1EE36FCE" w:rsidR="00D23ECA" w:rsidRDefault="00D23ECA" w:rsidP="00D23ECA">
      <w:r>
        <w:t>Overall, the findings suggest that digital engagement is shaped by a complex interaction of individual, technological and structural factors, rather than a single cause. While the studies show consistent patterns in identifying key barriers and facilitators, there are differences in emphasis depending on study design and context, which may influence how digital engagement is understood.</w:t>
      </w:r>
    </w:p>
    <w:p w14:paraId="398A5738" w14:textId="77777777" w:rsidR="00D23ECA" w:rsidRDefault="00D23ECA" w:rsidP="00D23ECA"/>
    <w:p w14:paraId="522EEDDE" w14:textId="77777777" w:rsidR="00D23ECA" w:rsidRDefault="00D23ECA" w:rsidP="00D23ECA"/>
    <w:p w14:paraId="50CC979A" w14:textId="77777777" w:rsidR="00D23ECA" w:rsidRDefault="00D23ECA" w:rsidP="00D23ECA"/>
    <w:p w14:paraId="70D72073" w14:textId="77777777" w:rsidR="00D23ECA" w:rsidRDefault="00D23ECA" w:rsidP="00D23ECA"/>
    <w:p w14:paraId="3A36636F" w14:textId="77777777" w:rsidR="00D23ECA" w:rsidRDefault="00D23ECA" w:rsidP="00D23ECA"/>
    <w:p w14:paraId="0FD62E98" w14:textId="77777777" w:rsidR="00D23ECA" w:rsidRDefault="00D23ECA" w:rsidP="00D23ECA"/>
    <w:p w14:paraId="1DCAFCE1" w14:textId="77777777" w:rsidR="00D23ECA" w:rsidRDefault="00D23ECA" w:rsidP="00D23ECA"/>
    <w:p w14:paraId="260B8A74" w14:textId="77777777" w:rsidR="00D23ECA" w:rsidRDefault="00D23ECA" w:rsidP="00D23ECA"/>
    <w:p w14:paraId="47830A2A" w14:textId="77777777" w:rsidR="00D23ECA" w:rsidRDefault="00D23ECA" w:rsidP="00D23ECA"/>
    <w:p w14:paraId="217D4AA1" w14:textId="77777777" w:rsidR="00D23ECA" w:rsidRDefault="00D23ECA" w:rsidP="00D23ECA"/>
    <w:p w14:paraId="71DC9FC4" w14:textId="77777777" w:rsidR="00D23ECA" w:rsidRDefault="00D23ECA" w:rsidP="00D23ECA"/>
    <w:p w14:paraId="2D4D94E9" w14:textId="77777777" w:rsidR="00D23ECA" w:rsidRDefault="00D23ECA" w:rsidP="00D23ECA"/>
    <w:p w14:paraId="54438B4C" w14:textId="77777777" w:rsidR="00D23ECA" w:rsidRDefault="00D23ECA" w:rsidP="00D23ECA"/>
    <w:p w14:paraId="4BD18936" w14:textId="77777777" w:rsidR="00D23ECA" w:rsidRDefault="00D23ECA" w:rsidP="00D23ECA"/>
    <w:p w14:paraId="7DB39D7A" w14:textId="77777777" w:rsidR="00D23ECA" w:rsidRDefault="00D23ECA" w:rsidP="00D23ECA"/>
    <w:p w14:paraId="069F5B93" w14:textId="77777777" w:rsidR="00D23ECA" w:rsidRDefault="00D23ECA" w:rsidP="00D23ECA"/>
    <w:p w14:paraId="0FE0DDA4" w14:textId="77777777" w:rsidR="00D23ECA" w:rsidRDefault="00D23ECA" w:rsidP="00D23ECA">
      <w:pPr>
        <w:pStyle w:val="Heading1"/>
        <w:jc w:val="center"/>
        <w:rPr>
          <w:lang w:val="en-GB" w:eastAsia="en-GB"/>
        </w:rPr>
      </w:pPr>
      <w:r w:rsidRPr="00D23ECA">
        <w:rPr>
          <w:lang w:val="en-GB" w:eastAsia="en-GB"/>
        </w:rPr>
        <w:lastRenderedPageBreak/>
        <w:t>Discussion</w:t>
      </w:r>
    </w:p>
    <w:p w14:paraId="4EBB68CF" w14:textId="77777777" w:rsidR="00D23ECA" w:rsidRDefault="00D23ECA" w:rsidP="00D23ECA">
      <w:pPr>
        <w:rPr>
          <w:lang w:val="en-GB" w:eastAsia="en-GB"/>
        </w:rPr>
      </w:pPr>
    </w:p>
    <w:p w14:paraId="24EB6F84" w14:textId="4AA942DB" w:rsidR="00D23ECA" w:rsidRDefault="00D23ECA" w:rsidP="00D23ECA">
      <w:pPr>
        <w:pStyle w:val="NormalWeb"/>
      </w:pPr>
      <w:r>
        <w:t>This study aimed to explore the barriers and facilitators influencing older adults’ engagement with digital health technologies in UK primary care. The findings suggest that digital engagement is shaped by a combination of individual, technological and structural factors, rather than age alone (van Deursen and Helsper, 2015; Helsper, 2012).</w:t>
      </w:r>
    </w:p>
    <w:p w14:paraId="7721E342" w14:textId="77777777" w:rsidR="00D23ECA" w:rsidRDefault="00D23ECA" w:rsidP="00D23ECA">
      <w:pPr>
        <w:pStyle w:val="NormalWeb"/>
      </w:pPr>
      <w:r>
        <w:rPr>
          <w:rStyle w:val="Strong"/>
        </w:rPr>
        <w:t>Digital Literacy and Confidence:</w:t>
      </w:r>
      <w:r>
        <w:t xml:space="preserve"> A key issue identified across the studies is the role of digital literacy and confidence. While older adults are often described as digitally excluded, the evidence suggests that this is not inherently linked to age, but rather to differences in skills, experience and access to resources (van Deursen and Helsper, 2015; Helsper, 2012). This challenges common assumptions that older adults are resistant to technology and highlights how digital exclusion is shaped by broader social factors. As a result, focusing solely on age risks oversimplifying the issue and may lead to ineffective interventions.</w:t>
      </w:r>
    </w:p>
    <w:p w14:paraId="6A183FAE" w14:textId="77777777" w:rsidR="00D23ECA" w:rsidRDefault="00D23ECA" w:rsidP="00D23ECA">
      <w:pPr>
        <w:pStyle w:val="NormalWeb"/>
      </w:pPr>
      <w:r>
        <w:rPr>
          <w:rStyle w:val="Strong"/>
        </w:rPr>
        <w:t>System Design and Accessibility:</w:t>
      </w:r>
      <w:r>
        <w:t xml:space="preserve"> The findings also emphasise the importance of system design. Physical and cognitive challenges, such as reduced vision, limited dexterity and memory difficulties, were identified as barriers. However, these challenges raise questions about whether digital health systems are designed with accessibility in mind. If systems are not inclusive, they may create unnecessary barriers for users. Seifert et al. (2020) suggest that user-friendly interfaces and accessible features can significantly improve engagement, indicating that responsibility lies not only with individuals but also with service providers.</w:t>
      </w:r>
    </w:p>
    <w:p w14:paraId="3F4FD4D9" w14:textId="77777777" w:rsidR="00D23ECA" w:rsidRDefault="00D23ECA" w:rsidP="00D23ECA">
      <w:pPr>
        <w:pStyle w:val="NormalWeb"/>
      </w:pPr>
      <w:r>
        <w:rPr>
          <w:rStyle w:val="Strong"/>
        </w:rPr>
        <w:t>Structural Inequalities and Access:</w:t>
      </w:r>
      <w:r>
        <w:t xml:space="preserve"> Structural factors such as affordability, internet access and availability of digital devices were consistently identified as key barriers (Helsper, 2012). These findings reinforce the idea that digital exclusion is closely linked to wider social and economic inequalities. Individuals from lower socio-economic backgrounds may face multiple barriers, making it more difficult to engage with digital healthcare services. This highlights the risk that digital-first healthcare models may unintentionally widen existing inequalities if adequate support is not provided.</w:t>
      </w:r>
    </w:p>
    <w:p w14:paraId="74A54C1D" w14:textId="77777777" w:rsidR="00D23ECA" w:rsidRDefault="00D23ECA" w:rsidP="00D23ECA">
      <w:pPr>
        <w:pStyle w:val="NormalWeb"/>
      </w:pPr>
      <w:r>
        <w:rPr>
          <w:rStyle w:val="Strong"/>
        </w:rPr>
        <w:t>Impact of COVID-19 and Digital Transformation:</w:t>
      </w:r>
      <w:r>
        <w:t xml:space="preserve"> The COVID-19 pandemic further exposed these issues. Murphy et al. (2021) found that while the rapid shift to digital healthcare improved efficiency and access for some patients, it also created new challenges for others. In some cases, individuals who lacked digital access or skills were unable to access care. This suggests that digital transformation, while beneficial, must be implemented carefully to avoid excluding vulnerable groups.</w:t>
      </w:r>
    </w:p>
    <w:p w14:paraId="0465F916" w14:textId="77777777" w:rsidR="00D23ECA" w:rsidRDefault="00D23ECA" w:rsidP="00D23ECA">
      <w:pPr>
        <w:pStyle w:val="NormalWeb"/>
      </w:pPr>
      <w:r>
        <w:rPr>
          <w:rStyle w:val="Strong"/>
        </w:rPr>
        <w:t>Facilitators and Opportunities for Improvement:</w:t>
      </w:r>
      <w:r>
        <w:t xml:space="preserve"> Despite these barriers, the findings show that digital engagement among older adults is not fixed and can be improved. Support from family members, carers and healthcare professionals was identified as a key facilitator, alongside digital skills training and clear guidance (Seifert et al., 2020). These findings suggest that older adults are willing to engage with digital technologies when </w:t>
      </w:r>
      <w:r>
        <w:lastRenderedPageBreak/>
        <w:t>appropriate support is available. This highlights the importance of moving away from deficit-based assumptions and towards more supportive and inclusive approaches.</w:t>
      </w:r>
    </w:p>
    <w:p w14:paraId="571180E8" w14:textId="77777777" w:rsidR="00D23ECA" w:rsidRDefault="00D23ECA" w:rsidP="00D23ECA">
      <w:pPr>
        <w:pStyle w:val="NormalWeb"/>
      </w:pPr>
      <w:r>
        <w:rPr>
          <w:rStyle w:val="Strong"/>
        </w:rPr>
        <w:t>Patient Experience and Engagement:</w:t>
      </w:r>
      <w:r>
        <w:t xml:space="preserve"> The findings also highlight the importance of patient experience in shaping digital health engagement. While digital services can improve convenience, particularly by reducing travel and waiting times, they may not provide the same level of personal interaction as face-to-face care. For some older adults, this reduction in direct contact may affect trust, communication and overall satisfaction with healthcare services. This suggests that digital health should not only focus on efficiency but also consider how to maintain a patient-centred approach. Ensuring that patients feel supported and able to communicate effectively remains essential for successful engagement.</w:t>
      </w:r>
    </w:p>
    <w:p w14:paraId="558B1BCC" w14:textId="77777777" w:rsidR="00D23ECA" w:rsidRDefault="00D23ECA" w:rsidP="00D23ECA">
      <w:pPr>
        <w:pStyle w:val="NormalWeb"/>
      </w:pPr>
      <w:r>
        <w:rPr>
          <w:rStyle w:val="Strong"/>
        </w:rPr>
        <w:t>Role of Healthcare Systems and Policy:</w:t>
      </w:r>
      <w:r>
        <w:t xml:space="preserve"> The findings also have important implications at a system and policy level. The increasing emphasis on digital-first healthcare within the UK reflects wider efforts to improve efficiency and manage demand. However, these findings suggest that such approaches may not be equally accessible to all patients. If digital systems are prioritised without sufficient support, there is a risk that certain groups, particularly older adults, may be disadvantaged.</w:t>
      </w:r>
    </w:p>
    <w:p w14:paraId="54B640F1" w14:textId="1426BF9E" w:rsidR="00D23ECA" w:rsidRDefault="00D23ECA" w:rsidP="00D23ECA">
      <w:pPr>
        <w:pStyle w:val="NormalWeb"/>
      </w:pPr>
      <w:r>
        <w:t>This highlights the need for a more balanced approach. Rather than assuming universal access, healthcare systems should consider how digital services are implemented in practice. This may include investing in digital infrastructure, providing community-based support, and ensuring that alternative methods of access remain available. Without this, digital transformation may unintentionally reinforce existing inequalities.</w:t>
      </w:r>
      <w:r>
        <w:t xml:space="preserve"> </w:t>
      </w:r>
      <w:r>
        <w:t>However, it is important to note that much of the existing research focuses on general patterns rather than individual experiences, which may limit the depth of understanding around how different groups of older adults engage with digital health technologies.</w:t>
      </w:r>
    </w:p>
    <w:p w14:paraId="6EE6439A" w14:textId="77777777" w:rsidR="00D23ECA" w:rsidRDefault="00D23ECA" w:rsidP="00D23ECA">
      <w:pPr>
        <w:pStyle w:val="NormalWeb"/>
      </w:pPr>
      <w:r>
        <w:rPr>
          <w:rStyle w:val="Strong"/>
        </w:rPr>
        <w:t>Limitations of the Study:</w:t>
      </w:r>
      <w:r>
        <w:t xml:space="preserve"> This study has several limitations that should be considered. The scoping review included a relatively small number of studies, which may limit the breadth of the findings. In addition, the use of different study designs makes direct comparison more difficult. The focus on English-language studies may also exclude relevant research from other contexts. Despite these limitations, the study provides a useful overview of key themes and identifies areas for further research.</w:t>
      </w:r>
    </w:p>
    <w:p w14:paraId="12BC53EC" w14:textId="77777777" w:rsidR="00D23ECA" w:rsidRDefault="00D23ECA" w:rsidP="00D23ECA">
      <w:pPr>
        <w:pStyle w:val="NormalWeb"/>
      </w:pPr>
      <w:r>
        <w:t>Overall, the findings suggest that improving digital engagement among older adults requires a multi-level approach that addresses individual skills, system design and wider structural inequalities.</w:t>
      </w:r>
    </w:p>
    <w:p w14:paraId="435CD7A5" w14:textId="77777777" w:rsidR="00D23ECA" w:rsidRDefault="00D23ECA" w:rsidP="00D23ECA">
      <w:pPr>
        <w:rPr>
          <w:rFonts w:ascii="Times New Roman" w:eastAsia="Times New Roman" w:hAnsi="Times New Roman" w:cs="Times New Roman"/>
          <w:sz w:val="24"/>
          <w:szCs w:val="24"/>
          <w:lang w:val="en-GB" w:eastAsia="en-GB"/>
        </w:rPr>
      </w:pPr>
    </w:p>
    <w:p w14:paraId="6454140A" w14:textId="77777777" w:rsidR="00D23ECA" w:rsidRDefault="00D23ECA" w:rsidP="00D23ECA">
      <w:pPr>
        <w:rPr>
          <w:rFonts w:ascii="Times New Roman" w:eastAsia="Times New Roman" w:hAnsi="Times New Roman" w:cs="Times New Roman"/>
          <w:sz w:val="24"/>
          <w:szCs w:val="24"/>
          <w:lang w:val="en-GB" w:eastAsia="en-GB"/>
        </w:rPr>
      </w:pPr>
    </w:p>
    <w:p w14:paraId="59D3A8C5" w14:textId="77777777" w:rsidR="00D23ECA" w:rsidRDefault="00D23ECA" w:rsidP="00D23ECA">
      <w:pPr>
        <w:rPr>
          <w:rFonts w:ascii="Times New Roman" w:eastAsia="Times New Roman" w:hAnsi="Times New Roman" w:cs="Times New Roman"/>
          <w:sz w:val="24"/>
          <w:szCs w:val="24"/>
          <w:lang w:val="en-GB" w:eastAsia="en-GB"/>
        </w:rPr>
      </w:pPr>
    </w:p>
    <w:p w14:paraId="65507845" w14:textId="77777777" w:rsidR="00D23ECA" w:rsidRDefault="00D23ECA" w:rsidP="00D23ECA">
      <w:pPr>
        <w:rPr>
          <w:rFonts w:ascii="Times New Roman" w:eastAsia="Times New Roman" w:hAnsi="Times New Roman" w:cs="Times New Roman"/>
          <w:sz w:val="24"/>
          <w:szCs w:val="24"/>
          <w:lang w:val="en-GB" w:eastAsia="en-GB"/>
        </w:rPr>
      </w:pPr>
    </w:p>
    <w:p w14:paraId="653C6781" w14:textId="77777777" w:rsidR="00D23ECA" w:rsidRDefault="00D23ECA" w:rsidP="00D23ECA">
      <w:pPr>
        <w:rPr>
          <w:rFonts w:ascii="Times New Roman" w:eastAsia="Times New Roman" w:hAnsi="Times New Roman" w:cs="Times New Roman"/>
          <w:sz w:val="24"/>
          <w:szCs w:val="24"/>
          <w:lang w:val="en-GB" w:eastAsia="en-GB"/>
        </w:rPr>
      </w:pPr>
    </w:p>
    <w:p w14:paraId="2E884D7F" w14:textId="77777777" w:rsidR="00D23ECA" w:rsidRDefault="00D23ECA" w:rsidP="00D23ECA">
      <w:pPr>
        <w:rPr>
          <w:rFonts w:ascii="Times New Roman" w:eastAsia="Times New Roman" w:hAnsi="Times New Roman" w:cs="Times New Roman"/>
          <w:sz w:val="24"/>
          <w:szCs w:val="24"/>
          <w:lang w:val="en-GB" w:eastAsia="en-GB"/>
        </w:rPr>
      </w:pPr>
    </w:p>
    <w:p w14:paraId="4DF65B66" w14:textId="77777777" w:rsidR="00D23ECA" w:rsidRDefault="00D23ECA" w:rsidP="00D23ECA">
      <w:pPr>
        <w:rPr>
          <w:rFonts w:ascii="Times New Roman" w:eastAsia="Times New Roman" w:hAnsi="Times New Roman" w:cs="Times New Roman"/>
          <w:sz w:val="24"/>
          <w:szCs w:val="24"/>
          <w:lang w:val="en-GB" w:eastAsia="en-GB"/>
        </w:rPr>
      </w:pPr>
    </w:p>
    <w:p w14:paraId="1C91A111" w14:textId="77777777" w:rsidR="00D23ECA" w:rsidRDefault="00D23ECA" w:rsidP="00D23ECA">
      <w:pPr>
        <w:rPr>
          <w:rFonts w:ascii="Times New Roman" w:eastAsia="Times New Roman" w:hAnsi="Times New Roman" w:cs="Times New Roman"/>
          <w:sz w:val="24"/>
          <w:szCs w:val="24"/>
          <w:lang w:val="en-GB" w:eastAsia="en-GB"/>
        </w:rPr>
      </w:pPr>
    </w:p>
    <w:p w14:paraId="45D651FA" w14:textId="77777777" w:rsidR="00D23ECA" w:rsidRDefault="00D23ECA" w:rsidP="00D23ECA">
      <w:pPr>
        <w:pStyle w:val="Heading1"/>
        <w:rPr>
          <w:lang w:val="en-GB" w:eastAsia="en-GB"/>
        </w:rPr>
      </w:pPr>
    </w:p>
    <w:p w14:paraId="792E162E" w14:textId="77777777" w:rsidR="00D23ECA" w:rsidRPr="00D23ECA" w:rsidRDefault="00D23ECA" w:rsidP="00D23ECA">
      <w:pPr>
        <w:pStyle w:val="Heading1"/>
        <w:rPr>
          <w:kern w:val="36"/>
          <w:sz w:val="48"/>
          <w:szCs w:val="48"/>
          <w:lang w:val="en-GB" w:eastAsia="en-GB"/>
        </w:rPr>
      </w:pPr>
      <w:r w:rsidRPr="00D23ECA">
        <w:rPr>
          <w:kern w:val="36"/>
          <w:sz w:val="48"/>
          <w:szCs w:val="48"/>
          <w:lang w:val="en-GB" w:eastAsia="en-GB"/>
        </w:rPr>
        <w:t>Conclusion and Recommendations</w:t>
      </w:r>
    </w:p>
    <w:p w14:paraId="7815E7B5"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b/>
          <w:bCs/>
          <w:sz w:val="24"/>
          <w:szCs w:val="24"/>
          <w:lang w:val="en-GB" w:eastAsia="en-GB"/>
        </w:rPr>
        <w:t>Summary of Key Findings:</w:t>
      </w:r>
      <w:r w:rsidRPr="00D23ECA">
        <w:rPr>
          <w:rFonts w:ascii="Times New Roman" w:eastAsia="Times New Roman" w:hAnsi="Times New Roman" w:cs="Times New Roman"/>
          <w:sz w:val="24"/>
          <w:szCs w:val="24"/>
          <w:lang w:val="en-GB" w:eastAsia="en-GB"/>
        </w:rPr>
        <w:t xml:space="preserve"> This study explored the barriers and facilitators influencing older adults’ engagement with digital health technologies in UK primary care. The findings show that digital engagement is shaped by a combination of individual, technological and structural factors. Barriers such as limited digital literacy, reduced confidence, physical challenges and restricted access to devices or internet services continue to affect participation (Seifert et al., 2020; Helsper, 2012). However, these barriers are not solely determined by age. Instead, they are influenced by wider social and economic factors, including education, income and access to support (van Deursen and Helsper, 2015). This highlights the importance of moving beyond age-based assumptions and recognising the complexity of digital exclusion.</w:t>
      </w:r>
    </w:p>
    <w:p w14:paraId="37BDD18D" w14:textId="5B4566C4"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At the same time, the findings demonstrate that digital engagement can be improved. Facilitators such as support from family members, healthcare professionals, digital skills training and user-friendly system design were consistently identified as important (Seifert et al., 2020). This suggests that digital exclusion is not fixed and can be addressed through appropriate interventions and inclusive approaches.</w:t>
      </w:r>
    </w:p>
    <w:p w14:paraId="081CD0FD"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b/>
          <w:bCs/>
          <w:sz w:val="24"/>
          <w:szCs w:val="24"/>
          <w:lang w:val="en-GB" w:eastAsia="en-GB"/>
        </w:rPr>
        <w:t>Implications for Practice:</w:t>
      </w:r>
      <w:r w:rsidRPr="00D23ECA">
        <w:rPr>
          <w:rFonts w:ascii="Times New Roman" w:eastAsia="Times New Roman" w:hAnsi="Times New Roman" w:cs="Times New Roman"/>
          <w:sz w:val="24"/>
          <w:szCs w:val="24"/>
          <w:lang w:val="en-GB" w:eastAsia="en-GB"/>
        </w:rPr>
        <w:t xml:space="preserve"> The findings have important implications for UK primary care. Healthcare providers should ensure that digital systems are designed to be accessible and easy to use, particularly for older adults who may have additional needs. This includes simplifying interfaces, reducing complexity and providing clear guidance for users.</w:t>
      </w:r>
    </w:p>
    <w:p w14:paraId="548A2751"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 xml:space="preserve">In addition, there is a need for increased investment in digital skills training and ongoing support. Healthcare professionals can play a key role in guiding patients through digital systems and building confidence. Support should not be limited to one-off </w:t>
      </w:r>
      <w:proofErr w:type="gramStart"/>
      <w:r w:rsidRPr="00D23ECA">
        <w:rPr>
          <w:rFonts w:ascii="Times New Roman" w:eastAsia="Times New Roman" w:hAnsi="Times New Roman" w:cs="Times New Roman"/>
          <w:sz w:val="24"/>
          <w:szCs w:val="24"/>
          <w:lang w:val="en-GB" w:eastAsia="en-GB"/>
        </w:rPr>
        <w:t>interventions, but</w:t>
      </w:r>
      <w:proofErr w:type="gramEnd"/>
      <w:r w:rsidRPr="00D23ECA">
        <w:rPr>
          <w:rFonts w:ascii="Times New Roman" w:eastAsia="Times New Roman" w:hAnsi="Times New Roman" w:cs="Times New Roman"/>
          <w:sz w:val="24"/>
          <w:szCs w:val="24"/>
          <w:lang w:val="en-GB" w:eastAsia="en-GB"/>
        </w:rPr>
        <w:t xml:space="preserve"> should be continuous and responsive to individual needs. A more personalised approach may be more effective than generalised programmes.</w:t>
      </w:r>
    </w:p>
    <w:p w14:paraId="05CE7BBE" w14:textId="77777777" w:rsid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 xml:space="preserve">Importantly, non-digital alternatives must remain available. While digital services can improve efficiency, not all patients are able or willing to use them. Maintaining options </w:t>
      </w:r>
      <w:r w:rsidRPr="00D23ECA">
        <w:rPr>
          <w:rFonts w:ascii="Times New Roman" w:eastAsia="Times New Roman" w:hAnsi="Times New Roman" w:cs="Times New Roman"/>
          <w:sz w:val="24"/>
          <w:szCs w:val="24"/>
          <w:lang w:val="en-GB" w:eastAsia="en-GB"/>
        </w:rPr>
        <w:lastRenderedPageBreak/>
        <w:t>such as telephone and face-to-face consultations is essential to ensure equitable access to care (Murphy et al., 2021).</w:t>
      </w:r>
    </w:p>
    <w:p w14:paraId="71C9161B" w14:textId="17BB418D"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b/>
          <w:bCs/>
          <w:sz w:val="24"/>
          <w:szCs w:val="24"/>
          <w:lang w:val="en-GB" w:eastAsia="en-GB"/>
        </w:rPr>
        <w:t>Recommendations for Policy and Practice:</w:t>
      </w:r>
      <w:r w:rsidRPr="00D23ECA">
        <w:rPr>
          <w:rFonts w:ascii="Times New Roman" w:eastAsia="Times New Roman" w:hAnsi="Times New Roman" w:cs="Times New Roman"/>
          <w:sz w:val="24"/>
          <w:szCs w:val="24"/>
          <w:lang w:val="en-GB" w:eastAsia="en-GB"/>
        </w:rPr>
        <w:t xml:space="preserve"> Based on these findings, several recommendations can be made. First, healthcare services should adopt a more inclusive approach to digital transformation, ensuring that systems are designed with diverse user needs in mind. Second, investment in digital inclusion initiatives should be prioritised, particularly those targeting older adults who may lack confidence or access. Third, collaboration between healthcare providers, community organisations and policymakers should be strengthened to provide more comprehensive support.</w:t>
      </w:r>
    </w:p>
    <w:p w14:paraId="2E8B8263" w14:textId="5337B59F"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sz w:val="24"/>
          <w:szCs w:val="24"/>
          <w:lang w:val="en-GB" w:eastAsia="en-GB"/>
        </w:rPr>
        <w:t>In addition, digital health services should be regularly evaluated to ensure they are accessible and do not unintentionally exclude certain groups. Monitoring and feedback mechanisms could help identify barriers and inform improvements.</w:t>
      </w:r>
    </w:p>
    <w:p w14:paraId="165E908A" w14:textId="52FD1C68"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r w:rsidRPr="00D23ECA">
        <w:rPr>
          <w:rFonts w:ascii="Times New Roman" w:eastAsia="Times New Roman" w:hAnsi="Times New Roman" w:cs="Times New Roman"/>
          <w:b/>
          <w:bCs/>
          <w:sz w:val="24"/>
          <w:szCs w:val="24"/>
          <w:lang w:val="en-GB" w:eastAsia="en-GB"/>
        </w:rPr>
        <w:t>Recommendations for Future Research:</w:t>
      </w:r>
      <w:r w:rsidRPr="00D23ECA">
        <w:rPr>
          <w:rFonts w:ascii="Times New Roman" w:eastAsia="Times New Roman" w:hAnsi="Times New Roman" w:cs="Times New Roman"/>
          <w:sz w:val="24"/>
          <w:szCs w:val="24"/>
          <w:lang w:val="en-GB" w:eastAsia="en-GB"/>
        </w:rPr>
        <w:t xml:space="preserve"> Future research should focus on exploring how different groups of older adults engage with digital health technologies, recognising that this population is diverse. More research is needed to identify which interventions are most effective in improving digital engagement.</w:t>
      </w:r>
    </w:p>
    <w:p w14:paraId="44DBC278" w14:textId="77777777" w:rsidR="00D23ECA" w:rsidRPr="00D23ECA" w:rsidRDefault="00D23ECA" w:rsidP="00D23ECA">
      <w:pPr>
        <w:spacing w:before="100" w:beforeAutospacing="1" w:after="100" w:afterAutospacing="1" w:line="240" w:lineRule="auto"/>
        <w:rPr>
          <w:rFonts w:ascii="Times New Roman" w:eastAsia="Times New Roman" w:hAnsi="Times New Roman" w:cs="Times New Roman"/>
          <w:sz w:val="24"/>
          <w:szCs w:val="24"/>
          <w:lang w:val="en-GB" w:eastAsia="en-GB"/>
        </w:rPr>
      </w:pPr>
      <w:proofErr w:type="gramStart"/>
      <w:r w:rsidRPr="00D23ECA">
        <w:rPr>
          <w:rFonts w:ascii="Times New Roman" w:eastAsia="Times New Roman" w:hAnsi="Times New Roman" w:cs="Times New Roman"/>
          <w:b/>
          <w:bCs/>
          <w:sz w:val="24"/>
          <w:szCs w:val="24"/>
          <w:lang w:val="en-GB" w:eastAsia="en-GB"/>
        </w:rPr>
        <w:t>Final Conclusion</w:t>
      </w:r>
      <w:proofErr w:type="gramEnd"/>
      <w:r w:rsidRPr="00D23ECA">
        <w:rPr>
          <w:rFonts w:ascii="Times New Roman" w:eastAsia="Times New Roman" w:hAnsi="Times New Roman" w:cs="Times New Roman"/>
          <w:b/>
          <w:bCs/>
          <w:sz w:val="24"/>
          <w:szCs w:val="24"/>
          <w:lang w:val="en-GB" w:eastAsia="en-GB"/>
        </w:rPr>
        <w:t>:</w:t>
      </w:r>
      <w:r w:rsidRPr="00D23ECA">
        <w:rPr>
          <w:rFonts w:ascii="Times New Roman" w:eastAsia="Times New Roman" w:hAnsi="Times New Roman" w:cs="Times New Roman"/>
          <w:sz w:val="24"/>
          <w:szCs w:val="24"/>
          <w:lang w:val="en-GB" w:eastAsia="en-GB"/>
        </w:rPr>
        <w:t xml:space="preserve"> In conclusion, while digital health offers significant opportunities to improve healthcare delivery, it also presents challenges that must be carefully addressed. Without a balanced and inclusive approach, digital-first healthcare models risk reinforcing existing inequalities (Murphy et al., 2021). Improving digital engagement among older adults requires a combination of individual support, inclusive system design and broader structural change.</w:t>
      </w:r>
    </w:p>
    <w:p w14:paraId="70D8DFA7" w14:textId="77777777" w:rsidR="00D23ECA" w:rsidRPr="00D23ECA" w:rsidRDefault="00D23ECA" w:rsidP="00D23ECA">
      <w:pPr>
        <w:rPr>
          <w:rFonts w:ascii="Times New Roman" w:eastAsia="Times New Roman" w:hAnsi="Times New Roman" w:cs="Times New Roman"/>
          <w:sz w:val="24"/>
          <w:szCs w:val="24"/>
          <w:lang w:val="en-GB" w:eastAsia="en-GB"/>
        </w:rPr>
      </w:pPr>
    </w:p>
    <w:sectPr w:rsidR="00D23ECA" w:rsidRPr="00D23EC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39680973">
    <w:abstractNumId w:val="8"/>
  </w:num>
  <w:num w:numId="2" w16cid:durableId="1982347918">
    <w:abstractNumId w:val="6"/>
  </w:num>
  <w:num w:numId="3" w16cid:durableId="217939655">
    <w:abstractNumId w:val="5"/>
  </w:num>
  <w:num w:numId="4" w16cid:durableId="1101997481">
    <w:abstractNumId w:val="4"/>
  </w:num>
  <w:num w:numId="5" w16cid:durableId="1741635947">
    <w:abstractNumId w:val="7"/>
  </w:num>
  <w:num w:numId="6" w16cid:durableId="435565975">
    <w:abstractNumId w:val="3"/>
  </w:num>
  <w:num w:numId="7" w16cid:durableId="1318418136">
    <w:abstractNumId w:val="2"/>
  </w:num>
  <w:num w:numId="8" w16cid:durableId="2029721243">
    <w:abstractNumId w:val="1"/>
  </w:num>
  <w:num w:numId="9" w16cid:durableId="1704861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7454"/>
    <w:rsid w:val="0006063C"/>
    <w:rsid w:val="0015074B"/>
    <w:rsid w:val="0029639D"/>
    <w:rsid w:val="0032517A"/>
    <w:rsid w:val="00326F90"/>
    <w:rsid w:val="006E0DE2"/>
    <w:rsid w:val="00871DF7"/>
    <w:rsid w:val="00AA1D8D"/>
    <w:rsid w:val="00B47730"/>
    <w:rsid w:val="00B75067"/>
    <w:rsid w:val="00CB0664"/>
    <w:rsid w:val="00D23ECA"/>
    <w:rsid w:val="00E24BD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89D8D8"/>
  <w14:defaultImageDpi w14:val="300"/>
  <w15:docId w15:val="{0B1C4633-4A14-4C4E-BC77-C6D95681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05745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PlainTable1">
    <w:name w:val="Plain Table 1"/>
    <w:basedOn w:val="TableNormal"/>
    <w:uiPriority w:val="99"/>
    <w:rsid w:val="00D23E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1">
    <w:name w:val="Grid Table 5 Dark Accent 1"/>
    <w:basedOn w:val="TableNormal"/>
    <w:uiPriority w:val="50"/>
    <w:rsid w:val="00D23EC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3-Accent2">
    <w:name w:val="Grid Table 3 Accent 2"/>
    <w:basedOn w:val="TableNormal"/>
    <w:uiPriority w:val="48"/>
    <w:rsid w:val="00D23ECA"/>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2-Accent5">
    <w:name w:val="Grid Table 2 Accent 5"/>
    <w:basedOn w:val="TableNormal"/>
    <w:uiPriority w:val="47"/>
    <w:rsid w:val="00D23ECA"/>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3454</Words>
  <Characters>19690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23098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Coleisha Scott</cp:lastModifiedBy>
  <cp:revision>1</cp:revision>
  <dcterms:created xsi:type="dcterms:W3CDTF">2026-03-19T09:29:00Z</dcterms:created>
  <dcterms:modified xsi:type="dcterms:W3CDTF">2026-04-24T08:37:00Z</dcterms:modified>
  <cp:category/>
</cp:coreProperties>
</file>