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D4273CC" w14:textId="724444FE" w:rsidR="00C82C1C" w:rsidRPr="002B581F" w:rsidRDefault="00C82C1C" w:rsidP="00C82C1C">
      <w:pPr>
        <w:spacing w:line="480" w:lineRule="auto"/>
        <w:jc w:val="right"/>
        <w:rPr>
          <w:b/>
          <w:sz w:val="44"/>
          <w:szCs w:val="44"/>
        </w:rPr>
      </w:pPr>
    </w:p>
    <w:p w14:paraId="49611EA5" w14:textId="77777777" w:rsidR="00C82C1C" w:rsidRDefault="00C82C1C" w:rsidP="00C82C1C">
      <w:pPr>
        <w:spacing w:line="360" w:lineRule="auto"/>
        <w:jc w:val="right"/>
        <w:rPr>
          <w:b/>
          <w:sz w:val="44"/>
          <w:szCs w:val="44"/>
        </w:rPr>
      </w:pPr>
    </w:p>
    <w:p w14:paraId="2DE168FF" w14:textId="06902406" w:rsidR="00C82C1C" w:rsidRPr="006B39C6" w:rsidRDefault="009C4327" w:rsidP="00341E9B">
      <w:pPr>
        <w:jc w:val="right"/>
        <w:rPr>
          <w:b/>
          <w:sz w:val="56"/>
          <w:szCs w:val="48"/>
        </w:rPr>
      </w:pPr>
      <w:r>
        <w:rPr>
          <w:b/>
          <w:iCs/>
          <w:sz w:val="56"/>
          <w:szCs w:val="48"/>
        </w:rPr>
        <w:t xml:space="preserve">The Lingering Shadow of Empire: Exploring the </w:t>
      </w:r>
      <w:r w:rsidR="0067097B">
        <w:rPr>
          <w:b/>
          <w:iCs/>
          <w:sz w:val="56"/>
          <w:szCs w:val="48"/>
        </w:rPr>
        <w:t>Ongoing Influence and</w:t>
      </w:r>
      <w:r w:rsidR="00BE37D3">
        <w:rPr>
          <w:b/>
          <w:iCs/>
          <w:sz w:val="56"/>
          <w:szCs w:val="48"/>
        </w:rPr>
        <w:t xml:space="preserve"> Legacy</w:t>
      </w:r>
      <w:r w:rsidR="00ED1450">
        <w:rPr>
          <w:b/>
          <w:iCs/>
          <w:sz w:val="56"/>
          <w:szCs w:val="48"/>
        </w:rPr>
        <w:t xml:space="preserve"> of Anti-LGBTQIA+ Attitudes in Former </w:t>
      </w:r>
      <w:r w:rsidR="00BD3430">
        <w:rPr>
          <w:b/>
          <w:iCs/>
          <w:sz w:val="56"/>
          <w:szCs w:val="48"/>
        </w:rPr>
        <w:t>British Colonies</w:t>
      </w:r>
    </w:p>
    <w:p w14:paraId="3B85DC4C" w14:textId="77777777" w:rsidR="00C82C1C" w:rsidRPr="00C82C1C" w:rsidRDefault="00C82C1C" w:rsidP="00C82C1C">
      <w:pPr>
        <w:spacing w:line="480" w:lineRule="auto"/>
        <w:jc w:val="right"/>
        <w:rPr>
          <w:i/>
        </w:rPr>
      </w:pPr>
    </w:p>
    <w:p w14:paraId="19612B66" w14:textId="77777777" w:rsidR="00C82C1C" w:rsidRDefault="00C82C1C" w:rsidP="00C82C1C">
      <w:pPr>
        <w:spacing w:line="480" w:lineRule="auto"/>
        <w:jc w:val="right"/>
        <w:rPr>
          <w:i/>
        </w:rPr>
      </w:pPr>
    </w:p>
    <w:p w14:paraId="3FCAAF16" w14:textId="77777777" w:rsidR="00C82C1C" w:rsidRDefault="00C82C1C" w:rsidP="00C82C1C">
      <w:pPr>
        <w:spacing w:line="480" w:lineRule="auto"/>
        <w:jc w:val="right"/>
        <w:rPr>
          <w:i/>
        </w:rPr>
      </w:pPr>
    </w:p>
    <w:p w14:paraId="5DABC053" w14:textId="77777777" w:rsidR="00C82C1C" w:rsidRDefault="00C82C1C" w:rsidP="00C82C1C">
      <w:pPr>
        <w:spacing w:line="480" w:lineRule="auto"/>
        <w:jc w:val="right"/>
        <w:rPr>
          <w:i/>
        </w:rPr>
      </w:pPr>
    </w:p>
    <w:p w14:paraId="20FE081F" w14:textId="77777777" w:rsidR="00C82C1C" w:rsidRDefault="00C82C1C" w:rsidP="00C82C1C">
      <w:pPr>
        <w:spacing w:line="480" w:lineRule="auto"/>
        <w:jc w:val="right"/>
        <w:rPr>
          <w:i/>
        </w:rPr>
      </w:pPr>
    </w:p>
    <w:p w14:paraId="4C8A4A2E" w14:textId="77777777" w:rsidR="00C82C1C" w:rsidRDefault="00C82C1C" w:rsidP="00C82C1C">
      <w:pPr>
        <w:spacing w:line="480" w:lineRule="auto"/>
        <w:jc w:val="right"/>
        <w:rPr>
          <w:i/>
        </w:rPr>
      </w:pPr>
    </w:p>
    <w:p w14:paraId="704C9409" w14:textId="77777777" w:rsidR="00C82C1C" w:rsidRPr="00C82C1C" w:rsidRDefault="00C82C1C" w:rsidP="00C82C1C">
      <w:pPr>
        <w:spacing w:line="480" w:lineRule="auto"/>
        <w:jc w:val="right"/>
        <w:rPr>
          <w:i/>
        </w:rPr>
      </w:pPr>
    </w:p>
    <w:p w14:paraId="44D8087E" w14:textId="77777777" w:rsidR="0014719A" w:rsidRDefault="0014719A" w:rsidP="0014719A">
      <w:pPr>
        <w:ind w:left="3" w:hanging="5"/>
        <w:rPr>
          <w:i/>
          <w:sz w:val="52"/>
          <w:szCs w:val="52"/>
        </w:rPr>
      </w:pPr>
    </w:p>
    <w:p w14:paraId="2ECAA0EB" w14:textId="77777777" w:rsidR="0014719A" w:rsidRPr="006B39C6" w:rsidRDefault="006B39C6" w:rsidP="0014719A">
      <w:pPr>
        <w:ind w:left="3" w:hanging="5"/>
        <w:jc w:val="right"/>
        <w:rPr>
          <w:sz w:val="52"/>
          <w:szCs w:val="52"/>
        </w:rPr>
      </w:pPr>
      <w:r>
        <w:rPr>
          <w:i/>
          <w:sz w:val="52"/>
          <w:szCs w:val="52"/>
        </w:rPr>
        <w:t>Jake Furby</w:t>
      </w:r>
    </w:p>
    <w:p w14:paraId="2E8C145D" w14:textId="77777777" w:rsidR="00C82C1C" w:rsidRPr="00C82C1C" w:rsidRDefault="00C82C1C" w:rsidP="00C82C1C">
      <w:pPr>
        <w:spacing w:line="480" w:lineRule="auto"/>
        <w:jc w:val="right"/>
        <w:rPr>
          <w:i/>
        </w:rPr>
      </w:pPr>
    </w:p>
    <w:p w14:paraId="4EF60814" w14:textId="59C78BEE" w:rsidR="00C82C1C" w:rsidRPr="00C82C1C" w:rsidRDefault="001E293E" w:rsidP="00C82C1C">
      <w:pPr>
        <w:spacing w:line="480" w:lineRule="auto"/>
        <w:jc w:val="right"/>
        <w:rPr>
          <w:b/>
          <w:i/>
          <w:sz w:val="48"/>
          <w:szCs w:val="48"/>
        </w:rPr>
      </w:pPr>
      <w:r>
        <w:rPr>
          <w:b/>
          <w:i/>
          <w:sz w:val="48"/>
          <w:szCs w:val="48"/>
        </w:rPr>
        <w:t>EC</w:t>
      </w:r>
      <w:r w:rsidR="000E7F45">
        <w:rPr>
          <w:b/>
          <w:i/>
          <w:sz w:val="48"/>
          <w:szCs w:val="48"/>
        </w:rPr>
        <w:t>GE</w:t>
      </w:r>
      <w:r>
        <w:rPr>
          <w:b/>
          <w:i/>
          <w:sz w:val="48"/>
          <w:szCs w:val="48"/>
        </w:rPr>
        <w:t>7002Q</w:t>
      </w:r>
    </w:p>
    <w:p w14:paraId="4FA0CE5E" w14:textId="77777777" w:rsidR="00C82C1C" w:rsidRPr="00C82C1C" w:rsidRDefault="00C82C1C" w:rsidP="00C82C1C">
      <w:pPr>
        <w:spacing w:line="360" w:lineRule="auto"/>
        <w:jc w:val="right"/>
        <w:rPr>
          <w:i/>
        </w:rPr>
      </w:pPr>
    </w:p>
    <w:p w14:paraId="6719C396" w14:textId="6B6455FE" w:rsidR="00C82C1C" w:rsidRPr="006B39C6" w:rsidRDefault="005E46CC" w:rsidP="00C82C1C">
      <w:pPr>
        <w:spacing w:line="360" w:lineRule="auto"/>
        <w:jc w:val="right"/>
        <w:rPr>
          <w:i/>
          <w:sz w:val="40"/>
          <w:szCs w:val="40"/>
        </w:rPr>
      </w:pPr>
      <w:r>
        <w:rPr>
          <w:i/>
          <w:sz w:val="40"/>
          <w:szCs w:val="40"/>
        </w:rPr>
        <w:t>27</w:t>
      </w:r>
      <w:r w:rsidR="006B39C6" w:rsidRPr="006B39C6">
        <w:rPr>
          <w:i/>
          <w:sz w:val="40"/>
          <w:szCs w:val="40"/>
          <w:vertAlign w:val="superscript"/>
        </w:rPr>
        <w:t>th</w:t>
      </w:r>
      <w:r w:rsidR="006B39C6">
        <w:rPr>
          <w:i/>
          <w:sz w:val="40"/>
          <w:szCs w:val="40"/>
        </w:rPr>
        <w:t xml:space="preserve"> September 2023</w:t>
      </w:r>
    </w:p>
    <w:p w14:paraId="627150B8" w14:textId="77777777" w:rsidR="00C82C1C" w:rsidRDefault="00DF0184" w:rsidP="00C82C1C">
      <w:pPr>
        <w:spacing w:line="360" w:lineRule="auto"/>
        <w:jc w:val="right"/>
        <w:rPr>
          <w:i/>
          <w:sz w:val="40"/>
          <w:szCs w:val="40"/>
        </w:rPr>
      </w:pPr>
      <w:r>
        <w:rPr>
          <w:i/>
          <w:sz w:val="40"/>
          <w:szCs w:val="40"/>
        </w:rPr>
        <w:t>Yr Athrofa</w:t>
      </w:r>
      <w:r w:rsidR="009C0C80">
        <w:rPr>
          <w:i/>
          <w:sz w:val="40"/>
          <w:szCs w:val="40"/>
        </w:rPr>
        <w:t xml:space="preserve">: Education and Humanities </w:t>
      </w:r>
    </w:p>
    <w:p w14:paraId="30328D05" w14:textId="77777777" w:rsidR="003366DD" w:rsidRDefault="003366DD" w:rsidP="003366DD">
      <w:pPr>
        <w:ind w:left="720"/>
        <w:rPr>
          <w:b/>
        </w:rPr>
      </w:pPr>
      <w:r>
        <w:rPr>
          <w:i/>
          <w:sz w:val="40"/>
          <w:szCs w:val="40"/>
        </w:rPr>
        <w:br w:type="page"/>
      </w:r>
    </w:p>
    <w:p w14:paraId="1E58BB0E" w14:textId="77777777" w:rsidR="003366DD" w:rsidRPr="003366DD" w:rsidRDefault="003366DD" w:rsidP="003366DD">
      <w:pPr>
        <w:spacing w:line="480" w:lineRule="auto"/>
        <w:outlineLvl w:val="0"/>
        <w:rPr>
          <w:b/>
        </w:rPr>
      </w:pPr>
      <w:bookmarkStart w:id="0" w:name="_Toc145927530"/>
      <w:r w:rsidRPr="003366DD">
        <w:rPr>
          <w:b/>
        </w:rPr>
        <w:lastRenderedPageBreak/>
        <w:t>DECLARATION FORM</w:t>
      </w:r>
      <w:bookmarkEnd w:id="0"/>
    </w:p>
    <w:p w14:paraId="4D0CD171" w14:textId="4672946A" w:rsidR="003366DD" w:rsidRDefault="005F7C25" w:rsidP="003366DD">
      <w:r>
        <w:rPr>
          <w:noProof/>
        </w:rPr>
        <w:drawing>
          <wp:inline distT="0" distB="0" distL="0" distR="0" wp14:anchorId="3F14337C" wp14:editId="5A1A8524">
            <wp:extent cx="2876550" cy="116776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876550" cy="1167765"/>
                    </a:xfrm>
                    <a:prstGeom prst="rect">
                      <a:avLst/>
                    </a:prstGeom>
                    <a:noFill/>
                    <a:ln>
                      <a:noFill/>
                    </a:ln>
                  </pic:spPr>
                </pic:pic>
              </a:graphicData>
            </a:graphic>
          </wp:inline>
        </w:drawing>
      </w:r>
    </w:p>
    <w:p w14:paraId="7FCBAF38" w14:textId="77777777" w:rsidR="003366DD" w:rsidRDefault="003366DD" w:rsidP="003366DD">
      <w:pPr>
        <w:jc w:val="center"/>
      </w:pPr>
    </w:p>
    <w:p w14:paraId="440DE903" w14:textId="77777777" w:rsidR="003366DD" w:rsidRDefault="003366DD" w:rsidP="003366DD">
      <w:pPr>
        <w:jc w:val="center"/>
      </w:pPr>
    </w:p>
    <w:p w14:paraId="64B0E0B2" w14:textId="77777777" w:rsidR="003366DD" w:rsidRDefault="003366DD" w:rsidP="003366DD">
      <w:pPr>
        <w:rPr>
          <w:b/>
          <w:bCs/>
        </w:rPr>
      </w:pPr>
    </w:p>
    <w:p w14:paraId="70A8E6E0" w14:textId="77777777" w:rsidR="00213C98" w:rsidRPr="00017781" w:rsidRDefault="00213C98" w:rsidP="00213C98">
      <w:pPr>
        <w:rPr>
          <w:rFonts w:ascii="Arial" w:hAnsi="Arial" w:cs="Arial"/>
        </w:rPr>
      </w:pPr>
      <w:r w:rsidRPr="00017781">
        <w:rPr>
          <w:rFonts w:ascii="Arial" w:hAnsi="Arial" w:cs="Arial"/>
        </w:rPr>
        <w:t>Master’s Degrees by Examination and Dissertation</w:t>
      </w:r>
    </w:p>
    <w:p w14:paraId="1AAE13E4" w14:textId="77777777" w:rsidR="00213C98" w:rsidRPr="00017781" w:rsidRDefault="00213C98" w:rsidP="00213C98">
      <w:pPr>
        <w:rPr>
          <w:rFonts w:ascii="Arial" w:hAnsi="Arial" w:cs="Arial"/>
        </w:rPr>
      </w:pPr>
      <w:r w:rsidRPr="00017781">
        <w:rPr>
          <w:rFonts w:ascii="Arial" w:hAnsi="Arial" w:cs="Arial"/>
        </w:rPr>
        <w:t>Declaration Form.</w:t>
      </w:r>
    </w:p>
    <w:p w14:paraId="233DD6B0" w14:textId="77777777" w:rsidR="00213C98" w:rsidRPr="00017781" w:rsidRDefault="00213C98" w:rsidP="00213C98">
      <w:pPr>
        <w:rPr>
          <w:rFonts w:ascii="Arial" w:hAnsi="Arial" w:cs="Arial"/>
        </w:rPr>
      </w:pPr>
    </w:p>
    <w:p w14:paraId="1661F502" w14:textId="77777777" w:rsidR="00213C98" w:rsidRDefault="00213C98" w:rsidP="00213C98">
      <w:pPr>
        <w:rPr>
          <w:rFonts w:ascii="Arial" w:hAnsi="Arial" w:cs="Arial"/>
        </w:rPr>
      </w:pPr>
      <w:r w:rsidRPr="00017781">
        <w:rPr>
          <w:rFonts w:ascii="Arial" w:hAnsi="Arial" w:cs="Arial"/>
        </w:rPr>
        <w:t>1. This work has not previously been accepted in substance for any degree and is not being concurrently submitted in candidature for any degree.</w:t>
      </w:r>
    </w:p>
    <w:p w14:paraId="27EFDC69" w14:textId="77777777" w:rsidR="002C61B1" w:rsidRPr="00017781" w:rsidRDefault="002C61B1" w:rsidP="00213C98">
      <w:pPr>
        <w:rPr>
          <w:rFonts w:ascii="Arial" w:hAnsi="Arial" w:cs="Arial"/>
        </w:rPr>
      </w:pPr>
    </w:p>
    <w:p w14:paraId="470103C0" w14:textId="1BBA6AC8" w:rsidR="00213C98" w:rsidRDefault="00213C98" w:rsidP="00213C98">
      <w:pPr>
        <w:rPr>
          <w:rFonts w:ascii="Arial" w:hAnsi="Arial" w:cs="Arial"/>
        </w:rPr>
      </w:pPr>
      <w:r w:rsidRPr="00017781">
        <w:rPr>
          <w:rFonts w:ascii="Arial" w:hAnsi="Arial" w:cs="Arial"/>
        </w:rPr>
        <w:t>Signed</w:t>
      </w:r>
    </w:p>
    <w:p w14:paraId="1A87C3BB" w14:textId="77777777" w:rsidR="002C61B1" w:rsidRDefault="002C61B1" w:rsidP="00213C98">
      <w:pPr>
        <w:rPr>
          <w:rFonts w:ascii="Arial" w:hAnsi="Arial" w:cs="Arial"/>
        </w:rPr>
      </w:pPr>
    </w:p>
    <w:p w14:paraId="11E9D270" w14:textId="6D21D785" w:rsidR="002C61B1" w:rsidRDefault="005F2B4A" w:rsidP="00213C98">
      <w:pPr>
        <w:rPr>
          <w:rFonts w:ascii="Arial" w:hAnsi="Arial" w:cs="Arial"/>
        </w:rPr>
      </w:pPr>
      <w:r>
        <w:rPr>
          <w:rFonts w:ascii="Arial" w:hAnsi="Arial" w:cs="Arial"/>
          <w:noProof/>
        </w:rPr>
        <w:drawing>
          <wp:inline distT="0" distB="0" distL="0" distR="0" wp14:anchorId="46560CF7" wp14:editId="3D00252C">
            <wp:extent cx="1770926" cy="994500"/>
            <wp:effectExtent l="0" t="0" r="1270" b="0"/>
            <wp:docPr id="1476561680" name="Picture 1" descr="A close up of a signatu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6561680" name="Picture 1" descr="A close up of a signature&#10;&#10;Description automatically generated"/>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783817" cy="1001739"/>
                    </a:xfrm>
                    <a:prstGeom prst="rect">
                      <a:avLst/>
                    </a:prstGeom>
                  </pic:spPr>
                </pic:pic>
              </a:graphicData>
            </a:graphic>
          </wp:inline>
        </w:drawing>
      </w:r>
    </w:p>
    <w:p w14:paraId="0CF9B52B" w14:textId="06870C78" w:rsidR="00213C98" w:rsidRPr="00017781" w:rsidRDefault="00213C98" w:rsidP="00213C98">
      <w:pPr>
        <w:rPr>
          <w:rFonts w:ascii="Arial" w:hAnsi="Arial" w:cs="Arial"/>
        </w:rPr>
      </w:pPr>
      <w:r w:rsidRPr="00017781">
        <w:rPr>
          <w:rFonts w:ascii="Arial" w:hAnsi="Arial" w:cs="Arial"/>
        </w:rPr>
        <w:t>Date</w:t>
      </w:r>
      <w:r w:rsidR="00A57C48">
        <w:rPr>
          <w:rFonts w:ascii="Arial" w:hAnsi="Arial" w:cs="Arial"/>
        </w:rPr>
        <w:t>: 16/09/2023</w:t>
      </w:r>
    </w:p>
    <w:p w14:paraId="62A7F2FC" w14:textId="77777777" w:rsidR="00213C98" w:rsidRPr="00017781" w:rsidRDefault="00213C98" w:rsidP="00213C98">
      <w:pPr>
        <w:rPr>
          <w:rFonts w:ascii="Arial" w:hAnsi="Arial" w:cs="Arial"/>
        </w:rPr>
      </w:pPr>
    </w:p>
    <w:p w14:paraId="60218882" w14:textId="04272BDF" w:rsidR="00213C98" w:rsidRDefault="00213C98" w:rsidP="00213C98">
      <w:pPr>
        <w:rPr>
          <w:rFonts w:ascii="Arial" w:hAnsi="Arial" w:cs="Arial"/>
        </w:rPr>
      </w:pPr>
      <w:r w:rsidRPr="00017781">
        <w:rPr>
          <w:rFonts w:ascii="Arial" w:hAnsi="Arial" w:cs="Arial"/>
        </w:rPr>
        <w:t xml:space="preserve">2. This dissertation is being submitted in partial fulfilment of the requirements for the degree </w:t>
      </w:r>
      <w:proofErr w:type="gramStart"/>
      <w:r w:rsidRPr="00017781">
        <w:rPr>
          <w:rFonts w:ascii="Arial" w:hAnsi="Arial" w:cs="Arial"/>
        </w:rPr>
        <w:t xml:space="preserve">of  </w:t>
      </w:r>
      <w:r w:rsidR="00A57C48">
        <w:rPr>
          <w:rFonts w:ascii="Arial" w:hAnsi="Arial" w:cs="Arial"/>
        </w:rPr>
        <w:t>MA</w:t>
      </w:r>
      <w:proofErr w:type="gramEnd"/>
      <w:r w:rsidR="00A57C48">
        <w:rPr>
          <w:rFonts w:ascii="Arial" w:hAnsi="Arial" w:cs="Arial"/>
        </w:rPr>
        <w:t xml:space="preserve"> Equity and Diversity in Society</w:t>
      </w:r>
    </w:p>
    <w:p w14:paraId="12EBB795" w14:textId="77777777" w:rsidR="00A57C48" w:rsidRPr="00017781" w:rsidRDefault="00A57C48" w:rsidP="00213C98">
      <w:pPr>
        <w:rPr>
          <w:rFonts w:ascii="Arial" w:hAnsi="Arial" w:cs="Arial"/>
        </w:rPr>
      </w:pPr>
    </w:p>
    <w:p w14:paraId="09AF2EE7" w14:textId="77777777" w:rsidR="00A57C48" w:rsidRDefault="00213C98" w:rsidP="00213C98">
      <w:pPr>
        <w:rPr>
          <w:rFonts w:ascii="Arial" w:hAnsi="Arial" w:cs="Arial"/>
        </w:rPr>
      </w:pPr>
      <w:r w:rsidRPr="00017781">
        <w:rPr>
          <w:rFonts w:ascii="Arial" w:hAnsi="Arial" w:cs="Arial"/>
        </w:rPr>
        <w:t>Signed</w:t>
      </w:r>
    </w:p>
    <w:p w14:paraId="017ED0B3" w14:textId="6D023B70" w:rsidR="00213C98" w:rsidRPr="00017781" w:rsidRDefault="00213C98" w:rsidP="00213C98">
      <w:pPr>
        <w:rPr>
          <w:rFonts w:ascii="Arial" w:hAnsi="Arial" w:cs="Arial"/>
        </w:rPr>
      </w:pPr>
      <w:r w:rsidRPr="00017781">
        <w:rPr>
          <w:rFonts w:ascii="Arial" w:hAnsi="Arial" w:cs="Arial"/>
        </w:rPr>
        <w:t xml:space="preserve">  </w:t>
      </w:r>
      <w:r w:rsidR="00A57C48">
        <w:rPr>
          <w:rFonts w:ascii="Arial" w:hAnsi="Arial" w:cs="Arial"/>
          <w:noProof/>
        </w:rPr>
        <w:drawing>
          <wp:inline distT="0" distB="0" distL="0" distR="0" wp14:anchorId="67885297" wp14:editId="73D5496A">
            <wp:extent cx="1770926" cy="994500"/>
            <wp:effectExtent l="0" t="0" r="1270" b="0"/>
            <wp:docPr id="188002661" name="Picture 188002661" descr="A close up of a signatu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6561680" name="Picture 1" descr="A close up of a signature&#10;&#10;Description automatically generated"/>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783817" cy="1001739"/>
                    </a:xfrm>
                    <a:prstGeom prst="rect">
                      <a:avLst/>
                    </a:prstGeom>
                  </pic:spPr>
                </pic:pic>
              </a:graphicData>
            </a:graphic>
          </wp:inline>
        </w:drawing>
      </w:r>
    </w:p>
    <w:p w14:paraId="791924F6" w14:textId="2172FFAA" w:rsidR="00213C98" w:rsidRPr="00017781" w:rsidRDefault="00213C98" w:rsidP="00213C98">
      <w:pPr>
        <w:rPr>
          <w:rFonts w:ascii="Arial" w:hAnsi="Arial" w:cs="Arial"/>
        </w:rPr>
      </w:pPr>
      <w:r w:rsidRPr="00017781">
        <w:rPr>
          <w:rFonts w:ascii="Arial" w:hAnsi="Arial" w:cs="Arial"/>
        </w:rPr>
        <w:t>Date</w:t>
      </w:r>
      <w:r w:rsidR="00A57C48">
        <w:rPr>
          <w:rFonts w:ascii="Arial" w:hAnsi="Arial" w:cs="Arial"/>
        </w:rPr>
        <w:t>: 16/09/2023</w:t>
      </w:r>
    </w:p>
    <w:p w14:paraId="54ABEB93" w14:textId="77777777" w:rsidR="00213C98" w:rsidRPr="00017781" w:rsidRDefault="00213C98" w:rsidP="00213C98">
      <w:pPr>
        <w:rPr>
          <w:rFonts w:ascii="Arial" w:hAnsi="Arial" w:cs="Arial"/>
        </w:rPr>
      </w:pPr>
    </w:p>
    <w:p w14:paraId="627955AB" w14:textId="77777777" w:rsidR="00213C98" w:rsidRDefault="00213C98" w:rsidP="00213C98">
      <w:pPr>
        <w:rPr>
          <w:rFonts w:ascii="Arial" w:hAnsi="Arial" w:cs="Arial"/>
        </w:rPr>
      </w:pPr>
      <w:r w:rsidRPr="00017781">
        <w:rPr>
          <w:rFonts w:ascii="Arial" w:hAnsi="Arial" w:cs="Arial"/>
        </w:rPr>
        <w:t>3. This dissertation is the result of my own independent work/investigation, except where otherwise stated.</w:t>
      </w:r>
    </w:p>
    <w:p w14:paraId="5F11B281" w14:textId="77777777" w:rsidR="004B52AC" w:rsidRPr="00017781" w:rsidRDefault="004B52AC" w:rsidP="00213C98">
      <w:pPr>
        <w:rPr>
          <w:rFonts w:ascii="Arial" w:hAnsi="Arial" w:cs="Arial"/>
        </w:rPr>
      </w:pPr>
    </w:p>
    <w:p w14:paraId="63D87735" w14:textId="77777777" w:rsidR="00213C98" w:rsidRPr="00017781" w:rsidRDefault="00213C98" w:rsidP="00213C98">
      <w:pPr>
        <w:rPr>
          <w:rFonts w:ascii="Arial" w:hAnsi="Arial" w:cs="Arial"/>
        </w:rPr>
      </w:pPr>
      <w:r w:rsidRPr="00017781">
        <w:rPr>
          <w:rFonts w:ascii="Arial" w:hAnsi="Arial" w:cs="Arial"/>
        </w:rPr>
        <w:t xml:space="preserve">Other sources are acknowledged by footnotes giving explicit references. </w:t>
      </w:r>
    </w:p>
    <w:p w14:paraId="0262104A" w14:textId="77777777" w:rsidR="00213C98" w:rsidRDefault="00213C98" w:rsidP="00213C98">
      <w:pPr>
        <w:rPr>
          <w:rFonts w:ascii="Arial" w:hAnsi="Arial" w:cs="Arial"/>
        </w:rPr>
      </w:pPr>
      <w:r w:rsidRPr="00017781">
        <w:rPr>
          <w:rFonts w:ascii="Arial" w:hAnsi="Arial" w:cs="Arial"/>
        </w:rPr>
        <w:t>A reference list is appended.</w:t>
      </w:r>
    </w:p>
    <w:p w14:paraId="13C5A40B" w14:textId="77777777" w:rsidR="004B52AC" w:rsidRPr="00017781" w:rsidRDefault="004B52AC" w:rsidP="00213C98">
      <w:pPr>
        <w:rPr>
          <w:rFonts w:ascii="Arial" w:hAnsi="Arial" w:cs="Arial"/>
        </w:rPr>
      </w:pPr>
    </w:p>
    <w:p w14:paraId="0B66F0BD" w14:textId="77777777" w:rsidR="004B52AC" w:rsidRDefault="00213C98" w:rsidP="00213C98">
      <w:pPr>
        <w:rPr>
          <w:rFonts w:ascii="Arial" w:hAnsi="Arial" w:cs="Arial"/>
        </w:rPr>
      </w:pPr>
      <w:r w:rsidRPr="00017781">
        <w:rPr>
          <w:rFonts w:ascii="Arial" w:hAnsi="Arial" w:cs="Arial"/>
        </w:rPr>
        <w:t>Signed candidate:</w:t>
      </w:r>
    </w:p>
    <w:p w14:paraId="071786CE" w14:textId="7D0D89A8" w:rsidR="00213C98" w:rsidRPr="00017781" w:rsidRDefault="00213C98" w:rsidP="00213C98">
      <w:pPr>
        <w:rPr>
          <w:rFonts w:ascii="Arial" w:hAnsi="Arial" w:cs="Arial"/>
        </w:rPr>
      </w:pPr>
      <w:r w:rsidRPr="00017781">
        <w:rPr>
          <w:rFonts w:ascii="Arial" w:hAnsi="Arial" w:cs="Arial"/>
        </w:rPr>
        <w:lastRenderedPageBreak/>
        <w:t xml:space="preserve">  </w:t>
      </w:r>
      <w:r w:rsidR="004B52AC">
        <w:rPr>
          <w:rFonts w:ascii="Arial" w:hAnsi="Arial" w:cs="Arial"/>
          <w:noProof/>
        </w:rPr>
        <w:drawing>
          <wp:inline distT="0" distB="0" distL="0" distR="0" wp14:anchorId="0D1AB211" wp14:editId="542E0047">
            <wp:extent cx="1770926" cy="994500"/>
            <wp:effectExtent l="0" t="0" r="1270" b="0"/>
            <wp:docPr id="175663756" name="Picture 175663756" descr="A close up of a signatu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6561680" name="Picture 1" descr="A close up of a signature&#10;&#10;Description automatically generated"/>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783817" cy="1001739"/>
                    </a:xfrm>
                    <a:prstGeom prst="rect">
                      <a:avLst/>
                    </a:prstGeom>
                  </pic:spPr>
                </pic:pic>
              </a:graphicData>
            </a:graphic>
          </wp:inline>
        </w:drawing>
      </w:r>
      <w:r w:rsidRPr="00017781">
        <w:rPr>
          <w:rFonts w:ascii="Arial" w:hAnsi="Arial" w:cs="Arial"/>
        </w:rPr>
        <w:t>.</w:t>
      </w:r>
    </w:p>
    <w:p w14:paraId="2C9B4EDA" w14:textId="7A614452" w:rsidR="00213C98" w:rsidRPr="00017781" w:rsidRDefault="00213C98" w:rsidP="00213C98">
      <w:pPr>
        <w:rPr>
          <w:rFonts w:ascii="Arial" w:hAnsi="Arial" w:cs="Arial"/>
        </w:rPr>
      </w:pPr>
      <w:r w:rsidRPr="00017781">
        <w:rPr>
          <w:rFonts w:ascii="Arial" w:hAnsi="Arial" w:cs="Arial"/>
        </w:rPr>
        <w:t>Date:</w:t>
      </w:r>
      <w:r w:rsidR="004B52AC">
        <w:rPr>
          <w:rFonts w:ascii="Arial" w:hAnsi="Arial" w:cs="Arial"/>
        </w:rPr>
        <w:t xml:space="preserve"> 16/09/2023</w:t>
      </w:r>
    </w:p>
    <w:p w14:paraId="5D2CCCA3" w14:textId="77777777" w:rsidR="00213C98" w:rsidRPr="00017781" w:rsidRDefault="00213C98" w:rsidP="00213C98">
      <w:pPr>
        <w:rPr>
          <w:rFonts w:ascii="Arial" w:hAnsi="Arial" w:cs="Arial"/>
        </w:rPr>
      </w:pPr>
    </w:p>
    <w:p w14:paraId="1AB376CD" w14:textId="77777777" w:rsidR="00213C98" w:rsidRPr="00017781" w:rsidRDefault="00213C98" w:rsidP="00213C98">
      <w:pPr>
        <w:rPr>
          <w:rFonts w:ascii="Arial" w:hAnsi="Arial" w:cs="Arial"/>
        </w:rPr>
      </w:pPr>
      <w:r w:rsidRPr="00017781">
        <w:rPr>
          <w:rFonts w:ascii="Arial" w:hAnsi="Arial" w:cs="Arial"/>
        </w:rPr>
        <w:t xml:space="preserve">4. I hereby give consent for my dissertation, if accepted, to be available for photocopying,  inter- library loan, and for deposit in the University’s digital repository </w:t>
      </w:r>
    </w:p>
    <w:p w14:paraId="71E14FB7" w14:textId="730BE7B8" w:rsidR="00213C98" w:rsidRDefault="00213C98" w:rsidP="00213C98">
      <w:pPr>
        <w:rPr>
          <w:rFonts w:ascii="Arial" w:hAnsi="Arial" w:cs="Arial"/>
        </w:rPr>
      </w:pPr>
      <w:r w:rsidRPr="00017781">
        <w:rPr>
          <w:rFonts w:ascii="Arial" w:hAnsi="Arial" w:cs="Arial"/>
        </w:rPr>
        <w:t>Signed (candidate)</w:t>
      </w:r>
    </w:p>
    <w:p w14:paraId="71261648" w14:textId="77777777" w:rsidR="00580D00" w:rsidRDefault="00580D00" w:rsidP="00213C98">
      <w:pPr>
        <w:rPr>
          <w:rFonts w:ascii="Arial" w:hAnsi="Arial" w:cs="Arial"/>
        </w:rPr>
      </w:pPr>
    </w:p>
    <w:p w14:paraId="5902ED33" w14:textId="6052AF44" w:rsidR="00580D00" w:rsidRPr="00017781" w:rsidRDefault="00580D00" w:rsidP="00213C98">
      <w:pPr>
        <w:rPr>
          <w:rFonts w:ascii="Arial" w:hAnsi="Arial" w:cs="Arial"/>
        </w:rPr>
      </w:pPr>
      <w:r>
        <w:rPr>
          <w:rFonts w:ascii="Arial" w:hAnsi="Arial" w:cs="Arial"/>
          <w:noProof/>
        </w:rPr>
        <w:drawing>
          <wp:inline distT="0" distB="0" distL="0" distR="0" wp14:anchorId="5F1AB990" wp14:editId="1F4DBECD">
            <wp:extent cx="1770926" cy="994500"/>
            <wp:effectExtent l="0" t="0" r="1270" b="0"/>
            <wp:docPr id="1254204817" name="Picture 1254204817" descr="A close up of a signatu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6561680" name="Picture 1" descr="A close up of a signature&#10;&#10;Description automatically generated"/>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783817" cy="1001739"/>
                    </a:xfrm>
                    <a:prstGeom prst="rect">
                      <a:avLst/>
                    </a:prstGeom>
                  </pic:spPr>
                </pic:pic>
              </a:graphicData>
            </a:graphic>
          </wp:inline>
        </w:drawing>
      </w:r>
    </w:p>
    <w:p w14:paraId="6BBC16FD" w14:textId="3AFC4C4A" w:rsidR="00213C98" w:rsidRDefault="00213C98" w:rsidP="00213C98">
      <w:pPr>
        <w:rPr>
          <w:rFonts w:ascii="Arial" w:hAnsi="Arial" w:cs="Arial"/>
        </w:rPr>
      </w:pPr>
      <w:r w:rsidRPr="00017781">
        <w:rPr>
          <w:rFonts w:ascii="Arial" w:hAnsi="Arial" w:cs="Arial"/>
        </w:rPr>
        <w:t>Da</w:t>
      </w:r>
      <w:r w:rsidR="00580D00">
        <w:rPr>
          <w:rFonts w:ascii="Arial" w:hAnsi="Arial" w:cs="Arial"/>
        </w:rPr>
        <w:t>te: 16/09/2023</w:t>
      </w:r>
    </w:p>
    <w:p w14:paraId="474CD6C9" w14:textId="77777777" w:rsidR="00580D00" w:rsidRPr="00017781" w:rsidRDefault="00580D00" w:rsidP="00213C98">
      <w:pPr>
        <w:rPr>
          <w:rFonts w:ascii="Arial" w:hAnsi="Arial" w:cs="Arial"/>
        </w:rPr>
      </w:pPr>
    </w:p>
    <w:p w14:paraId="29CADD53" w14:textId="77777777" w:rsidR="00213C98" w:rsidRPr="00017781" w:rsidRDefault="00213C98" w:rsidP="00213C98">
      <w:pPr>
        <w:rPr>
          <w:rFonts w:ascii="Arial" w:hAnsi="Arial" w:cs="Arial"/>
        </w:rPr>
      </w:pPr>
      <w:r w:rsidRPr="00017781">
        <w:rPr>
          <w:rFonts w:ascii="Arial" w:hAnsi="Arial" w:cs="Arial"/>
        </w:rPr>
        <w:t>Supervisor’s Declaration.</w:t>
      </w:r>
    </w:p>
    <w:p w14:paraId="669984E7" w14:textId="77777777" w:rsidR="00213C98" w:rsidRPr="00017781" w:rsidRDefault="00213C98" w:rsidP="00213C98">
      <w:pPr>
        <w:rPr>
          <w:rFonts w:ascii="Arial" w:hAnsi="Arial" w:cs="Arial"/>
        </w:rPr>
      </w:pPr>
      <w:r w:rsidRPr="00017781">
        <w:rPr>
          <w:rFonts w:ascii="Arial" w:hAnsi="Arial" w:cs="Arial"/>
        </w:rPr>
        <w:t>I am satisfied that this work is the result of the student’s own efforts.</w:t>
      </w:r>
    </w:p>
    <w:p w14:paraId="2A8C8443" w14:textId="47C4C26C" w:rsidR="00213C98" w:rsidRPr="00017781" w:rsidRDefault="00213C98" w:rsidP="00213C98">
      <w:pPr>
        <w:rPr>
          <w:rFonts w:ascii="Arial" w:hAnsi="Arial" w:cs="Arial"/>
        </w:rPr>
      </w:pPr>
      <w:r w:rsidRPr="00017781">
        <w:rPr>
          <w:rFonts w:ascii="Arial" w:hAnsi="Arial" w:cs="Arial"/>
        </w:rPr>
        <w:t xml:space="preserve">Signed:  </w:t>
      </w:r>
      <w:r w:rsidR="006C34CE">
        <w:rPr>
          <w:rFonts w:ascii="Arial" w:hAnsi="Arial" w:cs="Arial"/>
          <w:noProof/>
        </w:rPr>
        <w:drawing>
          <wp:inline distT="0" distB="0" distL="0" distR="0" wp14:anchorId="6263961A" wp14:editId="32E6367A">
            <wp:extent cx="1867161" cy="924054"/>
            <wp:effectExtent l="0" t="0" r="0" b="9525"/>
            <wp:docPr id="1657717265" name="Picture 1" descr="A signature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7717265" name="Picture 1" descr="A signature on a white background&#10;&#10;Description automatically generated"/>
                    <pic:cNvPicPr/>
                  </pic:nvPicPr>
                  <pic:blipFill>
                    <a:blip r:embed="rId13">
                      <a:extLst>
                        <a:ext uri="{28A0092B-C50C-407E-A947-70E740481C1C}">
                          <a14:useLocalDpi xmlns:a14="http://schemas.microsoft.com/office/drawing/2010/main" val="0"/>
                        </a:ext>
                      </a:extLst>
                    </a:blip>
                    <a:stretch>
                      <a:fillRect/>
                    </a:stretch>
                  </pic:blipFill>
                  <pic:spPr>
                    <a:xfrm>
                      <a:off x="0" y="0"/>
                      <a:ext cx="1867161" cy="924054"/>
                    </a:xfrm>
                    <a:prstGeom prst="rect">
                      <a:avLst/>
                    </a:prstGeom>
                  </pic:spPr>
                </pic:pic>
              </a:graphicData>
            </a:graphic>
          </wp:inline>
        </w:drawing>
      </w:r>
    </w:p>
    <w:p w14:paraId="6BBAB8DB" w14:textId="2016781E" w:rsidR="00213C98" w:rsidRPr="00017781" w:rsidRDefault="00213C98" w:rsidP="00213C98">
      <w:pPr>
        <w:rPr>
          <w:rFonts w:ascii="Arial" w:hAnsi="Arial" w:cs="Arial"/>
        </w:rPr>
      </w:pPr>
      <w:r w:rsidRPr="00017781">
        <w:rPr>
          <w:rFonts w:ascii="Arial" w:hAnsi="Arial" w:cs="Arial"/>
        </w:rPr>
        <w:t xml:space="preserve">Date: </w:t>
      </w:r>
      <w:r w:rsidR="006C34CE">
        <w:rPr>
          <w:rFonts w:ascii="Arial" w:hAnsi="Arial" w:cs="Arial"/>
        </w:rPr>
        <w:t>18/09/2023</w:t>
      </w:r>
    </w:p>
    <w:p w14:paraId="7552A470" w14:textId="77777777" w:rsidR="00213C98" w:rsidRPr="00017781" w:rsidRDefault="00213C98" w:rsidP="00213C98">
      <w:pPr>
        <w:rPr>
          <w:rFonts w:ascii="Arial" w:hAnsi="Arial" w:cs="Arial"/>
        </w:rPr>
      </w:pPr>
    </w:p>
    <w:p w14:paraId="7E7B58B1" w14:textId="77777777" w:rsidR="00213C98" w:rsidRPr="00017781" w:rsidRDefault="00213C98" w:rsidP="00213C98">
      <w:pPr>
        <w:rPr>
          <w:rFonts w:ascii="Arial" w:hAnsi="Arial" w:cs="Arial"/>
        </w:rPr>
      </w:pPr>
    </w:p>
    <w:p w14:paraId="5D066FD1" w14:textId="77777777" w:rsidR="00213C98" w:rsidRPr="00017781" w:rsidRDefault="00213C98" w:rsidP="00213C98">
      <w:pPr>
        <w:rPr>
          <w:rFonts w:ascii="Arial" w:hAnsi="Arial" w:cs="Arial"/>
        </w:rPr>
      </w:pPr>
    </w:p>
    <w:p w14:paraId="5AFC85F5" w14:textId="77777777" w:rsidR="003366DD" w:rsidRDefault="003366DD" w:rsidP="003366DD">
      <w:pPr>
        <w:rPr>
          <w:b/>
          <w:bCs/>
        </w:rPr>
      </w:pPr>
    </w:p>
    <w:p w14:paraId="24ABEA76" w14:textId="77777777" w:rsidR="003366DD" w:rsidRDefault="003366DD" w:rsidP="003366DD">
      <w:pPr>
        <w:rPr>
          <w:b/>
          <w:bCs/>
        </w:rPr>
      </w:pPr>
    </w:p>
    <w:p w14:paraId="724E7E44" w14:textId="77777777" w:rsidR="003366DD" w:rsidRDefault="003366DD" w:rsidP="003366DD">
      <w:pPr>
        <w:rPr>
          <w:b/>
          <w:bCs/>
        </w:rPr>
      </w:pPr>
    </w:p>
    <w:p w14:paraId="484EE8E5" w14:textId="77777777" w:rsidR="003366DD" w:rsidRDefault="003366DD" w:rsidP="003366DD">
      <w:pPr>
        <w:rPr>
          <w:b/>
          <w:bCs/>
        </w:rPr>
      </w:pPr>
    </w:p>
    <w:p w14:paraId="16496C24" w14:textId="77777777" w:rsidR="003366DD" w:rsidRDefault="003366DD" w:rsidP="003366DD">
      <w:pPr>
        <w:rPr>
          <w:b/>
          <w:bCs/>
        </w:rPr>
      </w:pPr>
    </w:p>
    <w:p w14:paraId="19C6577B" w14:textId="77777777" w:rsidR="003366DD" w:rsidRDefault="003366DD" w:rsidP="003366DD">
      <w:pPr>
        <w:rPr>
          <w:b/>
          <w:bCs/>
        </w:rPr>
      </w:pPr>
    </w:p>
    <w:p w14:paraId="6916B836" w14:textId="77777777" w:rsidR="00C82C1C" w:rsidRPr="00C82C1C" w:rsidRDefault="00C82C1C" w:rsidP="00C82C1C">
      <w:pPr>
        <w:spacing w:line="360" w:lineRule="auto"/>
        <w:outlineLvl w:val="0"/>
        <w:rPr>
          <w:sz w:val="40"/>
          <w:szCs w:val="40"/>
        </w:rPr>
        <w:sectPr w:rsidR="00C82C1C" w:rsidRPr="00C82C1C" w:rsidSect="00484755">
          <w:footerReference w:type="even" r:id="rId14"/>
          <w:footerReference w:type="default" r:id="rId15"/>
          <w:pgSz w:w="11906" w:h="16838"/>
          <w:pgMar w:top="1440" w:right="1134" w:bottom="1440" w:left="1701" w:header="709" w:footer="709" w:gutter="0"/>
          <w:cols w:space="708"/>
          <w:docGrid w:linePitch="360"/>
        </w:sectPr>
      </w:pPr>
    </w:p>
    <w:p w14:paraId="27A5E81B" w14:textId="77777777" w:rsidR="0083215B" w:rsidRDefault="00BA7FED" w:rsidP="005E060A">
      <w:pPr>
        <w:spacing w:line="480" w:lineRule="auto"/>
        <w:outlineLvl w:val="0"/>
        <w:rPr>
          <w:b/>
        </w:rPr>
      </w:pPr>
      <w:bookmarkStart w:id="1" w:name="_Toc145927531"/>
      <w:r w:rsidRPr="0083215B">
        <w:rPr>
          <w:b/>
        </w:rPr>
        <w:lastRenderedPageBreak/>
        <w:t>CONTENTS</w:t>
      </w:r>
      <w:bookmarkEnd w:id="1"/>
      <w:r w:rsidRPr="0083215B">
        <w:rPr>
          <w:b/>
        </w:rPr>
        <w:t xml:space="preserve"> </w:t>
      </w:r>
    </w:p>
    <w:p w14:paraId="7C07254F" w14:textId="49208FCD" w:rsidR="006C34CE" w:rsidRDefault="005E060A">
      <w:pPr>
        <w:pStyle w:val="TOC1"/>
        <w:tabs>
          <w:tab w:val="right" w:leader="dot" w:pos="8296"/>
        </w:tabs>
        <w:rPr>
          <w:rFonts w:asciiTheme="minorHAnsi" w:eastAsiaTheme="minorEastAsia" w:hAnsiTheme="minorHAnsi" w:cstheme="minorBidi"/>
          <w:noProof/>
          <w:kern w:val="2"/>
          <w:sz w:val="22"/>
          <w:szCs w:val="22"/>
          <w:lang w:eastAsia="zh-CN"/>
          <w14:ligatures w14:val="standardContextual"/>
        </w:rPr>
      </w:pPr>
      <w:r>
        <w:rPr>
          <w:b/>
        </w:rPr>
        <w:fldChar w:fldCharType="begin"/>
      </w:r>
      <w:r>
        <w:rPr>
          <w:b/>
        </w:rPr>
        <w:instrText xml:space="preserve"> TOC \o "1-3" \h \z \u </w:instrText>
      </w:r>
      <w:r>
        <w:rPr>
          <w:b/>
        </w:rPr>
        <w:fldChar w:fldCharType="separate"/>
      </w:r>
      <w:hyperlink w:anchor="_Toc145927530" w:history="1">
        <w:r w:rsidR="006C34CE" w:rsidRPr="00042280">
          <w:rPr>
            <w:rStyle w:val="Hyperlink"/>
            <w:b/>
            <w:noProof/>
          </w:rPr>
          <w:t>DECLARATION FORM</w:t>
        </w:r>
        <w:r w:rsidR="006C34CE">
          <w:rPr>
            <w:noProof/>
            <w:webHidden/>
          </w:rPr>
          <w:tab/>
        </w:r>
        <w:r w:rsidR="006C34CE">
          <w:rPr>
            <w:noProof/>
            <w:webHidden/>
          </w:rPr>
          <w:fldChar w:fldCharType="begin"/>
        </w:r>
        <w:r w:rsidR="006C34CE">
          <w:rPr>
            <w:noProof/>
            <w:webHidden/>
          </w:rPr>
          <w:instrText xml:space="preserve"> PAGEREF _Toc145927530 \h </w:instrText>
        </w:r>
        <w:r w:rsidR="006C34CE">
          <w:rPr>
            <w:noProof/>
            <w:webHidden/>
          </w:rPr>
        </w:r>
        <w:r w:rsidR="006C34CE">
          <w:rPr>
            <w:noProof/>
            <w:webHidden/>
          </w:rPr>
          <w:fldChar w:fldCharType="separate"/>
        </w:r>
        <w:r w:rsidR="001171F7">
          <w:rPr>
            <w:noProof/>
            <w:webHidden/>
          </w:rPr>
          <w:t>2</w:t>
        </w:r>
        <w:r w:rsidR="006C34CE">
          <w:rPr>
            <w:noProof/>
            <w:webHidden/>
          </w:rPr>
          <w:fldChar w:fldCharType="end"/>
        </w:r>
      </w:hyperlink>
    </w:p>
    <w:p w14:paraId="392F358B" w14:textId="10DF6354" w:rsidR="006C34CE" w:rsidRDefault="00000000">
      <w:pPr>
        <w:pStyle w:val="TOC1"/>
        <w:tabs>
          <w:tab w:val="right" w:leader="dot" w:pos="8296"/>
        </w:tabs>
        <w:rPr>
          <w:rFonts w:asciiTheme="minorHAnsi" w:eastAsiaTheme="minorEastAsia" w:hAnsiTheme="minorHAnsi" w:cstheme="minorBidi"/>
          <w:noProof/>
          <w:kern w:val="2"/>
          <w:sz w:val="22"/>
          <w:szCs w:val="22"/>
          <w:lang w:eastAsia="zh-CN"/>
          <w14:ligatures w14:val="standardContextual"/>
        </w:rPr>
      </w:pPr>
      <w:hyperlink w:anchor="_Toc145927531" w:history="1">
        <w:r w:rsidR="006C34CE" w:rsidRPr="00042280">
          <w:rPr>
            <w:rStyle w:val="Hyperlink"/>
            <w:b/>
            <w:noProof/>
          </w:rPr>
          <w:t>CONTENTS</w:t>
        </w:r>
        <w:r w:rsidR="006C34CE">
          <w:rPr>
            <w:noProof/>
            <w:webHidden/>
          </w:rPr>
          <w:tab/>
        </w:r>
        <w:r w:rsidR="006C34CE">
          <w:rPr>
            <w:noProof/>
            <w:webHidden/>
          </w:rPr>
          <w:fldChar w:fldCharType="begin"/>
        </w:r>
        <w:r w:rsidR="006C34CE">
          <w:rPr>
            <w:noProof/>
            <w:webHidden/>
          </w:rPr>
          <w:instrText xml:space="preserve"> PAGEREF _Toc145927531 \h </w:instrText>
        </w:r>
        <w:r w:rsidR="006C34CE">
          <w:rPr>
            <w:noProof/>
            <w:webHidden/>
          </w:rPr>
        </w:r>
        <w:r w:rsidR="006C34CE">
          <w:rPr>
            <w:noProof/>
            <w:webHidden/>
          </w:rPr>
          <w:fldChar w:fldCharType="separate"/>
        </w:r>
        <w:r w:rsidR="001171F7">
          <w:rPr>
            <w:noProof/>
            <w:webHidden/>
          </w:rPr>
          <w:t>4</w:t>
        </w:r>
        <w:r w:rsidR="006C34CE">
          <w:rPr>
            <w:noProof/>
            <w:webHidden/>
          </w:rPr>
          <w:fldChar w:fldCharType="end"/>
        </w:r>
      </w:hyperlink>
    </w:p>
    <w:p w14:paraId="6325FA6C" w14:textId="3B6990D1" w:rsidR="006C34CE" w:rsidRDefault="00000000">
      <w:pPr>
        <w:pStyle w:val="TOC1"/>
        <w:tabs>
          <w:tab w:val="right" w:leader="dot" w:pos="8296"/>
        </w:tabs>
        <w:rPr>
          <w:rFonts w:asciiTheme="minorHAnsi" w:eastAsiaTheme="minorEastAsia" w:hAnsiTheme="minorHAnsi" w:cstheme="minorBidi"/>
          <w:noProof/>
          <w:kern w:val="2"/>
          <w:sz w:val="22"/>
          <w:szCs w:val="22"/>
          <w:lang w:eastAsia="zh-CN"/>
          <w14:ligatures w14:val="standardContextual"/>
        </w:rPr>
      </w:pPr>
      <w:hyperlink w:anchor="_Toc145927532" w:history="1">
        <w:r w:rsidR="006C34CE" w:rsidRPr="00042280">
          <w:rPr>
            <w:rStyle w:val="Hyperlink"/>
            <w:b/>
            <w:noProof/>
          </w:rPr>
          <w:t>ABSTRACT</w:t>
        </w:r>
        <w:r w:rsidR="006C34CE">
          <w:rPr>
            <w:noProof/>
            <w:webHidden/>
          </w:rPr>
          <w:tab/>
        </w:r>
        <w:r w:rsidR="006C34CE">
          <w:rPr>
            <w:noProof/>
            <w:webHidden/>
          </w:rPr>
          <w:fldChar w:fldCharType="begin"/>
        </w:r>
        <w:r w:rsidR="006C34CE">
          <w:rPr>
            <w:noProof/>
            <w:webHidden/>
          </w:rPr>
          <w:instrText xml:space="preserve"> PAGEREF _Toc145927532 \h </w:instrText>
        </w:r>
        <w:r w:rsidR="006C34CE">
          <w:rPr>
            <w:noProof/>
            <w:webHidden/>
          </w:rPr>
        </w:r>
        <w:r w:rsidR="006C34CE">
          <w:rPr>
            <w:noProof/>
            <w:webHidden/>
          </w:rPr>
          <w:fldChar w:fldCharType="separate"/>
        </w:r>
        <w:r w:rsidR="001171F7">
          <w:rPr>
            <w:noProof/>
            <w:webHidden/>
          </w:rPr>
          <w:t>6</w:t>
        </w:r>
        <w:r w:rsidR="006C34CE">
          <w:rPr>
            <w:noProof/>
            <w:webHidden/>
          </w:rPr>
          <w:fldChar w:fldCharType="end"/>
        </w:r>
      </w:hyperlink>
    </w:p>
    <w:p w14:paraId="4304F4C6" w14:textId="0FC0E93F" w:rsidR="006C34CE" w:rsidRDefault="00000000">
      <w:pPr>
        <w:pStyle w:val="TOC1"/>
        <w:tabs>
          <w:tab w:val="right" w:leader="dot" w:pos="8296"/>
        </w:tabs>
        <w:rPr>
          <w:rFonts w:asciiTheme="minorHAnsi" w:eastAsiaTheme="minorEastAsia" w:hAnsiTheme="minorHAnsi" w:cstheme="minorBidi"/>
          <w:noProof/>
          <w:kern w:val="2"/>
          <w:sz w:val="22"/>
          <w:szCs w:val="22"/>
          <w:lang w:eastAsia="zh-CN"/>
          <w14:ligatures w14:val="standardContextual"/>
        </w:rPr>
      </w:pPr>
      <w:hyperlink w:anchor="_Toc145927533" w:history="1">
        <w:r w:rsidR="006C34CE" w:rsidRPr="00042280">
          <w:rPr>
            <w:rStyle w:val="Hyperlink"/>
            <w:b/>
            <w:noProof/>
          </w:rPr>
          <w:t>ACRONYMS</w:t>
        </w:r>
        <w:r w:rsidR="006C34CE">
          <w:rPr>
            <w:noProof/>
            <w:webHidden/>
          </w:rPr>
          <w:tab/>
        </w:r>
        <w:r w:rsidR="006C34CE">
          <w:rPr>
            <w:noProof/>
            <w:webHidden/>
          </w:rPr>
          <w:fldChar w:fldCharType="begin"/>
        </w:r>
        <w:r w:rsidR="006C34CE">
          <w:rPr>
            <w:noProof/>
            <w:webHidden/>
          </w:rPr>
          <w:instrText xml:space="preserve"> PAGEREF _Toc145927533 \h </w:instrText>
        </w:r>
        <w:r w:rsidR="006C34CE">
          <w:rPr>
            <w:noProof/>
            <w:webHidden/>
          </w:rPr>
        </w:r>
        <w:r w:rsidR="006C34CE">
          <w:rPr>
            <w:noProof/>
            <w:webHidden/>
          </w:rPr>
          <w:fldChar w:fldCharType="separate"/>
        </w:r>
        <w:r w:rsidR="001171F7">
          <w:rPr>
            <w:noProof/>
            <w:webHidden/>
          </w:rPr>
          <w:t>7</w:t>
        </w:r>
        <w:r w:rsidR="006C34CE">
          <w:rPr>
            <w:noProof/>
            <w:webHidden/>
          </w:rPr>
          <w:fldChar w:fldCharType="end"/>
        </w:r>
      </w:hyperlink>
    </w:p>
    <w:p w14:paraId="302F2D37" w14:textId="5E1099E9" w:rsidR="006C34CE" w:rsidRDefault="00000000">
      <w:pPr>
        <w:pStyle w:val="TOC1"/>
        <w:tabs>
          <w:tab w:val="left" w:pos="480"/>
          <w:tab w:val="right" w:leader="dot" w:pos="8296"/>
        </w:tabs>
        <w:rPr>
          <w:rFonts w:asciiTheme="minorHAnsi" w:eastAsiaTheme="minorEastAsia" w:hAnsiTheme="minorHAnsi" w:cstheme="minorBidi"/>
          <w:noProof/>
          <w:kern w:val="2"/>
          <w:sz w:val="22"/>
          <w:szCs w:val="22"/>
          <w:lang w:eastAsia="zh-CN"/>
          <w14:ligatures w14:val="standardContextual"/>
        </w:rPr>
      </w:pPr>
      <w:hyperlink w:anchor="_Toc145927534" w:history="1">
        <w:r w:rsidR="006C34CE" w:rsidRPr="00042280">
          <w:rPr>
            <w:rStyle w:val="Hyperlink"/>
            <w:noProof/>
          </w:rPr>
          <w:t>1.</w:t>
        </w:r>
        <w:r w:rsidR="006C34CE">
          <w:rPr>
            <w:rFonts w:asciiTheme="minorHAnsi" w:eastAsiaTheme="minorEastAsia" w:hAnsiTheme="minorHAnsi" w:cstheme="minorBidi"/>
            <w:noProof/>
            <w:kern w:val="2"/>
            <w:sz w:val="22"/>
            <w:szCs w:val="22"/>
            <w:lang w:eastAsia="zh-CN"/>
            <w14:ligatures w14:val="standardContextual"/>
          </w:rPr>
          <w:tab/>
        </w:r>
        <w:r w:rsidR="006C34CE" w:rsidRPr="00042280">
          <w:rPr>
            <w:rStyle w:val="Hyperlink"/>
            <w:noProof/>
          </w:rPr>
          <w:t>INTRODUCTION</w:t>
        </w:r>
        <w:r w:rsidR="006C34CE">
          <w:rPr>
            <w:noProof/>
            <w:webHidden/>
          </w:rPr>
          <w:tab/>
        </w:r>
        <w:r w:rsidR="006C34CE">
          <w:rPr>
            <w:noProof/>
            <w:webHidden/>
          </w:rPr>
          <w:fldChar w:fldCharType="begin"/>
        </w:r>
        <w:r w:rsidR="006C34CE">
          <w:rPr>
            <w:noProof/>
            <w:webHidden/>
          </w:rPr>
          <w:instrText xml:space="preserve"> PAGEREF _Toc145927534 \h </w:instrText>
        </w:r>
        <w:r w:rsidR="006C34CE">
          <w:rPr>
            <w:noProof/>
            <w:webHidden/>
          </w:rPr>
        </w:r>
        <w:r w:rsidR="006C34CE">
          <w:rPr>
            <w:noProof/>
            <w:webHidden/>
          </w:rPr>
          <w:fldChar w:fldCharType="separate"/>
        </w:r>
        <w:r w:rsidR="001171F7">
          <w:rPr>
            <w:noProof/>
            <w:webHidden/>
          </w:rPr>
          <w:t>8</w:t>
        </w:r>
        <w:r w:rsidR="006C34CE">
          <w:rPr>
            <w:noProof/>
            <w:webHidden/>
          </w:rPr>
          <w:fldChar w:fldCharType="end"/>
        </w:r>
      </w:hyperlink>
    </w:p>
    <w:p w14:paraId="1CE6764B" w14:textId="58D615F4" w:rsidR="006C34CE" w:rsidRDefault="00000000">
      <w:pPr>
        <w:pStyle w:val="TOC1"/>
        <w:tabs>
          <w:tab w:val="left" w:pos="480"/>
          <w:tab w:val="right" w:leader="dot" w:pos="8296"/>
        </w:tabs>
        <w:rPr>
          <w:rFonts w:asciiTheme="minorHAnsi" w:eastAsiaTheme="minorEastAsia" w:hAnsiTheme="minorHAnsi" w:cstheme="minorBidi"/>
          <w:noProof/>
          <w:kern w:val="2"/>
          <w:sz w:val="22"/>
          <w:szCs w:val="22"/>
          <w:lang w:eastAsia="zh-CN"/>
          <w14:ligatures w14:val="standardContextual"/>
        </w:rPr>
      </w:pPr>
      <w:hyperlink w:anchor="_Toc145927535" w:history="1">
        <w:r w:rsidR="006C34CE" w:rsidRPr="00042280">
          <w:rPr>
            <w:rStyle w:val="Hyperlink"/>
            <w:b/>
            <w:noProof/>
          </w:rPr>
          <w:t>2.</w:t>
        </w:r>
        <w:r w:rsidR="006C34CE">
          <w:rPr>
            <w:rFonts w:asciiTheme="minorHAnsi" w:eastAsiaTheme="minorEastAsia" w:hAnsiTheme="minorHAnsi" w:cstheme="minorBidi"/>
            <w:noProof/>
            <w:kern w:val="2"/>
            <w:sz w:val="22"/>
            <w:szCs w:val="22"/>
            <w:lang w:eastAsia="zh-CN"/>
            <w14:ligatures w14:val="standardContextual"/>
          </w:rPr>
          <w:tab/>
        </w:r>
        <w:r w:rsidR="006C34CE" w:rsidRPr="00042280">
          <w:rPr>
            <w:rStyle w:val="Hyperlink"/>
            <w:b/>
            <w:noProof/>
          </w:rPr>
          <w:t>LITERATURE REVIEW</w:t>
        </w:r>
        <w:r w:rsidR="006C34CE">
          <w:rPr>
            <w:noProof/>
            <w:webHidden/>
          </w:rPr>
          <w:tab/>
        </w:r>
        <w:r w:rsidR="006C34CE">
          <w:rPr>
            <w:noProof/>
            <w:webHidden/>
          </w:rPr>
          <w:fldChar w:fldCharType="begin"/>
        </w:r>
        <w:r w:rsidR="006C34CE">
          <w:rPr>
            <w:noProof/>
            <w:webHidden/>
          </w:rPr>
          <w:instrText xml:space="preserve"> PAGEREF _Toc145927535 \h </w:instrText>
        </w:r>
        <w:r w:rsidR="006C34CE">
          <w:rPr>
            <w:noProof/>
            <w:webHidden/>
          </w:rPr>
        </w:r>
        <w:r w:rsidR="006C34CE">
          <w:rPr>
            <w:noProof/>
            <w:webHidden/>
          </w:rPr>
          <w:fldChar w:fldCharType="separate"/>
        </w:r>
        <w:r w:rsidR="001171F7">
          <w:rPr>
            <w:noProof/>
            <w:webHidden/>
          </w:rPr>
          <w:t>12</w:t>
        </w:r>
        <w:r w:rsidR="006C34CE">
          <w:rPr>
            <w:noProof/>
            <w:webHidden/>
          </w:rPr>
          <w:fldChar w:fldCharType="end"/>
        </w:r>
      </w:hyperlink>
    </w:p>
    <w:p w14:paraId="5054D085" w14:textId="4DF8563B" w:rsidR="006C34CE" w:rsidRDefault="00000000">
      <w:pPr>
        <w:pStyle w:val="TOC2"/>
        <w:tabs>
          <w:tab w:val="left" w:pos="880"/>
          <w:tab w:val="right" w:leader="dot" w:pos="8296"/>
        </w:tabs>
        <w:rPr>
          <w:rFonts w:asciiTheme="minorHAnsi" w:eastAsiaTheme="minorEastAsia" w:hAnsiTheme="minorHAnsi" w:cstheme="minorBidi"/>
          <w:noProof/>
          <w:kern w:val="2"/>
          <w:sz w:val="22"/>
          <w:szCs w:val="22"/>
          <w:lang w:eastAsia="zh-CN"/>
          <w14:ligatures w14:val="standardContextual"/>
        </w:rPr>
      </w:pPr>
      <w:hyperlink w:anchor="_Toc145927536" w:history="1">
        <w:r w:rsidR="006C34CE" w:rsidRPr="00042280">
          <w:rPr>
            <w:rStyle w:val="Hyperlink"/>
            <w:b/>
            <w:noProof/>
          </w:rPr>
          <w:t>2.1.</w:t>
        </w:r>
        <w:r w:rsidR="006C34CE">
          <w:rPr>
            <w:rFonts w:asciiTheme="minorHAnsi" w:eastAsiaTheme="minorEastAsia" w:hAnsiTheme="minorHAnsi" w:cstheme="minorBidi"/>
            <w:noProof/>
            <w:kern w:val="2"/>
            <w:sz w:val="22"/>
            <w:szCs w:val="22"/>
            <w:lang w:eastAsia="zh-CN"/>
            <w14:ligatures w14:val="standardContextual"/>
          </w:rPr>
          <w:tab/>
        </w:r>
        <w:r w:rsidR="006C34CE" w:rsidRPr="00042280">
          <w:rPr>
            <w:rStyle w:val="Hyperlink"/>
            <w:b/>
            <w:noProof/>
          </w:rPr>
          <w:t>Introduction</w:t>
        </w:r>
        <w:r w:rsidR="006C34CE">
          <w:rPr>
            <w:noProof/>
            <w:webHidden/>
          </w:rPr>
          <w:tab/>
        </w:r>
        <w:r w:rsidR="006C34CE">
          <w:rPr>
            <w:noProof/>
            <w:webHidden/>
          </w:rPr>
          <w:fldChar w:fldCharType="begin"/>
        </w:r>
        <w:r w:rsidR="006C34CE">
          <w:rPr>
            <w:noProof/>
            <w:webHidden/>
          </w:rPr>
          <w:instrText xml:space="preserve"> PAGEREF _Toc145927536 \h </w:instrText>
        </w:r>
        <w:r w:rsidR="006C34CE">
          <w:rPr>
            <w:noProof/>
            <w:webHidden/>
          </w:rPr>
        </w:r>
        <w:r w:rsidR="006C34CE">
          <w:rPr>
            <w:noProof/>
            <w:webHidden/>
          </w:rPr>
          <w:fldChar w:fldCharType="separate"/>
        </w:r>
        <w:r w:rsidR="001171F7">
          <w:rPr>
            <w:noProof/>
            <w:webHidden/>
          </w:rPr>
          <w:t>12</w:t>
        </w:r>
        <w:r w:rsidR="006C34CE">
          <w:rPr>
            <w:noProof/>
            <w:webHidden/>
          </w:rPr>
          <w:fldChar w:fldCharType="end"/>
        </w:r>
      </w:hyperlink>
    </w:p>
    <w:p w14:paraId="60D05DC6" w14:textId="62BB2D7B" w:rsidR="006C34CE" w:rsidRDefault="00000000">
      <w:pPr>
        <w:pStyle w:val="TOC2"/>
        <w:tabs>
          <w:tab w:val="left" w:pos="880"/>
          <w:tab w:val="right" w:leader="dot" w:pos="8296"/>
        </w:tabs>
        <w:rPr>
          <w:rFonts w:asciiTheme="minorHAnsi" w:eastAsiaTheme="minorEastAsia" w:hAnsiTheme="minorHAnsi" w:cstheme="minorBidi"/>
          <w:noProof/>
          <w:kern w:val="2"/>
          <w:sz w:val="22"/>
          <w:szCs w:val="22"/>
          <w:lang w:eastAsia="zh-CN"/>
          <w14:ligatures w14:val="standardContextual"/>
        </w:rPr>
      </w:pPr>
      <w:hyperlink w:anchor="_Toc145927537" w:history="1">
        <w:r w:rsidR="006C34CE" w:rsidRPr="00042280">
          <w:rPr>
            <w:rStyle w:val="Hyperlink"/>
            <w:b/>
            <w:noProof/>
          </w:rPr>
          <w:t>2.2.</w:t>
        </w:r>
        <w:r w:rsidR="006C34CE">
          <w:rPr>
            <w:rFonts w:asciiTheme="minorHAnsi" w:eastAsiaTheme="minorEastAsia" w:hAnsiTheme="minorHAnsi" w:cstheme="minorBidi"/>
            <w:noProof/>
            <w:kern w:val="2"/>
            <w:sz w:val="22"/>
            <w:szCs w:val="22"/>
            <w:lang w:eastAsia="zh-CN"/>
            <w14:ligatures w14:val="standardContextual"/>
          </w:rPr>
          <w:tab/>
        </w:r>
        <w:r w:rsidR="006C34CE" w:rsidRPr="00042280">
          <w:rPr>
            <w:rStyle w:val="Hyperlink"/>
            <w:b/>
            <w:noProof/>
          </w:rPr>
          <w:t>Theme 1: Key Terms and Theories</w:t>
        </w:r>
        <w:r w:rsidR="006C34CE">
          <w:rPr>
            <w:noProof/>
            <w:webHidden/>
          </w:rPr>
          <w:tab/>
        </w:r>
        <w:r w:rsidR="006C34CE">
          <w:rPr>
            <w:noProof/>
            <w:webHidden/>
          </w:rPr>
          <w:fldChar w:fldCharType="begin"/>
        </w:r>
        <w:r w:rsidR="006C34CE">
          <w:rPr>
            <w:noProof/>
            <w:webHidden/>
          </w:rPr>
          <w:instrText xml:space="preserve"> PAGEREF _Toc145927537 \h </w:instrText>
        </w:r>
        <w:r w:rsidR="006C34CE">
          <w:rPr>
            <w:noProof/>
            <w:webHidden/>
          </w:rPr>
        </w:r>
        <w:r w:rsidR="006C34CE">
          <w:rPr>
            <w:noProof/>
            <w:webHidden/>
          </w:rPr>
          <w:fldChar w:fldCharType="separate"/>
        </w:r>
        <w:r w:rsidR="001171F7">
          <w:rPr>
            <w:noProof/>
            <w:webHidden/>
          </w:rPr>
          <w:t>14</w:t>
        </w:r>
        <w:r w:rsidR="006C34CE">
          <w:rPr>
            <w:noProof/>
            <w:webHidden/>
          </w:rPr>
          <w:fldChar w:fldCharType="end"/>
        </w:r>
      </w:hyperlink>
    </w:p>
    <w:p w14:paraId="34AA5E81" w14:textId="64E7061F" w:rsidR="006C34CE" w:rsidRDefault="00000000">
      <w:pPr>
        <w:pStyle w:val="TOC2"/>
        <w:tabs>
          <w:tab w:val="left" w:pos="880"/>
          <w:tab w:val="right" w:leader="dot" w:pos="8296"/>
        </w:tabs>
        <w:rPr>
          <w:rFonts w:asciiTheme="minorHAnsi" w:eastAsiaTheme="minorEastAsia" w:hAnsiTheme="minorHAnsi" w:cstheme="minorBidi"/>
          <w:noProof/>
          <w:kern w:val="2"/>
          <w:sz w:val="22"/>
          <w:szCs w:val="22"/>
          <w:lang w:eastAsia="zh-CN"/>
          <w14:ligatures w14:val="standardContextual"/>
        </w:rPr>
      </w:pPr>
      <w:hyperlink w:anchor="_Toc145927538" w:history="1">
        <w:r w:rsidR="006C34CE" w:rsidRPr="00042280">
          <w:rPr>
            <w:rStyle w:val="Hyperlink"/>
            <w:b/>
            <w:bCs/>
            <w:noProof/>
          </w:rPr>
          <w:t>2.3.</w:t>
        </w:r>
        <w:r w:rsidR="006C34CE">
          <w:rPr>
            <w:rFonts w:asciiTheme="minorHAnsi" w:eastAsiaTheme="minorEastAsia" w:hAnsiTheme="minorHAnsi" w:cstheme="minorBidi"/>
            <w:noProof/>
            <w:kern w:val="2"/>
            <w:sz w:val="22"/>
            <w:szCs w:val="22"/>
            <w:lang w:eastAsia="zh-CN"/>
            <w14:ligatures w14:val="standardContextual"/>
          </w:rPr>
          <w:tab/>
        </w:r>
        <w:r w:rsidR="006C34CE" w:rsidRPr="00042280">
          <w:rPr>
            <w:rStyle w:val="Hyperlink"/>
            <w:b/>
            <w:bCs/>
            <w:noProof/>
          </w:rPr>
          <w:t>Theme 2: Pre-Colonialism</w:t>
        </w:r>
        <w:r w:rsidR="006C34CE">
          <w:rPr>
            <w:noProof/>
            <w:webHidden/>
          </w:rPr>
          <w:tab/>
        </w:r>
        <w:r w:rsidR="006C34CE">
          <w:rPr>
            <w:noProof/>
            <w:webHidden/>
          </w:rPr>
          <w:fldChar w:fldCharType="begin"/>
        </w:r>
        <w:r w:rsidR="006C34CE">
          <w:rPr>
            <w:noProof/>
            <w:webHidden/>
          </w:rPr>
          <w:instrText xml:space="preserve"> PAGEREF _Toc145927538 \h </w:instrText>
        </w:r>
        <w:r w:rsidR="006C34CE">
          <w:rPr>
            <w:noProof/>
            <w:webHidden/>
          </w:rPr>
        </w:r>
        <w:r w:rsidR="006C34CE">
          <w:rPr>
            <w:noProof/>
            <w:webHidden/>
          </w:rPr>
          <w:fldChar w:fldCharType="separate"/>
        </w:r>
        <w:r w:rsidR="001171F7">
          <w:rPr>
            <w:noProof/>
            <w:webHidden/>
          </w:rPr>
          <w:t>26</w:t>
        </w:r>
        <w:r w:rsidR="006C34CE">
          <w:rPr>
            <w:noProof/>
            <w:webHidden/>
          </w:rPr>
          <w:fldChar w:fldCharType="end"/>
        </w:r>
      </w:hyperlink>
    </w:p>
    <w:p w14:paraId="06F85215" w14:textId="502DE10B" w:rsidR="006C34CE" w:rsidRDefault="00000000">
      <w:pPr>
        <w:pStyle w:val="TOC2"/>
        <w:tabs>
          <w:tab w:val="left" w:pos="880"/>
          <w:tab w:val="right" w:leader="dot" w:pos="8296"/>
        </w:tabs>
        <w:rPr>
          <w:rFonts w:asciiTheme="minorHAnsi" w:eastAsiaTheme="minorEastAsia" w:hAnsiTheme="minorHAnsi" w:cstheme="minorBidi"/>
          <w:noProof/>
          <w:kern w:val="2"/>
          <w:sz w:val="22"/>
          <w:szCs w:val="22"/>
          <w:lang w:eastAsia="zh-CN"/>
          <w14:ligatures w14:val="standardContextual"/>
        </w:rPr>
      </w:pPr>
      <w:hyperlink w:anchor="_Toc145927539" w:history="1">
        <w:r w:rsidR="006C34CE" w:rsidRPr="00042280">
          <w:rPr>
            <w:rStyle w:val="Hyperlink"/>
            <w:noProof/>
          </w:rPr>
          <w:t>2.4.</w:t>
        </w:r>
        <w:r w:rsidR="006C34CE">
          <w:rPr>
            <w:rFonts w:asciiTheme="minorHAnsi" w:eastAsiaTheme="minorEastAsia" w:hAnsiTheme="minorHAnsi" w:cstheme="minorBidi"/>
            <w:noProof/>
            <w:kern w:val="2"/>
            <w:sz w:val="22"/>
            <w:szCs w:val="22"/>
            <w:lang w:eastAsia="zh-CN"/>
            <w14:ligatures w14:val="standardContextual"/>
          </w:rPr>
          <w:tab/>
        </w:r>
        <w:r w:rsidR="006C34CE" w:rsidRPr="00042280">
          <w:rPr>
            <w:rStyle w:val="Hyperlink"/>
            <w:b/>
            <w:noProof/>
          </w:rPr>
          <w:t>Theme 3: Morality</w:t>
        </w:r>
        <w:r w:rsidR="006C34CE">
          <w:rPr>
            <w:noProof/>
            <w:webHidden/>
          </w:rPr>
          <w:tab/>
        </w:r>
        <w:r w:rsidR="006C34CE">
          <w:rPr>
            <w:noProof/>
            <w:webHidden/>
          </w:rPr>
          <w:fldChar w:fldCharType="begin"/>
        </w:r>
        <w:r w:rsidR="006C34CE">
          <w:rPr>
            <w:noProof/>
            <w:webHidden/>
          </w:rPr>
          <w:instrText xml:space="preserve"> PAGEREF _Toc145927539 \h </w:instrText>
        </w:r>
        <w:r w:rsidR="006C34CE">
          <w:rPr>
            <w:noProof/>
            <w:webHidden/>
          </w:rPr>
        </w:r>
        <w:r w:rsidR="006C34CE">
          <w:rPr>
            <w:noProof/>
            <w:webHidden/>
          </w:rPr>
          <w:fldChar w:fldCharType="separate"/>
        </w:r>
        <w:r w:rsidR="001171F7">
          <w:rPr>
            <w:noProof/>
            <w:webHidden/>
          </w:rPr>
          <w:t>28</w:t>
        </w:r>
        <w:r w:rsidR="006C34CE">
          <w:rPr>
            <w:noProof/>
            <w:webHidden/>
          </w:rPr>
          <w:fldChar w:fldCharType="end"/>
        </w:r>
      </w:hyperlink>
    </w:p>
    <w:p w14:paraId="7F71B396" w14:textId="47C6F6EA" w:rsidR="006C34CE" w:rsidRDefault="00000000">
      <w:pPr>
        <w:pStyle w:val="TOC2"/>
        <w:tabs>
          <w:tab w:val="left" w:pos="880"/>
          <w:tab w:val="right" w:leader="dot" w:pos="8296"/>
        </w:tabs>
        <w:rPr>
          <w:rFonts w:asciiTheme="minorHAnsi" w:eastAsiaTheme="minorEastAsia" w:hAnsiTheme="minorHAnsi" w:cstheme="minorBidi"/>
          <w:noProof/>
          <w:kern w:val="2"/>
          <w:sz w:val="22"/>
          <w:szCs w:val="22"/>
          <w:lang w:eastAsia="zh-CN"/>
          <w14:ligatures w14:val="standardContextual"/>
        </w:rPr>
      </w:pPr>
      <w:hyperlink w:anchor="_Toc145927540" w:history="1">
        <w:r w:rsidR="006C34CE" w:rsidRPr="00042280">
          <w:rPr>
            <w:rStyle w:val="Hyperlink"/>
            <w:b/>
            <w:noProof/>
          </w:rPr>
          <w:t>2.5.</w:t>
        </w:r>
        <w:r w:rsidR="006C34CE">
          <w:rPr>
            <w:rFonts w:asciiTheme="minorHAnsi" w:eastAsiaTheme="minorEastAsia" w:hAnsiTheme="minorHAnsi" w:cstheme="minorBidi"/>
            <w:noProof/>
            <w:kern w:val="2"/>
            <w:sz w:val="22"/>
            <w:szCs w:val="22"/>
            <w:lang w:eastAsia="zh-CN"/>
            <w14:ligatures w14:val="standardContextual"/>
          </w:rPr>
          <w:tab/>
        </w:r>
        <w:r w:rsidR="006C34CE" w:rsidRPr="00042280">
          <w:rPr>
            <w:rStyle w:val="Hyperlink"/>
            <w:b/>
            <w:noProof/>
          </w:rPr>
          <w:t>Theme 4: Modern Day: Cultural Imperialism, Homonationalism and Heteroactivism</w:t>
        </w:r>
        <w:r w:rsidR="006C34CE">
          <w:rPr>
            <w:noProof/>
            <w:webHidden/>
          </w:rPr>
          <w:tab/>
        </w:r>
        <w:r w:rsidR="006C34CE">
          <w:rPr>
            <w:noProof/>
            <w:webHidden/>
          </w:rPr>
          <w:fldChar w:fldCharType="begin"/>
        </w:r>
        <w:r w:rsidR="006C34CE">
          <w:rPr>
            <w:noProof/>
            <w:webHidden/>
          </w:rPr>
          <w:instrText xml:space="preserve"> PAGEREF _Toc145927540 \h </w:instrText>
        </w:r>
        <w:r w:rsidR="006C34CE">
          <w:rPr>
            <w:noProof/>
            <w:webHidden/>
          </w:rPr>
        </w:r>
        <w:r w:rsidR="006C34CE">
          <w:rPr>
            <w:noProof/>
            <w:webHidden/>
          </w:rPr>
          <w:fldChar w:fldCharType="separate"/>
        </w:r>
        <w:r w:rsidR="001171F7">
          <w:rPr>
            <w:noProof/>
            <w:webHidden/>
          </w:rPr>
          <w:t>32</w:t>
        </w:r>
        <w:r w:rsidR="006C34CE">
          <w:rPr>
            <w:noProof/>
            <w:webHidden/>
          </w:rPr>
          <w:fldChar w:fldCharType="end"/>
        </w:r>
      </w:hyperlink>
    </w:p>
    <w:p w14:paraId="48037807" w14:textId="62687005" w:rsidR="006C34CE" w:rsidRDefault="00000000">
      <w:pPr>
        <w:pStyle w:val="TOC2"/>
        <w:tabs>
          <w:tab w:val="left" w:pos="880"/>
          <w:tab w:val="right" w:leader="dot" w:pos="8296"/>
        </w:tabs>
        <w:rPr>
          <w:rFonts w:asciiTheme="minorHAnsi" w:eastAsiaTheme="minorEastAsia" w:hAnsiTheme="minorHAnsi" w:cstheme="minorBidi"/>
          <w:noProof/>
          <w:kern w:val="2"/>
          <w:sz w:val="22"/>
          <w:szCs w:val="22"/>
          <w:lang w:eastAsia="zh-CN"/>
          <w14:ligatures w14:val="standardContextual"/>
        </w:rPr>
      </w:pPr>
      <w:hyperlink w:anchor="_Toc145927541" w:history="1">
        <w:r w:rsidR="006C34CE" w:rsidRPr="00042280">
          <w:rPr>
            <w:rStyle w:val="Hyperlink"/>
            <w:b/>
            <w:noProof/>
          </w:rPr>
          <w:t>2.6.</w:t>
        </w:r>
        <w:r w:rsidR="006C34CE">
          <w:rPr>
            <w:rFonts w:asciiTheme="minorHAnsi" w:eastAsiaTheme="minorEastAsia" w:hAnsiTheme="minorHAnsi" w:cstheme="minorBidi"/>
            <w:noProof/>
            <w:kern w:val="2"/>
            <w:sz w:val="22"/>
            <w:szCs w:val="22"/>
            <w:lang w:eastAsia="zh-CN"/>
            <w14:ligatures w14:val="standardContextual"/>
          </w:rPr>
          <w:tab/>
        </w:r>
        <w:r w:rsidR="006C34CE" w:rsidRPr="00042280">
          <w:rPr>
            <w:rStyle w:val="Hyperlink"/>
            <w:b/>
            <w:noProof/>
          </w:rPr>
          <w:t>Conclusion</w:t>
        </w:r>
        <w:r w:rsidR="006C34CE">
          <w:rPr>
            <w:noProof/>
            <w:webHidden/>
          </w:rPr>
          <w:tab/>
        </w:r>
        <w:r w:rsidR="006C34CE">
          <w:rPr>
            <w:noProof/>
            <w:webHidden/>
          </w:rPr>
          <w:fldChar w:fldCharType="begin"/>
        </w:r>
        <w:r w:rsidR="006C34CE">
          <w:rPr>
            <w:noProof/>
            <w:webHidden/>
          </w:rPr>
          <w:instrText xml:space="preserve"> PAGEREF _Toc145927541 \h </w:instrText>
        </w:r>
        <w:r w:rsidR="006C34CE">
          <w:rPr>
            <w:noProof/>
            <w:webHidden/>
          </w:rPr>
        </w:r>
        <w:r w:rsidR="006C34CE">
          <w:rPr>
            <w:noProof/>
            <w:webHidden/>
          </w:rPr>
          <w:fldChar w:fldCharType="separate"/>
        </w:r>
        <w:r w:rsidR="001171F7">
          <w:rPr>
            <w:noProof/>
            <w:webHidden/>
          </w:rPr>
          <w:t>36</w:t>
        </w:r>
        <w:r w:rsidR="006C34CE">
          <w:rPr>
            <w:noProof/>
            <w:webHidden/>
          </w:rPr>
          <w:fldChar w:fldCharType="end"/>
        </w:r>
      </w:hyperlink>
    </w:p>
    <w:p w14:paraId="48208C2B" w14:textId="623D468C" w:rsidR="006C34CE" w:rsidRDefault="00000000">
      <w:pPr>
        <w:pStyle w:val="TOC1"/>
        <w:tabs>
          <w:tab w:val="left" w:pos="480"/>
          <w:tab w:val="right" w:leader="dot" w:pos="8296"/>
        </w:tabs>
        <w:rPr>
          <w:rFonts w:asciiTheme="minorHAnsi" w:eastAsiaTheme="minorEastAsia" w:hAnsiTheme="minorHAnsi" w:cstheme="minorBidi"/>
          <w:noProof/>
          <w:kern w:val="2"/>
          <w:sz w:val="22"/>
          <w:szCs w:val="22"/>
          <w:lang w:eastAsia="zh-CN"/>
          <w14:ligatures w14:val="standardContextual"/>
        </w:rPr>
      </w:pPr>
      <w:hyperlink w:anchor="_Toc145927542" w:history="1">
        <w:r w:rsidR="006C34CE" w:rsidRPr="00042280">
          <w:rPr>
            <w:rStyle w:val="Hyperlink"/>
            <w:b/>
            <w:noProof/>
          </w:rPr>
          <w:t>3.</w:t>
        </w:r>
        <w:r w:rsidR="006C34CE">
          <w:rPr>
            <w:rFonts w:asciiTheme="minorHAnsi" w:eastAsiaTheme="minorEastAsia" w:hAnsiTheme="minorHAnsi" w:cstheme="minorBidi"/>
            <w:noProof/>
            <w:kern w:val="2"/>
            <w:sz w:val="22"/>
            <w:szCs w:val="22"/>
            <w:lang w:eastAsia="zh-CN"/>
            <w14:ligatures w14:val="standardContextual"/>
          </w:rPr>
          <w:tab/>
        </w:r>
        <w:r w:rsidR="006C34CE" w:rsidRPr="00042280">
          <w:rPr>
            <w:rStyle w:val="Hyperlink"/>
            <w:b/>
            <w:noProof/>
          </w:rPr>
          <w:t>DISCUSSION OF RESULTS</w:t>
        </w:r>
        <w:r w:rsidR="006C34CE">
          <w:rPr>
            <w:noProof/>
            <w:webHidden/>
          </w:rPr>
          <w:tab/>
        </w:r>
        <w:r w:rsidR="006C34CE">
          <w:rPr>
            <w:noProof/>
            <w:webHidden/>
          </w:rPr>
          <w:fldChar w:fldCharType="begin"/>
        </w:r>
        <w:r w:rsidR="006C34CE">
          <w:rPr>
            <w:noProof/>
            <w:webHidden/>
          </w:rPr>
          <w:instrText xml:space="preserve"> PAGEREF _Toc145927542 \h </w:instrText>
        </w:r>
        <w:r w:rsidR="006C34CE">
          <w:rPr>
            <w:noProof/>
            <w:webHidden/>
          </w:rPr>
        </w:r>
        <w:r w:rsidR="006C34CE">
          <w:rPr>
            <w:noProof/>
            <w:webHidden/>
          </w:rPr>
          <w:fldChar w:fldCharType="separate"/>
        </w:r>
        <w:r w:rsidR="001171F7">
          <w:rPr>
            <w:noProof/>
            <w:webHidden/>
          </w:rPr>
          <w:t>38</w:t>
        </w:r>
        <w:r w:rsidR="006C34CE">
          <w:rPr>
            <w:noProof/>
            <w:webHidden/>
          </w:rPr>
          <w:fldChar w:fldCharType="end"/>
        </w:r>
      </w:hyperlink>
    </w:p>
    <w:p w14:paraId="23AE2F7B" w14:textId="16B9076C" w:rsidR="006C34CE" w:rsidRDefault="00000000">
      <w:pPr>
        <w:pStyle w:val="TOC2"/>
        <w:tabs>
          <w:tab w:val="left" w:pos="880"/>
          <w:tab w:val="right" w:leader="dot" w:pos="8296"/>
        </w:tabs>
        <w:rPr>
          <w:rFonts w:asciiTheme="minorHAnsi" w:eastAsiaTheme="minorEastAsia" w:hAnsiTheme="minorHAnsi" w:cstheme="minorBidi"/>
          <w:noProof/>
          <w:kern w:val="2"/>
          <w:sz w:val="22"/>
          <w:szCs w:val="22"/>
          <w:lang w:eastAsia="zh-CN"/>
          <w14:ligatures w14:val="standardContextual"/>
        </w:rPr>
      </w:pPr>
      <w:hyperlink w:anchor="_Toc145927543" w:history="1">
        <w:r w:rsidR="006C34CE" w:rsidRPr="00042280">
          <w:rPr>
            <w:rStyle w:val="Hyperlink"/>
            <w:b/>
            <w:noProof/>
          </w:rPr>
          <w:t>3.1.</w:t>
        </w:r>
        <w:r w:rsidR="006C34CE">
          <w:rPr>
            <w:rFonts w:asciiTheme="minorHAnsi" w:eastAsiaTheme="minorEastAsia" w:hAnsiTheme="minorHAnsi" w:cstheme="minorBidi"/>
            <w:noProof/>
            <w:kern w:val="2"/>
            <w:sz w:val="22"/>
            <w:szCs w:val="22"/>
            <w:lang w:eastAsia="zh-CN"/>
            <w14:ligatures w14:val="standardContextual"/>
          </w:rPr>
          <w:tab/>
        </w:r>
        <w:r w:rsidR="006C34CE" w:rsidRPr="00042280">
          <w:rPr>
            <w:rStyle w:val="Hyperlink"/>
            <w:b/>
            <w:noProof/>
          </w:rPr>
          <w:t>Introduction</w:t>
        </w:r>
        <w:r w:rsidR="006C34CE">
          <w:rPr>
            <w:noProof/>
            <w:webHidden/>
          </w:rPr>
          <w:tab/>
        </w:r>
        <w:r w:rsidR="006C34CE">
          <w:rPr>
            <w:noProof/>
            <w:webHidden/>
          </w:rPr>
          <w:fldChar w:fldCharType="begin"/>
        </w:r>
        <w:r w:rsidR="006C34CE">
          <w:rPr>
            <w:noProof/>
            <w:webHidden/>
          </w:rPr>
          <w:instrText xml:space="preserve"> PAGEREF _Toc145927543 \h </w:instrText>
        </w:r>
        <w:r w:rsidR="006C34CE">
          <w:rPr>
            <w:noProof/>
            <w:webHidden/>
          </w:rPr>
        </w:r>
        <w:r w:rsidR="006C34CE">
          <w:rPr>
            <w:noProof/>
            <w:webHidden/>
          </w:rPr>
          <w:fldChar w:fldCharType="separate"/>
        </w:r>
        <w:r w:rsidR="001171F7">
          <w:rPr>
            <w:noProof/>
            <w:webHidden/>
          </w:rPr>
          <w:t>38</w:t>
        </w:r>
        <w:r w:rsidR="006C34CE">
          <w:rPr>
            <w:noProof/>
            <w:webHidden/>
          </w:rPr>
          <w:fldChar w:fldCharType="end"/>
        </w:r>
      </w:hyperlink>
    </w:p>
    <w:p w14:paraId="6C603DB3" w14:textId="6C63C598" w:rsidR="006C34CE" w:rsidRDefault="00000000">
      <w:pPr>
        <w:pStyle w:val="TOC2"/>
        <w:tabs>
          <w:tab w:val="left" w:pos="880"/>
          <w:tab w:val="right" w:leader="dot" w:pos="8296"/>
        </w:tabs>
        <w:rPr>
          <w:rFonts w:asciiTheme="minorHAnsi" w:eastAsiaTheme="minorEastAsia" w:hAnsiTheme="minorHAnsi" w:cstheme="minorBidi"/>
          <w:noProof/>
          <w:kern w:val="2"/>
          <w:sz w:val="22"/>
          <w:szCs w:val="22"/>
          <w:lang w:eastAsia="zh-CN"/>
          <w14:ligatures w14:val="standardContextual"/>
        </w:rPr>
      </w:pPr>
      <w:hyperlink w:anchor="_Toc145927544" w:history="1">
        <w:r w:rsidR="006C34CE" w:rsidRPr="00042280">
          <w:rPr>
            <w:rStyle w:val="Hyperlink"/>
            <w:noProof/>
          </w:rPr>
          <w:t>3.2.</w:t>
        </w:r>
        <w:r w:rsidR="006C34CE">
          <w:rPr>
            <w:rFonts w:asciiTheme="minorHAnsi" w:eastAsiaTheme="minorEastAsia" w:hAnsiTheme="minorHAnsi" w:cstheme="minorBidi"/>
            <w:noProof/>
            <w:kern w:val="2"/>
            <w:sz w:val="22"/>
            <w:szCs w:val="22"/>
            <w:lang w:eastAsia="zh-CN"/>
            <w14:ligatures w14:val="standardContextual"/>
          </w:rPr>
          <w:tab/>
        </w:r>
        <w:r w:rsidR="006C34CE" w:rsidRPr="00042280">
          <w:rPr>
            <w:rStyle w:val="Hyperlink"/>
            <w:b/>
            <w:noProof/>
          </w:rPr>
          <w:t xml:space="preserve">Discussion 1: </w:t>
        </w:r>
        <w:r w:rsidR="006C34CE" w:rsidRPr="00042280">
          <w:rPr>
            <w:rStyle w:val="Hyperlink"/>
            <w:b/>
            <w:bCs/>
            <w:noProof/>
          </w:rPr>
          <w:t>Power and Biopolitics</w:t>
        </w:r>
        <w:r w:rsidR="006C34CE">
          <w:rPr>
            <w:noProof/>
            <w:webHidden/>
          </w:rPr>
          <w:tab/>
        </w:r>
        <w:r w:rsidR="006C34CE">
          <w:rPr>
            <w:noProof/>
            <w:webHidden/>
          </w:rPr>
          <w:fldChar w:fldCharType="begin"/>
        </w:r>
        <w:r w:rsidR="006C34CE">
          <w:rPr>
            <w:noProof/>
            <w:webHidden/>
          </w:rPr>
          <w:instrText xml:space="preserve"> PAGEREF _Toc145927544 \h </w:instrText>
        </w:r>
        <w:r w:rsidR="006C34CE">
          <w:rPr>
            <w:noProof/>
            <w:webHidden/>
          </w:rPr>
        </w:r>
        <w:r w:rsidR="006C34CE">
          <w:rPr>
            <w:noProof/>
            <w:webHidden/>
          </w:rPr>
          <w:fldChar w:fldCharType="separate"/>
        </w:r>
        <w:r w:rsidR="001171F7">
          <w:rPr>
            <w:noProof/>
            <w:webHidden/>
          </w:rPr>
          <w:t>40</w:t>
        </w:r>
        <w:r w:rsidR="006C34CE">
          <w:rPr>
            <w:noProof/>
            <w:webHidden/>
          </w:rPr>
          <w:fldChar w:fldCharType="end"/>
        </w:r>
      </w:hyperlink>
    </w:p>
    <w:p w14:paraId="432BE8D3" w14:textId="7F4E33F3" w:rsidR="006C34CE" w:rsidRDefault="00000000">
      <w:pPr>
        <w:pStyle w:val="TOC2"/>
        <w:tabs>
          <w:tab w:val="left" w:pos="880"/>
          <w:tab w:val="right" w:leader="dot" w:pos="8296"/>
        </w:tabs>
        <w:rPr>
          <w:rFonts w:asciiTheme="minorHAnsi" w:eastAsiaTheme="minorEastAsia" w:hAnsiTheme="minorHAnsi" w:cstheme="minorBidi"/>
          <w:noProof/>
          <w:kern w:val="2"/>
          <w:sz w:val="22"/>
          <w:szCs w:val="22"/>
          <w:lang w:eastAsia="zh-CN"/>
          <w14:ligatures w14:val="standardContextual"/>
        </w:rPr>
      </w:pPr>
      <w:hyperlink w:anchor="_Toc145927545" w:history="1">
        <w:r w:rsidR="006C34CE" w:rsidRPr="00042280">
          <w:rPr>
            <w:rStyle w:val="Hyperlink"/>
            <w:noProof/>
          </w:rPr>
          <w:t>3.3.</w:t>
        </w:r>
        <w:r w:rsidR="006C34CE">
          <w:rPr>
            <w:rFonts w:asciiTheme="minorHAnsi" w:eastAsiaTheme="minorEastAsia" w:hAnsiTheme="minorHAnsi" w:cstheme="minorBidi"/>
            <w:noProof/>
            <w:kern w:val="2"/>
            <w:sz w:val="22"/>
            <w:szCs w:val="22"/>
            <w:lang w:eastAsia="zh-CN"/>
            <w14:ligatures w14:val="standardContextual"/>
          </w:rPr>
          <w:tab/>
        </w:r>
        <w:r w:rsidR="006C34CE" w:rsidRPr="00042280">
          <w:rPr>
            <w:rStyle w:val="Hyperlink"/>
            <w:b/>
            <w:noProof/>
          </w:rPr>
          <w:t xml:space="preserve">Discussion 2: </w:t>
        </w:r>
        <w:r w:rsidR="006C34CE" w:rsidRPr="00042280">
          <w:rPr>
            <w:rStyle w:val="Hyperlink"/>
            <w:b/>
            <w:bCs/>
            <w:noProof/>
          </w:rPr>
          <w:t>Othering: a frame to synthesise Decolonising and Queer Theories</w:t>
        </w:r>
        <w:r w:rsidR="006C34CE">
          <w:rPr>
            <w:noProof/>
            <w:webHidden/>
          </w:rPr>
          <w:tab/>
        </w:r>
        <w:r w:rsidR="006C34CE">
          <w:rPr>
            <w:noProof/>
            <w:webHidden/>
          </w:rPr>
          <w:fldChar w:fldCharType="begin"/>
        </w:r>
        <w:r w:rsidR="006C34CE">
          <w:rPr>
            <w:noProof/>
            <w:webHidden/>
          </w:rPr>
          <w:instrText xml:space="preserve"> PAGEREF _Toc145927545 \h </w:instrText>
        </w:r>
        <w:r w:rsidR="006C34CE">
          <w:rPr>
            <w:noProof/>
            <w:webHidden/>
          </w:rPr>
        </w:r>
        <w:r w:rsidR="006C34CE">
          <w:rPr>
            <w:noProof/>
            <w:webHidden/>
          </w:rPr>
          <w:fldChar w:fldCharType="separate"/>
        </w:r>
        <w:r w:rsidR="001171F7">
          <w:rPr>
            <w:noProof/>
            <w:webHidden/>
          </w:rPr>
          <w:t>46</w:t>
        </w:r>
        <w:r w:rsidR="006C34CE">
          <w:rPr>
            <w:noProof/>
            <w:webHidden/>
          </w:rPr>
          <w:fldChar w:fldCharType="end"/>
        </w:r>
      </w:hyperlink>
    </w:p>
    <w:p w14:paraId="068FB69B" w14:textId="0FBEE34B" w:rsidR="006C34CE" w:rsidRDefault="00000000">
      <w:pPr>
        <w:pStyle w:val="TOC2"/>
        <w:tabs>
          <w:tab w:val="left" w:pos="880"/>
          <w:tab w:val="right" w:leader="dot" w:pos="8296"/>
        </w:tabs>
        <w:rPr>
          <w:rFonts w:asciiTheme="minorHAnsi" w:eastAsiaTheme="minorEastAsia" w:hAnsiTheme="minorHAnsi" w:cstheme="minorBidi"/>
          <w:noProof/>
          <w:kern w:val="2"/>
          <w:sz w:val="22"/>
          <w:szCs w:val="22"/>
          <w:lang w:eastAsia="zh-CN"/>
          <w14:ligatures w14:val="standardContextual"/>
        </w:rPr>
      </w:pPr>
      <w:hyperlink w:anchor="_Toc145927546" w:history="1">
        <w:r w:rsidR="006C34CE" w:rsidRPr="00042280">
          <w:rPr>
            <w:rStyle w:val="Hyperlink"/>
            <w:b/>
            <w:noProof/>
          </w:rPr>
          <w:t>3.4.</w:t>
        </w:r>
        <w:r w:rsidR="006C34CE">
          <w:rPr>
            <w:rFonts w:asciiTheme="minorHAnsi" w:eastAsiaTheme="minorEastAsia" w:hAnsiTheme="minorHAnsi" w:cstheme="minorBidi"/>
            <w:noProof/>
            <w:kern w:val="2"/>
            <w:sz w:val="22"/>
            <w:szCs w:val="22"/>
            <w:lang w:eastAsia="zh-CN"/>
            <w14:ligatures w14:val="standardContextual"/>
          </w:rPr>
          <w:tab/>
        </w:r>
        <w:r w:rsidR="006C34CE" w:rsidRPr="00042280">
          <w:rPr>
            <w:rStyle w:val="Hyperlink"/>
            <w:b/>
            <w:noProof/>
          </w:rPr>
          <w:t xml:space="preserve">Discussion 3: </w:t>
        </w:r>
        <w:r w:rsidR="006C34CE" w:rsidRPr="00042280">
          <w:rPr>
            <w:rStyle w:val="Hyperlink"/>
            <w:b/>
            <w:bCs/>
            <w:noProof/>
          </w:rPr>
          <w:t>Morality a nuanced debate</w:t>
        </w:r>
        <w:r w:rsidR="006C34CE">
          <w:rPr>
            <w:noProof/>
            <w:webHidden/>
          </w:rPr>
          <w:tab/>
        </w:r>
        <w:r w:rsidR="006C34CE">
          <w:rPr>
            <w:noProof/>
            <w:webHidden/>
          </w:rPr>
          <w:fldChar w:fldCharType="begin"/>
        </w:r>
        <w:r w:rsidR="006C34CE">
          <w:rPr>
            <w:noProof/>
            <w:webHidden/>
          </w:rPr>
          <w:instrText xml:space="preserve"> PAGEREF _Toc145927546 \h </w:instrText>
        </w:r>
        <w:r w:rsidR="006C34CE">
          <w:rPr>
            <w:noProof/>
            <w:webHidden/>
          </w:rPr>
        </w:r>
        <w:r w:rsidR="006C34CE">
          <w:rPr>
            <w:noProof/>
            <w:webHidden/>
          </w:rPr>
          <w:fldChar w:fldCharType="separate"/>
        </w:r>
        <w:r w:rsidR="001171F7">
          <w:rPr>
            <w:noProof/>
            <w:webHidden/>
          </w:rPr>
          <w:t>54</w:t>
        </w:r>
        <w:r w:rsidR="006C34CE">
          <w:rPr>
            <w:noProof/>
            <w:webHidden/>
          </w:rPr>
          <w:fldChar w:fldCharType="end"/>
        </w:r>
      </w:hyperlink>
    </w:p>
    <w:p w14:paraId="525D0484" w14:textId="272E7EAD" w:rsidR="006C34CE" w:rsidRDefault="00000000">
      <w:pPr>
        <w:pStyle w:val="TOC2"/>
        <w:tabs>
          <w:tab w:val="left" w:pos="880"/>
          <w:tab w:val="right" w:leader="dot" w:pos="8296"/>
        </w:tabs>
        <w:rPr>
          <w:rFonts w:asciiTheme="minorHAnsi" w:eastAsiaTheme="minorEastAsia" w:hAnsiTheme="minorHAnsi" w:cstheme="minorBidi"/>
          <w:noProof/>
          <w:kern w:val="2"/>
          <w:sz w:val="22"/>
          <w:szCs w:val="22"/>
          <w:lang w:eastAsia="zh-CN"/>
          <w14:ligatures w14:val="standardContextual"/>
        </w:rPr>
      </w:pPr>
      <w:hyperlink w:anchor="_Toc145927547" w:history="1">
        <w:r w:rsidR="006C34CE" w:rsidRPr="00042280">
          <w:rPr>
            <w:rStyle w:val="Hyperlink"/>
            <w:b/>
            <w:noProof/>
          </w:rPr>
          <w:t>3.5.</w:t>
        </w:r>
        <w:r w:rsidR="006C34CE">
          <w:rPr>
            <w:rFonts w:asciiTheme="minorHAnsi" w:eastAsiaTheme="minorEastAsia" w:hAnsiTheme="minorHAnsi" w:cstheme="minorBidi"/>
            <w:noProof/>
            <w:kern w:val="2"/>
            <w:sz w:val="22"/>
            <w:szCs w:val="22"/>
            <w:lang w:eastAsia="zh-CN"/>
            <w14:ligatures w14:val="standardContextual"/>
          </w:rPr>
          <w:tab/>
        </w:r>
        <w:r w:rsidR="006C34CE" w:rsidRPr="00042280">
          <w:rPr>
            <w:rStyle w:val="Hyperlink"/>
            <w:b/>
            <w:noProof/>
          </w:rPr>
          <w:t>Discussion 4: Modern day: C</w:t>
        </w:r>
        <w:r w:rsidR="006C34CE" w:rsidRPr="00042280">
          <w:rPr>
            <w:rStyle w:val="Hyperlink"/>
            <w:b/>
            <w:bCs/>
            <w:noProof/>
          </w:rPr>
          <w:t>ultural Imperialism and Homonationalism</w:t>
        </w:r>
        <w:r w:rsidR="006C34CE">
          <w:rPr>
            <w:noProof/>
            <w:webHidden/>
          </w:rPr>
          <w:tab/>
        </w:r>
        <w:r w:rsidR="006C34CE">
          <w:rPr>
            <w:noProof/>
            <w:webHidden/>
          </w:rPr>
          <w:fldChar w:fldCharType="begin"/>
        </w:r>
        <w:r w:rsidR="006C34CE">
          <w:rPr>
            <w:noProof/>
            <w:webHidden/>
          </w:rPr>
          <w:instrText xml:space="preserve"> PAGEREF _Toc145927547 \h </w:instrText>
        </w:r>
        <w:r w:rsidR="006C34CE">
          <w:rPr>
            <w:noProof/>
            <w:webHidden/>
          </w:rPr>
        </w:r>
        <w:r w:rsidR="006C34CE">
          <w:rPr>
            <w:noProof/>
            <w:webHidden/>
          </w:rPr>
          <w:fldChar w:fldCharType="separate"/>
        </w:r>
        <w:r w:rsidR="001171F7">
          <w:rPr>
            <w:noProof/>
            <w:webHidden/>
          </w:rPr>
          <w:t>58</w:t>
        </w:r>
        <w:r w:rsidR="006C34CE">
          <w:rPr>
            <w:noProof/>
            <w:webHidden/>
          </w:rPr>
          <w:fldChar w:fldCharType="end"/>
        </w:r>
      </w:hyperlink>
    </w:p>
    <w:p w14:paraId="55831C3C" w14:textId="4E177C6D" w:rsidR="006C34CE" w:rsidRDefault="00000000">
      <w:pPr>
        <w:pStyle w:val="TOC2"/>
        <w:tabs>
          <w:tab w:val="left" w:pos="880"/>
          <w:tab w:val="right" w:leader="dot" w:pos="8296"/>
        </w:tabs>
        <w:rPr>
          <w:rFonts w:asciiTheme="minorHAnsi" w:eastAsiaTheme="minorEastAsia" w:hAnsiTheme="minorHAnsi" w:cstheme="minorBidi"/>
          <w:noProof/>
          <w:kern w:val="2"/>
          <w:sz w:val="22"/>
          <w:szCs w:val="22"/>
          <w:lang w:eastAsia="zh-CN"/>
          <w14:ligatures w14:val="standardContextual"/>
        </w:rPr>
      </w:pPr>
      <w:hyperlink w:anchor="_Toc145927548" w:history="1">
        <w:r w:rsidR="006C34CE" w:rsidRPr="00042280">
          <w:rPr>
            <w:rStyle w:val="Hyperlink"/>
            <w:b/>
            <w:noProof/>
          </w:rPr>
          <w:t>3.6.</w:t>
        </w:r>
        <w:r w:rsidR="006C34CE">
          <w:rPr>
            <w:rFonts w:asciiTheme="minorHAnsi" w:eastAsiaTheme="minorEastAsia" w:hAnsiTheme="minorHAnsi" w:cstheme="minorBidi"/>
            <w:noProof/>
            <w:kern w:val="2"/>
            <w:sz w:val="22"/>
            <w:szCs w:val="22"/>
            <w:lang w:eastAsia="zh-CN"/>
            <w14:ligatures w14:val="standardContextual"/>
          </w:rPr>
          <w:tab/>
        </w:r>
        <w:r w:rsidR="006C34CE" w:rsidRPr="00042280">
          <w:rPr>
            <w:rStyle w:val="Hyperlink"/>
            <w:b/>
            <w:noProof/>
          </w:rPr>
          <w:t>Conclusion</w:t>
        </w:r>
        <w:r w:rsidR="006C34CE">
          <w:rPr>
            <w:noProof/>
            <w:webHidden/>
          </w:rPr>
          <w:tab/>
        </w:r>
        <w:r w:rsidR="006C34CE">
          <w:rPr>
            <w:noProof/>
            <w:webHidden/>
          </w:rPr>
          <w:fldChar w:fldCharType="begin"/>
        </w:r>
        <w:r w:rsidR="006C34CE">
          <w:rPr>
            <w:noProof/>
            <w:webHidden/>
          </w:rPr>
          <w:instrText xml:space="preserve"> PAGEREF _Toc145927548 \h </w:instrText>
        </w:r>
        <w:r w:rsidR="006C34CE">
          <w:rPr>
            <w:noProof/>
            <w:webHidden/>
          </w:rPr>
        </w:r>
        <w:r w:rsidR="006C34CE">
          <w:rPr>
            <w:noProof/>
            <w:webHidden/>
          </w:rPr>
          <w:fldChar w:fldCharType="separate"/>
        </w:r>
        <w:r w:rsidR="001171F7">
          <w:rPr>
            <w:noProof/>
            <w:webHidden/>
          </w:rPr>
          <w:t>66</w:t>
        </w:r>
        <w:r w:rsidR="006C34CE">
          <w:rPr>
            <w:noProof/>
            <w:webHidden/>
          </w:rPr>
          <w:fldChar w:fldCharType="end"/>
        </w:r>
      </w:hyperlink>
    </w:p>
    <w:p w14:paraId="21DF134C" w14:textId="73F611A2" w:rsidR="006C34CE" w:rsidRDefault="00000000">
      <w:pPr>
        <w:pStyle w:val="TOC1"/>
        <w:tabs>
          <w:tab w:val="left" w:pos="480"/>
          <w:tab w:val="right" w:leader="dot" w:pos="8296"/>
        </w:tabs>
        <w:rPr>
          <w:rFonts w:asciiTheme="minorHAnsi" w:eastAsiaTheme="minorEastAsia" w:hAnsiTheme="minorHAnsi" w:cstheme="minorBidi"/>
          <w:noProof/>
          <w:kern w:val="2"/>
          <w:sz w:val="22"/>
          <w:szCs w:val="22"/>
          <w:lang w:eastAsia="zh-CN"/>
          <w14:ligatures w14:val="standardContextual"/>
        </w:rPr>
      </w:pPr>
      <w:hyperlink w:anchor="_Toc145927549" w:history="1">
        <w:r w:rsidR="006C34CE" w:rsidRPr="00042280">
          <w:rPr>
            <w:rStyle w:val="Hyperlink"/>
            <w:b/>
            <w:noProof/>
          </w:rPr>
          <w:t>4.</w:t>
        </w:r>
        <w:r w:rsidR="006C34CE">
          <w:rPr>
            <w:rFonts w:asciiTheme="minorHAnsi" w:eastAsiaTheme="minorEastAsia" w:hAnsiTheme="minorHAnsi" w:cstheme="minorBidi"/>
            <w:noProof/>
            <w:kern w:val="2"/>
            <w:sz w:val="22"/>
            <w:szCs w:val="22"/>
            <w:lang w:eastAsia="zh-CN"/>
            <w14:ligatures w14:val="standardContextual"/>
          </w:rPr>
          <w:tab/>
        </w:r>
        <w:r w:rsidR="006C34CE" w:rsidRPr="00042280">
          <w:rPr>
            <w:rStyle w:val="Hyperlink"/>
            <w:b/>
            <w:noProof/>
          </w:rPr>
          <w:t>REFERENCES</w:t>
        </w:r>
        <w:r w:rsidR="006C34CE">
          <w:rPr>
            <w:noProof/>
            <w:webHidden/>
          </w:rPr>
          <w:tab/>
        </w:r>
        <w:r w:rsidR="006C34CE">
          <w:rPr>
            <w:noProof/>
            <w:webHidden/>
          </w:rPr>
          <w:fldChar w:fldCharType="begin"/>
        </w:r>
        <w:r w:rsidR="006C34CE">
          <w:rPr>
            <w:noProof/>
            <w:webHidden/>
          </w:rPr>
          <w:instrText xml:space="preserve"> PAGEREF _Toc145927549 \h </w:instrText>
        </w:r>
        <w:r w:rsidR="006C34CE">
          <w:rPr>
            <w:noProof/>
            <w:webHidden/>
          </w:rPr>
        </w:r>
        <w:r w:rsidR="006C34CE">
          <w:rPr>
            <w:noProof/>
            <w:webHidden/>
          </w:rPr>
          <w:fldChar w:fldCharType="separate"/>
        </w:r>
        <w:r w:rsidR="001171F7">
          <w:rPr>
            <w:noProof/>
            <w:webHidden/>
          </w:rPr>
          <w:t>72</w:t>
        </w:r>
        <w:r w:rsidR="006C34CE">
          <w:rPr>
            <w:noProof/>
            <w:webHidden/>
          </w:rPr>
          <w:fldChar w:fldCharType="end"/>
        </w:r>
      </w:hyperlink>
    </w:p>
    <w:p w14:paraId="05F41ADD" w14:textId="652097A0" w:rsidR="006C34CE" w:rsidRDefault="00000000">
      <w:pPr>
        <w:pStyle w:val="TOC2"/>
        <w:tabs>
          <w:tab w:val="left" w:pos="880"/>
          <w:tab w:val="right" w:leader="dot" w:pos="8296"/>
        </w:tabs>
        <w:rPr>
          <w:rFonts w:asciiTheme="minorHAnsi" w:eastAsiaTheme="minorEastAsia" w:hAnsiTheme="minorHAnsi" w:cstheme="minorBidi"/>
          <w:noProof/>
          <w:kern w:val="2"/>
          <w:sz w:val="22"/>
          <w:szCs w:val="22"/>
          <w:lang w:eastAsia="zh-CN"/>
          <w14:ligatures w14:val="standardContextual"/>
        </w:rPr>
      </w:pPr>
      <w:hyperlink w:anchor="_Toc145927550" w:history="1">
        <w:r w:rsidR="006C34CE" w:rsidRPr="00042280">
          <w:rPr>
            <w:rStyle w:val="Hyperlink"/>
            <w:b/>
            <w:noProof/>
          </w:rPr>
          <w:t>4.1.</w:t>
        </w:r>
        <w:r w:rsidR="006C34CE">
          <w:rPr>
            <w:rFonts w:asciiTheme="minorHAnsi" w:eastAsiaTheme="minorEastAsia" w:hAnsiTheme="minorHAnsi" w:cstheme="minorBidi"/>
            <w:noProof/>
            <w:kern w:val="2"/>
            <w:sz w:val="22"/>
            <w:szCs w:val="22"/>
            <w:lang w:eastAsia="zh-CN"/>
            <w14:ligatures w14:val="standardContextual"/>
          </w:rPr>
          <w:tab/>
        </w:r>
        <w:r w:rsidR="006C34CE" w:rsidRPr="00042280">
          <w:rPr>
            <w:rStyle w:val="Hyperlink"/>
            <w:b/>
            <w:noProof/>
          </w:rPr>
          <w:t>Appendix 1: Ethics Form</w:t>
        </w:r>
        <w:r w:rsidR="006C34CE">
          <w:rPr>
            <w:noProof/>
            <w:webHidden/>
          </w:rPr>
          <w:tab/>
        </w:r>
        <w:r w:rsidR="006C34CE">
          <w:rPr>
            <w:noProof/>
            <w:webHidden/>
          </w:rPr>
          <w:fldChar w:fldCharType="begin"/>
        </w:r>
        <w:r w:rsidR="006C34CE">
          <w:rPr>
            <w:noProof/>
            <w:webHidden/>
          </w:rPr>
          <w:instrText xml:space="preserve"> PAGEREF _Toc145927550 \h </w:instrText>
        </w:r>
        <w:r w:rsidR="006C34CE">
          <w:rPr>
            <w:noProof/>
            <w:webHidden/>
          </w:rPr>
        </w:r>
        <w:r w:rsidR="006C34CE">
          <w:rPr>
            <w:noProof/>
            <w:webHidden/>
          </w:rPr>
          <w:fldChar w:fldCharType="separate"/>
        </w:r>
        <w:r w:rsidR="001171F7">
          <w:rPr>
            <w:noProof/>
            <w:webHidden/>
          </w:rPr>
          <w:t>92</w:t>
        </w:r>
        <w:r w:rsidR="006C34CE">
          <w:rPr>
            <w:noProof/>
            <w:webHidden/>
          </w:rPr>
          <w:fldChar w:fldCharType="end"/>
        </w:r>
      </w:hyperlink>
    </w:p>
    <w:p w14:paraId="00B73202" w14:textId="10B08BFB" w:rsidR="006C34CE" w:rsidRDefault="00000000">
      <w:pPr>
        <w:pStyle w:val="TOC2"/>
        <w:tabs>
          <w:tab w:val="left" w:pos="880"/>
          <w:tab w:val="right" w:leader="dot" w:pos="8296"/>
        </w:tabs>
        <w:rPr>
          <w:rFonts w:asciiTheme="minorHAnsi" w:eastAsiaTheme="minorEastAsia" w:hAnsiTheme="minorHAnsi" w:cstheme="minorBidi"/>
          <w:noProof/>
          <w:kern w:val="2"/>
          <w:sz w:val="22"/>
          <w:szCs w:val="22"/>
          <w:lang w:eastAsia="zh-CN"/>
          <w14:ligatures w14:val="standardContextual"/>
        </w:rPr>
      </w:pPr>
      <w:hyperlink w:anchor="_Toc145927551" w:history="1">
        <w:r w:rsidR="006C34CE" w:rsidRPr="00042280">
          <w:rPr>
            <w:rStyle w:val="Hyperlink"/>
            <w:b/>
            <w:noProof/>
          </w:rPr>
          <w:t>4.2.</w:t>
        </w:r>
        <w:r w:rsidR="006C34CE">
          <w:rPr>
            <w:rFonts w:asciiTheme="minorHAnsi" w:eastAsiaTheme="minorEastAsia" w:hAnsiTheme="minorHAnsi" w:cstheme="minorBidi"/>
            <w:noProof/>
            <w:kern w:val="2"/>
            <w:sz w:val="22"/>
            <w:szCs w:val="22"/>
            <w:lang w:eastAsia="zh-CN"/>
            <w14:ligatures w14:val="standardContextual"/>
          </w:rPr>
          <w:tab/>
        </w:r>
        <w:r w:rsidR="006C34CE" w:rsidRPr="00042280">
          <w:rPr>
            <w:rStyle w:val="Hyperlink"/>
            <w:b/>
            <w:noProof/>
          </w:rPr>
          <w:t>Appendix2: Proposal</w:t>
        </w:r>
        <w:r w:rsidR="006C34CE">
          <w:rPr>
            <w:noProof/>
            <w:webHidden/>
          </w:rPr>
          <w:tab/>
        </w:r>
        <w:r w:rsidR="006C34CE">
          <w:rPr>
            <w:noProof/>
            <w:webHidden/>
          </w:rPr>
          <w:fldChar w:fldCharType="begin"/>
        </w:r>
        <w:r w:rsidR="006C34CE">
          <w:rPr>
            <w:noProof/>
            <w:webHidden/>
          </w:rPr>
          <w:instrText xml:space="preserve"> PAGEREF _Toc145927551 \h </w:instrText>
        </w:r>
        <w:r w:rsidR="006C34CE">
          <w:rPr>
            <w:noProof/>
            <w:webHidden/>
          </w:rPr>
        </w:r>
        <w:r w:rsidR="006C34CE">
          <w:rPr>
            <w:noProof/>
            <w:webHidden/>
          </w:rPr>
          <w:fldChar w:fldCharType="separate"/>
        </w:r>
        <w:r w:rsidR="001171F7">
          <w:rPr>
            <w:noProof/>
            <w:webHidden/>
          </w:rPr>
          <w:t>106</w:t>
        </w:r>
        <w:r w:rsidR="006C34CE">
          <w:rPr>
            <w:noProof/>
            <w:webHidden/>
          </w:rPr>
          <w:fldChar w:fldCharType="end"/>
        </w:r>
      </w:hyperlink>
    </w:p>
    <w:p w14:paraId="1EC72F76" w14:textId="0F06202A" w:rsidR="005E060A" w:rsidRDefault="005E060A" w:rsidP="005E060A">
      <w:pPr>
        <w:spacing w:line="480" w:lineRule="auto"/>
        <w:rPr>
          <w:b/>
        </w:rPr>
      </w:pPr>
      <w:r>
        <w:rPr>
          <w:b/>
        </w:rPr>
        <w:fldChar w:fldCharType="end"/>
      </w:r>
    </w:p>
    <w:p w14:paraId="5A748FA4" w14:textId="77777777" w:rsidR="0083215B" w:rsidRPr="0083215B" w:rsidRDefault="0083215B" w:rsidP="005E060A">
      <w:pPr>
        <w:spacing w:line="480" w:lineRule="auto"/>
        <w:rPr>
          <w:b/>
        </w:rPr>
      </w:pPr>
    </w:p>
    <w:p w14:paraId="44B7753F" w14:textId="77777777" w:rsidR="006C4A4D" w:rsidRDefault="0014719A" w:rsidP="00794079">
      <w:pPr>
        <w:spacing w:line="480" w:lineRule="auto"/>
        <w:rPr>
          <w:b/>
        </w:rPr>
      </w:pPr>
      <w:r>
        <w:rPr>
          <w:b/>
        </w:rPr>
        <w:br w:type="page"/>
      </w:r>
      <w:r w:rsidR="006C4A4D">
        <w:rPr>
          <w:b/>
        </w:rPr>
        <w:lastRenderedPageBreak/>
        <w:t xml:space="preserve">ACKNOWLEDGEMENTS </w:t>
      </w:r>
    </w:p>
    <w:p w14:paraId="4D19D697" w14:textId="7E2858ED" w:rsidR="0014719A" w:rsidRPr="00307613" w:rsidRDefault="000A20A7" w:rsidP="0014719A">
      <w:pPr>
        <w:spacing w:line="360" w:lineRule="auto"/>
        <w:ind w:hanging="2"/>
        <w:jc w:val="center"/>
        <w:rPr>
          <w:i/>
        </w:rPr>
      </w:pPr>
      <w:r w:rsidRPr="00307613">
        <w:rPr>
          <w:i/>
        </w:rPr>
        <w:t>I would like to thank</w:t>
      </w:r>
      <w:r w:rsidR="00E537D3" w:rsidRPr="00307613">
        <w:rPr>
          <w:i/>
        </w:rPr>
        <w:t xml:space="preserve"> Professor</w:t>
      </w:r>
      <w:r w:rsidRPr="00307613">
        <w:rPr>
          <w:i/>
        </w:rPr>
        <w:t xml:space="preserve"> Caroline L</w:t>
      </w:r>
      <w:r w:rsidR="001D516B" w:rsidRPr="00307613">
        <w:rPr>
          <w:i/>
        </w:rPr>
        <w:t>ohmann-Hancock</w:t>
      </w:r>
      <w:r w:rsidRPr="00307613">
        <w:rPr>
          <w:i/>
        </w:rPr>
        <w:t xml:space="preserve">, Ken Dicks and </w:t>
      </w:r>
      <w:r w:rsidR="00106A4C" w:rsidRPr="00307613">
        <w:rPr>
          <w:i/>
        </w:rPr>
        <w:t xml:space="preserve">Phil </w:t>
      </w:r>
      <w:r w:rsidR="001D516B" w:rsidRPr="00307613">
        <w:rPr>
          <w:i/>
        </w:rPr>
        <w:t>Morgan for guiding me during the MA Equity and Diversity in Society at the University of Wales Trinity St Davids</w:t>
      </w:r>
    </w:p>
    <w:p w14:paraId="3FD60082" w14:textId="77777777" w:rsidR="001D516B" w:rsidRPr="00307613" w:rsidRDefault="001D516B" w:rsidP="0014719A">
      <w:pPr>
        <w:spacing w:line="360" w:lineRule="auto"/>
        <w:ind w:hanging="2"/>
        <w:jc w:val="center"/>
        <w:rPr>
          <w:i/>
        </w:rPr>
      </w:pPr>
    </w:p>
    <w:p w14:paraId="4BAD8A3A" w14:textId="493D241B" w:rsidR="00106A4C" w:rsidRPr="00307613" w:rsidRDefault="00106A4C" w:rsidP="0014719A">
      <w:pPr>
        <w:spacing w:line="360" w:lineRule="auto"/>
        <w:ind w:hanging="2"/>
        <w:jc w:val="center"/>
        <w:rPr>
          <w:i/>
        </w:rPr>
      </w:pPr>
      <w:r w:rsidRPr="00307613">
        <w:rPr>
          <w:i/>
        </w:rPr>
        <w:t>My</w:t>
      </w:r>
      <w:r w:rsidR="00F462C5" w:rsidRPr="00307613">
        <w:rPr>
          <w:i/>
        </w:rPr>
        <w:t xml:space="preserve"> civil</w:t>
      </w:r>
      <w:r w:rsidRPr="00307613">
        <w:rPr>
          <w:i/>
        </w:rPr>
        <w:t xml:space="preserve"> partner CJ who gave me encouragement, space and time for me to </w:t>
      </w:r>
      <w:r w:rsidR="009D312C" w:rsidRPr="00307613">
        <w:rPr>
          <w:i/>
        </w:rPr>
        <w:t>pursue</w:t>
      </w:r>
      <w:r w:rsidRPr="00307613">
        <w:rPr>
          <w:i/>
        </w:rPr>
        <w:t xml:space="preserve"> my academic interests</w:t>
      </w:r>
      <w:r w:rsidR="00BB65D1" w:rsidRPr="00307613">
        <w:rPr>
          <w:i/>
        </w:rPr>
        <w:t>.</w:t>
      </w:r>
    </w:p>
    <w:p w14:paraId="72B6C8A8" w14:textId="77777777" w:rsidR="00BB65D1" w:rsidRPr="00307613" w:rsidRDefault="00BB65D1" w:rsidP="0014719A">
      <w:pPr>
        <w:spacing w:line="360" w:lineRule="auto"/>
        <w:ind w:hanging="2"/>
        <w:jc w:val="center"/>
        <w:rPr>
          <w:i/>
        </w:rPr>
      </w:pPr>
    </w:p>
    <w:p w14:paraId="5D22D4EA" w14:textId="0DDC3641" w:rsidR="00106A4C" w:rsidRPr="00307613" w:rsidRDefault="00106A4C" w:rsidP="0014719A">
      <w:pPr>
        <w:spacing w:line="360" w:lineRule="auto"/>
        <w:ind w:hanging="2"/>
        <w:jc w:val="center"/>
        <w:rPr>
          <w:i/>
        </w:rPr>
      </w:pPr>
      <w:r w:rsidRPr="00307613">
        <w:rPr>
          <w:i/>
        </w:rPr>
        <w:t>Friends and Family wh</w:t>
      </w:r>
      <w:r w:rsidR="00F462C5" w:rsidRPr="00307613">
        <w:rPr>
          <w:i/>
        </w:rPr>
        <w:t>ich (if they wanted to or not) listened to my ramblings about my dissertation</w:t>
      </w:r>
      <w:r w:rsidR="00BB65D1" w:rsidRPr="00307613">
        <w:rPr>
          <w:i/>
        </w:rPr>
        <w:t xml:space="preserve"> and course.</w:t>
      </w:r>
    </w:p>
    <w:p w14:paraId="3508081F" w14:textId="77777777" w:rsidR="00F462C5" w:rsidRPr="00307613" w:rsidRDefault="00F462C5" w:rsidP="0014719A">
      <w:pPr>
        <w:spacing w:line="360" w:lineRule="auto"/>
        <w:ind w:hanging="2"/>
        <w:jc w:val="center"/>
        <w:rPr>
          <w:i/>
        </w:rPr>
      </w:pPr>
    </w:p>
    <w:p w14:paraId="11C70A45" w14:textId="1E2915D8" w:rsidR="00F462C5" w:rsidRPr="00307613" w:rsidRDefault="00F462C5" w:rsidP="0014719A">
      <w:pPr>
        <w:spacing w:line="360" w:lineRule="auto"/>
        <w:ind w:hanging="2"/>
        <w:jc w:val="center"/>
        <w:rPr>
          <w:i/>
        </w:rPr>
      </w:pPr>
      <w:r w:rsidRPr="00307613">
        <w:rPr>
          <w:i/>
        </w:rPr>
        <w:t xml:space="preserve">I also dedicate this dissertation to all the </w:t>
      </w:r>
      <w:r w:rsidR="00E533C8" w:rsidRPr="00307613">
        <w:rPr>
          <w:i/>
        </w:rPr>
        <w:t>LGBTQIA+ people around the worl</w:t>
      </w:r>
      <w:r w:rsidR="006875C8" w:rsidRPr="00307613">
        <w:rPr>
          <w:i/>
        </w:rPr>
        <w:t>d, those that have been before us and those yet to come, to</w:t>
      </w:r>
      <w:r w:rsidR="00BB65D1" w:rsidRPr="00307613">
        <w:rPr>
          <w:i/>
        </w:rPr>
        <w:t xml:space="preserve"> continue to</w:t>
      </w:r>
      <w:r w:rsidR="006875C8" w:rsidRPr="00307613">
        <w:rPr>
          <w:i/>
        </w:rPr>
        <w:t xml:space="preserve"> fight for LGBTQIA+ rights and create and fairer and more equitable world. </w:t>
      </w:r>
    </w:p>
    <w:p w14:paraId="734A3D7D" w14:textId="77777777" w:rsidR="003739F1" w:rsidRDefault="003739F1" w:rsidP="0014719A">
      <w:pPr>
        <w:spacing w:line="360" w:lineRule="auto"/>
        <w:ind w:hanging="2"/>
        <w:jc w:val="center"/>
      </w:pPr>
    </w:p>
    <w:p w14:paraId="0225CE10" w14:textId="77777777" w:rsidR="006C4A4D" w:rsidRPr="005E060A" w:rsidRDefault="006C4A4D" w:rsidP="006C4A4D">
      <w:pPr>
        <w:spacing w:line="360" w:lineRule="auto"/>
        <w:rPr>
          <w:b/>
          <w:i/>
        </w:rPr>
      </w:pPr>
    </w:p>
    <w:p w14:paraId="7F5EF3C8" w14:textId="77777777" w:rsidR="005E060A" w:rsidRDefault="006C4A4D" w:rsidP="006C4A4D">
      <w:pPr>
        <w:spacing w:line="480" w:lineRule="auto"/>
        <w:outlineLvl w:val="0"/>
        <w:rPr>
          <w:b/>
        </w:rPr>
      </w:pPr>
      <w:r>
        <w:rPr>
          <w:b/>
        </w:rPr>
        <w:br w:type="page"/>
      </w:r>
      <w:bookmarkStart w:id="2" w:name="_Toc145927532"/>
      <w:r w:rsidR="00BA7FED">
        <w:rPr>
          <w:b/>
        </w:rPr>
        <w:lastRenderedPageBreak/>
        <w:t>ABSTRACT</w:t>
      </w:r>
      <w:bookmarkEnd w:id="2"/>
    </w:p>
    <w:p w14:paraId="4C73256A" w14:textId="6B9F2C1E" w:rsidR="00F16DA8" w:rsidRPr="00307613" w:rsidRDefault="00AE586C" w:rsidP="0014719A">
      <w:pPr>
        <w:spacing w:line="360" w:lineRule="auto"/>
        <w:ind w:hanging="2"/>
        <w:jc w:val="both"/>
        <w:rPr>
          <w:i/>
        </w:rPr>
      </w:pPr>
      <w:r w:rsidRPr="00307613">
        <w:rPr>
          <w:i/>
        </w:rPr>
        <w:t xml:space="preserve">This dissertation critically examines the complex and multifaceted issues surrounding the impact of British Colonialism on LGBTQIA+ people in former </w:t>
      </w:r>
      <w:r w:rsidR="00BD3430">
        <w:rPr>
          <w:i/>
        </w:rPr>
        <w:t>British Colonies</w:t>
      </w:r>
      <w:r w:rsidR="00514830" w:rsidRPr="00307613">
        <w:rPr>
          <w:i/>
        </w:rPr>
        <w:t xml:space="preserve">. While the effects of colonialism on marginalised groups </w:t>
      </w:r>
      <w:r w:rsidR="00D21532" w:rsidRPr="00307613">
        <w:rPr>
          <w:i/>
        </w:rPr>
        <w:t>have</w:t>
      </w:r>
      <w:r w:rsidR="00514830" w:rsidRPr="00307613">
        <w:rPr>
          <w:i/>
        </w:rPr>
        <w:t xml:space="preserve"> been extensively studied, the </w:t>
      </w:r>
      <w:r w:rsidR="00E070C5" w:rsidRPr="00307613">
        <w:rPr>
          <w:i/>
        </w:rPr>
        <w:t>impact</w:t>
      </w:r>
      <w:r w:rsidR="00BD3430">
        <w:rPr>
          <w:i/>
        </w:rPr>
        <w:t>s</w:t>
      </w:r>
      <w:r w:rsidR="00E070C5" w:rsidRPr="00307613">
        <w:rPr>
          <w:i/>
        </w:rPr>
        <w:t xml:space="preserve"> on LGBTQIA+ people </w:t>
      </w:r>
      <w:r w:rsidR="00737178" w:rsidRPr="00307613">
        <w:rPr>
          <w:i/>
        </w:rPr>
        <w:t>have</w:t>
      </w:r>
      <w:r w:rsidR="00E070C5" w:rsidRPr="00307613">
        <w:rPr>
          <w:i/>
        </w:rPr>
        <w:t xml:space="preserve"> </w:t>
      </w:r>
      <w:r w:rsidR="00BD3430">
        <w:rPr>
          <w:i/>
        </w:rPr>
        <w:t xml:space="preserve">had </w:t>
      </w:r>
      <w:r w:rsidR="00E070C5" w:rsidRPr="00307613">
        <w:rPr>
          <w:i/>
        </w:rPr>
        <w:t>received less attention</w:t>
      </w:r>
      <w:r w:rsidR="00C42888" w:rsidRPr="00C42888">
        <w:rPr>
          <w:i/>
        </w:rPr>
        <w:t xml:space="preserve"> (Stoler, 1995; Morgensen, 2010; Wolfe, 2006)</w:t>
      </w:r>
      <w:r w:rsidR="00E070C5" w:rsidRPr="00C42888">
        <w:rPr>
          <w:i/>
        </w:rPr>
        <w:t xml:space="preserve">. </w:t>
      </w:r>
      <w:r w:rsidR="00E070C5" w:rsidRPr="00307613">
        <w:rPr>
          <w:i/>
        </w:rPr>
        <w:t xml:space="preserve">This study aims to shed light on the ongoing struggles </w:t>
      </w:r>
      <w:r w:rsidR="00896DA2" w:rsidRPr="00307613">
        <w:rPr>
          <w:i/>
        </w:rPr>
        <w:t xml:space="preserve">faced by LGBTQIA+ people in former </w:t>
      </w:r>
      <w:r w:rsidR="00BA2220">
        <w:rPr>
          <w:i/>
        </w:rPr>
        <w:t xml:space="preserve">British Colonies </w:t>
      </w:r>
      <w:r w:rsidR="00896DA2" w:rsidRPr="00307613">
        <w:rPr>
          <w:i/>
        </w:rPr>
        <w:t xml:space="preserve">and the </w:t>
      </w:r>
      <w:r w:rsidR="00BD3430">
        <w:rPr>
          <w:i/>
        </w:rPr>
        <w:t>urgency</w:t>
      </w:r>
      <w:r w:rsidR="00896DA2" w:rsidRPr="00307613">
        <w:rPr>
          <w:i/>
        </w:rPr>
        <w:t xml:space="preserve"> of addressing the legacy of colonialism</w:t>
      </w:r>
      <w:r w:rsidR="007F454B">
        <w:rPr>
          <w:i/>
        </w:rPr>
        <w:t xml:space="preserve">. </w:t>
      </w:r>
    </w:p>
    <w:p w14:paraId="661DB5C8" w14:textId="77777777" w:rsidR="00896DA2" w:rsidRPr="00307613" w:rsidRDefault="00896DA2" w:rsidP="0014719A">
      <w:pPr>
        <w:spacing w:line="360" w:lineRule="auto"/>
        <w:ind w:hanging="2"/>
        <w:jc w:val="both"/>
        <w:rPr>
          <w:i/>
        </w:rPr>
      </w:pPr>
    </w:p>
    <w:p w14:paraId="7FCD92C4" w14:textId="60A78E50" w:rsidR="00896DA2" w:rsidRPr="00307613" w:rsidRDefault="002036CE" w:rsidP="0014719A">
      <w:pPr>
        <w:spacing w:line="360" w:lineRule="auto"/>
        <w:ind w:hanging="2"/>
        <w:jc w:val="both"/>
        <w:rPr>
          <w:i/>
        </w:rPr>
      </w:pPr>
      <w:r w:rsidRPr="00307613">
        <w:rPr>
          <w:i/>
        </w:rPr>
        <w:t xml:space="preserve">Drawing on historical and contemporary sources, this dissertation employs </w:t>
      </w:r>
      <w:r w:rsidR="00FC7D34">
        <w:rPr>
          <w:i/>
        </w:rPr>
        <w:t xml:space="preserve">and explores </w:t>
      </w:r>
      <w:r w:rsidRPr="00307613">
        <w:rPr>
          <w:i/>
        </w:rPr>
        <w:t xml:space="preserve">sociological concepts of </w:t>
      </w:r>
      <w:r w:rsidR="00BD3430">
        <w:rPr>
          <w:i/>
        </w:rPr>
        <w:t>Othering</w:t>
      </w:r>
      <w:r w:rsidRPr="00307613">
        <w:rPr>
          <w:i/>
        </w:rPr>
        <w:t xml:space="preserve"> </w:t>
      </w:r>
      <w:r w:rsidR="00243735">
        <w:rPr>
          <w:i/>
        </w:rPr>
        <w:t>as define</w:t>
      </w:r>
      <w:r w:rsidR="00FC7D34">
        <w:rPr>
          <w:i/>
        </w:rPr>
        <w:t>d by Hegel (</w:t>
      </w:r>
      <w:r w:rsidR="00C961A2">
        <w:rPr>
          <w:i/>
        </w:rPr>
        <w:t>1977</w:t>
      </w:r>
      <w:r w:rsidR="00FC7D34">
        <w:rPr>
          <w:i/>
        </w:rPr>
        <w:t xml:space="preserve">); </w:t>
      </w:r>
      <w:r w:rsidR="005A456E">
        <w:rPr>
          <w:i/>
        </w:rPr>
        <w:t>Beauvoir</w:t>
      </w:r>
      <w:r w:rsidR="00FC7D34">
        <w:rPr>
          <w:i/>
        </w:rPr>
        <w:t xml:space="preserve"> (</w:t>
      </w:r>
      <w:r w:rsidR="0049355E">
        <w:rPr>
          <w:i/>
        </w:rPr>
        <w:t>2011</w:t>
      </w:r>
      <w:r w:rsidR="00FC7D34">
        <w:rPr>
          <w:i/>
        </w:rPr>
        <w:t>) and Fanon (</w:t>
      </w:r>
      <w:r w:rsidR="0049355E">
        <w:rPr>
          <w:i/>
        </w:rPr>
        <w:t>1987</w:t>
      </w:r>
      <w:r w:rsidR="00FC7D34">
        <w:rPr>
          <w:i/>
        </w:rPr>
        <w:t xml:space="preserve">) </w:t>
      </w:r>
      <w:r w:rsidRPr="00307613">
        <w:rPr>
          <w:i/>
        </w:rPr>
        <w:t>and</w:t>
      </w:r>
      <w:r w:rsidR="00FC7D34">
        <w:rPr>
          <w:i/>
        </w:rPr>
        <w:t xml:space="preserve"> a Foucauldian lens to</w:t>
      </w:r>
      <w:r w:rsidRPr="00307613">
        <w:rPr>
          <w:i/>
        </w:rPr>
        <w:t xml:space="preserve"> power dynamics</w:t>
      </w:r>
      <w:r w:rsidR="00FC7D34">
        <w:rPr>
          <w:i/>
        </w:rPr>
        <w:t xml:space="preserve"> (Foucault</w:t>
      </w:r>
      <w:r w:rsidR="005A456E">
        <w:rPr>
          <w:i/>
        </w:rPr>
        <w:t xml:space="preserve">, </w:t>
      </w:r>
      <w:r w:rsidR="00DC5173">
        <w:rPr>
          <w:i/>
        </w:rPr>
        <w:t>2008</w:t>
      </w:r>
      <w:r w:rsidR="005A456E">
        <w:rPr>
          <w:i/>
        </w:rPr>
        <w:t>)</w:t>
      </w:r>
      <w:r w:rsidRPr="00307613">
        <w:rPr>
          <w:i/>
        </w:rPr>
        <w:t xml:space="preserve"> to investigate how the British Empire controlled Indigenous People’s sexual orientation and gender identit</w:t>
      </w:r>
      <w:r w:rsidR="00C60FE6" w:rsidRPr="00307613">
        <w:rPr>
          <w:i/>
        </w:rPr>
        <w:t>y</w:t>
      </w:r>
      <w:r w:rsidR="00CE3B46">
        <w:rPr>
          <w:i/>
        </w:rPr>
        <w:t>.</w:t>
      </w:r>
      <w:r w:rsidR="00BA0F79">
        <w:t xml:space="preserve"> </w:t>
      </w:r>
      <w:r w:rsidR="00695181">
        <w:t xml:space="preserve"> </w:t>
      </w:r>
      <w:r w:rsidR="00BD3430">
        <w:rPr>
          <w:i/>
        </w:rPr>
        <w:t>It also explores</w:t>
      </w:r>
      <w:r w:rsidR="005B4B9B">
        <w:rPr>
          <w:i/>
        </w:rPr>
        <w:t xml:space="preserve">, </w:t>
      </w:r>
      <w:r w:rsidR="00D21532" w:rsidRPr="00307613">
        <w:rPr>
          <w:i/>
        </w:rPr>
        <w:t>t</w:t>
      </w:r>
      <w:r w:rsidR="00C60FE6" w:rsidRPr="00307613">
        <w:rPr>
          <w:i/>
        </w:rPr>
        <w:t xml:space="preserve">he influence Christian </w:t>
      </w:r>
      <w:r w:rsidR="00BD3430">
        <w:rPr>
          <w:i/>
        </w:rPr>
        <w:t>m</w:t>
      </w:r>
      <w:r w:rsidR="00C60FE6" w:rsidRPr="00307613">
        <w:rPr>
          <w:i/>
        </w:rPr>
        <w:t>orality</w:t>
      </w:r>
      <w:r w:rsidR="00CE3B46">
        <w:rPr>
          <w:i/>
        </w:rPr>
        <w:t xml:space="preserve"> (Andrews, 2009)</w:t>
      </w:r>
      <w:r w:rsidR="00C60FE6" w:rsidRPr="00307613">
        <w:rPr>
          <w:i/>
        </w:rPr>
        <w:t xml:space="preserve"> </w:t>
      </w:r>
      <w:r w:rsidR="005B4B9B">
        <w:rPr>
          <w:i/>
        </w:rPr>
        <w:t xml:space="preserve">had </w:t>
      </w:r>
      <w:r w:rsidR="00C60FE6" w:rsidRPr="00307613">
        <w:rPr>
          <w:i/>
        </w:rPr>
        <w:t>on anti-LGBTQIA</w:t>
      </w:r>
      <w:r w:rsidR="005B4B9B" w:rsidRPr="00307613">
        <w:rPr>
          <w:i/>
        </w:rPr>
        <w:t>+ legislation</w:t>
      </w:r>
      <w:r w:rsidR="00C60FE6" w:rsidRPr="00307613">
        <w:rPr>
          <w:i/>
        </w:rPr>
        <w:t xml:space="preserve"> in former </w:t>
      </w:r>
      <w:r w:rsidR="00BA2220">
        <w:rPr>
          <w:i/>
        </w:rPr>
        <w:t xml:space="preserve">British Colonies </w:t>
      </w:r>
      <w:r w:rsidR="005168E2" w:rsidRPr="00307613">
        <w:rPr>
          <w:i/>
        </w:rPr>
        <w:t xml:space="preserve">and its impact </w:t>
      </w:r>
      <w:r w:rsidR="000C2687" w:rsidRPr="00307613">
        <w:rPr>
          <w:i/>
        </w:rPr>
        <w:t xml:space="preserve">on </w:t>
      </w:r>
      <w:r w:rsidR="00BD3430">
        <w:rPr>
          <w:i/>
        </w:rPr>
        <w:t>the</w:t>
      </w:r>
      <w:r w:rsidR="0042243B">
        <w:rPr>
          <w:i/>
        </w:rPr>
        <w:t>ir</w:t>
      </w:r>
      <w:r w:rsidR="00BD3430">
        <w:rPr>
          <w:i/>
        </w:rPr>
        <w:t xml:space="preserve"> </w:t>
      </w:r>
      <w:r w:rsidR="000C2687" w:rsidRPr="00307613">
        <w:rPr>
          <w:i/>
        </w:rPr>
        <w:t>current LGBTQIA+ rights</w:t>
      </w:r>
      <w:r w:rsidR="00BD3430">
        <w:rPr>
          <w:i/>
        </w:rPr>
        <w:t>.</w:t>
      </w:r>
      <w:r w:rsidR="005A456E">
        <w:rPr>
          <w:i/>
        </w:rPr>
        <w:t xml:space="preserve"> </w:t>
      </w:r>
    </w:p>
    <w:p w14:paraId="1AE8481C" w14:textId="77777777" w:rsidR="000C2687" w:rsidRPr="00307613" w:rsidRDefault="000C2687" w:rsidP="0014719A">
      <w:pPr>
        <w:spacing w:line="360" w:lineRule="auto"/>
        <w:ind w:hanging="2"/>
        <w:jc w:val="both"/>
        <w:rPr>
          <w:i/>
        </w:rPr>
      </w:pPr>
    </w:p>
    <w:p w14:paraId="71E91E97" w14:textId="0D1E88D1" w:rsidR="003E4813" w:rsidRPr="00307613" w:rsidRDefault="003E4813" w:rsidP="0014719A">
      <w:pPr>
        <w:spacing w:line="360" w:lineRule="auto"/>
        <w:ind w:hanging="2"/>
        <w:jc w:val="both"/>
        <w:rPr>
          <w:i/>
        </w:rPr>
      </w:pPr>
      <w:r w:rsidRPr="00307613">
        <w:rPr>
          <w:i/>
        </w:rPr>
        <w:t xml:space="preserve">The study reveals </w:t>
      </w:r>
      <w:r w:rsidR="002352A3" w:rsidRPr="00307613">
        <w:rPr>
          <w:i/>
        </w:rPr>
        <w:t>how British Colonisers controlled sexuality and gender identity as a form of biopower to regulate and control LGBTQIA+ identities</w:t>
      </w:r>
      <w:r w:rsidR="005A456E">
        <w:rPr>
          <w:i/>
        </w:rPr>
        <w:t xml:space="preserve"> (</w:t>
      </w:r>
      <w:r w:rsidR="00CE3B46">
        <w:rPr>
          <w:i/>
        </w:rPr>
        <w:t xml:space="preserve">Stoler, 1995; </w:t>
      </w:r>
      <w:r w:rsidR="00CE3B46" w:rsidRPr="00CE3B46">
        <w:rPr>
          <w:i/>
          <w:iCs/>
        </w:rPr>
        <w:t>Morgensen, 2010; Wolfe, 2006</w:t>
      </w:r>
      <w:r w:rsidR="005A456E">
        <w:rPr>
          <w:i/>
        </w:rPr>
        <w:t>)</w:t>
      </w:r>
      <w:r w:rsidR="00A60A04" w:rsidRPr="00307613">
        <w:rPr>
          <w:i/>
        </w:rPr>
        <w:t>. Using morality as a justification</w:t>
      </w:r>
      <w:r w:rsidR="00AE5051" w:rsidRPr="00307613">
        <w:rPr>
          <w:i/>
        </w:rPr>
        <w:t>,</w:t>
      </w:r>
      <w:r w:rsidR="00A60A04" w:rsidRPr="00307613">
        <w:rPr>
          <w:i/>
        </w:rPr>
        <w:t xml:space="preserve"> the British were able to </w:t>
      </w:r>
      <w:r w:rsidR="006333F8" w:rsidRPr="00307613">
        <w:rPr>
          <w:i/>
        </w:rPr>
        <w:t>create conditions</w:t>
      </w:r>
      <w:r w:rsidR="00AE5051" w:rsidRPr="00307613">
        <w:rPr>
          <w:i/>
        </w:rPr>
        <w:t xml:space="preserve"> of </w:t>
      </w:r>
      <w:r w:rsidR="00BD3430">
        <w:rPr>
          <w:i/>
        </w:rPr>
        <w:t>Othering</w:t>
      </w:r>
      <w:r w:rsidR="006333F8" w:rsidRPr="00307613">
        <w:rPr>
          <w:i/>
        </w:rPr>
        <w:t xml:space="preserve"> and implement social control</w:t>
      </w:r>
      <w:r w:rsidR="00AE5051" w:rsidRPr="00307613">
        <w:rPr>
          <w:i/>
        </w:rPr>
        <w:t xml:space="preserve">, </w:t>
      </w:r>
      <w:r w:rsidR="00BD3430">
        <w:rPr>
          <w:i/>
        </w:rPr>
        <w:t>by</w:t>
      </w:r>
      <w:r w:rsidR="00AE5051" w:rsidRPr="00307613">
        <w:rPr>
          <w:i/>
        </w:rPr>
        <w:t xml:space="preserve"> which in their eyes they were “civilising” indigenous people</w:t>
      </w:r>
      <w:r w:rsidR="005A456E">
        <w:rPr>
          <w:i/>
        </w:rPr>
        <w:t xml:space="preserve"> (</w:t>
      </w:r>
      <w:r w:rsidR="00FA7A68">
        <w:rPr>
          <w:i/>
        </w:rPr>
        <w:t>Aldrich, 2008</w:t>
      </w:r>
      <w:r w:rsidR="00E6043F">
        <w:rPr>
          <w:i/>
        </w:rPr>
        <w:t xml:space="preserve">; </w:t>
      </w:r>
      <w:r w:rsidR="00E6043F" w:rsidRPr="00E6043F">
        <w:rPr>
          <w:i/>
          <w:iCs/>
          <w:color w:val="000000"/>
        </w:rPr>
        <w:t>Ogunnaike, 2016; Rosa and Flores, 2017; Freire, Ramos and Macedo, 2014</w:t>
      </w:r>
      <w:r w:rsidR="005A456E">
        <w:rPr>
          <w:i/>
        </w:rPr>
        <w:t>)</w:t>
      </w:r>
      <w:r w:rsidR="006333F8" w:rsidRPr="00307613">
        <w:rPr>
          <w:i/>
        </w:rPr>
        <w:t xml:space="preserve">. This </w:t>
      </w:r>
      <w:r w:rsidR="00BD3430">
        <w:rPr>
          <w:i/>
        </w:rPr>
        <w:t xml:space="preserve">resulted in </w:t>
      </w:r>
      <w:r w:rsidR="006333F8" w:rsidRPr="00307613">
        <w:rPr>
          <w:i/>
        </w:rPr>
        <w:t xml:space="preserve">LGBQTIA+ people in former </w:t>
      </w:r>
      <w:r w:rsidR="00BA2220">
        <w:rPr>
          <w:i/>
        </w:rPr>
        <w:t xml:space="preserve">British Colonies </w:t>
      </w:r>
      <w:r w:rsidR="006333F8" w:rsidRPr="00307613">
        <w:rPr>
          <w:i/>
        </w:rPr>
        <w:t xml:space="preserve">to experience </w:t>
      </w:r>
      <w:r w:rsidR="00AE5051" w:rsidRPr="00307613">
        <w:rPr>
          <w:i/>
        </w:rPr>
        <w:t>discrimination</w:t>
      </w:r>
      <w:r w:rsidR="00BD3430">
        <w:rPr>
          <w:i/>
        </w:rPr>
        <w:t>,</w:t>
      </w:r>
      <w:r w:rsidR="006333F8" w:rsidRPr="00307613">
        <w:rPr>
          <w:i/>
        </w:rPr>
        <w:t xml:space="preserve"> something which continues to this day.</w:t>
      </w:r>
    </w:p>
    <w:p w14:paraId="700C9DC8" w14:textId="77777777" w:rsidR="001A0E41" w:rsidRPr="00307613" w:rsidRDefault="001A0E41" w:rsidP="0014719A">
      <w:pPr>
        <w:spacing w:line="360" w:lineRule="auto"/>
        <w:ind w:hanging="2"/>
        <w:jc w:val="both"/>
        <w:rPr>
          <w:i/>
        </w:rPr>
      </w:pPr>
    </w:p>
    <w:p w14:paraId="40BEF87E" w14:textId="718CCB53" w:rsidR="003739F1" w:rsidRDefault="001A0E41" w:rsidP="0014719A">
      <w:pPr>
        <w:spacing w:line="360" w:lineRule="auto"/>
        <w:ind w:hanging="2"/>
        <w:jc w:val="both"/>
        <w:rPr>
          <w:i/>
        </w:rPr>
      </w:pPr>
      <w:r w:rsidRPr="00307613">
        <w:rPr>
          <w:i/>
        </w:rPr>
        <w:t xml:space="preserve">The findings illustrate the need for an intersectional understanding of how the British Empire affected and continues to impact LGBTQIA+ people in former </w:t>
      </w:r>
      <w:r w:rsidR="00BD3430">
        <w:rPr>
          <w:i/>
        </w:rPr>
        <w:t>British Colonies</w:t>
      </w:r>
      <w:r w:rsidRPr="00307613">
        <w:rPr>
          <w:i/>
        </w:rPr>
        <w:t>.</w:t>
      </w:r>
      <w:r w:rsidR="007C6B27" w:rsidRPr="00307613">
        <w:rPr>
          <w:i/>
        </w:rPr>
        <w:t xml:space="preserve"> By using a framework based on </w:t>
      </w:r>
      <w:r w:rsidR="00BD3430">
        <w:rPr>
          <w:i/>
        </w:rPr>
        <w:t>Othering</w:t>
      </w:r>
      <w:r w:rsidR="007C6B27" w:rsidRPr="00307613">
        <w:rPr>
          <w:i/>
        </w:rPr>
        <w:t>, synthesising</w:t>
      </w:r>
      <w:r w:rsidR="0019423B">
        <w:rPr>
          <w:i/>
        </w:rPr>
        <w:t xml:space="preserve"> and merging</w:t>
      </w:r>
      <w:r w:rsidR="007C6B27" w:rsidRPr="00307613">
        <w:rPr>
          <w:i/>
        </w:rPr>
        <w:t xml:space="preserve"> </w:t>
      </w:r>
      <w:r w:rsidR="00BC0AA4" w:rsidRPr="00307613">
        <w:rPr>
          <w:i/>
        </w:rPr>
        <w:t xml:space="preserve">decolonising and </w:t>
      </w:r>
      <w:r w:rsidR="00BA2220">
        <w:rPr>
          <w:i/>
        </w:rPr>
        <w:t>Queer Theories</w:t>
      </w:r>
      <w:r w:rsidR="00BC0AA4" w:rsidRPr="00307613">
        <w:rPr>
          <w:i/>
        </w:rPr>
        <w:t>, as well as addressing power</w:t>
      </w:r>
      <w:r w:rsidR="00006B34" w:rsidRPr="00307613">
        <w:rPr>
          <w:i/>
        </w:rPr>
        <w:t xml:space="preserve"> dynamics</w:t>
      </w:r>
      <w:r w:rsidR="002F754E" w:rsidRPr="00307613">
        <w:rPr>
          <w:i/>
        </w:rPr>
        <w:t xml:space="preserve"> in the formation </w:t>
      </w:r>
      <w:r w:rsidR="00362971" w:rsidRPr="00307613">
        <w:rPr>
          <w:i/>
        </w:rPr>
        <w:t>of anti</w:t>
      </w:r>
      <w:r w:rsidR="00006B34" w:rsidRPr="00307613">
        <w:rPr>
          <w:i/>
        </w:rPr>
        <w:t xml:space="preserve">-LGBQTIA+ </w:t>
      </w:r>
      <w:r w:rsidR="00362971">
        <w:rPr>
          <w:i/>
        </w:rPr>
        <w:t>attitudes</w:t>
      </w:r>
      <w:r w:rsidR="002F754E" w:rsidRPr="00307613">
        <w:rPr>
          <w:i/>
        </w:rPr>
        <w:t xml:space="preserve">, academics, policy makers and active citizens can </w:t>
      </w:r>
      <w:r w:rsidR="00EC7F11" w:rsidRPr="00307613">
        <w:rPr>
          <w:i/>
        </w:rPr>
        <w:t>utilise thi</w:t>
      </w:r>
      <w:r w:rsidR="002F754E" w:rsidRPr="00307613">
        <w:rPr>
          <w:i/>
        </w:rPr>
        <w:t xml:space="preserve">s framework to </w:t>
      </w:r>
      <w:r w:rsidR="00EC7F11" w:rsidRPr="00307613">
        <w:rPr>
          <w:i/>
        </w:rPr>
        <w:t>advocate for LGBQTIA+ rights</w:t>
      </w:r>
      <w:r w:rsidR="0019423B">
        <w:rPr>
          <w:i/>
        </w:rPr>
        <w:t xml:space="preserve"> based on inclusivity</w:t>
      </w:r>
      <w:r w:rsidR="00EC7F11">
        <w:rPr>
          <w:i/>
          <w:color w:val="FF0000"/>
        </w:rPr>
        <w:t>.</w:t>
      </w:r>
    </w:p>
    <w:p w14:paraId="794FDC73" w14:textId="77777777" w:rsidR="005E060A" w:rsidRPr="005E060A" w:rsidRDefault="005E060A" w:rsidP="005E060A">
      <w:pPr>
        <w:spacing w:line="360" w:lineRule="auto"/>
        <w:rPr>
          <w:b/>
          <w:i/>
        </w:rPr>
      </w:pPr>
    </w:p>
    <w:p w14:paraId="07C93073" w14:textId="2944A658" w:rsidR="0083215B" w:rsidRPr="0083215B" w:rsidRDefault="005E060A" w:rsidP="005E060A">
      <w:pPr>
        <w:spacing w:line="480" w:lineRule="auto"/>
        <w:outlineLvl w:val="0"/>
        <w:rPr>
          <w:b/>
        </w:rPr>
      </w:pPr>
      <w:r>
        <w:rPr>
          <w:b/>
        </w:rPr>
        <w:br w:type="page"/>
      </w:r>
      <w:bookmarkStart w:id="3" w:name="_Toc145927533"/>
      <w:r w:rsidR="00BA7FED" w:rsidRPr="0083215B">
        <w:rPr>
          <w:b/>
        </w:rPr>
        <w:lastRenderedPageBreak/>
        <w:t>ACRONYM</w:t>
      </w:r>
      <w:r w:rsidR="00BD3430">
        <w:rPr>
          <w:b/>
        </w:rPr>
        <w:t>S</w:t>
      </w:r>
      <w:bookmarkEnd w:id="3"/>
      <w:r w:rsidR="00BA7FED" w:rsidRPr="0083215B">
        <w:rPr>
          <w:b/>
        </w:rPr>
        <w:t xml:space="preserve"> </w:t>
      </w:r>
    </w:p>
    <w:p w14:paraId="39EC3784" w14:textId="44969603" w:rsidR="009A202E" w:rsidRDefault="009A202E" w:rsidP="009A202E">
      <w:pPr>
        <w:spacing w:line="360" w:lineRule="auto"/>
      </w:pPr>
      <w:r>
        <w:t>BBC:</w:t>
      </w:r>
      <w:r>
        <w:tab/>
      </w:r>
      <w:r>
        <w:tab/>
      </w:r>
      <w:r>
        <w:tab/>
        <w:t>British Broadcast</w:t>
      </w:r>
      <w:r w:rsidR="00BD3430">
        <w:t>ing</w:t>
      </w:r>
      <w:r>
        <w:t xml:space="preserve"> </w:t>
      </w:r>
      <w:r w:rsidR="00BD3430">
        <w:t>Corporation</w:t>
      </w:r>
    </w:p>
    <w:p w14:paraId="7A1ABBBF" w14:textId="77777777" w:rsidR="009A202E" w:rsidRDefault="009A202E" w:rsidP="00D3282A">
      <w:pPr>
        <w:spacing w:line="360" w:lineRule="auto"/>
      </w:pPr>
    </w:p>
    <w:p w14:paraId="4C546B3E" w14:textId="2D4DAD72" w:rsidR="0014719A" w:rsidRDefault="004B4F7B" w:rsidP="0014719A">
      <w:pPr>
        <w:spacing w:line="360" w:lineRule="auto"/>
        <w:ind w:hanging="2"/>
      </w:pPr>
      <w:r>
        <w:t>LGBTQIA+:</w:t>
      </w:r>
      <w:r w:rsidR="003739F1">
        <w:tab/>
      </w:r>
      <w:r w:rsidR="003739F1">
        <w:tab/>
      </w:r>
      <w:r>
        <w:t xml:space="preserve">Lesbian, Gay, Bisexual, Trans, Queer, Intersex, Asexual and any other group that identifies with the LGBTQIA+ </w:t>
      </w:r>
      <w:r w:rsidR="00256836">
        <w:t>community.</w:t>
      </w:r>
    </w:p>
    <w:p w14:paraId="1191E59C" w14:textId="77777777" w:rsidR="005B5072" w:rsidRDefault="005B5072" w:rsidP="0014719A">
      <w:pPr>
        <w:spacing w:line="360" w:lineRule="auto"/>
        <w:ind w:hanging="2"/>
      </w:pPr>
    </w:p>
    <w:p w14:paraId="2F4D8E45" w14:textId="3311241A" w:rsidR="005B5072" w:rsidRDefault="005B5072" w:rsidP="0014719A">
      <w:pPr>
        <w:spacing w:line="360" w:lineRule="auto"/>
        <w:ind w:hanging="2"/>
      </w:pPr>
      <w:r>
        <w:t xml:space="preserve">WHO: </w:t>
      </w:r>
      <w:r>
        <w:tab/>
      </w:r>
      <w:r>
        <w:tab/>
      </w:r>
      <w:r>
        <w:tab/>
        <w:t>World Health Organisation</w:t>
      </w:r>
    </w:p>
    <w:p w14:paraId="5C0565DE" w14:textId="77777777" w:rsidR="003905CB" w:rsidRDefault="003905CB" w:rsidP="0014719A">
      <w:pPr>
        <w:spacing w:line="360" w:lineRule="auto"/>
        <w:ind w:hanging="2"/>
      </w:pPr>
    </w:p>
    <w:p w14:paraId="50E7826A" w14:textId="77777777" w:rsidR="003739F1" w:rsidRPr="0014719A" w:rsidRDefault="003739F1" w:rsidP="0014719A">
      <w:pPr>
        <w:spacing w:line="360" w:lineRule="auto"/>
        <w:ind w:hanging="2"/>
      </w:pPr>
    </w:p>
    <w:p w14:paraId="5C830050" w14:textId="77777777" w:rsidR="0014719A" w:rsidRPr="0014719A" w:rsidRDefault="0014719A" w:rsidP="0014719A">
      <w:pPr>
        <w:spacing w:line="360" w:lineRule="auto"/>
        <w:ind w:hanging="2"/>
      </w:pPr>
    </w:p>
    <w:p w14:paraId="28AFD4CE" w14:textId="49D0E08E" w:rsidR="004317A6" w:rsidRPr="00D3282A" w:rsidRDefault="005E060A" w:rsidP="003905CB">
      <w:pPr>
        <w:pStyle w:val="reference"/>
        <w:rPr>
          <w:color w:val="auto"/>
        </w:rPr>
      </w:pPr>
      <w:r>
        <w:br w:type="page"/>
      </w:r>
      <w:bookmarkStart w:id="4" w:name="_Toc145927534"/>
      <w:bookmarkStart w:id="5" w:name="_Hlk134279355"/>
      <w:r w:rsidR="00BA7FED" w:rsidRPr="00D3282A">
        <w:rPr>
          <w:color w:val="auto"/>
        </w:rPr>
        <w:lastRenderedPageBreak/>
        <w:t>INTRODUCTION</w:t>
      </w:r>
      <w:bookmarkEnd w:id="4"/>
      <w:r w:rsidR="00BA7FED" w:rsidRPr="00D3282A">
        <w:rPr>
          <w:color w:val="auto"/>
        </w:rPr>
        <w:t xml:space="preserve"> </w:t>
      </w:r>
      <w:r w:rsidR="00D440B5" w:rsidRPr="00D3282A">
        <w:rPr>
          <w:color w:val="auto"/>
        </w:rPr>
        <w:t xml:space="preserve"> </w:t>
      </w:r>
    </w:p>
    <w:p w14:paraId="1A3971A9" w14:textId="3F818CDA" w:rsidR="001067BA" w:rsidRPr="00BD2C65" w:rsidRDefault="00CF3651" w:rsidP="00985E93">
      <w:pPr>
        <w:spacing w:line="480" w:lineRule="auto"/>
        <w:jc w:val="both"/>
      </w:pPr>
      <w:bookmarkStart w:id="6" w:name="_Hlk134277600"/>
      <w:r w:rsidRPr="00BD2C65">
        <w:t xml:space="preserve">This dissertation </w:t>
      </w:r>
      <w:r w:rsidR="000510B8" w:rsidRPr="00BD2C65">
        <w:t xml:space="preserve">critically </w:t>
      </w:r>
      <w:r w:rsidRPr="00BD2C65">
        <w:t xml:space="preserve">examines the </w:t>
      </w:r>
      <w:r w:rsidR="003357FB" w:rsidRPr="00BD2C65">
        <w:t xml:space="preserve">complex and multifaceted issues surrounding the </w:t>
      </w:r>
      <w:r w:rsidRPr="00BD2C65">
        <w:t xml:space="preserve">impact of the British </w:t>
      </w:r>
      <w:r w:rsidR="00BD3430" w:rsidRPr="00BD2C65">
        <w:t>c</w:t>
      </w:r>
      <w:r w:rsidR="003357FB" w:rsidRPr="00BD2C65">
        <w:t>olonialism</w:t>
      </w:r>
      <w:r w:rsidRPr="00BD2C65">
        <w:t xml:space="preserve"> on LGBTQIA+ people in former </w:t>
      </w:r>
      <w:r w:rsidR="00BD3430" w:rsidRPr="00BD2C65">
        <w:t>British Colonies</w:t>
      </w:r>
      <w:r w:rsidR="003357FB" w:rsidRPr="00BD2C65">
        <w:t xml:space="preserve">. </w:t>
      </w:r>
      <w:r w:rsidR="001067BA" w:rsidRPr="00BD2C65">
        <w:t>Colonialism and its effects on marginalised groups have been well-</w:t>
      </w:r>
      <w:r w:rsidR="004B4F7B" w:rsidRPr="00BD2C65">
        <w:t>documented</w:t>
      </w:r>
      <w:r w:rsidR="001067BA" w:rsidRPr="00BD2C65">
        <w:t xml:space="preserve"> in academic literature</w:t>
      </w:r>
      <w:r w:rsidR="004366A8" w:rsidRPr="00BD2C65">
        <w:t>.</w:t>
      </w:r>
      <w:r w:rsidR="00AF47BB" w:rsidRPr="00BD2C65">
        <w:t xml:space="preserve"> </w:t>
      </w:r>
      <w:r w:rsidR="001067BA" w:rsidRPr="00BD2C65">
        <w:t xml:space="preserve">However, the </w:t>
      </w:r>
      <w:r w:rsidR="004B4F7B" w:rsidRPr="00BD2C65">
        <w:t xml:space="preserve">intersectional </w:t>
      </w:r>
      <w:r w:rsidR="001067BA" w:rsidRPr="00BD2C65">
        <w:t>impact of colonialism on LGBTQIA+ people has been less explored</w:t>
      </w:r>
      <w:r w:rsidR="00AF47BB" w:rsidRPr="00BD2C65">
        <w:t xml:space="preserve"> (</w:t>
      </w:r>
      <w:r w:rsidR="004366A8" w:rsidRPr="00BD2C65">
        <w:t>Stoler, 1995; Morgensen, 2010; Wolfe, 2006</w:t>
      </w:r>
      <w:r w:rsidR="00AF47BB" w:rsidRPr="00BD2C65">
        <w:t>)</w:t>
      </w:r>
      <w:r w:rsidR="001067BA" w:rsidRPr="00BD2C65">
        <w:t xml:space="preserve">. The aim of this </w:t>
      </w:r>
      <w:r w:rsidR="001C18FC" w:rsidRPr="00BD2C65">
        <w:t xml:space="preserve">critical </w:t>
      </w:r>
      <w:r w:rsidR="001067BA" w:rsidRPr="00BD2C65">
        <w:t xml:space="preserve">study is to provide insights into the ongoing struggles of LGBTQIA+ people in former </w:t>
      </w:r>
      <w:r w:rsidR="00BA2220" w:rsidRPr="00BD2C65">
        <w:t xml:space="preserve">British Colonies </w:t>
      </w:r>
      <w:r w:rsidR="001067BA" w:rsidRPr="00BD2C65">
        <w:t>and the need to address the legacy of colonialism.</w:t>
      </w:r>
      <w:r w:rsidR="0040263B" w:rsidRPr="00BD2C65">
        <w:t xml:space="preserve"> Additionally, it will </w:t>
      </w:r>
      <w:r w:rsidR="004B4F7B" w:rsidRPr="00BD2C65">
        <w:t xml:space="preserve">add to </w:t>
      </w:r>
      <w:r w:rsidR="00AF47BB" w:rsidRPr="00BD2C65">
        <w:t>the research</w:t>
      </w:r>
      <w:r w:rsidR="0040263B" w:rsidRPr="00BD2C65">
        <w:t xml:space="preserve"> </w:t>
      </w:r>
      <w:r w:rsidR="004B4F7B" w:rsidRPr="00BD2C65">
        <w:t xml:space="preserve">field of </w:t>
      </w:r>
      <w:r w:rsidR="00702F09" w:rsidRPr="00BD2C65">
        <w:t>Queer</w:t>
      </w:r>
      <w:r w:rsidR="004B4F7B" w:rsidRPr="00BD2C65">
        <w:t xml:space="preserve"> and </w:t>
      </w:r>
      <w:r w:rsidR="00BA2220" w:rsidRPr="00BD2C65">
        <w:t>Decoloniality</w:t>
      </w:r>
      <w:r w:rsidR="00AB6C0B" w:rsidRPr="00BD2C65">
        <w:t xml:space="preserve"> studies.</w:t>
      </w:r>
    </w:p>
    <w:bookmarkEnd w:id="6"/>
    <w:p w14:paraId="7A57C56E" w14:textId="77777777" w:rsidR="001067BA" w:rsidRPr="00BD2C65" w:rsidRDefault="001067BA" w:rsidP="00985E93">
      <w:pPr>
        <w:spacing w:line="480" w:lineRule="auto"/>
        <w:jc w:val="both"/>
      </w:pPr>
    </w:p>
    <w:p w14:paraId="455204BE" w14:textId="05588146" w:rsidR="009D777E" w:rsidRPr="00BD2C65" w:rsidRDefault="004B4F7B" w:rsidP="00985E93">
      <w:pPr>
        <w:spacing w:line="480" w:lineRule="auto"/>
        <w:jc w:val="both"/>
      </w:pPr>
      <w:r w:rsidRPr="00BD2C65">
        <w:t xml:space="preserve">This paper </w:t>
      </w:r>
      <w:r w:rsidR="00DD51E1" w:rsidRPr="00BD2C65">
        <w:t>illustrates</w:t>
      </w:r>
      <w:r w:rsidR="00E14969" w:rsidRPr="00BD2C65">
        <w:t xml:space="preserve"> the mechanisms through which</w:t>
      </w:r>
      <w:r w:rsidRPr="00BD2C65">
        <w:t xml:space="preserve"> the British Empire </w:t>
      </w:r>
      <w:r w:rsidR="00E14969" w:rsidRPr="00BD2C65">
        <w:t xml:space="preserve">exercised </w:t>
      </w:r>
      <w:r w:rsidRPr="00BD2C65">
        <w:t>contro</w:t>
      </w:r>
      <w:r w:rsidR="00E14969" w:rsidRPr="00BD2C65">
        <w:t>l</w:t>
      </w:r>
      <w:r w:rsidRPr="00BD2C65">
        <w:t xml:space="preserve"> </w:t>
      </w:r>
      <w:r w:rsidR="00E14969" w:rsidRPr="00BD2C65">
        <w:t xml:space="preserve">over </w:t>
      </w:r>
      <w:r w:rsidR="00AC09B7" w:rsidRPr="00BD2C65">
        <w:t>I</w:t>
      </w:r>
      <w:r w:rsidRPr="00BD2C65">
        <w:t xml:space="preserve">ndigenous </w:t>
      </w:r>
      <w:r w:rsidR="00AC09B7" w:rsidRPr="00BD2C65">
        <w:t>P</w:t>
      </w:r>
      <w:r w:rsidRPr="00BD2C65">
        <w:t xml:space="preserve">eople’s sexual orientation and gender identity and how the effects of </w:t>
      </w:r>
      <w:r w:rsidR="00E14969" w:rsidRPr="00BD2C65">
        <w:t xml:space="preserve">these historical actions </w:t>
      </w:r>
      <w:r w:rsidR="00AF47BB" w:rsidRPr="00BD2C65">
        <w:t>continue</w:t>
      </w:r>
      <w:r w:rsidR="00E14969" w:rsidRPr="00BD2C65">
        <w:t xml:space="preserve"> to have </w:t>
      </w:r>
      <w:r w:rsidR="00AB6C0B" w:rsidRPr="00BD2C65">
        <w:t>repercussions</w:t>
      </w:r>
      <w:r w:rsidRPr="00BD2C65">
        <w:t xml:space="preserve"> in modern times. </w:t>
      </w:r>
      <w:r w:rsidR="00550B0D" w:rsidRPr="00BD2C65">
        <w:t>In</w:t>
      </w:r>
      <w:r w:rsidR="00AC09B7" w:rsidRPr="00BD2C65">
        <w:t xml:space="preserve"> this dissertation</w:t>
      </w:r>
      <w:r w:rsidR="00550B0D" w:rsidRPr="00BD2C65">
        <w:t>,</w:t>
      </w:r>
      <w:r w:rsidR="00AC09B7" w:rsidRPr="00BD2C65">
        <w:t xml:space="preserve"> the </w:t>
      </w:r>
      <w:r w:rsidR="00550B0D" w:rsidRPr="00BD2C65">
        <w:t>term</w:t>
      </w:r>
      <w:r w:rsidR="00AC09B7" w:rsidRPr="00BD2C65">
        <w:t xml:space="preserve"> ‘Indigenous People’</w:t>
      </w:r>
      <w:r w:rsidR="00550B0D" w:rsidRPr="00BD2C65">
        <w:t xml:space="preserve">, as a collective reference to the initial inhabitants of a region and their descendants, will be capitalised, following the </w:t>
      </w:r>
      <w:r w:rsidR="00173E87" w:rsidRPr="00BD2C65">
        <w:t>convention</w:t>
      </w:r>
      <w:r w:rsidR="00550B0D" w:rsidRPr="00BD2C65">
        <w:t xml:space="preserve"> by Younging</w:t>
      </w:r>
      <w:r w:rsidR="00AC09B7" w:rsidRPr="00BD2C65">
        <w:t xml:space="preserve"> </w:t>
      </w:r>
      <w:r w:rsidR="008E2DEC" w:rsidRPr="00BD2C65">
        <w:t>(</w:t>
      </w:r>
      <w:r w:rsidR="005422A8" w:rsidRPr="00BD2C65">
        <w:t>20</w:t>
      </w:r>
      <w:r w:rsidR="00DE674C" w:rsidRPr="00BD2C65">
        <w:t>18</w:t>
      </w:r>
      <w:r w:rsidR="005422A8" w:rsidRPr="00BD2C65">
        <w:t>).</w:t>
      </w:r>
      <w:r w:rsidR="00AC09B7" w:rsidRPr="00BD2C65">
        <w:t xml:space="preserve"> </w:t>
      </w:r>
      <w:r w:rsidR="00E14969" w:rsidRPr="00BD2C65">
        <w:t xml:space="preserve">Using </w:t>
      </w:r>
      <w:r w:rsidR="003357FB" w:rsidRPr="00BD2C65">
        <w:t>a critical examination</w:t>
      </w:r>
      <w:r w:rsidRPr="00BD2C65">
        <w:t xml:space="preserve"> and analysis</w:t>
      </w:r>
      <w:r w:rsidR="003357FB" w:rsidRPr="00BD2C65">
        <w:t xml:space="preserve"> of </w:t>
      </w:r>
      <w:r w:rsidR="00E14969" w:rsidRPr="00BD2C65">
        <w:t xml:space="preserve">a range of relevant </w:t>
      </w:r>
      <w:r w:rsidR="003357FB" w:rsidRPr="00BD2C65">
        <w:t>historical and contemporary sources</w:t>
      </w:r>
      <w:r w:rsidRPr="00BD2C65">
        <w:t>,</w:t>
      </w:r>
      <w:r w:rsidR="003357FB" w:rsidRPr="00BD2C65">
        <w:t xml:space="preserve"> </w:t>
      </w:r>
      <w:r w:rsidR="00E14969" w:rsidRPr="00BD2C65">
        <w:t xml:space="preserve">this dissertation deploys </w:t>
      </w:r>
      <w:r w:rsidRPr="00BD2C65">
        <w:t xml:space="preserve">the </w:t>
      </w:r>
      <w:r w:rsidR="003357FB" w:rsidRPr="00BD2C65">
        <w:t xml:space="preserve">key sociological concepts of </w:t>
      </w:r>
      <w:r w:rsidR="00BD3430" w:rsidRPr="00BD2C65">
        <w:t>Othering</w:t>
      </w:r>
      <w:r w:rsidR="00AF47BB" w:rsidRPr="00BD2C65">
        <w:t xml:space="preserve"> (</w:t>
      </w:r>
      <w:r w:rsidR="004366A8" w:rsidRPr="00BD2C65">
        <w:t xml:space="preserve">Hegel, 1977; Fanon, 1986; </w:t>
      </w:r>
      <w:r w:rsidR="00BD3430" w:rsidRPr="00BD2C65">
        <w:t>Beauvoir</w:t>
      </w:r>
      <w:r w:rsidR="004366A8" w:rsidRPr="00BD2C65">
        <w:t>, 2011</w:t>
      </w:r>
      <w:r w:rsidR="001C18FC" w:rsidRPr="00BD2C65">
        <w:t>; Brons, 2015</w:t>
      </w:r>
      <w:r w:rsidR="00AF47BB" w:rsidRPr="00BD2C65">
        <w:t>)</w:t>
      </w:r>
      <w:r w:rsidRPr="00BD2C65">
        <w:t>,</w:t>
      </w:r>
      <w:r w:rsidR="003357FB" w:rsidRPr="00BD2C65">
        <w:t xml:space="preserve"> </w:t>
      </w:r>
      <w:r w:rsidR="00CB71B2" w:rsidRPr="00BD2C65">
        <w:t>it uses</w:t>
      </w:r>
      <w:r w:rsidR="00E14969" w:rsidRPr="00BD2C65">
        <w:t xml:space="preserve"> </w:t>
      </w:r>
      <w:r w:rsidRPr="00BD2C65">
        <w:t>a Foucauldian perspective</w:t>
      </w:r>
      <w:r w:rsidR="003357FB" w:rsidRPr="00BD2C65">
        <w:t xml:space="preserve"> </w:t>
      </w:r>
      <w:r w:rsidR="00CB71B2" w:rsidRPr="00BD2C65">
        <w:t>on</w:t>
      </w:r>
      <w:r w:rsidR="00E14969" w:rsidRPr="00BD2C65">
        <w:t xml:space="preserve"> </w:t>
      </w:r>
      <w:r w:rsidR="003357FB" w:rsidRPr="00BD2C65">
        <w:t xml:space="preserve">power </w:t>
      </w:r>
      <w:r w:rsidRPr="00BD2C65">
        <w:t>dynamics</w:t>
      </w:r>
      <w:r w:rsidR="00AF47BB" w:rsidRPr="00BD2C65">
        <w:t xml:space="preserve"> (</w:t>
      </w:r>
      <w:r w:rsidR="004366A8" w:rsidRPr="00BD2C65">
        <w:t>Foucault, 1999</w:t>
      </w:r>
      <w:r w:rsidR="001C18FC" w:rsidRPr="00BD2C65">
        <w:t>; Stoler, 1995</w:t>
      </w:r>
      <w:r w:rsidR="00AF47BB" w:rsidRPr="00BD2C65">
        <w:t>)</w:t>
      </w:r>
      <w:r w:rsidR="003357FB" w:rsidRPr="00BD2C65">
        <w:t xml:space="preserve"> </w:t>
      </w:r>
      <w:r w:rsidR="00E14969" w:rsidRPr="00BD2C65">
        <w:t xml:space="preserve">in order </w:t>
      </w:r>
      <w:r w:rsidRPr="00BD2C65">
        <w:t xml:space="preserve">to investigate the influence </w:t>
      </w:r>
      <w:r w:rsidR="003357FB" w:rsidRPr="00BD2C65">
        <w:t xml:space="preserve">Christian </w:t>
      </w:r>
      <w:r w:rsidR="00AB6C0B" w:rsidRPr="00BD2C65">
        <w:t>m</w:t>
      </w:r>
      <w:r w:rsidR="003357FB" w:rsidRPr="00BD2C65">
        <w:t xml:space="preserve">orality </w:t>
      </w:r>
      <w:r w:rsidR="00E14969" w:rsidRPr="00BD2C65">
        <w:t>exerted</w:t>
      </w:r>
      <w:r w:rsidR="00AB6C0B" w:rsidRPr="00BD2C65">
        <w:t xml:space="preserve"> </w:t>
      </w:r>
      <w:r w:rsidR="00E14969" w:rsidRPr="00BD2C65">
        <w:t xml:space="preserve">over </w:t>
      </w:r>
      <w:r w:rsidR="003357FB" w:rsidRPr="00BD2C65">
        <w:t>anti-LGBTQI</w:t>
      </w:r>
      <w:r w:rsidR="001067BA" w:rsidRPr="00BD2C65">
        <w:t>A</w:t>
      </w:r>
      <w:r w:rsidR="003357FB" w:rsidRPr="00BD2C65">
        <w:t xml:space="preserve">+ legislation in former </w:t>
      </w:r>
      <w:r w:rsidR="00BD3430" w:rsidRPr="00BD2C65">
        <w:t>British Colonies</w:t>
      </w:r>
      <w:r w:rsidR="00CB71B2" w:rsidRPr="00BD2C65">
        <w:t>,</w:t>
      </w:r>
      <w:r w:rsidR="003357FB" w:rsidRPr="00BD2C65">
        <w:t xml:space="preserve"> and </w:t>
      </w:r>
      <w:r w:rsidR="00AB6C0B" w:rsidRPr="00BD2C65">
        <w:t xml:space="preserve">how this influences the debate about LGBTQIA+ rights </w:t>
      </w:r>
      <w:r w:rsidR="00CB71B2" w:rsidRPr="00BD2C65">
        <w:t>today</w:t>
      </w:r>
      <w:r w:rsidR="007E063D" w:rsidRPr="00BD2C65">
        <w:t xml:space="preserve"> </w:t>
      </w:r>
      <w:r w:rsidR="00AF47BB" w:rsidRPr="00BD2C65">
        <w:t>(</w:t>
      </w:r>
      <w:r w:rsidR="004366A8" w:rsidRPr="00BD2C65">
        <w:t>Runkel, 1998; Mooney, 2020; Jindra, 2021; Kling,</w:t>
      </w:r>
      <w:r w:rsidR="006445D9" w:rsidRPr="00BD2C65">
        <w:t xml:space="preserve"> </w:t>
      </w:r>
      <w:r w:rsidR="004366A8" w:rsidRPr="00BD2C65">
        <w:t>2020</w:t>
      </w:r>
      <w:r w:rsidR="00AF47BB" w:rsidRPr="00BD2C65">
        <w:t>)</w:t>
      </w:r>
      <w:r w:rsidRPr="00BD2C65">
        <w:t>. Additionally,</w:t>
      </w:r>
      <w:r w:rsidR="003357FB" w:rsidRPr="00BD2C65">
        <w:t xml:space="preserve"> </w:t>
      </w:r>
      <w:r w:rsidRPr="00BD2C65">
        <w:t>it explores</w:t>
      </w:r>
      <w:r w:rsidR="00AF47BB" w:rsidRPr="00BD2C65">
        <w:t xml:space="preserve"> the</w:t>
      </w:r>
      <w:r w:rsidRPr="00BD2C65">
        <w:t xml:space="preserve"> </w:t>
      </w:r>
      <w:r w:rsidR="003357FB" w:rsidRPr="00BD2C65">
        <w:t xml:space="preserve">impact of </w:t>
      </w:r>
      <w:r w:rsidR="00AF47BB" w:rsidRPr="00BD2C65">
        <w:t>modern-day</w:t>
      </w:r>
      <w:r w:rsidR="003357FB" w:rsidRPr="00BD2C65">
        <w:t xml:space="preserve"> cultural imperialism</w:t>
      </w:r>
      <w:r w:rsidR="00AF47BB" w:rsidRPr="00BD2C65">
        <w:t xml:space="preserve"> (</w:t>
      </w:r>
      <w:r w:rsidR="00240539" w:rsidRPr="00BD2C65">
        <w:t>Milestone and Meyer, 2021; Edensor, 2020; Puar, 2013</w:t>
      </w:r>
      <w:r w:rsidR="00AF47BB" w:rsidRPr="00BD2C65">
        <w:t>)</w:t>
      </w:r>
      <w:r w:rsidR="00702F09" w:rsidRPr="00BD2C65">
        <w:t>,</w:t>
      </w:r>
      <w:r w:rsidR="001C18FC" w:rsidRPr="00BD2C65">
        <w:t xml:space="preserve"> </w:t>
      </w:r>
      <w:r w:rsidR="00CB71B2" w:rsidRPr="00BD2C65">
        <w:t>Homonationalism</w:t>
      </w:r>
      <w:r w:rsidR="00AF47BB" w:rsidRPr="00BD2C65">
        <w:t xml:space="preserve"> (</w:t>
      </w:r>
      <w:r w:rsidR="00240539" w:rsidRPr="00BD2C65">
        <w:t xml:space="preserve">Puar, </w:t>
      </w:r>
      <w:r w:rsidR="00240539" w:rsidRPr="00BD2C65">
        <w:lastRenderedPageBreak/>
        <w:t>2013; Tucker, 2020; Lockhart, 2022</w:t>
      </w:r>
      <w:r w:rsidR="00AF47BB" w:rsidRPr="00BD2C65">
        <w:t>)</w:t>
      </w:r>
      <w:r w:rsidR="00E14969" w:rsidRPr="00BD2C65">
        <w:t xml:space="preserve"> and the ongoing struggles for LGBTQIA+ rights</w:t>
      </w:r>
      <w:r w:rsidR="00AF47BB" w:rsidRPr="00BD2C65">
        <w:t xml:space="preserve"> in former </w:t>
      </w:r>
      <w:r w:rsidR="00BA2220" w:rsidRPr="00BD2C65">
        <w:t xml:space="preserve">British Colonies </w:t>
      </w:r>
      <w:r w:rsidR="001C18FC" w:rsidRPr="00BD2C65">
        <w:t>(Guardian, 2019; Wahab, 2016, 2021; BBC,</w:t>
      </w:r>
      <w:r w:rsidR="001104CC" w:rsidRPr="00BD2C65">
        <w:t xml:space="preserve"> 2021,</w:t>
      </w:r>
      <w:r w:rsidR="001C18FC" w:rsidRPr="00BD2C65">
        <w:t xml:space="preserve"> 2023)</w:t>
      </w:r>
      <w:r w:rsidR="00AF47BB" w:rsidRPr="00BD2C65">
        <w:t xml:space="preserve">. </w:t>
      </w:r>
    </w:p>
    <w:p w14:paraId="3C0B7244" w14:textId="77777777" w:rsidR="009D777E" w:rsidRPr="00BD2C65" w:rsidRDefault="009D777E" w:rsidP="00985E93">
      <w:pPr>
        <w:spacing w:line="480" w:lineRule="auto"/>
        <w:jc w:val="both"/>
      </w:pPr>
    </w:p>
    <w:p w14:paraId="157A8729" w14:textId="7CF76E74" w:rsidR="00CB71B2" w:rsidRPr="00BD2C65" w:rsidRDefault="00014629" w:rsidP="00144AB7">
      <w:pPr>
        <w:spacing w:line="480" w:lineRule="auto"/>
        <w:jc w:val="both"/>
      </w:pPr>
      <w:r w:rsidRPr="00BD2C65">
        <w:t xml:space="preserve">The legacy of the British Empire and </w:t>
      </w:r>
      <w:r w:rsidR="00CB71B2" w:rsidRPr="00BD2C65">
        <w:t xml:space="preserve">the imposition </w:t>
      </w:r>
      <w:r w:rsidR="00595367" w:rsidRPr="00BD2C65">
        <w:t>of legislation</w:t>
      </w:r>
      <w:r w:rsidRPr="00BD2C65">
        <w:t xml:space="preserve"> on anti-LGBTQIA+ rights and attitudes has resulted in systemic discrimination and marginalisation. </w:t>
      </w:r>
      <w:r w:rsidR="000510B8" w:rsidRPr="00BD2C65">
        <w:t>A</w:t>
      </w:r>
      <w:r w:rsidR="00CB71B2" w:rsidRPr="00BD2C65">
        <w:t>t the present time,</w:t>
      </w:r>
      <w:r w:rsidR="009D777E" w:rsidRPr="00BD2C65">
        <w:t xml:space="preserve"> thi</w:t>
      </w:r>
      <w:r w:rsidR="00985E93" w:rsidRPr="00BD2C65">
        <w:t xml:space="preserve">rty-six out of fifty-four former </w:t>
      </w:r>
      <w:r w:rsidR="00BA2220" w:rsidRPr="00BD2C65">
        <w:t xml:space="preserve">British Colonies </w:t>
      </w:r>
      <w:r w:rsidR="00985E93" w:rsidRPr="00BD2C65">
        <w:t>discriminate against same-sex sexual behaviour</w:t>
      </w:r>
      <w:r w:rsidRPr="00BD2C65">
        <w:t xml:space="preserve">, some of </w:t>
      </w:r>
      <w:r w:rsidR="00CB71B2" w:rsidRPr="00BD2C65">
        <w:t>which impose</w:t>
      </w:r>
      <w:r w:rsidRPr="00BD2C65">
        <w:t xml:space="preserve"> the death penalty</w:t>
      </w:r>
      <w:r w:rsidR="00985E93" w:rsidRPr="00BD2C65">
        <w:t xml:space="preserve"> </w:t>
      </w:r>
      <w:r w:rsidRPr="00BD2C65">
        <w:t>and long prison se</w:t>
      </w:r>
      <w:r w:rsidR="00AF47BB" w:rsidRPr="00BD2C65">
        <w:t>n</w:t>
      </w:r>
      <w:r w:rsidRPr="00BD2C65">
        <w:t xml:space="preserve">tences </w:t>
      </w:r>
      <w:r w:rsidR="00985E93" w:rsidRPr="00BD2C65">
        <w:t>(BBC, 2021</w:t>
      </w:r>
      <w:r w:rsidR="001C18FC" w:rsidRPr="00BD2C65">
        <w:t>; BBC, 2023</w:t>
      </w:r>
      <w:r w:rsidRPr="00BD2C65">
        <w:t>). A</w:t>
      </w:r>
      <w:r w:rsidR="00985E93" w:rsidRPr="00BD2C65">
        <w:t>lthough trans rights are not coded in some countries’ legislation</w:t>
      </w:r>
      <w:r w:rsidR="00CB71B2" w:rsidRPr="00BD2C65">
        <w:t>,</w:t>
      </w:r>
      <w:r w:rsidR="00985E93" w:rsidRPr="00BD2C65">
        <w:t xml:space="preserve"> many see trans people as deviant from </w:t>
      </w:r>
      <w:r w:rsidR="00CB71B2" w:rsidRPr="00BD2C65">
        <w:t xml:space="preserve">the accepted </w:t>
      </w:r>
      <w:r w:rsidR="00985E93" w:rsidRPr="00BD2C65">
        <w:t xml:space="preserve">heteronormative </w:t>
      </w:r>
      <w:r w:rsidR="00CB71B2" w:rsidRPr="00BD2C65">
        <w:t>lifestyle.  These attitudes, beliefs and morals</w:t>
      </w:r>
      <w:r w:rsidR="00985E93" w:rsidRPr="00BD2C65">
        <w:t xml:space="preserve"> were heavily influenced by the British Empire</w:t>
      </w:r>
      <w:r w:rsidR="00CB71B2" w:rsidRPr="00BD2C65">
        <w:t>’s</w:t>
      </w:r>
      <w:r w:rsidR="00985E93" w:rsidRPr="00BD2C65">
        <w:t xml:space="preserve"> views of morality (Human Rights Watch, 2008</w:t>
      </w:r>
      <w:r w:rsidR="00AF47BB" w:rsidRPr="00BD2C65">
        <w:t xml:space="preserve">; </w:t>
      </w:r>
      <w:r w:rsidR="006445D9" w:rsidRPr="00BD2C65">
        <w:t>Mooney, 2020; Jindra, 2021; Kling,</w:t>
      </w:r>
      <w:r w:rsidR="001C18FC" w:rsidRPr="00BD2C65">
        <w:t xml:space="preserve"> </w:t>
      </w:r>
      <w:r w:rsidR="006445D9" w:rsidRPr="00BD2C65">
        <w:t>2020</w:t>
      </w:r>
      <w:r w:rsidR="00985E93" w:rsidRPr="00BD2C65">
        <w:t>).</w:t>
      </w:r>
      <w:r w:rsidRPr="00BD2C65">
        <w:t xml:space="preserve"> The introduction of anti-LGBTQIA+ legislation in former </w:t>
      </w:r>
      <w:r w:rsidR="00BA2220" w:rsidRPr="00BD2C65">
        <w:t xml:space="preserve">British Colonies </w:t>
      </w:r>
      <w:r w:rsidRPr="00BD2C65">
        <w:t>continue</w:t>
      </w:r>
      <w:r w:rsidR="00AF47BB" w:rsidRPr="00BD2C65">
        <w:t>s</w:t>
      </w:r>
      <w:r w:rsidRPr="00BD2C65">
        <w:t xml:space="preserve"> to shape the attitudes to towards LGBTQIA+ people in modern times</w:t>
      </w:r>
      <w:r w:rsidR="00AF47BB" w:rsidRPr="00BD2C65">
        <w:t xml:space="preserve"> (</w:t>
      </w:r>
      <w:r w:rsidR="006445D9" w:rsidRPr="00BD2C65">
        <w:t>ibid.</w:t>
      </w:r>
      <w:r w:rsidR="00AF47BB" w:rsidRPr="00BD2C65">
        <w:t>)</w:t>
      </w:r>
      <w:r w:rsidRPr="00BD2C65">
        <w:t>.</w:t>
      </w:r>
      <w:r w:rsidR="00E14969" w:rsidRPr="00BD2C65">
        <w:t xml:space="preserve"> The imposition of British laws and values on colonised populations had far-reaching consequences for LGBTQIA+ individuals in terms of their rights and freedoms</w:t>
      </w:r>
      <w:r w:rsidR="00AF47BB" w:rsidRPr="00BD2C65">
        <w:t xml:space="preserve"> (</w:t>
      </w:r>
      <w:r w:rsidR="006445D9" w:rsidRPr="00BD2C65">
        <w:t>ibid.</w:t>
      </w:r>
      <w:r w:rsidR="00AF47BB" w:rsidRPr="00BD2C65">
        <w:t>)</w:t>
      </w:r>
      <w:r w:rsidR="00E14969" w:rsidRPr="00BD2C65">
        <w:t xml:space="preserve">. </w:t>
      </w:r>
    </w:p>
    <w:p w14:paraId="4897C88C" w14:textId="77777777" w:rsidR="00CB71B2" w:rsidRPr="00BD2C65" w:rsidRDefault="00CB71B2" w:rsidP="00144AB7">
      <w:pPr>
        <w:spacing w:line="480" w:lineRule="auto"/>
        <w:jc w:val="both"/>
      </w:pPr>
    </w:p>
    <w:p w14:paraId="6EDFB2EF" w14:textId="66D29E72" w:rsidR="00144AB7" w:rsidRPr="00BD2C65" w:rsidRDefault="00CB71B2" w:rsidP="00144AB7">
      <w:pPr>
        <w:spacing w:line="480" w:lineRule="auto"/>
        <w:jc w:val="both"/>
      </w:pPr>
      <w:r w:rsidRPr="00BD2C65">
        <w:t>T</w:t>
      </w:r>
      <w:r w:rsidR="00014629" w:rsidRPr="00BD2C65">
        <w:t>he</w:t>
      </w:r>
      <w:r w:rsidR="00144AB7" w:rsidRPr="00BD2C65">
        <w:t xml:space="preserve"> purpose of this </w:t>
      </w:r>
      <w:r w:rsidRPr="00BD2C65">
        <w:t>study</w:t>
      </w:r>
      <w:r w:rsidR="00144AB7" w:rsidRPr="00BD2C65">
        <w:t xml:space="preserve"> is to understand the legacy of the British Empire and how it has impacted the rights of LGBTQIA+ citizens in former </w:t>
      </w:r>
      <w:r w:rsidR="00BA2220" w:rsidRPr="00BD2C65">
        <w:t xml:space="preserve">British Colonies </w:t>
      </w:r>
      <w:r w:rsidR="00144AB7" w:rsidRPr="00BD2C65">
        <w:t xml:space="preserve">in </w:t>
      </w:r>
      <w:r w:rsidRPr="00BD2C65">
        <w:t>the 21</w:t>
      </w:r>
      <w:r w:rsidRPr="00BD2C65">
        <w:rPr>
          <w:vertAlign w:val="superscript"/>
        </w:rPr>
        <w:t>st</w:t>
      </w:r>
      <w:r w:rsidRPr="00BD2C65">
        <w:t xml:space="preserve"> century</w:t>
      </w:r>
      <w:r w:rsidR="007E063D" w:rsidRPr="00BD2C65">
        <w:t>, mainly focusing on the African continent.</w:t>
      </w:r>
    </w:p>
    <w:p w14:paraId="28422388" w14:textId="58538872" w:rsidR="002A7E63" w:rsidRPr="00BD2C65" w:rsidRDefault="002A7E63" w:rsidP="00985E93">
      <w:pPr>
        <w:spacing w:line="480" w:lineRule="auto"/>
        <w:jc w:val="both"/>
      </w:pPr>
    </w:p>
    <w:p w14:paraId="52C0CE99" w14:textId="0DA6D2EB" w:rsidR="00144AB7" w:rsidRPr="00BD2C65" w:rsidRDefault="00CB71B2" w:rsidP="00144AB7">
      <w:pPr>
        <w:spacing w:line="480" w:lineRule="auto"/>
        <w:jc w:val="both"/>
      </w:pPr>
      <w:r w:rsidRPr="00BD2C65">
        <w:t>The literature review of thi</w:t>
      </w:r>
      <w:r w:rsidR="00EA7207" w:rsidRPr="00BD2C65">
        <w:t>s thesis</w:t>
      </w:r>
      <w:r w:rsidR="00144AB7" w:rsidRPr="00BD2C65">
        <w:t xml:space="preserve"> contain</w:t>
      </w:r>
      <w:r w:rsidR="00014629" w:rsidRPr="00BD2C65">
        <w:t>s</w:t>
      </w:r>
      <w:r w:rsidR="00144AB7" w:rsidRPr="00BD2C65">
        <w:t xml:space="preserve"> themes that have been identified by the </w:t>
      </w:r>
      <w:r w:rsidR="00374094" w:rsidRPr="00BD2C65">
        <w:t>aut</w:t>
      </w:r>
      <w:r w:rsidR="00663343" w:rsidRPr="00BD2C65">
        <w:t>hor of this paper</w:t>
      </w:r>
      <w:r w:rsidR="00144AB7" w:rsidRPr="00BD2C65">
        <w:t xml:space="preserve"> when examining the concepts of Colonisation, Empire, LGBTQIA+ people, Decolonisation, and </w:t>
      </w:r>
      <w:r w:rsidR="00BA2220" w:rsidRPr="00BD2C65">
        <w:t>Queer Theory</w:t>
      </w:r>
      <w:r w:rsidR="00144AB7" w:rsidRPr="00BD2C65">
        <w:t>. The</w:t>
      </w:r>
      <w:r w:rsidR="00EA7207" w:rsidRPr="00BD2C65">
        <w:t xml:space="preserve"> </w:t>
      </w:r>
      <w:r w:rsidR="00663343" w:rsidRPr="00BD2C65">
        <w:t>author’s</w:t>
      </w:r>
      <w:r w:rsidR="00144AB7" w:rsidRPr="00BD2C65">
        <w:t xml:space="preserve"> </w:t>
      </w:r>
      <w:r w:rsidR="00EA7207" w:rsidRPr="00BD2C65">
        <w:t xml:space="preserve">desktop </w:t>
      </w:r>
      <w:r w:rsidR="00144AB7" w:rsidRPr="00BD2C65">
        <w:t>research has</w:t>
      </w:r>
      <w:r w:rsidR="00EA7207" w:rsidRPr="00BD2C65">
        <w:t xml:space="preserve"> revealed a developing field of study into the impact the British Empire has had on LGBTQIA+ </w:t>
      </w:r>
      <w:r w:rsidR="00EA7207" w:rsidRPr="00BD2C65">
        <w:lastRenderedPageBreak/>
        <w:t xml:space="preserve">people. </w:t>
      </w:r>
      <w:r w:rsidR="00144AB7" w:rsidRPr="00BD2C65">
        <w:t xml:space="preserve"> </w:t>
      </w:r>
      <w:r w:rsidR="000510B8" w:rsidRPr="00BD2C65">
        <w:t>Drawing on an array of sources</w:t>
      </w:r>
      <w:r w:rsidR="00AF47BB" w:rsidRPr="00BD2C65">
        <w:t xml:space="preserve"> from </w:t>
      </w:r>
      <w:r w:rsidR="000510B8" w:rsidRPr="00BD2C65">
        <w:t xml:space="preserve">the </w:t>
      </w:r>
      <w:r w:rsidR="00144AB7" w:rsidRPr="00BD2C65">
        <w:t>University of Wales Trinity St David’s library website</w:t>
      </w:r>
      <w:r w:rsidR="000510B8" w:rsidRPr="00BD2C65">
        <w:t>, academic journals, and r</w:t>
      </w:r>
      <w:r w:rsidR="00AF47BB" w:rsidRPr="00BD2C65">
        <w:t xml:space="preserve">elevant literature </w:t>
      </w:r>
      <w:r w:rsidR="001067BA" w:rsidRPr="00BD2C65">
        <w:t xml:space="preserve">relating to </w:t>
      </w:r>
      <w:r w:rsidR="000510B8" w:rsidRPr="00BD2C65">
        <w:t>the subject, and</w:t>
      </w:r>
      <w:r w:rsidR="00144AB7" w:rsidRPr="00BD2C65">
        <w:t xml:space="preserve"> </w:t>
      </w:r>
      <w:r w:rsidR="000510B8" w:rsidRPr="00BD2C65">
        <w:t>using the</w:t>
      </w:r>
      <w:r w:rsidR="00144AB7" w:rsidRPr="00BD2C65">
        <w:t xml:space="preserve"> following key terms: Decolonis(z)ing, LGBTQIA+, Queer, British Empire, and Commonwealth</w:t>
      </w:r>
      <w:r w:rsidR="000510B8" w:rsidRPr="00BD2C65">
        <w:t>, the author of this dissertation found relevant research and theories which</w:t>
      </w:r>
      <w:r w:rsidR="00EA7207" w:rsidRPr="00BD2C65">
        <w:t xml:space="preserve"> have</w:t>
      </w:r>
      <w:r w:rsidR="000510B8" w:rsidRPr="00BD2C65">
        <w:t xml:space="preserve"> helped to frame the discussion</w:t>
      </w:r>
      <w:r w:rsidR="00AF47BB" w:rsidRPr="00BD2C65">
        <w:t>.</w:t>
      </w:r>
    </w:p>
    <w:p w14:paraId="63CB8E0F" w14:textId="4C61AAE7" w:rsidR="00144AB7" w:rsidRPr="00BD2C65" w:rsidRDefault="000510B8" w:rsidP="00144AB7">
      <w:pPr>
        <w:spacing w:line="480" w:lineRule="auto"/>
        <w:jc w:val="both"/>
      </w:pPr>
      <w:r w:rsidRPr="00BD2C65">
        <w:t xml:space="preserve"> </w:t>
      </w:r>
    </w:p>
    <w:p w14:paraId="07B34216" w14:textId="4281329B" w:rsidR="000510B8" w:rsidRPr="00BD2C65" w:rsidRDefault="0040263B" w:rsidP="00144AB7">
      <w:pPr>
        <w:spacing w:line="480" w:lineRule="auto"/>
        <w:jc w:val="both"/>
        <w:rPr>
          <w:highlight w:val="yellow"/>
        </w:rPr>
      </w:pPr>
      <w:r w:rsidRPr="00BD2C65">
        <w:t>As part of the literature review, t</w:t>
      </w:r>
      <w:r w:rsidR="00144AB7" w:rsidRPr="00BD2C65">
        <w:t>he author define</w:t>
      </w:r>
      <w:r w:rsidR="000510B8" w:rsidRPr="00BD2C65">
        <w:t>s</w:t>
      </w:r>
      <w:r w:rsidR="00144AB7" w:rsidRPr="00BD2C65">
        <w:t xml:space="preserve"> key terms and theories </w:t>
      </w:r>
      <w:r w:rsidR="000510B8" w:rsidRPr="00BD2C65">
        <w:t>to help frame this thesis</w:t>
      </w:r>
      <w:r w:rsidR="001D61D3" w:rsidRPr="00BD2C65">
        <w:t>’s</w:t>
      </w:r>
      <w:r w:rsidR="000510B8" w:rsidRPr="00BD2C65">
        <w:t xml:space="preserve"> analysis</w:t>
      </w:r>
      <w:r w:rsidR="00702F09" w:rsidRPr="00BD2C65">
        <w:t xml:space="preserve"> and their arguments</w:t>
      </w:r>
      <w:r w:rsidR="00AB6C0B" w:rsidRPr="00BD2C65">
        <w:t>.</w:t>
      </w:r>
      <w:r w:rsidR="00144AB7" w:rsidRPr="00BD2C65">
        <w:t xml:space="preserve"> </w:t>
      </w:r>
      <w:r w:rsidR="000510B8" w:rsidRPr="00BD2C65">
        <w:t xml:space="preserve">These theories provide a useful </w:t>
      </w:r>
      <w:r w:rsidR="00144AB7" w:rsidRPr="00BD2C65">
        <w:t>narrative for further exploration of the following themes</w:t>
      </w:r>
      <w:r w:rsidR="000510B8" w:rsidRPr="00BD2C65">
        <w:t xml:space="preserve"> in </w:t>
      </w:r>
      <w:r w:rsidR="00EA7207" w:rsidRPr="00BD2C65">
        <w:t>the</w:t>
      </w:r>
      <w:r w:rsidR="000510B8" w:rsidRPr="00BD2C65">
        <w:t xml:space="preserve"> literature review</w:t>
      </w:r>
      <w:r w:rsidR="00144AB7" w:rsidRPr="00BD2C65">
        <w:t xml:space="preserve">: </w:t>
      </w:r>
      <w:r w:rsidR="00702F09" w:rsidRPr="00BD2C65">
        <w:t>P</w:t>
      </w:r>
      <w:r w:rsidR="00144AB7" w:rsidRPr="00BD2C65">
        <w:t>re-</w:t>
      </w:r>
      <w:r w:rsidR="000510B8" w:rsidRPr="00BD2C65">
        <w:t>colonialism</w:t>
      </w:r>
      <w:r w:rsidR="00144AB7" w:rsidRPr="00BD2C65">
        <w:t xml:space="preserve">, </w:t>
      </w:r>
      <w:r w:rsidR="000510B8" w:rsidRPr="00BD2C65">
        <w:t xml:space="preserve">Morality, and Modern Day: Cultural </w:t>
      </w:r>
      <w:r w:rsidR="00AF47BB" w:rsidRPr="00BD2C65">
        <w:t>Imperialism</w:t>
      </w:r>
      <w:r w:rsidR="000510B8" w:rsidRPr="00BD2C65">
        <w:t xml:space="preserve"> and </w:t>
      </w:r>
      <w:r w:rsidR="00EA7207" w:rsidRPr="00BD2C65">
        <w:t>Homonationalism</w:t>
      </w:r>
      <w:r w:rsidR="000510B8" w:rsidRPr="00BD2C65">
        <w:t xml:space="preserve">. </w:t>
      </w:r>
    </w:p>
    <w:p w14:paraId="611068AA" w14:textId="77777777" w:rsidR="000510B8" w:rsidRPr="00BD2C65" w:rsidRDefault="000510B8" w:rsidP="00144AB7">
      <w:pPr>
        <w:spacing w:line="480" w:lineRule="auto"/>
        <w:jc w:val="both"/>
      </w:pPr>
    </w:p>
    <w:p w14:paraId="5F841ABF" w14:textId="30879659" w:rsidR="00AF47BB" w:rsidRPr="00BD2C65" w:rsidRDefault="00144AB7" w:rsidP="00AF47BB">
      <w:pPr>
        <w:spacing w:line="480" w:lineRule="auto"/>
        <w:jc w:val="both"/>
      </w:pPr>
      <w:r w:rsidRPr="00BD2C65">
        <w:t xml:space="preserve">The </w:t>
      </w:r>
      <w:r w:rsidR="000510B8" w:rsidRPr="00BD2C65">
        <w:t xml:space="preserve">discussion of the </w:t>
      </w:r>
      <w:r w:rsidR="003357FB" w:rsidRPr="00BD2C65">
        <w:t>results</w:t>
      </w:r>
      <w:r w:rsidR="000510B8" w:rsidRPr="00BD2C65">
        <w:t xml:space="preserve"> of this </w:t>
      </w:r>
      <w:r w:rsidRPr="00BD2C65">
        <w:t xml:space="preserve">study has </w:t>
      </w:r>
      <w:r w:rsidR="00AB6C0B" w:rsidRPr="00BD2C65">
        <w:t>revealed</w:t>
      </w:r>
      <w:r w:rsidRPr="00BD2C65">
        <w:t xml:space="preserve"> the complex </w:t>
      </w:r>
      <w:r w:rsidR="00AB6C0B" w:rsidRPr="00BD2C65">
        <w:t>phenomenon</w:t>
      </w:r>
      <w:r w:rsidRPr="00BD2C65">
        <w:t xml:space="preserve"> of sexuality and gender identity, which </w:t>
      </w:r>
      <w:r w:rsidR="00EA7207" w:rsidRPr="00BD2C65">
        <w:t>were</w:t>
      </w:r>
      <w:r w:rsidRPr="00BD2C65">
        <w:t xml:space="preserve"> controlled by British </w:t>
      </w:r>
      <w:r w:rsidR="00EA7207" w:rsidRPr="00BD2C65">
        <w:t>c</w:t>
      </w:r>
      <w:r w:rsidRPr="00BD2C65">
        <w:t>olonisers, as a form</w:t>
      </w:r>
      <w:r w:rsidR="00EA7207" w:rsidRPr="00BD2C65">
        <w:t xml:space="preserve"> </w:t>
      </w:r>
      <w:r w:rsidRPr="00BD2C65">
        <w:t xml:space="preserve">of </w:t>
      </w:r>
      <w:r w:rsidR="00AB6C0B" w:rsidRPr="00BD2C65">
        <w:t>Biopower</w:t>
      </w:r>
      <w:r w:rsidRPr="00BD2C65">
        <w:t xml:space="preserve"> (</w:t>
      </w:r>
      <w:r w:rsidR="00AF47BB" w:rsidRPr="00BD2C65">
        <w:t xml:space="preserve">Foucault, </w:t>
      </w:r>
      <w:r w:rsidR="001C18FC" w:rsidRPr="00BD2C65">
        <w:t xml:space="preserve">1977, </w:t>
      </w:r>
      <w:r w:rsidR="00AF47BB" w:rsidRPr="00BD2C65">
        <w:t>1999</w:t>
      </w:r>
      <w:r w:rsidR="001C18FC" w:rsidRPr="00BD2C65">
        <w:t>; Stoler, 1995</w:t>
      </w:r>
      <w:r w:rsidRPr="00BD2C65">
        <w:t xml:space="preserve">), to regulate and control LGBTQIA+ </w:t>
      </w:r>
      <w:r w:rsidR="00AB6C0B" w:rsidRPr="00BD2C65">
        <w:t>identities</w:t>
      </w:r>
      <w:r w:rsidRPr="00BD2C65">
        <w:t xml:space="preserve">. </w:t>
      </w:r>
      <w:r w:rsidR="00AF47BB" w:rsidRPr="00BD2C65">
        <w:t xml:space="preserve">Furthermore, the justification </w:t>
      </w:r>
      <w:r w:rsidR="00EA7207" w:rsidRPr="00BD2C65">
        <w:t>for</w:t>
      </w:r>
      <w:r w:rsidR="00AF47BB" w:rsidRPr="00BD2C65">
        <w:t xml:space="preserve"> controlling </w:t>
      </w:r>
      <w:r w:rsidR="00663343" w:rsidRPr="00BD2C65">
        <w:t>I</w:t>
      </w:r>
      <w:r w:rsidR="00AF47BB" w:rsidRPr="00BD2C65">
        <w:t xml:space="preserve">ndigenous </w:t>
      </w:r>
      <w:r w:rsidR="00663343" w:rsidRPr="00BD2C65">
        <w:t>P</w:t>
      </w:r>
      <w:r w:rsidR="00AF47BB" w:rsidRPr="00BD2C65">
        <w:t xml:space="preserve">opulations in former </w:t>
      </w:r>
      <w:r w:rsidR="00BD3430" w:rsidRPr="00BD2C65">
        <w:t>British Colonies</w:t>
      </w:r>
      <w:r w:rsidR="00AF47BB" w:rsidRPr="00BD2C65">
        <w:t>, originates in the imposition of British morality on colonised people to create the conditions of social control</w:t>
      </w:r>
      <w:r w:rsidR="00EA7207" w:rsidRPr="00BD2C65">
        <w:t xml:space="preserve">, </w:t>
      </w:r>
      <w:r w:rsidR="00AF47BB" w:rsidRPr="00BD2C65">
        <w:t>exert power over the population</w:t>
      </w:r>
      <w:r w:rsidR="00EA7207" w:rsidRPr="00BD2C65">
        <w:t>,</w:t>
      </w:r>
      <w:r w:rsidR="00AF47BB" w:rsidRPr="00BD2C65">
        <w:t xml:space="preserve"> and create new hierarchies (</w:t>
      </w:r>
      <w:r w:rsidR="006445D9" w:rsidRPr="00BD2C65">
        <w:t>Foucault</w:t>
      </w:r>
      <w:r w:rsidR="001C18FC" w:rsidRPr="00BD2C65">
        <w:t xml:space="preserve">, </w:t>
      </w:r>
      <w:r w:rsidR="006445D9" w:rsidRPr="00BD2C65">
        <w:t>1977; 1999; Stoler, 1995; Morgensen, 2010; Wolfe, 2006</w:t>
      </w:r>
      <w:r w:rsidR="00AF47BB" w:rsidRPr="00BD2C65">
        <w:t xml:space="preserve">). This has resulted in </w:t>
      </w:r>
      <w:r w:rsidR="00EA7207" w:rsidRPr="00BD2C65">
        <w:t xml:space="preserve">continuing </w:t>
      </w:r>
      <w:r w:rsidR="00AF47BB" w:rsidRPr="00BD2C65">
        <w:t xml:space="preserve">systemic discrimination and marginalisation, with some former </w:t>
      </w:r>
      <w:r w:rsidR="00BA2220" w:rsidRPr="00BD2C65">
        <w:t xml:space="preserve">British Colonies </w:t>
      </w:r>
      <w:r w:rsidR="00AF47BB" w:rsidRPr="00BD2C65">
        <w:t>enacting anti-LGBTQIA+ legislation</w:t>
      </w:r>
      <w:r w:rsidR="00EA7207" w:rsidRPr="00BD2C65">
        <w:t xml:space="preserve"> </w:t>
      </w:r>
      <w:r w:rsidR="00AF47BB" w:rsidRPr="00BD2C65">
        <w:t>such as long prison sentence</w:t>
      </w:r>
      <w:r w:rsidR="00EA7207" w:rsidRPr="00BD2C65">
        <w:t>s</w:t>
      </w:r>
      <w:r w:rsidR="00AF47BB" w:rsidRPr="00BD2C65">
        <w:t xml:space="preserve"> and the death penalty. </w:t>
      </w:r>
    </w:p>
    <w:p w14:paraId="71804C81" w14:textId="16771629" w:rsidR="00AF47BB" w:rsidRPr="00BD2C65" w:rsidRDefault="00AF47BB" w:rsidP="00985E93">
      <w:pPr>
        <w:spacing w:line="480" w:lineRule="auto"/>
        <w:jc w:val="both"/>
      </w:pPr>
    </w:p>
    <w:p w14:paraId="074A2DCB" w14:textId="157BFA3E" w:rsidR="00AB6C0B" w:rsidRPr="00BD2C65" w:rsidRDefault="00AB6C0B" w:rsidP="00985E93">
      <w:pPr>
        <w:spacing w:line="480" w:lineRule="auto"/>
        <w:jc w:val="both"/>
      </w:pPr>
      <w:r w:rsidRPr="00BD2C65">
        <w:t>Moreover, the paper also argues that the British anti-LGBTQIA+ legislation</w:t>
      </w:r>
      <w:r w:rsidR="00EA7207" w:rsidRPr="00BD2C65">
        <w:t xml:space="preserve"> and its imposition of a rigid binary essentialist construct of</w:t>
      </w:r>
      <w:r w:rsidRPr="00BD2C65">
        <w:t xml:space="preserve"> gender and </w:t>
      </w:r>
      <w:r w:rsidR="00447DFD" w:rsidRPr="00BD2C65">
        <w:t xml:space="preserve">sexuality </w:t>
      </w:r>
      <w:r w:rsidR="00AF47BB" w:rsidRPr="00BD2C65">
        <w:t>(</w:t>
      </w:r>
      <w:r w:rsidR="006445D9" w:rsidRPr="00BD2C65">
        <w:t>Puar, 2013</w:t>
      </w:r>
      <w:r w:rsidR="007D7497" w:rsidRPr="00BD2C65">
        <w:t xml:space="preserve">; </w:t>
      </w:r>
      <w:r w:rsidR="007D7497" w:rsidRPr="00BD2C65">
        <w:lastRenderedPageBreak/>
        <w:t>O’Sullivan, 2021; Rifkin, 2011</w:t>
      </w:r>
      <w:r w:rsidR="00AF47BB" w:rsidRPr="00BD2C65">
        <w:t>)</w:t>
      </w:r>
      <w:r w:rsidRPr="00BD2C65">
        <w:t xml:space="preserve">, contributed to the elimination of </w:t>
      </w:r>
      <w:r w:rsidR="00447DFD" w:rsidRPr="00BD2C65">
        <w:t>I</w:t>
      </w:r>
      <w:r w:rsidRPr="00BD2C65">
        <w:t xml:space="preserve">ndigenous </w:t>
      </w:r>
      <w:r w:rsidR="00447DFD" w:rsidRPr="00BD2C65">
        <w:t>P</w:t>
      </w:r>
      <w:r w:rsidRPr="00BD2C65">
        <w:t>eople’s concepts of sexuality and gender identity</w:t>
      </w:r>
      <w:r w:rsidR="00EA7207" w:rsidRPr="00BD2C65">
        <w:t xml:space="preserve">. </w:t>
      </w:r>
      <w:r w:rsidRPr="00BD2C65">
        <w:t xml:space="preserve"> </w:t>
      </w:r>
    </w:p>
    <w:p w14:paraId="32BB9303" w14:textId="77777777" w:rsidR="00E14969" w:rsidRPr="00BD2C65" w:rsidRDefault="00E14969" w:rsidP="00985E93">
      <w:pPr>
        <w:spacing w:line="480" w:lineRule="auto"/>
        <w:jc w:val="both"/>
      </w:pPr>
    </w:p>
    <w:p w14:paraId="1FB7FDDD" w14:textId="4DA0A767" w:rsidR="00EA7207" w:rsidRPr="00BD2C65" w:rsidRDefault="00144AB7" w:rsidP="00985E93">
      <w:pPr>
        <w:spacing w:line="480" w:lineRule="auto"/>
        <w:jc w:val="both"/>
      </w:pPr>
      <w:r w:rsidRPr="00BD2C65">
        <w:t>The findings also highlight the need for</w:t>
      </w:r>
      <w:r w:rsidR="00EA7207" w:rsidRPr="00BD2C65">
        <w:t xml:space="preserve"> an</w:t>
      </w:r>
      <w:r w:rsidRPr="00BD2C65">
        <w:t xml:space="preserve"> intersectional understanding of how race, gender, sexuality and power interplay, which the author argues </w:t>
      </w:r>
      <w:r w:rsidR="00AB6C0B" w:rsidRPr="00BD2C65">
        <w:t>c</w:t>
      </w:r>
      <w:r w:rsidRPr="00BD2C65">
        <w:t xml:space="preserve">an be achieved </w:t>
      </w:r>
      <w:r w:rsidR="00EA7207" w:rsidRPr="00BD2C65">
        <w:t xml:space="preserve">by </w:t>
      </w:r>
      <w:r w:rsidR="001968F5" w:rsidRPr="00BD2C65">
        <w:t>employing</w:t>
      </w:r>
      <w:r w:rsidRPr="00BD2C65">
        <w:t xml:space="preserve"> </w:t>
      </w:r>
      <w:r w:rsidR="00BD3430" w:rsidRPr="00BD2C65">
        <w:t>Othering</w:t>
      </w:r>
      <w:r w:rsidRPr="00BD2C65">
        <w:t xml:space="preserve"> as a framework to </w:t>
      </w:r>
      <w:r w:rsidR="00AB6C0B" w:rsidRPr="00BD2C65">
        <w:t>synthesise</w:t>
      </w:r>
      <w:r w:rsidRPr="00BD2C65">
        <w:t xml:space="preserve"> </w:t>
      </w:r>
      <w:r w:rsidR="00EA7207" w:rsidRPr="00BD2C65">
        <w:t>D</w:t>
      </w:r>
      <w:r w:rsidRPr="00BD2C65">
        <w:t xml:space="preserve">ecolonising and </w:t>
      </w:r>
      <w:r w:rsidR="00BA2220" w:rsidRPr="00BD2C65">
        <w:t>Queer Theories</w:t>
      </w:r>
      <w:r w:rsidRPr="00BD2C65">
        <w:t xml:space="preserve">. </w:t>
      </w:r>
    </w:p>
    <w:p w14:paraId="1D837193" w14:textId="1AA3AF2A" w:rsidR="00EA7207" w:rsidRPr="00BD2C65" w:rsidRDefault="00EA7207" w:rsidP="00985E93">
      <w:pPr>
        <w:spacing w:line="480" w:lineRule="auto"/>
        <w:jc w:val="both"/>
      </w:pPr>
    </w:p>
    <w:p w14:paraId="1D63C29A" w14:textId="2FAFADD4" w:rsidR="000510B8" w:rsidRPr="00BD2C65" w:rsidRDefault="00144AB7" w:rsidP="00985E93">
      <w:pPr>
        <w:spacing w:line="480" w:lineRule="auto"/>
        <w:jc w:val="both"/>
      </w:pPr>
      <w:r w:rsidRPr="00BD2C65">
        <w:t xml:space="preserve">Additionally, the debate </w:t>
      </w:r>
      <w:r w:rsidR="00EA7207" w:rsidRPr="00BD2C65">
        <w:t>about</w:t>
      </w:r>
      <w:r w:rsidRPr="00BD2C65">
        <w:t xml:space="preserve"> morality emphasises the need for understanding how culture and religion shape attitudes towards LGBTQIA+ people. Lastly, the study highlights the impact of modern-day cultural imperialism and </w:t>
      </w:r>
      <w:r w:rsidR="00CB71B2" w:rsidRPr="00BD2C65">
        <w:t>Homonationalism</w:t>
      </w:r>
      <w:r w:rsidRPr="00BD2C65">
        <w:t>, emphasising the need for collaboration between LGBTQIA+ people</w:t>
      </w:r>
      <w:r w:rsidR="00444714" w:rsidRPr="00BD2C65">
        <w:t xml:space="preserve">, </w:t>
      </w:r>
      <w:r w:rsidR="00BA2220" w:rsidRPr="00BD2C65">
        <w:t>Decoloniality</w:t>
      </w:r>
      <w:r w:rsidR="00444714" w:rsidRPr="00BD2C65">
        <w:t xml:space="preserve"> and anti-racism work.</w:t>
      </w:r>
    </w:p>
    <w:p w14:paraId="16104B21" w14:textId="77777777" w:rsidR="00AF47BB" w:rsidRPr="00BD2C65" w:rsidRDefault="00AF47BB" w:rsidP="00985E93">
      <w:pPr>
        <w:spacing w:line="480" w:lineRule="auto"/>
        <w:jc w:val="both"/>
      </w:pPr>
    </w:p>
    <w:p w14:paraId="4571D29B" w14:textId="444145CD" w:rsidR="00AF47BB" w:rsidRPr="00BD2C65" w:rsidRDefault="00EA7207" w:rsidP="00985E93">
      <w:pPr>
        <w:spacing w:line="480" w:lineRule="auto"/>
        <w:jc w:val="both"/>
      </w:pPr>
      <w:r w:rsidRPr="00BD2C65">
        <w:t>The</w:t>
      </w:r>
      <w:r w:rsidR="00AF47BB" w:rsidRPr="00BD2C65">
        <w:t xml:space="preserve"> study emphasises the need for continued research and advocacy on LGBTQIA+ rights in former </w:t>
      </w:r>
      <w:r w:rsidR="00BD3430" w:rsidRPr="00BD2C65">
        <w:t>British Colonies</w:t>
      </w:r>
      <w:r w:rsidR="00AF47BB" w:rsidRPr="00BD2C65">
        <w:t>. By highlighting the</w:t>
      </w:r>
      <w:r w:rsidRPr="00BD2C65">
        <w:t xml:space="preserve"> colonial</w:t>
      </w:r>
      <w:r w:rsidR="00AF47BB" w:rsidRPr="00BD2C65">
        <w:t xml:space="preserve"> historical and contemporary factors that have contributed to the marginalisation and discrimination of LGBTQIA+ people, this dissertation makes a compelling case for examining and investigating the </w:t>
      </w:r>
      <w:r w:rsidRPr="00BD2C65">
        <w:t>role</w:t>
      </w:r>
      <w:r w:rsidR="00AF47BB" w:rsidRPr="00BD2C65">
        <w:t xml:space="preserve"> British colonialism</w:t>
      </w:r>
      <w:r w:rsidR="00B3066C" w:rsidRPr="00BD2C65">
        <w:t xml:space="preserve"> had</w:t>
      </w:r>
      <w:r w:rsidR="00AF47BB" w:rsidRPr="00BD2C65">
        <w:t xml:space="preserve"> on LGBTQIA+ rights and attitudes in former </w:t>
      </w:r>
      <w:r w:rsidR="00BD3430" w:rsidRPr="00BD2C65">
        <w:t>British Colonies</w:t>
      </w:r>
      <w:r w:rsidR="00AF47BB" w:rsidRPr="00BD2C65">
        <w:t xml:space="preserve">. </w:t>
      </w:r>
    </w:p>
    <w:p w14:paraId="02F022AD" w14:textId="77777777" w:rsidR="00AF47BB" w:rsidRPr="00BD2C65" w:rsidRDefault="00AF47BB" w:rsidP="00985E93">
      <w:pPr>
        <w:spacing w:line="480" w:lineRule="auto"/>
        <w:jc w:val="both"/>
      </w:pPr>
    </w:p>
    <w:p w14:paraId="19FBC020" w14:textId="3E8EA67B" w:rsidR="00970987" w:rsidRPr="00BD2C65" w:rsidRDefault="00EA7207" w:rsidP="0014719A">
      <w:pPr>
        <w:spacing w:line="480" w:lineRule="auto"/>
        <w:jc w:val="both"/>
      </w:pPr>
      <w:r w:rsidRPr="00BD2C65">
        <w:t>This</w:t>
      </w:r>
      <w:r w:rsidR="007D7497" w:rsidRPr="00BD2C65">
        <w:t xml:space="preserve"> dissertation provides a valuable insight into the impact of the British Empire and the ongoing struggles of LGBTQIA+ people in former </w:t>
      </w:r>
      <w:r w:rsidR="00BD3430" w:rsidRPr="00BD2C65">
        <w:t>British Colonies</w:t>
      </w:r>
      <w:r w:rsidR="007D7497" w:rsidRPr="00BD2C65">
        <w:t>. It underscores the need for continued efforts to address the legacy of British colonialism on LGBTQIA+ rights and the importance of an intersection</w:t>
      </w:r>
      <w:r w:rsidRPr="00BD2C65">
        <w:t>al</w:t>
      </w:r>
      <w:r w:rsidR="007D7497" w:rsidRPr="00BD2C65">
        <w:t xml:space="preserve"> approach to addressing these issues. </w:t>
      </w:r>
    </w:p>
    <w:p w14:paraId="664E458E" w14:textId="202ADD1A" w:rsidR="00294582" w:rsidRDefault="005E060A" w:rsidP="00294582">
      <w:pPr>
        <w:numPr>
          <w:ilvl w:val="0"/>
          <w:numId w:val="1"/>
        </w:numPr>
        <w:spacing w:line="480" w:lineRule="auto"/>
        <w:outlineLvl w:val="0"/>
        <w:rPr>
          <w:b/>
        </w:rPr>
      </w:pPr>
      <w:r w:rsidRPr="00BD2C65">
        <w:rPr>
          <w:b/>
        </w:rPr>
        <w:br w:type="page"/>
      </w:r>
      <w:bookmarkStart w:id="7" w:name="_Toc145927535"/>
      <w:bookmarkStart w:id="8" w:name="_Hlk123316728"/>
      <w:bookmarkStart w:id="9" w:name="_Hlk123318059"/>
      <w:r w:rsidR="00294582">
        <w:rPr>
          <w:b/>
        </w:rPr>
        <w:lastRenderedPageBreak/>
        <w:t>LITERATURE REVIEW</w:t>
      </w:r>
      <w:bookmarkEnd w:id="7"/>
      <w:r w:rsidR="00294582">
        <w:rPr>
          <w:b/>
        </w:rPr>
        <w:t xml:space="preserve"> </w:t>
      </w:r>
      <w:r w:rsidR="005C671D">
        <w:rPr>
          <w:b/>
        </w:rPr>
        <w:t xml:space="preserve"> </w:t>
      </w:r>
    </w:p>
    <w:p w14:paraId="63CF3306" w14:textId="77777777" w:rsidR="00294582" w:rsidRDefault="00294582" w:rsidP="00294582">
      <w:pPr>
        <w:numPr>
          <w:ilvl w:val="1"/>
          <w:numId w:val="1"/>
        </w:numPr>
        <w:spacing w:line="480" w:lineRule="auto"/>
        <w:outlineLvl w:val="1"/>
        <w:rPr>
          <w:b/>
        </w:rPr>
      </w:pPr>
      <w:bookmarkStart w:id="10" w:name="_Toc145927536"/>
      <w:r>
        <w:rPr>
          <w:b/>
        </w:rPr>
        <w:t>Introduction</w:t>
      </w:r>
      <w:bookmarkEnd w:id="10"/>
    </w:p>
    <w:p w14:paraId="1EE5503D" w14:textId="053BCC99" w:rsidR="00294582" w:rsidRDefault="00294582" w:rsidP="00294582">
      <w:pPr>
        <w:spacing w:line="480" w:lineRule="auto"/>
        <w:jc w:val="both"/>
      </w:pPr>
      <w:r>
        <w:t xml:space="preserve">The literature review </w:t>
      </w:r>
      <w:r w:rsidR="00ED1450">
        <w:t xml:space="preserve">section of this study </w:t>
      </w:r>
      <w:r>
        <w:t>contain</w:t>
      </w:r>
      <w:r w:rsidR="00ED1450">
        <w:t xml:space="preserve">s a </w:t>
      </w:r>
      <w:r w:rsidR="00702F09">
        <w:t xml:space="preserve">critical </w:t>
      </w:r>
      <w:r w:rsidR="00ED1450">
        <w:t>analysis of the</w:t>
      </w:r>
      <w:r>
        <w:t xml:space="preserve"> themes </w:t>
      </w:r>
      <w:r w:rsidR="00ED1450">
        <w:t>that have emerged from the</w:t>
      </w:r>
      <w:r>
        <w:t xml:space="preserve"> research </w:t>
      </w:r>
      <w:r w:rsidR="00444B5A">
        <w:t>into</w:t>
      </w:r>
      <w:r>
        <w:t xml:space="preserve"> the </w:t>
      </w:r>
      <w:r w:rsidR="008834A3">
        <w:t>intersecting</w:t>
      </w:r>
      <w:r w:rsidR="00ED1450">
        <w:t xml:space="preserve"> </w:t>
      </w:r>
      <w:r>
        <w:t>topic</w:t>
      </w:r>
      <w:r w:rsidR="00ED1450">
        <w:t>s</w:t>
      </w:r>
      <w:r>
        <w:t xml:space="preserve"> of</w:t>
      </w:r>
      <w:r w:rsidR="00ED1450">
        <w:t>:</w:t>
      </w:r>
      <w:r>
        <w:t xml:space="preserve"> LGBTQIA+, Colonialism and the British Empire.</w:t>
      </w:r>
      <w:r w:rsidR="004C5AC5">
        <w:t xml:space="preserve"> </w:t>
      </w:r>
      <w:r>
        <w:t xml:space="preserve"> </w:t>
      </w:r>
      <w:r w:rsidR="00ED1450">
        <w:t>The review is organised in</w:t>
      </w:r>
      <w:r w:rsidR="008834A3">
        <w:t xml:space="preserve">to </w:t>
      </w:r>
      <w:r w:rsidR="00ED1450">
        <w:t>the following subsections:</w:t>
      </w:r>
    </w:p>
    <w:p w14:paraId="5E43EC94" w14:textId="77777777" w:rsidR="00294582" w:rsidRPr="0002189D" w:rsidRDefault="00294582" w:rsidP="00294582">
      <w:pPr>
        <w:spacing w:line="480" w:lineRule="auto"/>
        <w:jc w:val="both"/>
        <w:rPr>
          <w:b/>
          <w:bCs/>
        </w:rPr>
      </w:pPr>
      <w:r w:rsidRPr="0002189D">
        <w:rPr>
          <w:b/>
          <w:bCs/>
        </w:rPr>
        <w:t>Theme 1: Key Terms and Theories</w:t>
      </w:r>
    </w:p>
    <w:p w14:paraId="6ED7E159" w14:textId="7772C0E2" w:rsidR="00294582" w:rsidRDefault="00294582" w:rsidP="00294582">
      <w:pPr>
        <w:spacing w:line="480" w:lineRule="auto"/>
        <w:jc w:val="both"/>
      </w:pPr>
      <w:r>
        <w:t xml:space="preserve">This theme </w:t>
      </w:r>
      <w:r w:rsidR="00444B5A">
        <w:t>investigates</w:t>
      </w:r>
      <w:r w:rsidR="00ED1450">
        <w:t xml:space="preserve"> </w:t>
      </w:r>
      <w:r>
        <w:t>and</w:t>
      </w:r>
      <w:r w:rsidR="00ED1450">
        <w:t xml:space="preserve"> provides</w:t>
      </w:r>
      <w:r>
        <w:t xml:space="preserve"> critical analyses </w:t>
      </w:r>
      <w:r w:rsidR="00ED1450">
        <w:t xml:space="preserve">of cornerstone </w:t>
      </w:r>
      <w:r>
        <w:t xml:space="preserve">theories relating to the </w:t>
      </w:r>
      <w:r w:rsidR="00ED1450">
        <w:t xml:space="preserve">subject matter </w:t>
      </w:r>
      <w:r w:rsidR="00D440B5">
        <w:t>including:</w:t>
      </w:r>
      <w:r>
        <w:t xml:space="preserve"> </w:t>
      </w:r>
      <w:r w:rsidR="00702F09">
        <w:t xml:space="preserve">Definitions of </w:t>
      </w:r>
      <w:r>
        <w:t>LGBTQIA+</w:t>
      </w:r>
      <w:r w:rsidR="00ED1450">
        <w:t>,</w:t>
      </w:r>
      <w:r>
        <w:t xml:space="preserve"> the British Empire, </w:t>
      </w:r>
      <w:r w:rsidR="00BA2220">
        <w:t>Queer Theory</w:t>
      </w:r>
      <w:r>
        <w:t xml:space="preserve">, </w:t>
      </w:r>
      <w:r w:rsidR="00BD3430">
        <w:t>Othering</w:t>
      </w:r>
      <w:r>
        <w:t xml:space="preserve">, </w:t>
      </w:r>
      <w:r w:rsidR="00384723">
        <w:t>Biopower</w:t>
      </w:r>
      <w:r w:rsidR="00444B5A">
        <w:t xml:space="preserve"> and Biopolitics</w:t>
      </w:r>
      <w:r w:rsidR="00384723">
        <w:t xml:space="preserve">, </w:t>
      </w:r>
      <w:r>
        <w:t>Colonisation</w:t>
      </w:r>
      <w:r w:rsidR="00444B5A">
        <w:t>, Intersectionality</w:t>
      </w:r>
      <w:r>
        <w:t xml:space="preserve"> and Decolonial Theories. </w:t>
      </w:r>
    </w:p>
    <w:p w14:paraId="6AED0FA3" w14:textId="77777777" w:rsidR="00294582" w:rsidRPr="0002189D" w:rsidRDefault="00294582" w:rsidP="00294582">
      <w:pPr>
        <w:spacing w:line="480" w:lineRule="auto"/>
        <w:jc w:val="both"/>
        <w:rPr>
          <w:b/>
          <w:bCs/>
        </w:rPr>
      </w:pPr>
      <w:r w:rsidRPr="0002189D">
        <w:rPr>
          <w:b/>
          <w:bCs/>
        </w:rPr>
        <w:t xml:space="preserve">Theme 2: Pre-Colonialism </w:t>
      </w:r>
    </w:p>
    <w:p w14:paraId="237DC73E" w14:textId="5A22E426" w:rsidR="00294582" w:rsidRDefault="00294582" w:rsidP="00294582">
      <w:pPr>
        <w:spacing w:line="480" w:lineRule="auto"/>
        <w:jc w:val="both"/>
      </w:pPr>
      <w:r>
        <w:t xml:space="preserve">This theme </w:t>
      </w:r>
      <w:r w:rsidR="00ED1450">
        <w:t xml:space="preserve">examines the historical representation of </w:t>
      </w:r>
      <w:r>
        <w:t>LGBTQIA+ people before</w:t>
      </w:r>
      <w:r w:rsidR="00ED1450">
        <w:t xml:space="preserve"> the onset of</w:t>
      </w:r>
      <w:r>
        <w:t xml:space="preserve"> colonisation</w:t>
      </w:r>
      <w:r w:rsidR="00444B5A">
        <w:t xml:space="preserve">. </w:t>
      </w:r>
      <w:r w:rsidR="008E001A">
        <w:t>However,</w:t>
      </w:r>
      <w:r>
        <w:t xml:space="preserve"> the </w:t>
      </w:r>
      <w:r w:rsidR="00ED1450">
        <w:t xml:space="preserve">author recognises </w:t>
      </w:r>
      <w:r>
        <w:t>a lack of resources</w:t>
      </w:r>
      <w:r w:rsidR="00ED1450">
        <w:t xml:space="preserve"> about</w:t>
      </w:r>
      <w:r>
        <w:t xml:space="preserve"> pre-colonialisation because </w:t>
      </w:r>
      <w:r w:rsidR="001C51F0">
        <w:t>I</w:t>
      </w:r>
      <w:r w:rsidR="00BE4F57">
        <w:t xml:space="preserve">ndigenous </w:t>
      </w:r>
      <w:r w:rsidR="001C51F0">
        <w:t>P</w:t>
      </w:r>
      <w:r>
        <w:t>eoples</w:t>
      </w:r>
      <w:r w:rsidR="008834A3">
        <w:t>’</w:t>
      </w:r>
      <w:r>
        <w:t xml:space="preserve"> sexualities and gender identities were erased by settler colonisers who wished to </w:t>
      </w:r>
      <w:r w:rsidR="00702F09">
        <w:t>‘</w:t>
      </w:r>
      <w:r>
        <w:t>civilise</w:t>
      </w:r>
      <w:r w:rsidR="00702F09">
        <w:t>’</w:t>
      </w:r>
      <w:r>
        <w:t xml:space="preserve"> the </w:t>
      </w:r>
      <w:r w:rsidR="003C6139">
        <w:t>I</w:t>
      </w:r>
      <w:r w:rsidR="00BE4F57">
        <w:t xml:space="preserve">ndigenous </w:t>
      </w:r>
      <w:r w:rsidR="003C6139">
        <w:t>P</w:t>
      </w:r>
      <w:r>
        <w:t>opulations (</w:t>
      </w:r>
      <w:r w:rsidR="00F90187" w:rsidRPr="00690F47">
        <w:rPr>
          <w:color w:val="000000"/>
        </w:rPr>
        <w:t>Ogunnaike</w:t>
      </w:r>
      <w:r w:rsidR="00F90187">
        <w:rPr>
          <w:color w:val="000000"/>
        </w:rPr>
        <w:t>, 2016; Rosa and Flores, 2017; Freire, Ramos and Macedo, 2014</w:t>
      </w:r>
      <w:r>
        <w:t xml:space="preserve">). The </w:t>
      </w:r>
      <w:r w:rsidR="00ED1450">
        <w:t xml:space="preserve">author is also aware that the </w:t>
      </w:r>
      <w:r>
        <w:t>primary research that does exist from this time is heavily biased towards a western European perspective (</w:t>
      </w:r>
      <w:r w:rsidR="00926B69">
        <w:t>Stoler, 1995; Morgensen, 2010</w:t>
      </w:r>
      <w:r>
        <w:t xml:space="preserve">). </w:t>
      </w:r>
      <w:r w:rsidR="00ED1450">
        <w:t xml:space="preserve">A Foucauldian perspective of power is </w:t>
      </w:r>
      <w:r w:rsidR="004366A8">
        <w:t>utilised</w:t>
      </w:r>
      <w:r w:rsidR="00ED1450">
        <w:t xml:space="preserve"> to explore </w:t>
      </w:r>
      <w:r w:rsidR="00702F09">
        <w:t xml:space="preserve">and critically analyse </w:t>
      </w:r>
      <w:r w:rsidR="00ED1450">
        <w:t xml:space="preserve">this topic. </w:t>
      </w:r>
    </w:p>
    <w:p w14:paraId="2B516613" w14:textId="77777777" w:rsidR="00294582" w:rsidRDefault="00294582" w:rsidP="00294582">
      <w:pPr>
        <w:spacing w:line="480" w:lineRule="auto"/>
        <w:jc w:val="both"/>
        <w:rPr>
          <w:b/>
          <w:bCs/>
        </w:rPr>
      </w:pPr>
      <w:r w:rsidRPr="0002189D">
        <w:rPr>
          <w:b/>
          <w:bCs/>
        </w:rPr>
        <w:t xml:space="preserve">Theme 3: Morality </w:t>
      </w:r>
    </w:p>
    <w:p w14:paraId="6CC5A47E" w14:textId="1C3BC3C8" w:rsidR="00294582" w:rsidRPr="00550751" w:rsidRDefault="00550751" w:rsidP="00294582">
      <w:pPr>
        <w:spacing w:line="480" w:lineRule="auto"/>
        <w:jc w:val="both"/>
      </w:pPr>
      <w:r>
        <w:t xml:space="preserve">This theme </w:t>
      </w:r>
      <w:r w:rsidR="00704E63">
        <w:t xml:space="preserve">investigates </w:t>
      </w:r>
      <w:r w:rsidR="008440C2">
        <w:t xml:space="preserve">how Christian morality influenced </w:t>
      </w:r>
      <w:r w:rsidR="00A41A32">
        <w:t xml:space="preserve">the construction and </w:t>
      </w:r>
      <w:r w:rsidR="008440C2">
        <w:t>ideas of sexuality and gender identit</w:t>
      </w:r>
      <w:r w:rsidR="00384723">
        <w:t>ies in former British Coloni</w:t>
      </w:r>
      <w:r w:rsidR="00444B5A">
        <w:t>es</w:t>
      </w:r>
      <w:r w:rsidR="00384723">
        <w:t xml:space="preserve">. </w:t>
      </w:r>
      <w:r w:rsidR="00407139">
        <w:t xml:space="preserve"> </w:t>
      </w:r>
      <w:r w:rsidR="00E37BF0">
        <w:t xml:space="preserve">The British Empire </w:t>
      </w:r>
      <w:r w:rsidR="00444B5A">
        <w:t>developed from the</w:t>
      </w:r>
      <w:r w:rsidR="00E37BF0">
        <w:t xml:space="preserve"> 15</w:t>
      </w:r>
      <w:r w:rsidR="00E37BF0" w:rsidRPr="006A5B39">
        <w:rPr>
          <w:vertAlign w:val="superscript"/>
        </w:rPr>
        <w:t>th</w:t>
      </w:r>
      <w:r w:rsidR="00E37BF0">
        <w:t xml:space="preserve"> </w:t>
      </w:r>
      <w:r w:rsidR="00444B5A">
        <w:t xml:space="preserve">century, </w:t>
      </w:r>
      <w:r w:rsidR="00E37BF0">
        <w:t>shifted towards more formal state control in the 19</w:t>
      </w:r>
      <w:r w:rsidR="00E37BF0" w:rsidRPr="006A5B39">
        <w:rPr>
          <w:vertAlign w:val="superscript"/>
        </w:rPr>
        <w:t>th</w:t>
      </w:r>
      <w:r w:rsidR="00E37BF0">
        <w:t xml:space="preserve"> </w:t>
      </w:r>
      <w:r w:rsidR="00E37BF0" w:rsidRPr="00D440B5">
        <w:t xml:space="preserve">century </w:t>
      </w:r>
      <w:r w:rsidR="00E37BF0" w:rsidRPr="00AD3719">
        <w:t>(</w:t>
      </w:r>
      <w:r w:rsidR="00AF47BB" w:rsidRPr="00AD3719">
        <w:t>Ferguson, 2004</w:t>
      </w:r>
      <w:r w:rsidR="00D440B5" w:rsidRPr="00AD3719">
        <w:t>; Aldrich, 2008</w:t>
      </w:r>
      <w:r w:rsidR="00E37BF0" w:rsidRPr="00AD3719">
        <w:t>)</w:t>
      </w:r>
      <w:r w:rsidR="00444B5A">
        <w:t>,</w:t>
      </w:r>
      <w:r w:rsidR="00C347E6">
        <w:t xml:space="preserve"> and </w:t>
      </w:r>
      <w:r w:rsidR="00444B5A">
        <w:t>promulgated</w:t>
      </w:r>
      <w:r w:rsidR="00C347E6">
        <w:t xml:space="preserve"> anti-LGBTQIA+ legislation </w:t>
      </w:r>
      <w:r w:rsidR="00C347E6" w:rsidRPr="00AD3719">
        <w:lastRenderedPageBreak/>
        <w:t>(</w:t>
      </w:r>
      <w:r w:rsidR="00AF47BB" w:rsidRPr="00AD3719">
        <w:t>Aldrich, 2008</w:t>
      </w:r>
      <w:r w:rsidR="00C347E6" w:rsidRPr="00AD3719">
        <w:t>)</w:t>
      </w:r>
      <w:r w:rsidR="00E37BF0" w:rsidRPr="00AD3719">
        <w:t>.</w:t>
      </w:r>
      <w:r w:rsidR="00E37BF0">
        <w:t xml:space="preserve"> </w:t>
      </w:r>
      <w:r w:rsidR="00A41A32">
        <w:t xml:space="preserve">Given that </w:t>
      </w:r>
      <w:r w:rsidR="00E37BF0">
        <w:t>Brit</w:t>
      </w:r>
      <w:r w:rsidR="00C347E6">
        <w:t>ish society was heavily influenced by</w:t>
      </w:r>
      <w:r w:rsidR="00444B5A">
        <w:t xml:space="preserve"> a</w:t>
      </w:r>
      <w:r w:rsidR="00C347E6">
        <w:t xml:space="preserve"> Christian theology, </w:t>
      </w:r>
      <w:r w:rsidR="00444B5A">
        <w:t>hostile</w:t>
      </w:r>
      <w:r w:rsidR="00C347E6">
        <w:t xml:space="preserve"> to LGBTQIA+ </w:t>
      </w:r>
      <w:r w:rsidR="00C347E6" w:rsidRPr="00D440B5">
        <w:t>people</w:t>
      </w:r>
      <w:r w:rsidR="00C347E6" w:rsidRPr="00AD3719">
        <w:t xml:space="preserve"> (</w:t>
      </w:r>
      <w:r w:rsidR="00AF47BB" w:rsidRPr="00AD3719">
        <w:t>ibid.</w:t>
      </w:r>
      <w:r w:rsidR="00C347E6" w:rsidRPr="00D440B5">
        <w:t>)</w:t>
      </w:r>
      <w:r w:rsidR="00444B5A">
        <w:t>, t</w:t>
      </w:r>
      <w:r w:rsidR="00A41A32" w:rsidRPr="00D440B5">
        <w:t xml:space="preserve">his section further explores how </w:t>
      </w:r>
      <w:r w:rsidR="00C347E6" w:rsidRPr="00D440B5">
        <w:t xml:space="preserve">morality and state control enacted on </w:t>
      </w:r>
      <w:r w:rsidR="003C6139">
        <w:t>I</w:t>
      </w:r>
      <w:r w:rsidR="00BE4F57" w:rsidRPr="00D440B5">
        <w:t xml:space="preserve">ndigenous </w:t>
      </w:r>
      <w:r w:rsidR="003C6139">
        <w:t>P</w:t>
      </w:r>
      <w:r w:rsidR="00C347E6" w:rsidRPr="00D440B5">
        <w:t xml:space="preserve">opulations erased </w:t>
      </w:r>
      <w:r w:rsidR="00444B5A">
        <w:t>their</w:t>
      </w:r>
      <w:r w:rsidR="00C347E6" w:rsidRPr="00D440B5">
        <w:t xml:space="preserve"> traditional understanding of sexuality and gender identity </w:t>
      </w:r>
      <w:r w:rsidR="00C347E6" w:rsidRPr="00AD3719">
        <w:t>(</w:t>
      </w:r>
      <w:r w:rsidR="00AF47BB" w:rsidRPr="00AD3719">
        <w:t>ibid.</w:t>
      </w:r>
      <w:r w:rsidR="00C347E6" w:rsidRPr="00AD3719">
        <w:t>).</w:t>
      </w:r>
      <w:r w:rsidR="00C347E6">
        <w:t xml:space="preserve"> </w:t>
      </w:r>
    </w:p>
    <w:p w14:paraId="75445B73" w14:textId="45C64D45" w:rsidR="00294582" w:rsidRDefault="00294582" w:rsidP="00294582">
      <w:pPr>
        <w:spacing w:line="480" w:lineRule="auto"/>
        <w:jc w:val="both"/>
        <w:rPr>
          <w:b/>
          <w:bCs/>
        </w:rPr>
      </w:pPr>
      <w:r w:rsidRPr="0002189D">
        <w:rPr>
          <w:b/>
          <w:bCs/>
        </w:rPr>
        <w:t xml:space="preserve">Theme 4: </w:t>
      </w:r>
      <w:r w:rsidR="008440C2">
        <w:rPr>
          <w:b/>
          <w:bCs/>
        </w:rPr>
        <w:t xml:space="preserve">Modern Day: </w:t>
      </w:r>
      <w:r w:rsidR="00CB71B2">
        <w:rPr>
          <w:b/>
          <w:bCs/>
        </w:rPr>
        <w:t>Homonationalism</w:t>
      </w:r>
      <w:r>
        <w:rPr>
          <w:b/>
          <w:bCs/>
        </w:rPr>
        <w:t xml:space="preserve"> and Heteroactivism </w:t>
      </w:r>
    </w:p>
    <w:p w14:paraId="608D0E80" w14:textId="706A54B8" w:rsidR="00407139" w:rsidRDefault="00A41A32" w:rsidP="00AD57BE">
      <w:pPr>
        <w:spacing w:line="480" w:lineRule="auto"/>
        <w:jc w:val="both"/>
      </w:pPr>
      <w:r>
        <w:t>The final</w:t>
      </w:r>
      <w:r w:rsidR="00384723">
        <w:t xml:space="preserve"> theme explores the legacy and continuing impact of the British Empire on </w:t>
      </w:r>
      <w:r w:rsidR="00407139">
        <w:t xml:space="preserve">former British </w:t>
      </w:r>
      <w:r w:rsidR="00FD4D6E">
        <w:t>Colonies</w:t>
      </w:r>
      <w:r>
        <w:t>, with a particular focus on the contemporary context</w:t>
      </w:r>
      <w:r w:rsidR="00407139">
        <w:t xml:space="preserve">. </w:t>
      </w:r>
      <w:r w:rsidR="00C347E6" w:rsidRPr="00AD3719">
        <w:t xml:space="preserve">It highlights how different former </w:t>
      </w:r>
      <w:r w:rsidR="00BA2220">
        <w:t xml:space="preserve">British Colonies </w:t>
      </w:r>
      <w:r w:rsidR="00C347E6" w:rsidRPr="00AD3719">
        <w:t xml:space="preserve">have </w:t>
      </w:r>
      <w:r w:rsidRPr="00AD3719">
        <w:t xml:space="preserve">differing interactions </w:t>
      </w:r>
      <w:r w:rsidR="00C347E6" w:rsidRPr="00AD3719">
        <w:t xml:space="preserve">with LGBTQIA+ </w:t>
      </w:r>
      <w:r w:rsidR="004366A8" w:rsidRPr="004366A8">
        <w:t>legislation</w:t>
      </w:r>
      <w:r w:rsidR="00C347E6" w:rsidRPr="00AD3719">
        <w:t>, with some keeping anti-LGBTQIA+ legislation and others who have not</w:t>
      </w:r>
      <w:r w:rsidR="00D440B5">
        <w:t xml:space="preserve"> </w:t>
      </w:r>
      <w:r w:rsidR="00AD57BE">
        <w:rPr>
          <w:color w:val="000000"/>
        </w:rPr>
        <w:t>(</w:t>
      </w:r>
      <w:r w:rsidR="00AD57BE" w:rsidRPr="00CB7866">
        <w:rPr>
          <w:color w:val="000000"/>
        </w:rPr>
        <w:t>Amusan, Saka and Muinat, 2019</w:t>
      </w:r>
      <w:r w:rsidR="00AD57BE">
        <w:rPr>
          <w:color w:val="000000"/>
        </w:rPr>
        <w:t xml:space="preserve">; </w:t>
      </w:r>
      <w:r w:rsidR="00AD57BE">
        <w:t>Guardian, 2019; Wahab, 2016, 2021)</w:t>
      </w:r>
      <w:r w:rsidR="00FD4D6E">
        <w:t>.</w:t>
      </w:r>
      <w:r w:rsidR="00C347E6" w:rsidRPr="00AD3719">
        <w:t xml:space="preserve"> </w:t>
      </w:r>
      <w:r w:rsidRPr="00AD3719">
        <w:t xml:space="preserve">The literature review also </w:t>
      </w:r>
      <w:r w:rsidR="004366A8" w:rsidRPr="004366A8">
        <w:t>acknowledges</w:t>
      </w:r>
      <w:r w:rsidR="00C347E6" w:rsidRPr="00AD3719">
        <w:t xml:space="preserve"> </w:t>
      </w:r>
      <w:r w:rsidRPr="00AD3719">
        <w:t xml:space="preserve">the </w:t>
      </w:r>
      <w:r w:rsidR="00C347E6" w:rsidRPr="00AD3719">
        <w:t>limitation of western understanding of sexuality and gender identity on other non-western countries</w:t>
      </w:r>
      <w:r w:rsidR="00D440B5">
        <w:t xml:space="preserve"> (</w:t>
      </w:r>
      <w:r w:rsidR="00AD57BE">
        <w:t>ibid.</w:t>
      </w:r>
      <w:r w:rsidR="00D440B5">
        <w:t>)</w:t>
      </w:r>
      <w:r w:rsidR="00C347E6" w:rsidRPr="00AD3719">
        <w:t xml:space="preserve">. </w:t>
      </w:r>
      <w:r w:rsidRPr="00AD3719">
        <w:t>Moreover</w:t>
      </w:r>
      <w:r w:rsidR="00C347E6" w:rsidRPr="00AD3719">
        <w:t xml:space="preserve">, it explores the </w:t>
      </w:r>
      <w:r w:rsidR="004366A8" w:rsidRPr="004366A8">
        <w:t>nuanced</w:t>
      </w:r>
      <w:r w:rsidR="00C347E6" w:rsidRPr="00AD3719">
        <w:t xml:space="preserve"> debate </w:t>
      </w:r>
      <w:r w:rsidR="006A5B39" w:rsidRPr="00AD3719">
        <w:t>surrounding LGBTQIA+ rights in Africa and</w:t>
      </w:r>
      <w:r w:rsidRPr="00AD3719">
        <w:t xml:space="preserve"> the perception of</w:t>
      </w:r>
      <w:r w:rsidR="006A5B39" w:rsidRPr="00AD3719">
        <w:t xml:space="preserve"> how </w:t>
      </w:r>
      <w:r w:rsidRPr="00AD3719">
        <w:t>this</w:t>
      </w:r>
      <w:r w:rsidR="006A5B39" w:rsidRPr="00AD3719">
        <w:t xml:space="preserve"> is seen as a western import</w:t>
      </w:r>
      <w:r w:rsidR="00D440B5">
        <w:t xml:space="preserve"> </w:t>
      </w:r>
      <w:r w:rsidR="00AD57BE">
        <w:t xml:space="preserve">(Kuloba, 2016; McAllister, 2013; </w:t>
      </w:r>
      <w:r w:rsidR="00AD57BE" w:rsidRPr="00A0722A">
        <w:rPr>
          <w:color w:val="000000"/>
        </w:rPr>
        <w:t>Izugbara et al, 2020</w:t>
      </w:r>
      <w:r w:rsidR="00D440B5">
        <w:t>)</w:t>
      </w:r>
      <w:r w:rsidR="006A5B39" w:rsidRPr="00AD3719">
        <w:t xml:space="preserve">. It discusses the concept of </w:t>
      </w:r>
      <w:r w:rsidR="00CB71B2">
        <w:t>Homonationalism</w:t>
      </w:r>
      <w:r w:rsidR="006A5B39" w:rsidRPr="00AD3719">
        <w:t xml:space="preserve"> and how it can </w:t>
      </w:r>
      <w:r w:rsidRPr="00AD3719">
        <w:t xml:space="preserve">be utilised as a tool to </w:t>
      </w:r>
      <w:r w:rsidR="006A5B39" w:rsidRPr="00AD3719">
        <w:t xml:space="preserve">help the author and the reader understand the relationship between LGBTQIA+ rights and </w:t>
      </w:r>
      <w:r w:rsidR="00444B5A">
        <w:t>nationalism</w:t>
      </w:r>
      <w:r w:rsidR="00D440B5">
        <w:t xml:space="preserve"> (</w:t>
      </w:r>
      <w:r w:rsidR="00AD57BE">
        <w:t>Tucker, 2020;</w:t>
      </w:r>
      <w:r w:rsidR="00AD57BE" w:rsidRPr="00AD57BE">
        <w:t xml:space="preserve"> </w:t>
      </w:r>
      <w:r w:rsidR="00AD57BE">
        <w:t>Davies, Isakjee and Dhesi, 2017; Puar, 2013)</w:t>
      </w:r>
      <w:r w:rsidR="006A5B39" w:rsidRPr="00AD3719">
        <w:t xml:space="preserve">. Finally, it looks at the impact of homonormalisation, creating a new </w:t>
      </w:r>
      <w:r w:rsidR="00444B5A">
        <w:t>O</w:t>
      </w:r>
      <w:r w:rsidR="006A5B39" w:rsidRPr="00AD3719">
        <w:t>ther for those LGBTQIA+ people who do not fit into the accepted norm</w:t>
      </w:r>
      <w:r w:rsidRPr="00AD3719">
        <w:t xml:space="preserve">, thereby shedding light on the complex legacy of colonialism/coloniality on contemporary LGBTQIA+ issues in former British </w:t>
      </w:r>
      <w:r w:rsidR="005948D1">
        <w:t>Colonies</w:t>
      </w:r>
      <w:r w:rsidRPr="00AD3719">
        <w:t>.</w:t>
      </w:r>
    </w:p>
    <w:p w14:paraId="70CC254C" w14:textId="77777777" w:rsidR="00444B5A" w:rsidRDefault="00444B5A" w:rsidP="00AD57BE">
      <w:pPr>
        <w:spacing w:line="480" w:lineRule="auto"/>
        <w:jc w:val="both"/>
      </w:pPr>
    </w:p>
    <w:p w14:paraId="6FF013CC" w14:textId="77777777" w:rsidR="00444B5A" w:rsidRDefault="00444B5A" w:rsidP="00AD57BE">
      <w:pPr>
        <w:spacing w:line="480" w:lineRule="auto"/>
        <w:jc w:val="both"/>
      </w:pPr>
    </w:p>
    <w:p w14:paraId="30B7A6D5" w14:textId="77777777" w:rsidR="001D4F66" w:rsidRPr="00347314" w:rsidRDefault="001D4F66" w:rsidP="00AD57BE">
      <w:pPr>
        <w:spacing w:line="480" w:lineRule="auto"/>
        <w:jc w:val="both"/>
        <w:rPr>
          <w:color w:val="000000"/>
        </w:rPr>
      </w:pPr>
    </w:p>
    <w:p w14:paraId="1DE2A02C" w14:textId="77777777" w:rsidR="00407139" w:rsidRPr="00407139" w:rsidRDefault="00407139" w:rsidP="00294582">
      <w:pPr>
        <w:spacing w:line="480" w:lineRule="auto"/>
        <w:jc w:val="both"/>
        <w:rPr>
          <w:color w:val="FF0000"/>
        </w:rPr>
      </w:pPr>
    </w:p>
    <w:p w14:paraId="5DD932D0" w14:textId="77777777" w:rsidR="00294582" w:rsidRDefault="00294582" w:rsidP="00294582">
      <w:pPr>
        <w:numPr>
          <w:ilvl w:val="1"/>
          <w:numId w:val="1"/>
        </w:numPr>
        <w:spacing w:line="480" w:lineRule="auto"/>
        <w:outlineLvl w:val="1"/>
        <w:rPr>
          <w:b/>
        </w:rPr>
      </w:pPr>
      <w:bookmarkStart w:id="11" w:name="_Toc145927537"/>
      <w:r>
        <w:rPr>
          <w:b/>
        </w:rPr>
        <w:lastRenderedPageBreak/>
        <w:t>Theme 1: Key Terms and Theories</w:t>
      </w:r>
      <w:bookmarkEnd w:id="11"/>
    </w:p>
    <w:p w14:paraId="52E01D54" w14:textId="30818CF2" w:rsidR="00407139" w:rsidRPr="00BD2C65" w:rsidRDefault="00294582" w:rsidP="00AD57BE">
      <w:pPr>
        <w:spacing w:line="480" w:lineRule="auto"/>
        <w:jc w:val="both"/>
      </w:pPr>
      <w:r w:rsidRPr="00BD2C65">
        <w:t xml:space="preserve">In this section, the </w:t>
      </w:r>
      <w:r w:rsidR="00EA7207" w:rsidRPr="00BD2C65">
        <w:t>writer</w:t>
      </w:r>
      <w:r w:rsidRPr="00BD2C65">
        <w:t xml:space="preserve"> will provide definitions and </w:t>
      </w:r>
      <w:r w:rsidR="000F7D14" w:rsidRPr="00BD2C65">
        <w:t xml:space="preserve">cornerstone </w:t>
      </w:r>
      <w:r w:rsidR="000C5C03" w:rsidRPr="00BD2C65">
        <w:t>theories uncovered</w:t>
      </w:r>
      <w:r w:rsidR="000F7D14" w:rsidRPr="00BD2C65">
        <w:t xml:space="preserve"> during their inquiry into the subject matter. The definitions include</w:t>
      </w:r>
      <w:r w:rsidR="000C5C03" w:rsidRPr="00BD2C65">
        <w:t>d are</w:t>
      </w:r>
      <w:r w:rsidR="000F7D14" w:rsidRPr="00BD2C65">
        <w:t>: Colonialisation</w:t>
      </w:r>
      <w:r w:rsidR="000C5C03" w:rsidRPr="00BD2C65">
        <w:t>;</w:t>
      </w:r>
      <w:r w:rsidR="000F7D14" w:rsidRPr="00BD2C65">
        <w:t xml:space="preserve"> Decolonisation</w:t>
      </w:r>
      <w:r w:rsidR="000C5C03" w:rsidRPr="00BD2C65">
        <w:t>;</w:t>
      </w:r>
      <w:r w:rsidR="000F7D14" w:rsidRPr="00BD2C65">
        <w:t xml:space="preserve"> The British Empire</w:t>
      </w:r>
      <w:r w:rsidR="000C5C03" w:rsidRPr="00BD2C65">
        <w:t>;</w:t>
      </w:r>
      <w:r w:rsidR="000F7D14" w:rsidRPr="00BD2C65">
        <w:t xml:space="preserve"> LGBTQIA+ People</w:t>
      </w:r>
      <w:r w:rsidR="000C5C03" w:rsidRPr="00BD2C65">
        <w:t>;</w:t>
      </w:r>
      <w:r w:rsidR="000F7D14" w:rsidRPr="00BD2C65">
        <w:t xml:space="preserve"> </w:t>
      </w:r>
      <w:r w:rsidR="00BA2220" w:rsidRPr="00BD2C65">
        <w:t>Queer Theory</w:t>
      </w:r>
      <w:r w:rsidR="000C5C03" w:rsidRPr="00BD2C65">
        <w:t>;</w:t>
      </w:r>
      <w:r w:rsidR="000F7D14" w:rsidRPr="00BD2C65">
        <w:t xml:space="preserve"> </w:t>
      </w:r>
      <w:r w:rsidR="00BD3430" w:rsidRPr="00BD2C65">
        <w:t>Othering</w:t>
      </w:r>
      <w:r w:rsidR="000C5C03" w:rsidRPr="00BD2C65">
        <w:t>;</w:t>
      </w:r>
      <w:r w:rsidR="000F7D14" w:rsidRPr="00BD2C65">
        <w:t xml:space="preserve"> Biopolitics and Intersectionality. These theories are critically analysed </w:t>
      </w:r>
      <w:r w:rsidR="000C5C03" w:rsidRPr="00BD2C65">
        <w:t>and utilised to create a</w:t>
      </w:r>
      <w:r w:rsidR="000F7D14" w:rsidRPr="00BD2C65">
        <w:t xml:space="preserve"> deeper understanding of the subject matter and to establish a foundation for subsequent sections in this dissertation.</w:t>
      </w:r>
      <w:r w:rsidR="00D440B5" w:rsidRPr="00BD2C65">
        <w:t xml:space="preserve"> These definitions provide a framing to contextualise, inform debate and critically analyse the findings presented in the literature.</w:t>
      </w:r>
      <w:r w:rsidR="000F7D14" w:rsidRPr="00BD2C65">
        <w:t xml:space="preserve"> </w:t>
      </w:r>
    </w:p>
    <w:p w14:paraId="7E8F9128" w14:textId="77777777" w:rsidR="00D24B42" w:rsidRPr="00BD2C65" w:rsidRDefault="00D24B42" w:rsidP="00294582">
      <w:pPr>
        <w:spacing w:line="480" w:lineRule="auto"/>
        <w:jc w:val="both"/>
      </w:pPr>
    </w:p>
    <w:p w14:paraId="761DD02F" w14:textId="466085C1" w:rsidR="00BE4F57" w:rsidRPr="00BD2C65" w:rsidRDefault="00294582" w:rsidP="000F7D14">
      <w:pPr>
        <w:spacing w:line="480" w:lineRule="auto"/>
        <w:jc w:val="both"/>
      </w:pPr>
      <w:r w:rsidRPr="00BD2C65">
        <w:rPr>
          <w:b/>
          <w:bCs/>
        </w:rPr>
        <w:t>Colonialisation</w:t>
      </w:r>
      <w:r w:rsidRPr="00BD2C65">
        <w:t xml:space="preserve"> is a </w:t>
      </w:r>
      <w:r w:rsidR="000C5C03" w:rsidRPr="00BD2C65">
        <w:t xml:space="preserve">multifaceted </w:t>
      </w:r>
      <w:r w:rsidRPr="00BD2C65">
        <w:t xml:space="preserve">historical phenomenon </w:t>
      </w:r>
      <w:r w:rsidR="000F7D14" w:rsidRPr="00BD2C65">
        <w:t xml:space="preserve">that has far reaching consequences on the contemporary world. </w:t>
      </w:r>
      <w:r w:rsidRPr="00BD2C65">
        <w:t xml:space="preserve">(Paradies, 2016; Kohn, 2013; FitzPatrick, 2018). </w:t>
      </w:r>
      <w:r w:rsidR="001710CF" w:rsidRPr="00BD2C65">
        <w:t>It is complex</w:t>
      </w:r>
      <w:r w:rsidR="002C2FAD" w:rsidRPr="00BD2C65">
        <w:t xml:space="preserve"> and involves the domination</w:t>
      </w:r>
      <w:r w:rsidR="008834A3" w:rsidRPr="00BD2C65">
        <w:t xml:space="preserve"> </w:t>
      </w:r>
      <w:r w:rsidR="00504D57" w:rsidRPr="00BD2C65">
        <w:t>and control of the</w:t>
      </w:r>
      <w:r w:rsidRPr="00BD2C65">
        <w:t xml:space="preserve"> </w:t>
      </w:r>
      <w:r w:rsidR="005948D1" w:rsidRPr="00BD2C65">
        <w:t>‘O</w:t>
      </w:r>
      <w:r w:rsidRPr="00BD2C65">
        <w:t>ther</w:t>
      </w:r>
      <w:r w:rsidR="000C5C03" w:rsidRPr="00BD2C65">
        <w:t>’</w:t>
      </w:r>
      <w:r w:rsidRPr="00BD2C65">
        <w:t xml:space="preserve"> (FitzPatrick, 2018), </w:t>
      </w:r>
      <w:r w:rsidR="00AD57BE" w:rsidRPr="00BD2C65">
        <w:t>using</w:t>
      </w:r>
      <w:r w:rsidRPr="00BD2C65">
        <w:t xml:space="preserve"> </w:t>
      </w:r>
      <w:r w:rsidR="00D93739" w:rsidRPr="00BD2C65">
        <w:t>‘</w:t>
      </w:r>
      <w:r w:rsidRPr="00BD2C65">
        <w:t>war, forced labour, and assimilation and eradication of social, cultural and spiritual practices</w:t>
      </w:r>
      <w:r w:rsidR="00D93739" w:rsidRPr="00BD2C65">
        <w:t>’</w:t>
      </w:r>
      <w:r w:rsidRPr="00BD2C65">
        <w:t xml:space="preserve"> (Paradies, 2016, p. 84)</w:t>
      </w:r>
      <w:r w:rsidR="00A510F1" w:rsidRPr="00BD2C65">
        <w:t xml:space="preserve">, by </w:t>
      </w:r>
      <w:r w:rsidR="009537A7" w:rsidRPr="00BD2C65">
        <w:t>a dominant</w:t>
      </w:r>
      <w:r w:rsidR="00A510F1" w:rsidRPr="00BD2C65">
        <w:t xml:space="preserve"> group</w:t>
      </w:r>
      <w:r w:rsidRPr="00BD2C65">
        <w:t xml:space="preserve">. It should be noted there is a </w:t>
      </w:r>
      <w:r w:rsidR="00A510F1" w:rsidRPr="00BD2C65">
        <w:t>distinction</w:t>
      </w:r>
      <w:r w:rsidRPr="00BD2C65">
        <w:t xml:space="preserve"> between Colonialism and Coloniality (Pillay, 2021). Mignolo and Vazquez (2013) suggests that Colonialism is a singular event, whereas Coloniality is a continuous process. However, although</w:t>
      </w:r>
      <w:r w:rsidR="005948D1" w:rsidRPr="00BD2C65">
        <w:t xml:space="preserve"> the concept of</w:t>
      </w:r>
      <w:r w:rsidRPr="00BD2C65">
        <w:t xml:space="preserve"> coloniality has its strengths</w:t>
      </w:r>
      <w:r w:rsidR="002C2FAD" w:rsidRPr="00BD2C65">
        <w:t>, for example being</w:t>
      </w:r>
      <w:r w:rsidRPr="00BD2C65">
        <w:t xml:space="preserve"> seen as an ongoing process (</w:t>
      </w:r>
      <w:r w:rsidR="0084679F" w:rsidRPr="00BD2C65">
        <w:t>ibid.</w:t>
      </w:r>
      <w:r w:rsidRPr="00BD2C65">
        <w:t xml:space="preserve">), Wolfe (2006) </w:t>
      </w:r>
      <w:r w:rsidR="003738EF" w:rsidRPr="00BD2C65">
        <w:t>and Stoler (1995)</w:t>
      </w:r>
      <w:r w:rsidR="005948D1" w:rsidRPr="00BD2C65">
        <w:t xml:space="preserve"> </w:t>
      </w:r>
      <w:r w:rsidR="002C2FAD" w:rsidRPr="00BD2C65">
        <w:t xml:space="preserve">argue </w:t>
      </w:r>
      <w:r w:rsidRPr="00BD2C65">
        <w:t xml:space="preserve">that colonialism should be framed as a structure which erased the </w:t>
      </w:r>
      <w:r w:rsidR="004300B4" w:rsidRPr="00BD2C65">
        <w:t>I</w:t>
      </w:r>
      <w:r w:rsidR="00BE4F57" w:rsidRPr="00BD2C65">
        <w:t xml:space="preserve">ndigenous </w:t>
      </w:r>
      <w:r w:rsidRPr="00BD2C65">
        <w:t>through assimilation or genocide.</w:t>
      </w:r>
      <w:r w:rsidR="006800ED" w:rsidRPr="00BD2C65">
        <w:t xml:space="preserve"> Wolfe (2006) </w:t>
      </w:r>
      <w:r w:rsidR="001B4D08" w:rsidRPr="00BD2C65">
        <w:t>elaborates</w:t>
      </w:r>
      <w:r w:rsidR="006800ED" w:rsidRPr="00BD2C65">
        <w:t xml:space="preserve"> that </w:t>
      </w:r>
      <w:r w:rsidR="004300B4" w:rsidRPr="00BD2C65">
        <w:t>I</w:t>
      </w:r>
      <w:r w:rsidR="00BE4F57" w:rsidRPr="00BD2C65">
        <w:t xml:space="preserve">ndigenous </w:t>
      </w:r>
      <w:r w:rsidR="004300B4" w:rsidRPr="00BD2C65">
        <w:t>P</w:t>
      </w:r>
      <w:r w:rsidR="006800ED" w:rsidRPr="00BD2C65">
        <w:t>eoples</w:t>
      </w:r>
      <w:r w:rsidR="008E49AF" w:rsidRPr="00BD2C65">
        <w:t>’</w:t>
      </w:r>
      <w:r w:rsidR="006800ED" w:rsidRPr="00BD2C65">
        <w:t xml:space="preserve"> rights were </w:t>
      </w:r>
      <w:r w:rsidR="00AA5740" w:rsidRPr="00BD2C65">
        <w:t xml:space="preserve">subject to the relationship between colonial and </w:t>
      </w:r>
      <w:r w:rsidR="004300B4" w:rsidRPr="00BD2C65">
        <w:t>I</w:t>
      </w:r>
      <w:r w:rsidR="00BE4F57" w:rsidRPr="00BD2C65">
        <w:t>ndigenous</w:t>
      </w:r>
      <w:r w:rsidR="005948D1" w:rsidRPr="00BD2C65">
        <w:t xml:space="preserve"> power</w:t>
      </w:r>
      <w:r w:rsidR="00AA5740" w:rsidRPr="00BD2C65">
        <w:t>. In</w:t>
      </w:r>
      <w:r w:rsidR="00BE4F57" w:rsidRPr="00BD2C65">
        <w:t xml:space="preserve"> the case of</w:t>
      </w:r>
      <w:r w:rsidR="00AA5740" w:rsidRPr="00BD2C65">
        <w:t xml:space="preserve"> Australia, </w:t>
      </w:r>
      <w:r w:rsidR="005948D1" w:rsidRPr="00BD2C65">
        <w:t xml:space="preserve">Indigenous Australians, </w:t>
      </w:r>
      <w:r w:rsidR="00AA5740" w:rsidRPr="00BD2C65">
        <w:t xml:space="preserve">were </w:t>
      </w:r>
      <w:r w:rsidR="00BE4F57" w:rsidRPr="00BD2C65">
        <w:t>denied</w:t>
      </w:r>
      <w:r w:rsidR="00AA5740" w:rsidRPr="00BD2C65">
        <w:t xml:space="preserve"> rights to their territory (ibid.)</w:t>
      </w:r>
      <w:r w:rsidR="005948D1" w:rsidRPr="00BD2C65">
        <w:t xml:space="preserve">; </w:t>
      </w:r>
      <w:r w:rsidR="00AA5740" w:rsidRPr="00BD2C65">
        <w:t>this was further impacted by the settlers</w:t>
      </w:r>
      <w:r w:rsidR="005948D1" w:rsidRPr="00BD2C65">
        <w:t>’</w:t>
      </w:r>
      <w:r w:rsidR="00AA5740" w:rsidRPr="00BD2C65">
        <w:t xml:space="preserve"> belief that land belonged to no</w:t>
      </w:r>
      <w:r w:rsidR="005948D1" w:rsidRPr="00BD2C65">
        <w:t>-</w:t>
      </w:r>
      <w:r w:rsidR="00AA5740" w:rsidRPr="00BD2C65">
        <w:t>one</w:t>
      </w:r>
      <w:r w:rsidR="000C5C03" w:rsidRPr="00BD2C65">
        <w:t xml:space="preserve">, and the lack of </w:t>
      </w:r>
      <w:r w:rsidR="005948D1" w:rsidRPr="00BD2C65">
        <w:t xml:space="preserve">any </w:t>
      </w:r>
      <w:r w:rsidR="000C5C03" w:rsidRPr="00BD2C65">
        <w:t>other</w:t>
      </w:r>
      <w:r w:rsidR="005948D1" w:rsidRPr="00BD2C65">
        <w:t xml:space="preserve"> competing</w:t>
      </w:r>
      <w:r w:rsidR="000C5C03" w:rsidRPr="00BD2C65">
        <w:t xml:space="preserve"> European </w:t>
      </w:r>
      <w:r w:rsidR="004366A8" w:rsidRPr="00BD2C65">
        <w:t>presence</w:t>
      </w:r>
      <w:r w:rsidR="000C5C03" w:rsidRPr="00BD2C65">
        <w:t xml:space="preserve"> in the area (ibid.)</w:t>
      </w:r>
      <w:r w:rsidR="004300B4" w:rsidRPr="00BD2C65">
        <w:t xml:space="preserve">. </w:t>
      </w:r>
      <w:r w:rsidR="00AA5740" w:rsidRPr="00BD2C65">
        <w:t xml:space="preserve">This </w:t>
      </w:r>
      <w:r w:rsidR="00BE4F57" w:rsidRPr="00BD2C65">
        <w:t>stands in contrast</w:t>
      </w:r>
      <w:r w:rsidR="00AA5740" w:rsidRPr="00BD2C65">
        <w:t xml:space="preserve"> to the </w:t>
      </w:r>
      <w:r w:rsidR="00AA5740" w:rsidRPr="00BD2C65">
        <w:lastRenderedPageBreak/>
        <w:t xml:space="preserve">Americas, where multiple European powers were scrambling for control (ibid.), </w:t>
      </w:r>
      <w:r w:rsidR="000C5C03" w:rsidRPr="00BD2C65">
        <w:t xml:space="preserve">therefore </w:t>
      </w:r>
      <w:r w:rsidR="00CE78BE" w:rsidRPr="00BD2C65">
        <w:t>I</w:t>
      </w:r>
      <w:r w:rsidR="00AA5740" w:rsidRPr="00BD2C65">
        <w:t xml:space="preserve">ndigenous </w:t>
      </w:r>
      <w:r w:rsidR="00CE78BE" w:rsidRPr="00BD2C65">
        <w:t>P</w:t>
      </w:r>
      <w:r w:rsidR="00AA5740" w:rsidRPr="00BD2C65">
        <w:t xml:space="preserve">eople were able </w:t>
      </w:r>
      <w:r w:rsidR="005948D1" w:rsidRPr="00BD2C65">
        <w:t>maintain land rights</w:t>
      </w:r>
      <w:r w:rsidR="00AA5740" w:rsidRPr="00BD2C65">
        <w:t xml:space="preserve"> (</w:t>
      </w:r>
      <w:r w:rsidR="00BE4F57" w:rsidRPr="00BD2C65">
        <w:t>albeit temporary</w:t>
      </w:r>
      <w:r w:rsidR="00AA5740" w:rsidRPr="00BD2C65">
        <w:t>) by playing European powers against each other (ibid</w:t>
      </w:r>
      <w:r w:rsidR="00166726" w:rsidRPr="00BD2C65">
        <w:t>; Aldrich, 2008</w:t>
      </w:r>
      <w:r w:rsidR="00AA5740" w:rsidRPr="00BD2C65">
        <w:t xml:space="preserve">). However, even in cases where </w:t>
      </w:r>
      <w:r w:rsidR="00CE78BE" w:rsidRPr="00BD2C65">
        <w:t>I</w:t>
      </w:r>
      <w:r w:rsidR="00AA5740" w:rsidRPr="00BD2C65">
        <w:t xml:space="preserve">ndigenous </w:t>
      </w:r>
      <w:r w:rsidR="005948D1" w:rsidRPr="00BD2C65">
        <w:t>authority</w:t>
      </w:r>
      <w:r w:rsidR="00AA5740" w:rsidRPr="00BD2C65">
        <w:t xml:space="preserve"> was </w:t>
      </w:r>
      <w:r w:rsidR="003F59FA" w:rsidRPr="00BD2C65">
        <w:t>recognised</w:t>
      </w:r>
      <w:r w:rsidR="00AA5740" w:rsidRPr="00BD2C65">
        <w:t xml:space="preserve">, ultimate </w:t>
      </w:r>
      <w:r w:rsidR="005948D1" w:rsidRPr="00BD2C65">
        <w:t>sovereignty</w:t>
      </w:r>
      <w:r w:rsidR="00AA5740" w:rsidRPr="00BD2C65">
        <w:t xml:space="preserve"> over </w:t>
      </w:r>
      <w:r w:rsidR="00F54B41" w:rsidRPr="00BD2C65">
        <w:t>colonised</w:t>
      </w:r>
      <w:r w:rsidR="00AA5740" w:rsidRPr="00BD2C65">
        <w:t xml:space="preserve"> territor</w:t>
      </w:r>
      <w:r w:rsidR="005948D1" w:rsidRPr="00BD2C65">
        <w:t>ies</w:t>
      </w:r>
      <w:r w:rsidR="00AA5740" w:rsidRPr="00BD2C65">
        <w:t xml:space="preserve"> was held by the European </w:t>
      </w:r>
      <w:r w:rsidR="005948D1" w:rsidRPr="00BD2C65">
        <w:t>powers</w:t>
      </w:r>
      <w:r w:rsidR="00AA5740" w:rsidRPr="00BD2C65">
        <w:t xml:space="preserve"> in whose name </w:t>
      </w:r>
      <w:r w:rsidR="005948D1" w:rsidRPr="00BD2C65">
        <w:t>the colonies had</w:t>
      </w:r>
      <w:r w:rsidR="00AA5740" w:rsidRPr="00BD2C65">
        <w:t xml:space="preserve"> been </w:t>
      </w:r>
      <w:r w:rsidR="00E92EE7" w:rsidRPr="00BD2C65">
        <w:t>‘</w:t>
      </w:r>
      <w:r w:rsidR="00AA5740" w:rsidRPr="00BD2C65">
        <w:t>discovered</w:t>
      </w:r>
      <w:r w:rsidR="00E92EE7" w:rsidRPr="00BD2C65">
        <w:t>’</w:t>
      </w:r>
      <w:r w:rsidR="00AA5740" w:rsidRPr="00BD2C65">
        <w:t xml:space="preserve"> (</w:t>
      </w:r>
      <w:r w:rsidR="00E92EE7" w:rsidRPr="00BD2C65">
        <w:t>Wolfe, 2006</w:t>
      </w:r>
      <w:r w:rsidR="00AA5740" w:rsidRPr="00BD2C65">
        <w:t xml:space="preserve">). </w:t>
      </w:r>
    </w:p>
    <w:p w14:paraId="70D77F5A" w14:textId="77777777" w:rsidR="00BE4F57" w:rsidRPr="00BD2C65" w:rsidRDefault="00BE4F57" w:rsidP="000F7D14">
      <w:pPr>
        <w:spacing w:line="480" w:lineRule="auto"/>
        <w:jc w:val="both"/>
      </w:pPr>
    </w:p>
    <w:p w14:paraId="058BFEFD" w14:textId="401D9B28" w:rsidR="00BE4F57" w:rsidRPr="00BD2C65" w:rsidRDefault="00AA5740" w:rsidP="000F7D14">
      <w:pPr>
        <w:spacing w:line="480" w:lineRule="auto"/>
        <w:jc w:val="both"/>
      </w:pPr>
      <w:r w:rsidRPr="00BD2C65">
        <w:t xml:space="preserve">Stoler (1995) </w:t>
      </w:r>
      <w:r w:rsidR="00BE4F57" w:rsidRPr="00BD2C65">
        <w:t xml:space="preserve">applied </w:t>
      </w:r>
      <w:r w:rsidR="00A65B86" w:rsidRPr="00BD2C65">
        <w:t>a Foucauldian lens to question</w:t>
      </w:r>
      <w:r w:rsidR="000C5C03" w:rsidRPr="00BD2C65">
        <w:t xml:space="preserve"> and explore</w:t>
      </w:r>
      <w:r w:rsidR="00A65B86" w:rsidRPr="00BD2C65">
        <w:t xml:space="preserve"> why</w:t>
      </w:r>
      <w:r w:rsidR="00BE4F57" w:rsidRPr="00BD2C65">
        <w:t xml:space="preserve"> the study of</w:t>
      </w:r>
      <w:r w:rsidR="00A65B86" w:rsidRPr="00BD2C65">
        <w:t xml:space="preserve"> </w:t>
      </w:r>
      <w:r w:rsidR="00BE4F57" w:rsidRPr="00BD2C65">
        <w:t xml:space="preserve">colonialism </w:t>
      </w:r>
      <w:r w:rsidR="005948D1" w:rsidRPr="00BD2C65">
        <w:t>had</w:t>
      </w:r>
      <w:r w:rsidR="00BE4F57" w:rsidRPr="00BD2C65">
        <w:t xml:space="preserve"> not sufficiently considered and </w:t>
      </w:r>
      <w:r w:rsidR="004366A8" w:rsidRPr="00BD2C65">
        <w:t>challenged Eurocentric</w:t>
      </w:r>
      <w:r w:rsidR="000C5C03" w:rsidRPr="00BD2C65">
        <w:t xml:space="preserve"> </w:t>
      </w:r>
      <w:r w:rsidR="00D440B5" w:rsidRPr="00BD2C65">
        <w:t>understanding of</w:t>
      </w:r>
      <w:r w:rsidR="00BE4F57" w:rsidRPr="00BD2C65">
        <w:t xml:space="preserve"> Empire. Through examining cultural and historical research, </w:t>
      </w:r>
      <w:r w:rsidR="00A65B86" w:rsidRPr="00BD2C65">
        <w:t>Stoler (1995)</w:t>
      </w:r>
      <w:r w:rsidR="005948D1" w:rsidRPr="00BD2C65">
        <w:t xml:space="preserve"> </w:t>
      </w:r>
      <w:r w:rsidR="00A65B86" w:rsidRPr="00BD2C65">
        <w:t>analyse</w:t>
      </w:r>
      <w:r w:rsidR="00BE4F57" w:rsidRPr="00BD2C65">
        <w:t>d</w:t>
      </w:r>
      <w:r w:rsidR="00A65B86" w:rsidRPr="00BD2C65">
        <w:t xml:space="preserve"> the role of race in the development of European sexuality and colonial power</w:t>
      </w:r>
      <w:r w:rsidR="005948D1" w:rsidRPr="00BD2C65">
        <w:t>,</w:t>
      </w:r>
      <w:r w:rsidR="00A65B86" w:rsidRPr="00BD2C65">
        <w:t xml:space="preserve"> </w:t>
      </w:r>
      <w:r w:rsidR="00BE4F57" w:rsidRPr="00BD2C65">
        <w:t>revealing that</w:t>
      </w:r>
      <w:r w:rsidR="00A65B86" w:rsidRPr="00BD2C65">
        <w:t xml:space="preserve"> race and sexuality are interlinked and must be analysed together (ibid.).</w:t>
      </w:r>
      <w:r w:rsidR="00612211" w:rsidRPr="00BD2C65">
        <w:t xml:space="preserve"> This was further explored by Morgensen (2010) who </w:t>
      </w:r>
      <w:r w:rsidR="00BE4F57" w:rsidRPr="00BD2C65">
        <w:t xml:space="preserve">investigated </w:t>
      </w:r>
      <w:r w:rsidR="00612211" w:rsidRPr="00BD2C65">
        <w:t xml:space="preserve">how </w:t>
      </w:r>
      <w:r w:rsidR="00CB71B2" w:rsidRPr="00BD2C65">
        <w:t>Homonationalism</w:t>
      </w:r>
      <w:r w:rsidR="00612211" w:rsidRPr="00BD2C65">
        <w:t xml:space="preserve"> formed within colonial biopolitics</w:t>
      </w:r>
      <w:r w:rsidR="00BE4F57" w:rsidRPr="00BD2C65">
        <w:t>, which involved</w:t>
      </w:r>
      <w:r w:rsidR="000C5C03" w:rsidRPr="00BD2C65">
        <w:t xml:space="preserve"> </w:t>
      </w:r>
      <w:r w:rsidR="00612211" w:rsidRPr="00BD2C65">
        <w:t xml:space="preserve">the sexual colonisation of </w:t>
      </w:r>
      <w:r w:rsidR="00CE78BE" w:rsidRPr="00BD2C65">
        <w:t>I</w:t>
      </w:r>
      <w:r w:rsidR="00BE4F57" w:rsidRPr="00BD2C65">
        <w:t xml:space="preserve">ndigenous </w:t>
      </w:r>
      <w:r w:rsidR="00CE78BE" w:rsidRPr="00BD2C65">
        <w:t>P</w:t>
      </w:r>
      <w:r w:rsidR="00612211" w:rsidRPr="00BD2C65">
        <w:t>eople</w:t>
      </w:r>
      <w:r w:rsidR="00BE4F57" w:rsidRPr="00BD2C65">
        <w:t>s</w:t>
      </w:r>
      <w:r w:rsidR="00612211" w:rsidRPr="00BD2C65">
        <w:t xml:space="preserve"> </w:t>
      </w:r>
      <w:r w:rsidR="00BE4F57" w:rsidRPr="00BD2C65">
        <w:t xml:space="preserve">as part of </w:t>
      </w:r>
      <w:r w:rsidR="00612211" w:rsidRPr="00BD2C65">
        <w:t xml:space="preserve">sexual modernity (ibid.). Morgensen (2010) further suggests that we need to understand the historical impact of the formation of sexuality within a colonial framework and to be accountable for queer projects in relation to </w:t>
      </w:r>
      <w:r w:rsidR="00433447" w:rsidRPr="00BD2C65">
        <w:t>I</w:t>
      </w:r>
      <w:r w:rsidR="00BE4F57" w:rsidRPr="00BD2C65">
        <w:t xml:space="preserve">ndigenous </w:t>
      </w:r>
      <w:r w:rsidR="00612211" w:rsidRPr="00BD2C65">
        <w:t xml:space="preserve">decolonial efforts. </w:t>
      </w:r>
    </w:p>
    <w:p w14:paraId="7E253769" w14:textId="77777777" w:rsidR="00BE4F57" w:rsidRPr="00BD2C65" w:rsidRDefault="00BE4F57" w:rsidP="000F7D14">
      <w:pPr>
        <w:spacing w:line="480" w:lineRule="auto"/>
        <w:jc w:val="both"/>
      </w:pPr>
    </w:p>
    <w:p w14:paraId="65E87E11" w14:textId="5A656949" w:rsidR="00D440B5" w:rsidRPr="00BD2C65" w:rsidRDefault="00D440B5" w:rsidP="00294582">
      <w:pPr>
        <w:spacing w:line="480" w:lineRule="auto"/>
        <w:jc w:val="both"/>
      </w:pPr>
      <w:r w:rsidRPr="00BD2C65">
        <w:t>On the other hand</w:t>
      </w:r>
      <w:r w:rsidR="00BE4F57" w:rsidRPr="00BD2C65">
        <w:t>, Grosfoguel</w:t>
      </w:r>
      <w:r w:rsidR="00294582" w:rsidRPr="00BD2C65">
        <w:t xml:space="preserve"> (2007</w:t>
      </w:r>
      <w:r w:rsidR="00224316" w:rsidRPr="00BD2C65">
        <w:t>)</w:t>
      </w:r>
      <w:r w:rsidR="00294582" w:rsidRPr="00BD2C65">
        <w:t xml:space="preserve"> </w:t>
      </w:r>
      <w:r w:rsidR="00224316" w:rsidRPr="00BD2C65">
        <w:t>contributed an important caveat in relation to</w:t>
      </w:r>
      <w:r w:rsidRPr="00BD2C65">
        <w:t xml:space="preserve"> the study of</w:t>
      </w:r>
      <w:r w:rsidR="00224316" w:rsidRPr="00BD2C65">
        <w:t xml:space="preserve"> colonialism</w:t>
      </w:r>
      <w:r w:rsidRPr="00BD2C65">
        <w:t xml:space="preserve"> and </w:t>
      </w:r>
      <w:r w:rsidR="00AD3719" w:rsidRPr="00BD2C65">
        <w:t>challenged</w:t>
      </w:r>
      <w:r w:rsidRPr="00BD2C65">
        <w:t xml:space="preserve"> the analysis presented by Morgensen (2010) and Stoler (1995)</w:t>
      </w:r>
      <w:r w:rsidR="00224316" w:rsidRPr="00BD2C65">
        <w:t xml:space="preserve">, </w:t>
      </w:r>
      <w:r w:rsidRPr="00BD2C65">
        <w:t xml:space="preserve">in which he argues that </w:t>
      </w:r>
      <w:r w:rsidR="00224316" w:rsidRPr="00BD2C65">
        <w:t>the notion of the singular act of decolonisation was a myth</w:t>
      </w:r>
      <w:r w:rsidRPr="00BD2C65">
        <w:t xml:space="preserve"> and that the process of decolonisation is ongoing</w:t>
      </w:r>
      <w:r w:rsidR="00224316" w:rsidRPr="00BD2C65">
        <w:t xml:space="preserve">. </w:t>
      </w:r>
    </w:p>
    <w:p w14:paraId="648279CD" w14:textId="77777777" w:rsidR="00D440B5" w:rsidRPr="00BD2C65" w:rsidRDefault="00D440B5" w:rsidP="00294582">
      <w:pPr>
        <w:spacing w:line="480" w:lineRule="auto"/>
        <w:jc w:val="both"/>
      </w:pPr>
    </w:p>
    <w:p w14:paraId="2439E10A" w14:textId="5CB689B0" w:rsidR="00914F30" w:rsidRPr="00BD2C65" w:rsidRDefault="00D440B5" w:rsidP="00294582">
      <w:pPr>
        <w:spacing w:line="480" w:lineRule="auto"/>
        <w:jc w:val="both"/>
        <w:rPr>
          <w:color w:val="000000"/>
          <w:shd w:val="clear" w:color="auto" w:fill="FFFFFF"/>
        </w:rPr>
      </w:pPr>
      <w:r w:rsidRPr="00BD2C65">
        <w:lastRenderedPageBreak/>
        <w:t>Conversely</w:t>
      </w:r>
      <w:r w:rsidR="00BE4F57" w:rsidRPr="00BD2C65">
        <w:t xml:space="preserve">, </w:t>
      </w:r>
      <w:r w:rsidR="00914F30" w:rsidRPr="00BD2C65">
        <w:rPr>
          <w:color w:val="000000"/>
          <w:shd w:val="clear" w:color="auto" w:fill="FFFFFF"/>
        </w:rPr>
        <w:t xml:space="preserve">Ellinghaus (2017) </w:t>
      </w:r>
      <w:r w:rsidR="00BE4F57" w:rsidRPr="00BD2C65">
        <w:rPr>
          <w:color w:val="000000"/>
          <w:shd w:val="clear" w:color="auto" w:fill="FFFFFF"/>
        </w:rPr>
        <w:t xml:space="preserve">postulates </w:t>
      </w:r>
      <w:r w:rsidR="00914F30" w:rsidRPr="00BD2C65">
        <w:rPr>
          <w:color w:val="000000"/>
          <w:shd w:val="clear" w:color="auto" w:fill="FFFFFF"/>
        </w:rPr>
        <w:t>that</w:t>
      </w:r>
      <w:r w:rsidR="00BE4F57" w:rsidRPr="00BD2C65">
        <w:rPr>
          <w:color w:val="000000"/>
          <w:shd w:val="clear" w:color="auto" w:fill="FFFFFF"/>
        </w:rPr>
        <w:t xml:space="preserve"> </w:t>
      </w:r>
      <w:r w:rsidR="005948D1" w:rsidRPr="00BD2C65">
        <w:rPr>
          <w:color w:val="000000"/>
          <w:shd w:val="clear" w:color="auto" w:fill="FFFFFF"/>
        </w:rPr>
        <w:t>colonisers</w:t>
      </w:r>
      <w:r w:rsidR="00BE4F57" w:rsidRPr="00BD2C65">
        <w:rPr>
          <w:color w:val="000000"/>
          <w:shd w:val="clear" w:color="auto" w:fill="FFFFFF"/>
        </w:rPr>
        <w:t xml:space="preserve"> </w:t>
      </w:r>
      <w:r w:rsidR="00914F30" w:rsidRPr="00BD2C65">
        <w:rPr>
          <w:color w:val="000000"/>
          <w:shd w:val="clear" w:color="auto" w:fill="FFFFFF"/>
        </w:rPr>
        <w:t>create</w:t>
      </w:r>
      <w:r w:rsidR="00BE4F57" w:rsidRPr="00BD2C65">
        <w:rPr>
          <w:color w:val="000000"/>
          <w:shd w:val="clear" w:color="auto" w:fill="FFFFFF"/>
        </w:rPr>
        <w:t>d</w:t>
      </w:r>
      <w:r w:rsidR="00914F30" w:rsidRPr="00BD2C65">
        <w:rPr>
          <w:color w:val="000000"/>
          <w:shd w:val="clear" w:color="auto" w:fill="FFFFFF"/>
        </w:rPr>
        <w:t xml:space="preserve"> a singular </w:t>
      </w:r>
      <w:r w:rsidR="009D0931" w:rsidRPr="00BD2C65">
        <w:rPr>
          <w:color w:val="000000"/>
          <w:shd w:val="clear" w:color="auto" w:fill="FFFFFF"/>
        </w:rPr>
        <w:t>I</w:t>
      </w:r>
      <w:r w:rsidRPr="00BD2C65">
        <w:rPr>
          <w:color w:val="000000"/>
          <w:shd w:val="clear" w:color="auto" w:fill="FFFFFF"/>
        </w:rPr>
        <w:t>ndigenous</w:t>
      </w:r>
      <w:r w:rsidR="00BE4F57" w:rsidRPr="00BD2C65">
        <w:rPr>
          <w:color w:val="000000"/>
          <w:shd w:val="clear" w:color="auto" w:fill="FFFFFF"/>
        </w:rPr>
        <w:t xml:space="preserve"> </w:t>
      </w:r>
      <w:r w:rsidR="00914F30" w:rsidRPr="00BD2C65">
        <w:rPr>
          <w:color w:val="000000"/>
          <w:shd w:val="clear" w:color="auto" w:fill="FFFFFF"/>
        </w:rPr>
        <w:t xml:space="preserve">identity, thereby destroying </w:t>
      </w:r>
      <w:r w:rsidR="005948D1" w:rsidRPr="00BD2C65">
        <w:rPr>
          <w:color w:val="000000"/>
          <w:shd w:val="clear" w:color="auto" w:fill="FFFFFF"/>
        </w:rPr>
        <w:t>multiple heterogenous</w:t>
      </w:r>
      <w:r w:rsidR="00914F30" w:rsidRPr="00BD2C65">
        <w:rPr>
          <w:color w:val="000000"/>
          <w:shd w:val="clear" w:color="auto" w:fill="FFFFFF"/>
        </w:rPr>
        <w:t xml:space="preserve"> </w:t>
      </w:r>
      <w:r w:rsidR="009D0931" w:rsidRPr="00BD2C65">
        <w:rPr>
          <w:color w:val="000000"/>
          <w:shd w:val="clear" w:color="auto" w:fill="FFFFFF"/>
        </w:rPr>
        <w:t>I</w:t>
      </w:r>
      <w:r w:rsidRPr="00BD2C65">
        <w:rPr>
          <w:color w:val="000000"/>
          <w:shd w:val="clear" w:color="auto" w:fill="FFFFFF"/>
        </w:rPr>
        <w:t>ndigenous</w:t>
      </w:r>
      <w:r w:rsidR="005948D1" w:rsidRPr="00BD2C65">
        <w:rPr>
          <w:color w:val="000000"/>
          <w:shd w:val="clear" w:color="auto" w:fill="FFFFFF"/>
        </w:rPr>
        <w:t xml:space="preserve"> </w:t>
      </w:r>
      <w:r w:rsidR="009D0931" w:rsidRPr="00BD2C65">
        <w:rPr>
          <w:color w:val="000000"/>
          <w:shd w:val="clear" w:color="auto" w:fill="FFFFFF"/>
        </w:rPr>
        <w:t>P</w:t>
      </w:r>
      <w:r w:rsidR="005948D1" w:rsidRPr="00BD2C65">
        <w:rPr>
          <w:color w:val="000000"/>
          <w:shd w:val="clear" w:color="auto" w:fill="FFFFFF"/>
        </w:rPr>
        <w:t xml:space="preserve">eoples’ beliefs </w:t>
      </w:r>
      <w:r w:rsidR="009D0931" w:rsidRPr="00BD2C65">
        <w:rPr>
          <w:color w:val="000000"/>
          <w:shd w:val="clear" w:color="auto" w:fill="FFFFFF"/>
        </w:rPr>
        <w:t>and practices</w:t>
      </w:r>
      <w:r w:rsidR="00914F30" w:rsidRPr="00BD2C65">
        <w:rPr>
          <w:color w:val="000000"/>
          <w:shd w:val="clear" w:color="auto" w:fill="FFFFFF"/>
        </w:rPr>
        <w:t xml:space="preserve">. </w:t>
      </w:r>
      <w:r w:rsidR="00C07B98" w:rsidRPr="00BD2C65">
        <w:rPr>
          <w:color w:val="000000"/>
          <w:shd w:val="clear" w:color="auto" w:fill="FFFFFF"/>
        </w:rPr>
        <w:t>Ellinghaus</w:t>
      </w:r>
      <w:r w:rsidR="005948D1" w:rsidRPr="00BD2C65">
        <w:rPr>
          <w:color w:val="000000"/>
          <w:shd w:val="clear" w:color="auto" w:fill="FFFFFF"/>
        </w:rPr>
        <w:t>’s</w:t>
      </w:r>
      <w:r w:rsidR="00C07B98" w:rsidRPr="00BD2C65">
        <w:rPr>
          <w:color w:val="000000"/>
          <w:shd w:val="clear" w:color="auto" w:fill="FFFFFF"/>
        </w:rPr>
        <w:t xml:space="preserve"> (2017) book </w:t>
      </w:r>
      <w:r w:rsidR="00224316" w:rsidRPr="00BD2C65">
        <w:rPr>
          <w:color w:val="000000"/>
          <w:shd w:val="clear" w:color="auto" w:fill="FFFFFF"/>
        </w:rPr>
        <w:t>‘</w:t>
      </w:r>
      <w:r w:rsidR="00C07B98" w:rsidRPr="00BD2C65">
        <w:rPr>
          <w:color w:val="000000"/>
          <w:shd w:val="clear" w:color="auto" w:fill="FFFFFF"/>
        </w:rPr>
        <w:t>Blood Will Tell</w:t>
      </w:r>
      <w:r w:rsidR="00224316" w:rsidRPr="00BD2C65">
        <w:rPr>
          <w:color w:val="000000"/>
          <w:shd w:val="clear" w:color="auto" w:fill="FFFFFF"/>
        </w:rPr>
        <w:t>’</w:t>
      </w:r>
      <w:r w:rsidR="00BE4F57" w:rsidRPr="00BD2C65">
        <w:rPr>
          <w:color w:val="000000"/>
          <w:shd w:val="clear" w:color="auto" w:fill="FFFFFF"/>
        </w:rPr>
        <w:t xml:space="preserve"> </w:t>
      </w:r>
      <w:r w:rsidR="00C07B98" w:rsidRPr="00BD2C65">
        <w:rPr>
          <w:color w:val="000000"/>
          <w:shd w:val="clear" w:color="auto" w:fill="FFFFFF"/>
        </w:rPr>
        <w:t>provides</w:t>
      </w:r>
      <w:r w:rsidR="009D4AB2" w:rsidRPr="00BD2C65">
        <w:rPr>
          <w:color w:val="000000"/>
          <w:shd w:val="clear" w:color="auto" w:fill="FFFFFF"/>
        </w:rPr>
        <w:t xml:space="preserve"> </w:t>
      </w:r>
      <w:r w:rsidR="00C07B98" w:rsidRPr="00BD2C65">
        <w:rPr>
          <w:color w:val="000000"/>
          <w:shd w:val="clear" w:color="auto" w:fill="FFFFFF"/>
        </w:rPr>
        <w:t xml:space="preserve">insights into the process of settler colonialism and its impact on the lives of </w:t>
      </w:r>
      <w:r w:rsidR="00791BD9" w:rsidRPr="00BD2C65">
        <w:rPr>
          <w:color w:val="000000"/>
          <w:shd w:val="clear" w:color="auto" w:fill="FFFFFF"/>
        </w:rPr>
        <w:t>I</w:t>
      </w:r>
      <w:r w:rsidR="00BE4F57" w:rsidRPr="00BD2C65">
        <w:rPr>
          <w:color w:val="000000"/>
          <w:shd w:val="clear" w:color="auto" w:fill="FFFFFF"/>
        </w:rPr>
        <w:t xml:space="preserve">ndigenous </w:t>
      </w:r>
      <w:r w:rsidR="00791BD9" w:rsidRPr="00BD2C65">
        <w:rPr>
          <w:color w:val="000000"/>
          <w:shd w:val="clear" w:color="auto" w:fill="FFFFFF"/>
        </w:rPr>
        <w:t>P</w:t>
      </w:r>
      <w:r w:rsidR="00C07B98" w:rsidRPr="00BD2C65">
        <w:rPr>
          <w:color w:val="000000"/>
          <w:shd w:val="clear" w:color="auto" w:fill="FFFFFF"/>
        </w:rPr>
        <w:t>eoples</w:t>
      </w:r>
      <w:r w:rsidR="005948D1" w:rsidRPr="00BD2C65">
        <w:rPr>
          <w:color w:val="000000"/>
          <w:shd w:val="clear" w:color="auto" w:fill="FFFFFF"/>
        </w:rPr>
        <w:t>. B</w:t>
      </w:r>
      <w:r w:rsidR="00C07B98" w:rsidRPr="00BD2C65">
        <w:rPr>
          <w:color w:val="000000"/>
          <w:shd w:val="clear" w:color="auto" w:fill="FFFFFF"/>
        </w:rPr>
        <w:t>y tracing the history and concept of the blood quantum, which defined who was a</w:t>
      </w:r>
      <w:r w:rsidRPr="00BD2C65">
        <w:rPr>
          <w:color w:val="000000"/>
          <w:shd w:val="clear" w:color="auto" w:fill="FFFFFF"/>
        </w:rPr>
        <w:t>n</w:t>
      </w:r>
      <w:r w:rsidR="00C07B98" w:rsidRPr="00BD2C65">
        <w:rPr>
          <w:color w:val="000000"/>
          <w:shd w:val="clear" w:color="auto" w:fill="FFFFFF"/>
        </w:rPr>
        <w:t xml:space="preserve"> </w:t>
      </w:r>
      <w:r w:rsidR="00BE4F57" w:rsidRPr="00BD2C65">
        <w:t xml:space="preserve">indigenous </w:t>
      </w:r>
      <w:r w:rsidR="00C07B98" w:rsidRPr="00BD2C65">
        <w:rPr>
          <w:color w:val="000000"/>
          <w:shd w:val="clear" w:color="auto" w:fill="FFFFFF"/>
        </w:rPr>
        <w:t xml:space="preserve">American or not, Ellighaus </w:t>
      </w:r>
      <w:r w:rsidR="006639D7" w:rsidRPr="00BD2C65">
        <w:rPr>
          <w:color w:val="000000"/>
          <w:shd w:val="clear" w:color="auto" w:fill="FFFFFF"/>
        </w:rPr>
        <w:t xml:space="preserve">(2017) </w:t>
      </w:r>
      <w:r w:rsidR="00C07B98" w:rsidRPr="00BD2C65">
        <w:rPr>
          <w:color w:val="000000"/>
          <w:shd w:val="clear" w:color="auto" w:fill="FFFFFF"/>
        </w:rPr>
        <w:t>provides a powerful critique of the ways in which the U.S government, continuing the British legacy</w:t>
      </w:r>
      <w:r w:rsidR="000C5C03" w:rsidRPr="00BD2C65">
        <w:rPr>
          <w:color w:val="000000"/>
          <w:shd w:val="clear" w:color="auto" w:fill="FFFFFF"/>
        </w:rPr>
        <w:t>,</w:t>
      </w:r>
      <w:r w:rsidR="00C07B98" w:rsidRPr="00BD2C65">
        <w:rPr>
          <w:color w:val="000000"/>
          <w:shd w:val="clear" w:color="auto" w:fill="FFFFFF"/>
        </w:rPr>
        <w:t xml:space="preserve"> disposed</w:t>
      </w:r>
      <w:r w:rsidR="005948D1" w:rsidRPr="00BD2C65">
        <w:rPr>
          <w:color w:val="000000"/>
          <w:shd w:val="clear" w:color="auto" w:fill="FFFFFF"/>
        </w:rPr>
        <w:t xml:space="preserve"> of</w:t>
      </w:r>
      <w:r w:rsidR="00C07B98" w:rsidRPr="00BD2C65">
        <w:rPr>
          <w:color w:val="000000"/>
          <w:shd w:val="clear" w:color="auto" w:fill="FFFFFF"/>
        </w:rPr>
        <w:t xml:space="preserve"> </w:t>
      </w:r>
      <w:r w:rsidR="00791BD9" w:rsidRPr="00BD2C65">
        <w:rPr>
          <w:color w:val="000000"/>
          <w:shd w:val="clear" w:color="auto" w:fill="FFFFFF"/>
        </w:rPr>
        <w:t>I</w:t>
      </w:r>
      <w:r w:rsidR="00BE4F57" w:rsidRPr="00BD2C65">
        <w:t xml:space="preserve">ndigenous </w:t>
      </w:r>
      <w:r w:rsidR="00791BD9" w:rsidRPr="00BD2C65">
        <w:rPr>
          <w:color w:val="000000"/>
          <w:shd w:val="clear" w:color="auto" w:fill="FFFFFF"/>
        </w:rPr>
        <w:t>P</w:t>
      </w:r>
      <w:r w:rsidR="00C07B98" w:rsidRPr="00BD2C65">
        <w:rPr>
          <w:color w:val="000000"/>
          <w:shd w:val="clear" w:color="auto" w:fill="FFFFFF"/>
        </w:rPr>
        <w:t>eople</w:t>
      </w:r>
      <w:r w:rsidR="005948D1" w:rsidRPr="00BD2C65">
        <w:rPr>
          <w:color w:val="000000"/>
          <w:shd w:val="clear" w:color="auto" w:fill="FFFFFF"/>
        </w:rPr>
        <w:t>’s</w:t>
      </w:r>
      <w:r w:rsidR="00C07B98" w:rsidRPr="00BD2C65">
        <w:rPr>
          <w:color w:val="000000"/>
          <w:shd w:val="clear" w:color="auto" w:fill="FFFFFF"/>
        </w:rPr>
        <w:t xml:space="preserve"> lands.  </w:t>
      </w:r>
    </w:p>
    <w:p w14:paraId="060A4F17" w14:textId="77777777" w:rsidR="00294582" w:rsidRPr="00BD2C65" w:rsidRDefault="00294582" w:rsidP="00294582">
      <w:pPr>
        <w:spacing w:line="480" w:lineRule="auto"/>
        <w:jc w:val="both"/>
      </w:pPr>
    </w:p>
    <w:p w14:paraId="404B3810" w14:textId="3026B61A" w:rsidR="00955B86" w:rsidRPr="00BD2C65" w:rsidRDefault="00C951FB" w:rsidP="00294582">
      <w:pPr>
        <w:spacing w:line="480" w:lineRule="auto"/>
        <w:jc w:val="both"/>
        <w:rPr>
          <w:bCs/>
        </w:rPr>
      </w:pPr>
      <w:r w:rsidRPr="00BD2C65">
        <w:t>Hence</w:t>
      </w:r>
      <w:r w:rsidR="00294582" w:rsidRPr="00BD2C65">
        <w:t xml:space="preserve">, for </w:t>
      </w:r>
      <w:r w:rsidR="00BE4F57" w:rsidRPr="00BD2C65">
        <w:t>the purpose</w:t>
      </w:r>
      <w:r w:rsidRPr="00BD2C65">
        <w:t xml:space="preserve"> and scope within</w:t>
      </w:r>
      <w:r w:rsidR="00BE4F57" w:rsidRPr="00BD2C65">
        <w:t xml:space="preserve"> this </w:t>
      </w:r>
      <w:r w:rsidR="00294582" w:rsidRPr="00BD2C65">
        <w:t xml:space="preserve">thesis, </w:t>
      </w:r>
      <w:r w:rsidRPr="00BD2C65">
        <w:t xml:space="preserve">the author will concentrate on the ongoing manifestations of Coloniality as an unfolding </w:t>
      </w:r>
      <w:r w:rsidR="00C561FF" w:rsidRPr="00BD2C65">
        <w:t>phenomenon</w:t>
      </w:r>
      <w:r w:rsidRPr="00BD2C65">
        <w:t xml:space="preserve"> when </w:t>
      </w:r>
      <w:r w:rsidR="00294582" w:rsidRPr="00BD2C65">
        <w:t>referring to Colonialisation,</w:t>
      </w:r>
      <w:r w:rsidR="00791BD9" w:rsidRPr="00BD2C65">
        <w:t xml:space="preserve"> </w:t>
      </w:r>
      <w:r w:rsidR="00294582" w:rsidRPr="00BD2C65">
        <w:t>combined with Wolfe</w:t>
      </w:r>
      <w:r w:rsidR="00E107A7" w:rsidRPr="00BD2C65">
        <w:t>’s</w:t>
      </w:r>
      <w:r w:rsidR="00294582" w:rsidRPr="00BD2C65">
        <w:t xml:space="preserve"> (2006) </w:t>
      </w:r>
      <w:r w:rsidR="006C2708" w:rsidRPr="00BD2C65">
        <w:t>theoretical</w:t>
      </w:r>
      <w:r w:rsidR="00B67A59" w:rsidRPr="00BD2C65">
        <w:t xml:space="preserve"> understanding of the</w:t>
      </w:r>
      <w:r w:rsidR="00294582" w:rsidRPr="00BD2C65">
        <w:t xml:space="preserve"> destruction of </w:t>
      </w:r>
      <w:r w:rsidR="00791BD9" w:rsidRPr="00BD2C65">
        <w:t>I</w:t>
      </w:r>
      <w:r w:rsidR="00BE4F57" w:rsidRPr="00BD2C65">
        <w:t xml:space="preserve">ndigenous </w:t>
      </w:r>
      <w:r w:rsidR="00294582" w:rsidRPr="00BD2C65">
        <w:t xml:space="preserve">social, cultural and spiritual practices </w:t>
      </w:r>
      <w:r w:rsidR="00E107A7" w:rsidRPr="00BD2C65">
        <w:t xml:space="preserve">and the </w:t>
      </w:r>
      <w:r w:rsidR="00294582" w:rsidRPr="00BD2C65">
        <w:t xml:space="preserve">continuing consequences </w:t>
      </w:r>
      <w:r w:rsidR="005948D1" w:rsidRPr="00BD2C65">
        <w:t>this</w:t>
      </w:r>
      <w:r w:rsidR="00E107A7" w:rsidRPr="00BD2C65">
        <w:t xml:space="preserve"> has </w:t>
      </w:r>
      <w:r w:rsidR="00294582" w:rsidRPr="00BD2C65">
        <w:t xml:space="preserve">today on ex-colonial </w:t>
      </w:r>
      <w:r w:rsidR="00294582" w:rsidRPr="00BD2C65">
        <w:rPr>
          <w:bCs/>
        </w:rPr>
        <w:t>British territories</w:t>
      </w:r>
      <w:r w:rsidR="000C5C03" w:rsidRPr="00BD2C65">
        <w:rPr>
          <w:bCs/>
        </w:rPr>
        <w:t>. It will also include the argument as proposed by</w:t>
      </w:r>
      <w:r w:rsidR="00A65B86" w:rsidRPr="00BD2C65">
        <w:rPr>
          <w:bCs/>
        </w:rPr>
        <w:t xml:space="preserve"> Stoler (1995) who used a </w:t>
      </w:r>
      <w:r w:rsidR="00955B86" w:rsidRPr="00BD2C65">
        <w:rPr>
          <w:bCs/>
        </w:rPr>
        <w:t>Foucauldian</w:t>
      </w:r>
      <w:r w:rsidR="00A65B86" w:rsidRPr="00BD2C65">
        <w:rPr>
          <w:bCs/>
        </w:rPr>
        <w:t xml:space="preserve"> </w:t>
      </w:r>
      <w:r w:rsidR="005948D1" w:rsidRPr="00BD2C65">
        <w:rPr>
          <w:bCs/>
        </w:rPr>
        <w:t>approach</w:t>
      </w:r>
      <w:r w:rsidR="00A65B86" w:rsidRPr="00BD2C65">
        <w:rPr>
          <w:bCs/>
        </w:rPr>
        <w:t xml:space="preserve"> to </w:t>
      </w:r>
      <w:r w:rsidR="005948D1" w:rsidRPr="00BD2C65">
        <w:rPr>
          <w:bCs/>
        </w:rPr>
        <w:t>propose</w:t>
      </w:r>
      <w:r w:rsidR="00A65B86" w:rsidRPr="00BD2C65">
        <w:rPr>
          <w:bCs/>
        </w:rPr>
        <w:t xml:space="preserve"> that to colonialism</w:t>
      </w:r>
      <w:r w:rsidR="001224F5" w:rsidRPr="00BD2C65">
        <w:rPr>
          <w:bCs/>
        </w:rPr>
        <w:t xml:space="preserve"> and</w:t>
      </w:r>
      <w:r w:rsidR="00A65B86" w:rsidRPr="00BD2C65">
        <w:rPr>
          <w:bCs/>
        </w:rPr>
        <w:t xml:space="preserve"> sexuality</w:t>
      </w:r>
      <w:r w:rsidR="001224F5" w:rsidRPr="00BD2C65">
        <w:rPr>
          <w:bCs/>
        </w:rPr>
        <w:t xml:space="preserve"> </w:t>
      </w:r>
      <w:r w:rsidR="00A65B86" w:rsidRPr="00BD2C65">
        <w:rPr>
          <w:bCs/>
        </w:rPr>
        <w:t>mutually inform each other</w:t>
      </w:r>
      <w:r w:rsidR="005948D1" w:rsidRPr="00BD2C65">
        <w:rPr>
          <w:bCs/>
        </w:rPr>
        <w:t>, t</w:t>
      </w:r>
      <w:r w:rsidR="00924CE2" w:rsidRPr="00BD2C65">
        <w:rPr>
          <w:bCs/>
        </w:rPr>
        <w:t>hereby creating a unique perspective of colonialisation</w:t>
      </w:r>
      <w:r w:rsidR="00E107A7" w:rsidRPr="00BD2C65">
        <w:rPr>
          <w:bCs/>
        </w:rPr>
        <w:t xml:space="preserve"> and coloniality</w:t>
      </w:r>
      <w:r w:rsidR="00924CE2" w:rsidRPr="00BD2C65">
        <w:rPr>
          <w:bCs/>
        </w:rPr>
        <w:t xml:space="preserve">. </w:t>
      </w:r>
    </w:p>
    <w:p w14:paraId="21F3098B" w14:textId="77777777" w:rsidR="00294582" w:rsidRPr="00BD2C65" w:rsidRDefault="00294582" w:rsidP="00294582">
      <w:pPr>
        <w:spacing w:line="480" w:lineRule="auto"/>
        <w:jc w:val="both"/>
      </w:pPr>
    </w:p>
    <w:p w14:paraId="0F29CD32" w14:textId="54BC7EC2" w:rsidR="00924CE2" w:rsidRPr="00BD2C65" w:rsidRDefault="00294582" w:rsidP="00224316">
      <w:pPr>
        <w:spacing w:line="480" w:lineRule="auto"/>
        <w:jc w:val="both"/>
      </w:pPr>
      <w:r w:rsidRPr="00BD2C65">
        <w:rPr>
          <w:b/>
          <w:bCs/>
        </w:rPr>
        <w:t>Decolonial theory</w:t>
      </w:r>
      <w:r w:rsidRPr="00BD2C65">
        <w:t xml:space="preserve"> is a heterogenous theoretical model and not a homogenous school</w:t>
      </w:r>
      <w:r w:rsidR="00EA51B3" w:rsidRPr="00BD2C65">
        <w:t>, which is in a state of evolving and</w:t>
      </w:r>
      <w:r w:rsidRPr="00BD2C65">
        <w:t xml:space="preserve"> has been influenced by </w:t>
      </w:r>
      <w:r w:rsidR="006D6B30" w:rsidRPr="00BD2C65">
        <w:t xml:space="preserve">various </w:t>
      </w:r>
      <w:r w:rsidRPr="00BD2C65">
        <w:t>philosophies and paradigms (Bogaerts and Raben, 2012; Pillay, 2021)</w:t>
      </w:r>
      <w:r w:rsidR="006D6B30" w:rsidRPr="00BD2C65">
        <w:t xml:space="preserve">. At its core, this approach aims to </w:t>
      </w:r>
      <w:r w:rsidR="005948D1" w:rsidRPr="00BD2C65">
        <w:t>analyse</w:t>
      </w:r>
      <w:r w:rsidR="006D6B30" w:rsidRPr="00BD2C65">
        <w:t xml:space="preserve"> the </w:t>
      </w:r>
      <w:r w:rsidR="005948D1" w:rsidRPr="00BD2C65">
        <w:t>en</w:t>
      </w:r>
      <w:r w:rsidR="006D6B30" w:rsidRPr="00BD2C65">
        <w:t>during legacy of colonialism,</w:t>
      </w:r>
      <w:r w:rsidRPr="00BD2C65">
        <w:t xml:space="preserve"> including </w:t>
      </w:r>
      <w:r w:rsidR="005948D1" w:rsidRPr="00BD2C65">
        <w:t>legal and economic</w:t>
      </w:r>
      <w:r w:rsidRPr="00BD2C65">
        <w:t xml:space="preserve"> </w:t>
      </w:r>
      <w:r w:rsidR="005948D1" w:rsidRPr="00BD2C65">
        <w:t>consequences</w:t>
      </w:r>
      <w:r w:rsidRPr="00BD2C65">
        <w:t xml:space="preserve"> (Tuhiwai Smith, 2013</w:t>
      </w:r>
      <w:r w:rsidR="00924CE2" w:rsidRPr="00BD2C65">
        <w:t>; Bogaerts and Raben, 2012; Pillay, 2021</w:t>
      </w:r>
      <w:r w:rsidRPr="00BD2C65">
        <w:t xml:space="preserve">). </w:t>
      </w:r>
    </w:p>
    <w:p w14:paraId="271A50B1" w14:textId="77777777" w:rsidR="00924CE2" w:rsidRPr="00BD2C65" w:rsidRDefault="00924CE2" w:rsidP="00224316">
      <w:pPr>
        <w:spacing w:line="480" w:lineRule="auto"/>
        <w:jc w:val="both"/>
      </w:pPr>
    </w:p>
    <w:p w14:paraId="03C1DD63" w14:textId="641F5D5A" w:rsidR="00294582" w:rsidRPr="00BD2C65" w:rsidRDefault="00294582" w:rsidP="00294582">
      <w:pPr>
        <w:spacing w:line="480" w:lineRule="auto"/>
        <w:jc w:val="both"/>
      </w:pPr>
      <w:r w:rsidRPr="00BD2C65">
        <w:lastRenderedPageBreak/>
        <w:t xml:space="preserve">Furthermore, decolonial theory highlights the </w:t>
      </w:r>
      <w:r w:rsidR="00EC4CD0" w:rsidRPr="00BD2C65">
        <w:t>limitations</w:t>
      </w:r>
      <w:r w:rsidRPr="00BD2C65">
        <w:t xml:space="preserve"> of Liberal and Marxists understanding of colonialism </w:t>
      </w:r>
      <w:r w:rsidR="005948D1" w:rsidRPr="00BD2C65">
        <w:t>because they</w:t>
      </w:r>
      <w:r w:rsidRPr="00BD2C65">
        <w:t xml:space="preserve"> lacked the ability to deconstruct and </w:t>
      </w:r>
      <w:r w:rsidR="006D6B30" w:rsidRPr="00BD2C65">
        <w:t xml:space="preserve">failed to </w:t>
      </w:r>
      <w:r w:rsidR="000C5C03" w:rsidRPr="00BD2C65">
        <w:t>incorporate the</w:t>
      </w:r>
      <w:r w:rsidR="006D6B30" w:rsidRPr="00BD2C65">
        <w:t xml:space="preserve"> perspectives and</w:t>
      </w:r>
      <w:r w:rsidRPr="00BD2C65">
        <w:t xml:space="preserve"> experiences of colon</w:t>
      </w:r>
      <w:r w:rsidR="0072242C" w:rsidRPr="00BD2C65">
        <w:t>ised</w:t>
      </w:r>
      <w:r w:rsidRPr="00BD2C65">
        <w:t xml:space="preserve"> peoples (ibid.). However, </w:t>
      </w:r>
      <w:r w:rsidR="007B238E" w:rsidRPr="00BD2C65">
        <w:t>the decolonial</w:t>
      </w:r>
      <w:r w:rsidRPr="00BD2C65">
        <w:t xml:space="preserve"> approach </w:t>
      </w:r>
      <w:r w:rsidR="006D6B30" w:rsidRPr="00BD2C65">
        <w:t>is not without its</w:t>
      </w:r>
      <w:r w:rsidRPr="00BD2C65">
        <w:t xml:space="preserve"> limitations</w:t>
      </w:r>
      <w:r w:rsidR="00924CE2" w:rsidRPr="00BD2C65">
        <w:t>,</w:t>
      </w:r>
      <w:r w:rsidRPr="00BD2C65">
        <w:t xml:space="preserve"> as according to Chambers (2020)</w:t>
      </w:r>
      <w:r w:rsidR="00924CE2" w:rsidRPr="00BD2C65">
        <w:t>,</w:t>
      </w:r>
      <w:r w:rsidRPr="00BD2C65">
        <w:t xml:space="preserve"> proponents of this theory have misunderstood Descartes</w:t>
      </w:r>
      <w:r w:rsidR="006D6B30" w:rsidRPr="00BD2C65">
        <w:t>'</w:t>
      </w:r>
      <w:r w:rsidRPr="00BD2C65">
        <w:t xml:space="preserve"> </w:t>
      </w:r>
      <w:r w:rsidR="006D6B30" w:rsidRPr="00BD2C65">
        <w:t xml:space="preserve">ideas </w:t>
      </w:r>
      <w:r w:rsidRPr="00BD2C65">
        <w:t>on subject and object</w:t>
      </w:r>
      <w:r w:rsidR="00924CE2" w:rsidRPr="00BD2C65">
        <w:t>.</w:t>
      </w:r>
      <w:r w:rsidRPr="00BD2C65">
        <w:t xml:space="preserve"> </w:t>
      </w:r>
      <w:r w:rsidR="00924CE2" w:rsidRPr="00BD2C65">
        <w:t xml:space="preserve">It </w:t>
      </w:r>
      <w:r w:rsidRPr="00BD2C65">
        <w:t xml:space="preserve">is more complex than westernised people imposing </w:t>
      </w:r>
      <w:r w:rsidR="0072242C" w:rsidRPr="00BD2C65">
        <w:t>epistemological</w:t>
      </w:r>
      <w:r w:rsidRPr="00BD2C65">
        <w:t xml:space="preserve"> knowledge on </w:t>
      </w:r>
      <w:r w:rsidR="0072242C" w:rsidRPr="00BD2C65">
        <w:t>I</w:t>
      </w:r>
      <w:r w:rsidR="00BE4F57" w:rsidRPr="00BD2C65">
        <w:t xml:space="preserve">ndigenous </w:t>
      </w:r>
      <w:r w:rsidR="0072242C" w:rsidRPr="00BD2C65">
        <w:t>P</w:t>
      </w:r>
      <w:r w:rsidRPr="00BD2C65">
        <w:t xml:space="preserve">eople (ibid.) and that erasure of </w:t>
      </w:r>
      <w:r w:rsidR="0072242C" w:rsidRPr="00BD2C65">
        <w:t>I</w:t>
      </w:r>
      <w:r w:rsidR="00BE4F57" w:rsidRPr="00BD2C65">
        <w:t xml:space="preserve">ndigenous </w:t>
      </w:r>
      <w:r w:rsidRPr="00BD2C65">
        <w:t>knowledge was political</w:t>
      </w:r>
      <w:r w:rsidR="006D6B30" w:rsidRPr="00BD2C65">
        <w:t xml:space="preserve">, rather than </w:t>
      </w:r>
      <w:r w:rsidR="000C5C03" w:rsidRPr="00BD2C65">
        <w:t>epistemological (</w:t>
      </w:r>
      <w:r w:rsidRPr="00BD2C65">
        <w:t xml:space="preserve">ibid.).  Additionally, </w:t>
      </w:r>
      <w:r w:rsidR="00524F6E" w:rsidRPr="00BD2C65">
        <w:t>T</w:t>
      </w:r>
      <w:r w:rsidRPr="00BD2C65">
        <w:t>illey</w:t>
      </w:r>
      <w:r w:rsidR="00224316" w:rsidRPr="00BD2C65">
        <w:t xml:space="preserve"> (2011, p.24) argues </w:t>
      </w:r>
      <w:r w:rsidR="00924CE2" w:rsidRPr="00BD2C65">
        <w:t>that.</w:t>
      </w:r>
      <w:r w:rsidR="00224316" w:rsidRPr="00BD2C65">
        <w:t xml:space="preserve"> </w:t>
      </w:r>
      <w:r w:rsidRPr="00BD2C65">
        <w:t xml:space="preserve"> </w:t>
      </w:r>
    </w:p>
    <w:p w14:paraId="3F56C1CF" w14:textId="77777777" w:rsidR="00294582" w:rsidRPr="00BD2C65" w:rsidRDefault="00294582" w:rsidP="00294582">
      <w:pPr>
        <w:spacing w:line="480" w:lineRule="auto"/>
        <w:jc w:val="both"/>
      </w:pPr>
    </w:p>
    <w:p w14:paraId="7E55E76E" w14:textId="32C85343" w:rsidR="00294582" w:rsidRPr="00BD2C65" w:rsidRDefault="0072242C" w:rsidP="002B07DB">
      <w:pPr>
        <w:ind w:left="397" w:right="397"/>
        <w:jc w:val="both"/>
        <w:rPr>
          <w:i/>
          <w:iCs/>
        </w:rPr>
      </w:pPr>
      <w:r w:rsidRPr="00BD2C65">
        <w:rPr>
          <w:i/>
          <w:iCs/>
          <w:color w:val="000000"/>
          <w:shd w:val="clear" w:color="auto" w:fill="FFFFFF"/>
        </w:rPr>
        <w:t>‘</w:t>
      </w:r>
      <w:r w:rsidR="00294582" w:rsidRPr="00BD2C65">
        <w:rPr>
          <w:i/>
          <w:iCs/>
          <w:color w:val="000000"/>
          <w:shd w:val="clear" w:color="auto" w:fill="FFFFFF"/>
        </w:rPr>
        <w:t>scientific research began to decolonize Africa by challenging stereotypes, destabilizing Eurocentric perspectives, and considering African topics on their own terms</w:t>
      </w:r>
      <w:r w:rsidRPr="00BD2C65">
        <w:rPr>
          <w:i/>
          <w:iCs/>
          <w:color w:val="000000"/>
          <w:shd w:val="clear" w:color="auto" w:fill="FFFFFF"/>
        </w:rPr>
        <w:t>’</w:t>
      </w:r>
      <w:r w:rsidR="00294582" w:rsidRPr="00BD2C65">
        <w:rPr>
          <w:i/>
          <w:iCs/>
          <w:color w:val="000000"/>
          <w:shd w:val="clear" w:color="auto" w:fill="FFFFFF"/>
        </w:rPr>
        <w:t>.</w:t>
      </w:r>
    </w:p>
    <w:p w14:paraId="409C60DF" w14:textId="77777777" w:rsidR="00294582" w:rsidRPr="00BD2C65" w:rsidRDefault="00294582" w:rsidP="00294582">
      <w:pPr>
        <w:spacing w:line="480" w:lineRule="auto"/>
        <w:jc w:val="both"/>
      </w:pPr>
    </w:p>
    <w:p w14:paraId="4A3D12DE" w14:textId="04D4DAF4" w:rsidR="00294582" w:rsidRPr="00BD2C65" w:rsidRDefault="00294582" w:rsidP="00294582">
      <w:pPr>
        <w:spacing w:line="480" w:lineRule="auto"/>
        <w:jc w:val="both"/>
      </w:pPr>
      <w:r w:rsidRPr="00BD2C65">
        <w:t xml:space="preserve">The author is particularly interested in exploring Decolonial theory as a process rather than a singular event and one which takes a pluralistic view </w:t>
      </w:r>
      <w:r w:rsidR="005948D1" w:rsidRPr="00BD2C65">
        <w:t>combined with an</w:t>
      </w:r>
      <w:r w:rsidRPr="00BD2C65">
        <w:t xml:space="preserve"> epistemological understanding </w:t>
      </w:r>
      <w:r w:rsidR="005948D1" w:rsidRPr="00BD2C65">
        <w:t xml:space="preserve">based on </w:t>
      </w:r>
      <w:r w:rsidR="007E063D" w:rsidRPr="00BD2C65">
        <w:t xml:space="preserve">postmodern sociological theories </w:t>
      </w:r>
      <w:r w:rsidRPr="00BD2C65">
        <w:t>(Chambers, 2020).</w:t>
      </w:r>
    </w:p>
    <w:p w14:paraId="2409AFE8" w14:textId="77777777" w:rsidR="00294582" w:rsidRPr="00BD2C65" w:rsidRDefault="00294582" w:rsidP="00294582">
      <w:pPr>
        <w:spacing w:line="480" w:lineRule="auto"/>
      </w:pPr>
    </w:p>
    <w:p w14:paraId="53F63301" w14:textId="7401415A" w:rsidR="00F337F6" w:rsidRPr="00BD2C65" w:rsidRDefault="00294582" w:rsidP="00F337F6">
      <w:pPr>
        <w:spacing w:line="480" w:lineRule="auto"/>
        <w:jc w:val="both"/>
      </w:pPr>
      <w:r w:rsidRPr="00BD2C65">
        <w:rPr>
          <w:b/>
          <w:bCs/>
        </w:rPr>
        <w:t>The British Empire</w:t>
      </w:r>
      <w:r w:rsidRPr="00BD2C65">
        <w:t xml:space="preserve"> was the world’s largest Empire (Ferguson, 2004)</w:t>
      </w:r>
      <w:r w:rsidR="00B41B7E" w:rsidRPr="00BD2C65">
        <w:t xml:space="preserve"> in world history</w:t>
      </w:r>
      <w:r w:rsidRPr="00BD2C65">
        <w:t xml:space="preserve">. </w:t>
      </w:r>
      <w:r w:rsidR="00EF6E22" w:rsidRPr="00BD2C65">
        <w:t xml:space="preserve">The Empire </w:t>
      </w:r>
      <w:r w:rsidRPr="00BD2C65">
        <w:t xml:space="preserve">began through trade, in particular the British taking land and trade ports (ibid.). By 1913 the British Empire accounted for 23% of the world’s population (ibid.). Many former </w:t>
      </w:r>
      <w:r w:rsidR="009643D6" w:rsidRPr="00BD2C65">
        <w:t>British Colonies</w:t>
      </w:r>
      <w:r w:rsidRPr="00BD2C65">
        <w:t xml:space="preserve"> joined the Commonwealth (ibid; Commonwealth, 2022). Currently, 14 overseas territories are under British sovereignty (Brendon, 2007). When referring to the British Empire, the author of this paper is focusing on the period of the late 19</w:t>
      </w:r>
      <w:r w:rsidRPr="00BD2C65">
        <w:rPr>
          <w:vertAlign w:val="superscript"/>
        </w:rPr>
        <w:t>th</w:t>
      </w:r>
      <w:r w:rsidRPr="00BD2C65">
        <w:t xml:space="preserve"> century</w:t>
      </w:r>
      <w:r w:rsidR="000C5C03" w:rsidRPr="00BD2C65">
        <w:t xml:space="preserve"> and specifically focuses on the African </w:t>
      </w:r>
      <w:r w:rsidR="0011030E" w:rsidRPr="00BD2C65">
        <w:t>continent</w:t>
      </w:r>
      <w:r w:rsidRPr="00BD2C65">
        <w:t xml:space="preserve">. </w:t>
      </w:r>
    </w:p>
    <w:p w14:paraId="1D0721EE" w14:textId="77777777" w:rsidR="00F337F6" w:rsidRPr="00BD2C65" w:rsidRDefault="00F337F6" w:rsidP="00F337F6">
      <w:pPr>
        <w:spacing w:line="480" w:lineRule="auto"/>
        <w:jc w:val="both"/>
      </w:pPr>
    </w:p>
    <w:p w14:paraId="7D1D2051" w14:textId="30CBE946" w:rsidR="00F337F6" w:rsidRPr="00BD2C65" w:rsidRDefault="00294582" w:rsidP="00F337F6">
      <w:pPr>
        <w:spacing w:line="480" w:lineRule="auto"/>
        <w:jc w:val="both"/>
      </w:pPr>
      <w:r w:rsidRPr="00BD2C65">
        <w:rPr>
          <w:b/>
          <w:bCs/>
        </w:rPr>
        <w:lastRenderedPageBreak/>
        <w:t>LGBTQIA+ People:</w:t>
      </w:r>
      <w:r w:rsidRPr="00BD2C65">
        <w:t xml:space="preserve"> </w:t>
      </w:r>
      <w:r w:rsidR="00EF6E22" w:rsidRPr="00BD2C65">
        <w:t xml:space="preserve"> </w:t>
      </w:r>
      <w:r w:rsidR="00F337F6" w:rsidRPr="00BD2C65">
        <w:t>LGBTQIA+ is an acronym for Lesbian, Gay, Bisexual, Trans, Queer (or Questioning), Intersex and Asexual, as defined by Dente (2018) and Wagaman (2016). The plus symbol is used to include individuals who identify with the LGBTQIA+ Community, with many identifying as non-heteronormative, according to Kronk and Dexheimer (2021). By including the plus symbol, the movement becomes more inclusive and intersectional. (ibid.)</w:t>
      </w:r>
    </w:p>
    <w:p w14:paraId="19C0E14C" w14:textId="77777777" w:rsidR="00F337F6" w:rsidRPr="00BD2C65" w:rsidRDefault="00F337F6" w:rsidP="00F337F6">
      <w:pPr>
        <w:spacing w:line="480" w:lineRule="auto"/>
        <w:jc w:val="both"/>
      </w:pPr>
    </w:p>
    <w:p w14:paraId="1789321E" w14:textId="6452F0CA" w:rsidR="00294582" w:rsidRPr="00BD2C65" w:rsidRDefault="00294582" w:rsidP="00294582">
      <w:pPr>
        <w:spacing w:line="480" w:lineRule="auto"/>
        <w:jc w:val="both"/>
      </w:pPr>
      <w:r w:rsidRPr="00BD2C65">
        <w:t xml:space="preserve">Additionally, </w:t>
      </w:r>
      <w:r w:rsidR="007E063D" w:rsidRPr="00BD2C65">
        <w:t>this</w:t>
      </w:r>
      <w:r w:rsidRPr="00BD2C65">
        <w:t xml:space="preserve"> author is aware of how their </w:t>
      </w:r>
      <w:r w:rsidR="0011030E" w:rsidRPr="00BD2C65">
        <w:t>westernised</w:t>
      </w:r>
      <w:r w:rsidRPr="00BD2C65">
        <w:t xml:space="preserve"> upbringing can influence and create barriers to understanding of </w:t>
      </w:r>
      <w:r w:rsidR="007E063D" w:rsidRPr="00BD2C65">
        <w:t>the way in which</w:t>
      </w:r>
      <w:r w:rsidRPr="00BD2C65">
        <w:t xml:space="preserve"> non-westernised groups of people interpret sexual orientations and gender identities differently. Therefore, the author has taken a social constructive view of the term LGBTQIA+ and will use the technique of Queer word making (Duong, 2012) which is a process of creating different labels which best fit with people’s experiences (ibid.). </w:t>
      </w:r>
      <w:r w:rsidR="00B1783C" w:rsidRPr="00BD2C65">
        <w:t>Nevertheless</w:t>
      </w:r>
      <w:r w:rsidRPr="00BD2C65">
        <w:t xml:space="preserve">, </w:t>
      </w:r>
      <w:r w:rsidR="006B7BDD" w:rsidRPr="00BD2C65">
        <w:t xml:space="preserve">the convenience in </w:t>
      </w:r>
      <w:r w:rsidR="00FB1F11" w:rsidRPr="00BD2C65">
        <w:t xml:space="preserve">this </w:t>
      </w:r>
      <w:r w:rsidR="00BC51B7" w:rsidRPr="00BD2C65">
        <w:t>paper,</w:t>
      </w:r>
      <w:r w:rsidRPr="00BD2C65">
        <w:t xml:space="preserve"> the term LGBTQIA+ will be </w:t>
      </w:r>
      <w:r w:rsidR="006B7BDD" w:rsidRPr="00BD2C65">
        <w:t>used. H</w:t>
      </w:r>
      <w:r w:rsidR="00067E80" w:rsidRPr="00BD2C65">
        <w:t>owever</w:t>
      </w:r>
      <w:r w:rsidR="006B7BDD" w:rsidRPr="00BD2C65">
        <w:t>,</w:t>
      </w:r>
      <w:r w:rsidR="00067E80" w:rsidRPr="00BD2C65">
        <w:t xml:space="preserve"> it is important for</w:t>
      </w:r>
      <w:r w:rsidR="006B7BDD" w:rsidRPr="00BD2C65">
        <w:t xml:space="preserve"> the</w:t>
      </w:r>
      <w:r w:rsidR="00BC51B7" w:rsidRPr="00BD2C65">
        <w:t xml:space="preserve"> reader </w:t>
      </w:r>
      <w:r w:rsidR="00067E80" w:rsidRPr="00BD2C65">
        <w:t xml:space="preserve">to </w:t>
      </w:r>
      <w:r w:rsidR="00256836" w:rsidRPr="00BD2C65">
        <w:t>also consider</w:t>
      </w:r>
      <w:r w:rsidR="00067E80" w:rsidRPr="00BD2C65">
        <w:t xml:space="preserve"> the intersectionality of this term</w:t>
      </w:r>
      <w:r w:rsidR="00AE3B94" w:rsidRPr="00BD2C65">
        <w:t xml:space="preserve"> with</w:t>
      </w:r>
      <w:r w:rsidR="004C6B85" w:rsidRPr="00BD2C65">
        <w:t>in</w:t>
      </w:r>
      <w:r w:rsidR="00AE3B94" w:rsidRPr="00BD2C65">
        <w:t xml:space="preserve"> diverse cultural contexts.</w:t>
      </w:r>
      <w:r w:rsidR="00067E80" w:rsidRPr="00BD2C65">
        <w:t xml:space="preserve"> </w:t>
      </w:r>
    </w:p>
    <w:p w14:paraId="05547148" w14:textId="77777777" w:rsidR="00294582" w:rsidRPr="00BD2C65" w:rsidRDefault="00294582" w:rsidP="00294582">
      <w:pPr>
        <w:spacing w:line="480" w:lineRule="auto"/>
        <w:jc w:val="both"/>
      </w:pPr>
    </w:p>
    <w:p w14:paraId="3EE19155" w14:textId="0FE294CB" w:rsidR="002A4B0B" w:rsidRPr="00BD2C65" w:rsidRDefault="00BA2220" w:rsidP="002A4B0B">
      <w:pPr>
        <w:spacing w:line="480" w:lineRule="auto"/>
        <w:jc w:val="both"/>
      </w:pPr>
      <w:r w:rsidRPr="00BD2C65">
        <w:rPr>
          <w:b/>
          <w:bCs/>
        </w:rPr>
        <w:t>Queer Theory</w:t>
      </w:r>
      <w:r w:rsidR="00294582" w:rsidRPr="00BD2C65">
        <w:t xml:space="preserve"> is a post-structuralis</w:t>
      </w:r>
      <w:r w:rsidR="008834A3" w:rsidRPr="00BD2C65">
        <w:t>t</w:t>
      </w:r>
      <w:r w:rsidR="005014FC" w:rsidRPr="00BD2C65">
        <w:t xml:space="preserve"> and</w:t>
      </w:r>
      <w:r w:rsidR="00294582" w:rsidRPr="00BD2C65">
        <w:t xml:space="preserve"> social constructive field which emerged out of queer and women’s studies</w:t>
      </w:r>
      <w:r w:rsidR="006B7BDD" w:rsidRPr="00BD2C65">
        <w:t>. It</w:t>
      </w:r>
      <w:r w:rsidR="005014FC" w:rsidRPr="00BD2C65">
        <w:t xml:space="preserve"> </w:t>
      </w:r>
      <w:r w:rsidR="00004A69" w:rsidRPr="00BD2C65">
        <w:t>examine</w:t>
      </w:r>
      <w:r w:rsidR="005014FC" w:rsidRPr="00BD2C65">
        <w:t>s</w:t>
      </w:r>
      <w:r w:rsidR="00294582" w:rsidRPr="00BD2C65">
        <w:t xml:space="preserve"> sexuality and gender identity </w:t>
      </w:r>
      <w:r w:rsidR="006B7BDD" w:rsidRPr="00BD2C65">
        <w:t xml:space="preserve">as a </w:t>
      </w:r>
      <w:r w:rsidR="00F54B41" w:rsidRPr="00BD2C65">
        <w:t>social and cultural phenomenon</w:t>
      </w:r>
      <w:r w:rsidR="00294582" w:rsidRPr="00BD2C65">
        <w:t xml:space="preserve"> (Browne and Nash, 2016;</w:t>
      </w:r>
      <w:r w:rsidR="00294582" w:rsidRPr="00BD2C65">
        <w:rPr>
          <w:color w:val="FF0000"/>
        </w:rPr>
        <w:t xml:space="preserve"> </w:t>
      </w:r>
      <w:r w:rsidR="00294582" w:rsidRPr="00BD2C65">
        <w:t>Foucault, 2008; Butler, 1999)</w:t>
      </w:r>
      <w:r w:rsidR="00C11EB5" w:rsidRPr="00BD2C65">
        <w:t>, thereby challenging heteropatriarchal norms</w:t>
      </w:r>
      <w:r w:rsidR="008430A2" w:rsidRPr="00BD2C65">
        <w:t xml:space="preserve"> </w:t>
      </w:r>
      <w:r w:rsidR="006B7BDD" w:rsidRPr="00BD2C65">
        <w:t>by describing</w:t>
      </w:r>
      <w:r w:rsidR="008430A2" w:rsidRPr="00BD2C65">
        <w:t xml:space="preserve"> them as socially and culturally constructed</w:t>
      </w:r>
      <w:r w:rsidR="00B91D38" w:rsidRPr="00BD2C65">
        <w:t xml:space="preserve"> (ibid.).</w:t>
      </w:r>
      <w:r w:rsidR="00294582" w:rsidRPr="00BD2C65">
        <w:t xml:space="preserve"> </w:t>
      </w:r>
    </w:p>
    <w:p w14:paraId="54364EA8" w14:textId="77777777" w:rsidR="002A4B0B" w:rsidRPr="00BD2C65" w:rsidRDefault="002A4B0B" w:rsidP="002A4B0B">
      <w:pPr>
        <w:spacing w:line="480" w:lineRule="auto"/>
        <w:jc w:val="both"/>
      </w:pPr>
    </w:p>
    <w:p w14:paraId="2A20B05A" w14:textId="6E0171BD" w:rsidR="00955B86" w:rsidRPr="00BD2C65" w:rsidRDefault="00955B86" w:rsidP="00294582">
      <w:pPr>
        <w:spacing w:line="480" w:lineRule="auto"/>
        <w:jc w:val="both"/>
      </w:pPr>
      <w:r w:rsidRPr="00BD2C65">
        <w:t xml:space="preserve">One </w:t>
      </w:r>
      <w:r w:rsidR="00B91D38" w:rsidRPr="00BD2C65">
        <w:t xml:space="preserve">of the most </w:t>
      </w:r>
      <w:r w:rsidR="000C5C03" w:rsidRPr="00BD2C65">
        <w:t>prominent</w:t>
      </w:r>
      <w:r w:rsidR="00B91D38" w:rsidRPr="00BD2C65">
        <w:t xml:space="preserve"> works in the field of </w:t>
      </w:r>
      <w:r w:rsidR="00BA2220" w:rsidRPr="00BD2C65">
        <w:t>Queer Theory</w:t>
      </w:r>
      <w:r w:rsidRPr="00BD2C65">
        <w:t xml:space="preserve"> </w:t>
      </w:r>
      <w:r w:rsidR="00B91D38" w:rsidRPr="00BD2C65">
        <w:t>is</w:t>
      </w:r>
      <w:r w:rsidRPr="00BD2C65">
        <w:t xml:space="preserve"> Judith Butler’s Gender Trouble</w:t>
      </w:r>
      <w:r w:rsidR="004C6B85" w:rsidRPr="00BD2C65">
        <w:t xml:space="preserve"> (1999)</w:t>
      </w:r>
      <w:r w:rsidR="00B91D38" w:rsidRPr="00BD2C65">
        <w:t xml:space="preserve">, </w:t>
      </w:r>
      <w:r w:rsidR="009A4763" w:rsidRPr="00BD2C65">
        <w:t xml:space="preserve">in </w:t>
      </w:r>
      <w:r w:rsidR="00B91D38" w:rsidRPr="00BD2C65">
        <w:t>which</w:t>
      </w:r>
      <w:r w:rsidR="008834A3" w:rsidRPr="00BD2C65">
        <w:t xml:space="preserve"> </w:t>
      </w:r>
      <w:r w:rsidR="009A4763" w:rsidRPr="00BD2C65">
        <w:t>they</w:t>
      </w:r>
      <w:r w:rsidRPr="00BD2C65">
        <w:t xml:space="preserve"> </w:t>
      </w:r>
      <w:r w:rsidR="002A4B0B" w:rsidRPr="00BD2C65">
        <w:t xml:space="preserve">challenge the traditional differentiation between sex as a biological construct and gender as a social and cultural construct. They propose that </w:t>
      </w:r>
      <w:r w:rsidR="002A4B0B" w:rsidRPr="00BD2C65">
        <w:lastRenderedPageBreak/>
        <w:t>both sex and gender are constructed through cultural and political practices, rather than being innate or fixed categories (ibid.).</w:t>
      </w:r>
      <w:r w:rsidR="000C5C03" w:rsidRPr="00BD2C65">
        <w:t xml:space="preserve"> </w:t>
      </w:r>
      <w:r w:rsidRPr="00BD2C65">
        <w:t>Butler (1999) drew on Foucault</w:t>
      </w:r>
      <w:r w:rsidR="006B7BDD" w:rsidRPr="00BD2C65">
        <w:t>’s</w:t>
      </w:r>
      <w:r w:rsidRPr="00BD2C65">
        <w:t xml:space="preserve"> ideas of </w:t>
      </w:r>
      <w:r w:rsidR="00224316" w:rsidRPr="00BD2C65">
        <w:t>‘</w:t>
      </w:r>
      <w:r w:rsidRPr="00BD2C65">
        <w:t>Discipline and Punish</w:t>
      </w:r>
      <w:r w:rsidR="00224316" w:rsidRPr="00BD2C65">
        <w:t>’</w:t>
      </w:r>
      <w:r w:rsidRPr="00BD2C65">
        <w:t xml:space="preserve"> to argue that power operates on the body, </w:t>
      </w:r>
      <w:r w:rsidR="00B91D38" w:rsidRPr="00BD2C65">
        <w:t xml:space="preserve">with </w:t>
      </w:r>
      <w:r w:rsidRPr="00BD2C65">
        <w:t xml:space="preserve">gender </w:t>
      </w:r>
      <w:r w:rsidR="00B91D38" w:rsidRPr="00BD2C65">
        <w:t>as</w:t>
      </w:r>
      <w:r w:rsidRPr="00BD2C65">
        <w:t xml:space="preserve"> the dominant cultural agent </w:t>
      </w:r>
      <w:r w:rsidR="006B7BDD" w:rsidRPr="00BD2C65">
        <w:t xml:space="preserve">in </w:t>
      </w:r>
      <w:r w:rsidRPr="00BD2C65">
        <w:t xml:space="preserve">that </w:t>
      </w:r>
      <w:r w:rsidR="006B7BDD" w:rsidRPr="00BD2C65">
        <w:t xml:space="preserve">operation to </w:t>
      </w:r>
      <w:r w:rsidRPr="00BD2C65">
        <w:t xml:space="preserve">construct gender identities and sexual orientations. </w:t>
      </w:r>
    </w:p>
    <w:p w14:paraId="0A8C79A4" w14:textId="77777777" w:rsidR="00AE59D1" w:rsidRPr="00BD2C65" w:rsidRDefault="00AE59D1" w:rsidP="00294582">
      <w:pPr>
        <w:spacing w:line="480" w:lineRule="auto"/>
        <w:jc w:val="both"/>
      </w:pPr>
    </w:p>
    <w:p w14:paraId="47A15BBE" w14:textId="7842EC89" w:rsidR="00294582" w:rsidRPr="00BD2C65" w:rsidRDefault="002B07DB" w:rsidP="00294582">
      <w:pPr>
        <w:spacing w:line="480" w:lineRule="auto"/>
        <w:jc w:val="both"/>
      </w:pPr>
      <w:r w:rsidRPr="00BD2C65">
        <w:t>Additionally, f</w:t>
      </w:r>
      <w:r w:rsidR="00294582" w:rsidRPr="00BD2C65">
        <w:t xml:space="preserve">or the author, Stewart (2017, p.62), offers an interesting but insightful </w:t>
      </w:r>
      <w:r w:rsidR="008430A2" w:rsidRPr="00BD2C65">
        <w:t>definition</w:t>
      </w:r>
      <w:r w:rsidR="001679DD" w:rsidRPr="00BD2C65">
        <w:t xml:space="preserve"> for </w:t>
      </w:r>
      <w:r w:rsidR="00BA2220" w:rsidRPr="00BD2C65">
        <w:t>Queer Theory</w:t>
      </w:r>
      <w:r w:rsidR="008430A2" w:rsidRPr="00BD2C65">
        <w:t>.</w:t>
      </w:r>
      <w:r w:rsidR="00294582" w:rsidRPr="00BD2C65">
        <w:t xml:space="preserve"> </w:t>
      </w:r>
    </w:p>
    <w:p w14:paraId="465064E9" w14:textId="77777777" w:rsidR="00AE59D1" w:rsidRPr="00BD2C65" w:rsidRDefault="00AE59D1" w:rsidP="00294582">
      <w:pPr>
        <w:spacing w:line="480" w:lineRule="auto"/>
        <w:jc w:val="both"/>
      </w:pPr>
    </w:p>
    <w:p w14:paraId="1449720D" w14:textId="11525A9F" w:rsidR="00294582" w:rsidRPr="00BD2C65" w:rsidRDefault="00C9059C" w:rsidP="00AD3719">
      <w:pPr>
        <w:ind w:left="397" w:right="397"/>
        <w:jc w:val="both"/>
        <w:rPr>
          <w:i/>
          <w:iCs/>
        </w:rPr>
      </w:pPr>
      <w:r w:rsidRPr="00BD2C65">
        <w:rPr>
          <w:i/>
          <w:iCs/>
        </w:rPr>
        <w:t>‘</w:t>
      </w:r>
      <w:r w:rsidR="00BA2220" w:rsidRPr="00BD2C65">
        <w:rPr>
          <w:i/>
          <w:iCs/>
        </w:rPr>
        <w:t>Queer Theory</w:t>
      </w:r>
      <w:r w:rsidR="00294582" w:rsidRPr="00BD2C65">
        <w:rPr>
          <w:i/>
          <w:iCs/>
        </w:rPr>
        <w:t xml:space="preserve"> and politics necessarily celebrate transgression in the form of visible difference from norms. These ‘Norms’ are then exposed to be norms, not natures or inevitabilities.</w:t>
      </w:r>
      <w:r w:rsidRPr="00BD2C65">
        <w:rPr>
          <w:i/>
          <w:iCs/>
        </w:rPr>
        <w:t>’</w:t>
      </w:r>
      <w:r w:rsidR="00294582" w:rsidRPr="00BD2C65">
        <w:rPr>
          <w:i/>
          <w:iCs/>
        </w:rPr>
        <w:t xml:space="preserve"> </w:t>
      </w:r>
    </w:p>
    <w:p w14:paraId="3E7593DB" w14:textId="77777777" w:rsidR="00AE59D1" w:rsidRPr="00BD2C65" w:rsidRDefault="00AE59D1" w:rsidP="00AD3719">
      <w:pPr>
        <w:ind w:left="397" w:right="397"/>
        <w:jc w:val="both"/>
        <w:rPr>
          <w:i/>
          <w:iCs/>
        </w:rPr>
      </w:pPr>
    </w:p>
    <w:p w14:paraId="2F31F10F" w14:textId="77777777" w:rsidR="00352300" w:rsidRPr="00BD2C65" w:rsidRDefault="00352300" w:rsidP="00294582">
      <w:pPr>
        <w:spacing w:line="480" w:lineRule="auto"/>
        <w:jc w:val="both"/>
      </w:pPr>
    </w:p>
    <w:p w14:paraId="385ADF33" w14:textId="0F0AF121" w:rsidR="00914F30" w:rsidRPr="00BD2C65" w:rsidRDefault="00BA2220" w:rsidP="00294582">
      <w:pPr>
        <w:spacing w:line="480" w:lineRule="auto"/>
        <w:jc w:val="both"/>
      </w:pPr>
      <w:r w:rsidRPr="00BD2C65">
        <w:t>Queer Theory</w:t>
      </w:r>
      <w:r w:rsidR="006B7BDD" w:rsidRPr="00BD2C65">
        <w:t xml:space="preserve"> and Decolonisation Theory are often discussed in isolation (Ferreira Da Silva, 2007; Asante and Hanchey, 2021; Kao, 2021; Gill and Piers, 2019). </w:t>
      </w:r>
      <w:r w:rsidR="00C9059C" w:rsidRPr="00BD2C65">
        <w:t>Finley (</w:t>
      </w:r>
      <w:r w:rsidR="006B7BDD" w:rsidRPr="00BD2C65">
        <w:t xml:space="preserve">2011) suggests by </w:t>
      </w:r>
      <w:r w:rsidR="00F54B41" w:rsidRPr="00BD2C65">
        <w:t>incorporating Queer</w:t>
      </w:r>
      <w:r w:rsidRPr="00BD2C65">
        <w:t xml:space="preserve"> Theory</w:t>
      </w:r>
      <w:r w:rsidR="006B7BDD" w:rsidRPr="00BD2C65">
        <w:t xml:space="preserve"> techniques within research into </w:t>
      </w:r>
      <w:r w:rsidR="00B91D38" w:rsidRPr="00BD2C65">
        <w:t>indigenous people</w:t>
      </w:r>
      <w:r w:rsidR="006B7BDD" w:rsidRPr="00BD2C65">
        <w:t>, it</w:t>
      </w:r>
      <w:r w:rsidR="00B91D38" w:rsidRPr="00BD2C65">
        <w:t xml:space="preserve"> offers a unique opportunity to </w:t>
      </w:r>
      <w:r w:rsidR="008834A3" w:rsidRPr="00BD2C65">
        <w:t>critically</w:t>
      </w:r>
      <w:r w:rsidR="00B91D38" w:rsidRPr="00BD2C65">
        <w:t xml:space="preserve"> examine and disrupt the dominant narratives of colonialism and its impact on the formation of </w:t>
      </w:r>
      <w:r w:rsidR="006B7BDD" w:rsidRPr="00BD2C65">
        <w:t xml:space="preserve">post-colonial LGBTQIA+ beliefs in former British Colonies. </w:t>
      </w:r>
    </w:p>
    <w:p w14:paraId="03F1947F" w14:textId="77777777" w:rsidR="00AE59D1" w:rsidRPr="00BD2C65" w:rsidRDefault="00AE59D1" w:rsidP="00294582">
      <w:pPr>
        <w:spacing w:line="480" w:lineRule="auto"/>
        <w:jc w:val="both"/>
      </w:pPr>
    </w:p>
    <w:p w14:paraId="40A84E65" w14:textId="5BE9A6F5" w:rsidR="00294582" w:rsidRPr="00BD2C65" w:rsidRDefault="006B7BDD" w:rsidP="00294582">
      <w:pPr>
        <w:spacing w:line="480" w:lineRule="auto"/>
        <w:jc w:val="both"/>
      </w:pPr>
      <w:r w:rsidRPr="00BD2C65">
        <w:t>T</w:t>
      </w:r>
      <w:r w:rsidR="00294582" w:rsidRPr="00BD2C65">
        <w:t xml:space="preserve">he </w:t>
      </w:r>
      <w:r w:rsidR="002C5C7F" w:rsidRPr="00BD2C65">
        <w:t>author of this dissertation</w:t>
      </w:r>
      <w:r w:rsidR="00294582" w:rsidRPr="00BD2C65">
        <w:t xml:space="preserve"> believes that</w:t>
      </w:r>
      <w:r w:rsidR="00224316" w:rsidRPr="00BD2C65">
        <w:t xml:space="preserve"> to </w:t>
      </w:r>
      <w:r w:rsidR="00256836" w:rsidRPr="00BD2C65">
        <w:t>effectively address</w:t>
      </w:r>
      <w:r w:rsidRPr="00BD2C65">
        <w:t xml:space="preserve"> </w:t>
      </w:r>
      <w:r w:rsidR="00224316" w:rsidRPr="00BD2C65">
        <w:t xml:space="preserve">the ongoing </w:t>
      </w:r>
      <w:r w:rsidR="008834A3" w:rsidRPr="00BD2C65">
        <w:t>genocide</w:t>
      </w:r>
      <w:r w:rsidR="00224316" w:rsidRPr="00BD2C65">
        <w:t xml:space="preserve"> of </w:t>
      </w:r>
      <w:r w:rsidR="002C5C7F" w:rsidRPr="00BD2C65">
        <w:t>I</w:t>
      </w:r>
      <w:r w:rsidR="008834A3" w:rsidRPr="00BD2C65">
        <w:t>ndigenous</w:t>
      </w:r>
      <w:r w:rsidR="00224316" w:rsidRPr="00BD2C65">
        <w:t xml:space="preserve"> </w:t>
      </w:r>
      <w:r w:rsidR="002C5C7F" w:rsidRPr="00BD2C65">
        <w:t>P</w:t>
      </w:r>
      <w:r w:rsidR="00224316" w:rsidRPr="00BD2C65">
        <w:t>eople</w:t>
      </w:r>
      <w:r w:rsidRPr="00BD2C65">
        <w:t>,</w:t>
      </w:r>
      <w:r w:rsidR="00224316" w:rsidRPr="00BD2C65">
        <w:t xml:space="preserve"> the </w:t>
      </w:r>
      <w:r w:rsidR="008834A3" w:rsidRPr="00BD2C65">
        <w:t>maintenance</w:t>
      </w:r>
      <w:r w:rsidR="00224316" w:rsidRPr="00BD2C65">
        <w:t xml:space="preserve"> structures of white supremacy</w:t>
      </w:r>
      <w:r w:rsidRPr="00BD2C65">
        <w:t xml:space="preserve"> and</w:t>
      </w:r>
      <w:r w:rsidR="00224316" w:rsidRPr="00BD2C65">
        <w:t xml:space="preserve"> settler colonialism and heteropatriarchy that impact people in former </w:t>
      </w:r>
      <w:r w:rsidR="00BD3430" w:rsidRPr="00BD2C65">
        <w:t>British Colonies</w:t>
      </w:r>
      <w:r w:rsidR="00224316" w:rsidRPr="00BD2C65">
        <w:t>, it is necessary to subvert and disrupt the established ways of thinking about</w:t>
      </w:r>
      <w:r w:rsidR="003F36AA" w:rsidRPr="00BD2C65">
        <w:t xml:space="preserve"> settler colonialism and </w:t>
      </w:r>
      <w:r w:rsidR="008834A3" w:rsidRPr="00BD2C65">
        <w:t>decolonisation</w:t>
      </w:r>
      <w:r w:rsidR="003F36AA" w:rsidRPr="00BD2C65">
        <w:t xml:space="preserve"> through queering their logics</w:t>
      </w:r>
      <w:r w:rsidR="00B91D38" w:rsidRPr="00BD2C65">
        <w:t xml:space="preserve"> </w:t>
      </w:r>
      <w:r w:rsidR="003F36AA" w:rsidRPr="00BD2C65">
        <w:t>(Smith, 2010).</w:t>
      </w:r>
      <w:r w:rsidR="00B91D38" w:rsidRPr="00BD2C65">
        <w:t xml:space="preserve"> This allows for the </w:t>
      </w:r>
      <w:r w:rsidR="00377502" w:rsidRPr="00BD2C65">
        <w:t>deconstruction of</w:t>
      </w:r>
      <w:r w:rsidR="00B91D38" w:rsidRPr="00BD2C65">
        <w:t xml:space="preserve"> oppressive</w:t>
      </w:r>
      <w:r w:rsidR="00377502" w:rsidRPr="00BD2C65">
        <w:t xml:space="preserve"> gender and sexuality</w:t>
      </w:r>
      <w:r w:rsidR="002C5C7F" w:rsidRPr="00BD2C65">
        <w:t xml:space="preserve"> </w:t>
      </w:r>
      <w:r w:rsidR="00B91D38" w:rsidRPr="00BD2C65">
        <w:t xml:space="preserve">norms imposed by </w:t>
      </w:r>
      <w:r w:rsidR="00B91D38" w:rsidRPr="00BD2C65">
        <w:lastRenderedPageBreak/>
        <w:t xml:space="preserve">colonialism and </w:t>
      </w:r>
      <w:r w:rsidR="00377502" w:rsidRPr="00BD2C65">
        <w:t>the examination</w:t>
      </w:r>
      <w:r w:rsidR="00B91D38" w:rsidRPr="00BD2C65">
        <w:t xml:space="preserve"> the way in which these norms have been </w:t>
      </w:r>
      <w:r w:rsidR="008834A3" w:rsidRPr="00BD2C65">
        <w:t>internalised</w:t>
      </w:r>
      <w:r w:rsidR="00B91D38" w:rsidRPr="00BD2C65">
        <w:t xml:space="preserve"> by the colonised, enabling a more holistic and inclusive approach.</w:t>
      </w:r>
    </w:p>
    <w:p w14:paraId="13D44831" w14:textId="77777777" w:rsidR="00294582" w:rsidRPr="00BD2C65" w:rsidRDefault="00294582" w:rsidP="00294582">
      <w:pPr>
        <w:spacing w:line="480" w:lineRule="auto"/>
        <w:jc w:val="both"/>
      </w:pPr>
    </w:p>
    <w:p w14:paraId="51E24EED" w14:textId="0A587863" w:rsidR="00294582" w:rsidRPr="00BD2C65" w:rsidRDefault="00BA2220" w:rsidP="00294582">
      <w:pPr>
        <w:spacing w:line="480" w:lineRule="auto"/>
        <w:jc w:val="both"/>
        <w:rPr>
          <w:color w:val="FF0000"/>
        </w:rPr>
      </w:pPr>
      <w:r w:rsidRPr="00BD2C65">
        <w:t>Queer Theory</w:t>
      </w:r>
      <w:r w:rsidR="00294582" w:rsidRPr="00BD2C65">
        <w:t xml:space="preserve"> </w:t>
      </w:r>
      <w:r w:rsidR="00144D88" w:rsidRPr="00BD2C65">
        <w:t>has</w:t>
      </w:r>
      <w:r w:rsidR="00294582" w:rsidRPr="00BD2C65">
        <w:t xml:space="preserve"> its strengths, for example it disrupts the hegemonic heteronormative practices (Showden, 2012)</w:t>
      </w:r>
      <w:r w:rsidR="00C71D71" w:rsidRPr="00BD2C65">
        <w:t xml:space="preserve"> and</w:t>
      </w:r>
      <w:r w:rsidR="00294582" w:rsidRPr="00BD2C65">
        <w:t xml:space="preserve"> </w:t>
      </w:r>
      <w:r w:rsidR="00377502" w:rsidRPr="00BD2C65">
        <w:t>address</w:t>
      </w:r>
      <w:r w:rsidR="00C71D71" w:rsidRPr="00BD2C65">
        <w:t>es</w:t>
      </w:r>
      <w:r w:rsidR="00294582" w:rsidRPr="00BD2C65">
        <w:t xml:space="preserve"> complex, fluid and moving sexuality and gender identities (ibid.)</w:t>
      </w:r>
      <w:r w:rsidR="00377502" w:rsidRPr="00BD2C65">
        <w:t>. It also</w:t>
      </w:r>
      <w:r w:rsidR="00294582" w:rsidRPr="00BD2C65">
        <w:t xml:space="preserve"> </w:t>
      </w:r>
      <w:r w:rsidR="00144D88" w:rsidRPr="00BD2C65">
        <w:t>highlight</w:t>
      </w:r>
      <w:r w:rsidR="008834A3" w:rsidRPr="00BD2C65">
        <w:t>s</w:t>
      </w:r>
      <w:r w:rsidR="00294582" w:rsidRPr="00BD2C65">
        <w:t xml:space="preserve"> how power and domination is structured in society (ibid.)</w:t>
      </w:r>
      <w:r w:rsidR="00377502" w:rsidRPr="00BD2C65">
        <w:t>. However,</w:t>
      </w:r>
      <w:r w:rsidR="008834A3" w:rsidRPr="00BD2C65">
        <w:t xml:space="preserve"> </w:t>
      </w:r>
      <w:r w:rsidR="00294582" w:rsidRPr="00BD2C65">
        <w:t xml:space="preserve">some have argued that </w:t>
      </w:r>
      <w:r w:rsidRPr="00BD2C65">
        <w:t>Queer Theory</w:t>
      </w:r>
      <w:r w:rsidR="00294582" w:rsidRPr="00BD2C65">
        <w:t xml:space="preserve"> has erased gay and bisexual experiences (Feldman, 2009; Green, 2002), </w:t>
      </w:r>
      <w:r w:rsidR="008834A3" w:rsidRPr="00BD2C65">
        <w:t>creating</w:t>
      </w:r>
      <w:r w:rsidR="00294582" w:rsidRPr="00BD2C65">
        <w:t xml:space="preserve"> division with the broader LGBTQIA+ community</w:t>
      </w:r>
      <w:r w:rsidR="00144D88" w:rsidRPr="00BD2C65">
        <w:t>,</w:t>
      </w:r>
      <w:r w:rsidR="00294582" w:rsidRPr="00BD2C65">
        <w:t xml:space="preserve"> and focus</w:t>
      </w:r>
      <w:r w:rsidR="00144D88" w:rsidRPr="00BD2C65">
        <w:t>ing</w:t>
      </w:r>
      <w:r w:rsidR="00294582" w:rsidRPr="00BD2C65">
        <w:t xml:space="preserve"> on the individual rather than </w:t>
      </w:r>
      <w:r w:rsidR="00377502" w:rsidRPr="00BD2C65">
        <w:t>the</w:t>
      </w:r>
      <w:r w:rsidR="00294582" w:rsidRPr="00BD2C65">
        <w:t xml:space="preserve"> </w:t>
      </w:r>
      <w:r w:rsidR="00377502" w:rsidRPr="00BD2C65">
        <w:t>community</w:t>
      </w:r>
      <w:r w:rsidR="00294582" w:rsidRPr="00BD2C65">
        <w:t xml:space="preserve"> who are seeking political recognition (ibid.). Furthermore, Butler (1999) has argued that </w:t>
      </w:r>
      <w:r w:rsidRPr="00BD2C65">
        <w:t>Queer Theory</w:t>
      </w:r>
      <w:r w:rsidR="00294582" w:rsidRPr="00BD2C65">
        <w:t xml:space="preserve"> should not become an academic discipline rather it should be </w:t>
      </w:r>
      <w:r w:rsidR="004C1F5A" w:rsidRPr="00BD2C65">
        <w:t>a critique</w:t>
      </w:r>
      <w:r w:rsidR="00294582" w:rsidRPr="00BD2C65">
        <w:t xml:space="preserve"> of academia. </w:t>
      </w:r>
    </w:p>
    <w:p w14:paraId="71FAACBE" w14:textId="77777777" w:rsidR="00294582" w:rsidRPr="00BD2C65" w:rsidRDefault="00294582" w:rsidP="00294582">
      <w:pPr>
        <w:spacing w:line="480" w:lineRule="auto"/>
        <w:jc w:val="both"/>
        <w:rPr>
          <w:color w:val="FF0000"/>
        </w:rPr>
      </w:pPr>
    </w:p>
    <w:p w14:paraId="38C1DC47" w14:textId="34694B8A" w:rsidR="00294582" w:rsidRPr="00BD2C65" w:rsidRDefault="002B07DB" w:rsidP="00294582">
      <w:pPr>
        <w:spacing w:line="480" w:lineRule="auto"/>
        <w:jc w:val="both"/>
      </w:pPr>
      <w:r w:rsidRPr="00BD2C65">
        <w:t>Colonisers</w:t>
      </w:r>
      <w:r w:rsidR="00144D88" w:rsidRPr="00BD2C65">
        <w:t xml:space="preserve"> justified the</w:t>
      </w:r>
      <w:r w:rsidR="00294582" w:rsidRPr="00BD2C65">
        <w:t xml:space="preserve"> control </w:t>
      </w:r>
      <w:r w:rsidR="00377502" w:rsidRPr="00BD2C65">
        <w:t>of colonised people by considering them inferior</w:t>
      </w:r>
      <w:r w:rsidR="00294582" w:rsidRPr="00BD2C65">
        <w:t xml:space="preserve"> (</w:t>
      </w:r>
      <w:r w:rsidR="00294582" w:rsidRPr="00BD2C65">
        <w:rPr>
          <w:color w:val="000000"/>
        </w:rPr>
        <w:t>Ogunnaike, 2016; Rosa and Flores, 2017; Freire, Ramos and Macedo, 2014</w:t>
      </w:r>
      <w:r w:rsidR="00F54B41" w:rsidRPr="00BD2C65">
        <w:t>), thereby</w:t>
      </w:r>
      <w:r w:rsidR="00377502" w:rsidRPr="00BD2C65">
        <w:t xml:space="preserve"> </w:t>
      </w:r>
      <w:r w:rsidR="00144D88" w:rsidRPr="00BD2C65">
        <w:t>creating a binary power structure</w:t>
      </w:r>
      <w:r w:rsidR="00294582" w:rsidRPr="00BD2C65">
        <w:t xml:space="preserve">. This </w:t>
      </w:r>
      <w:r w:rsidR="00377502" w:rsidRPr="00BD2C65">
        <w:t xml:space="preserve">is a </w:t>
      </w:r>
      <w:r w:rsidR="00294582" w:rsidRPr="00BD2C65">
        <w:t xml:space="preserve">form of </w:t>
      </w:r>
      <w:r w:rsidR="00BD3430" w:rsidRPr="00BD2C65">
        <w:t>Othering</w:t>
      </w:r>
      <w:r w:rsidR="00294582" w:rsidRPr="00BD2C65">
        <w:t xml:space="preserve"> (</w:t>
      </w:r>
      <w:r w:rsidR="00C07B98" w:rsidRPr="00BD2C65">
        <w:t>Brons</w:t>
      </w:r>
      <w:r w:rsidR="00294582" w:rsidRPr="00BD2C65">
        <w:t>, 201</w:t>
      </w:r>
      <w:r w:rsidR="00C07B98" w:rsidRPr="00BD2C65">
        <w:t>5</w:t>
      </w:r>
      <w:r w:rsidR="00294582" w:rsidRPr="00BD2C65">
        <w:t xml:space="preserve">). </w:t>
      </w:r>
      <w:r w:rsidR="00BD3430" w:rsidRPr="00BD2C65">
        <w:rPr>
          <w:b/>
          <w:bCs/>
        </w:rPr>
        <w:t>Othering</w:t>
      </w:r>
      <w:r w:rsidR="00294582" w:rsidRPr="00BD2C65">
        <w:t xml:space="preserve"> is where a person identifies another </w:t>
      </w:r>
      <w:r w:rsidR="00377502" w:rsidRPr="00BD2C65">
        <w:t>as</w:t>
      </w:r>
      <w:r w:rsidR="00294582" w:rsidRPr="00BD2C65">
        <w:t xml:space="preserve"> being different from their </w:t>
      </w:r>
      <w:r w:rsidR="00377502" w:rsidRPr="00BD2C65">
        <w:t xml:space="preserve">own concept of their </w:t>
      </w:r>
      <w:r w:rsidR="00294582" w:rsidRPr="00BD2C65">
        <w:t>Self (Brons, 2015; Ishwerwood and Harris, 2014)</w:t>
      </w:r>
      <w:r w:rsidR="00377502" w:rsidRPr="00BD2C65">
        <w:t>. I</w:t>
      </w:r>
      <w:r w:rsidR="00972629" w:rsidRPr="00BD2C65">
        <w:t xml:space="preserve">t </w:t>
      </w:r>
      <w:r w:rsidR="004C1F5A" w:rsidRPr="00BD2C65">
        <w:t>creates a</w:t>
      </w:r>
      <w:r w:rsidR="00972629" w:rsidRPr="00BD2C65">
        <w:t xml:space="preserve"> power dynamic</w:t>
      </w:r>
      <w:r w:rsidR="00620387" w:rsidRPr="00BD2C65">
        <w:t xml:space="preserve"> where the person who is doing the </w:t>
      </w:r>
      <w:r w:rsidR="00BD3430" w:rsidRPr="00BD2C65">
        <w:t>Othering</w:t>
      </w:r>
      <w:r w:rsidR="00620387" w:rsidRPr="00BD2C65">
        <w:t xml:space="preserve"> is in control (Brons, 2015)</w:t>
      </w:r>
      <w:r w:rsidR="00294582" w:rsidRPr="00BD2C65">
        <w:t xml:space="preserve">. </w:t>
      </w:r>
      <w:r w:rsidR="00620387" w:rsidRPr="00BD2C65">
        <w:t>In the</w:t>
      </w:r>
      <w:r w:rsidR="00FB1316" w:rsidRPr="00BD2C65">
        <w:t xml:space="preserve"> context of colonialism, this means that </w:t>
      </w:r>
      <w:r w:rsidR="00AD3719" w:rsidRPr="00BD2C65">
        <w:t>colonisers</w:t>
      </w:r>
      <w:r w:rsidR="00FB1316" w:rsidRPr="00BD2C65">
        <w:t xml:space="preserve"> </w:t>
      </w:r>
      <w:r w:rsidR="00AD3719" w:rsidRPr="00BD2C65">
        <w:t>perpetuated</w:t>
      </w:r>
      <w:r w:rsidR="00144D88" w:rsidRPr="00BD2C65">
        <w:t xml:space="preserve"> the myth that they were </w:t>
      </w:r>
      <w:r w:rsidR="00FB1316" w:rsidRPr="00BD2C65">
        <w:t xml:space="preserve">superior </w:t>
      </w:r>
      <w:r w:rsidR="00377502" w:rsidRPr="00BD2C65">
        <w:t>to the</w:t>
      </w:r>
      <w:r w:rsidR="00FB1316" w:rsidRPr="00BD2C65">
        <w:t xml:space="preserve"> colonised </w:t>
      </w:r>
      <w:r w:rsidR="00671E28" w:rsidRPr="00BD2C65">
        <w:t>I</w:t>
      </w:r>
      <w:r w:rsidR="00144D88" w:rsidRPr="00BD2C65">
        <w:t xml:space="preserve">ndigenous </w:t>
      </w:r>
      <w:r w:rsidR="00671E28" w:rsidRPr="00BD2C65">
        <w:t>P</w:t>
      </w:r>
      <w:r w:rsidR="00144D88" w:rsidRPr="00BD2C65">
        <w:t>eople</w:t>
      </w:r>
      <w:r w:rsidR="00377502" w:rsidRPr="00BD2C65">
        <w:t xml:space="preserve">. </w:t>
      </w:r>
      <w:r w:rsidR="00DC69C6" w:rsidRPr="00BD2C65">
        <w:t>(Tuiwaih-Smith, 2013).</w:t>
      </w:r>
      <w:r w:rsidR="00D31C51" w:rsidRPr="00BD2C65">
        <w:t xml:space="preserve"> Th</w:t>
      </w:r>
      <w:r w:rsidR="00144D88" w:rsidRPr="00BD2C65">
        <w:t xml:space="preserve">is dual dynamic </w:t>
      </w:r>
      <w:r w:rsidR="00AD3719" w:rsidRPr="00BD2C65">
        <w:t>still</w:t>
      </w:r>
      <w:r w:rsidR="00144D88" w:rsidRPr="00BD2C65">
        <w:t xml:space="preserve"> has</w:t>
      </w:r>
      <w:r w:rsidR="00D31C51" w:rsidRPr="00BD2C65">
        <w:t xml:space="preserve"> impact today (ibid.).</w:t>
      </w:r>
    </w:p>
    <w:p w14:paraId="002C4EF6" w14:textId="77777777" w:rsidR="00294582" w:rsidRPr="00BD2C65" w:rsidRDefault="00294582" w:rsidP="00294582">
      <w:pPr>
        <w:spacing w:line="480" w:lineRule="auto"/>
        <w:jc w:val="both"/>
      </w:pPr>
    </w:p>
    <w:p w14:paraId="62A2D5FE" w14:textId="034FEE7D" w:rsidR="00294582" w:rsidRPr="00BD2C65" w:rsidRDefault="00294582" w:rsidP="00294582">
      <w:pPr>
        <w:spacing w:line="480" w:lineRule="auto"/>
        <w:jc w:val="both"/>
        <w:rPr>
          <w:color w:val="202122"/>
          <w:shd w:val="clear" w:color="auto" w:fill="FFFFFF"/>
        </w:rPr>
      </w:pPr>
      <w:r w:rsidRPr="00BD2C65">
        <w:t>Hegel</w:t>
      </w:r>
      <w:r w:rsidR="00756A23" w:rsidRPr="00BD2C65">
        <w:t>’s</w:t>
      </w:r>
      <w:r w:rsidRPr="00BD2C65">
        <w:t xml:space="preserve"> (1977</w:t>
      </w:r>
      <w:r w:rsidR="00756A23" w:rsidRPr="00BD2C65">
        <w:t xml:space="preserve">) philosophy </w:t>
      </w:r>
      <w:r w:rsidR="00920960" w:rsidRPr="00BD2C65">
        <w:t>is a</w:t>
      </w:r>
      <w:r w:rsidR="00D758FC" w:rsidRPr="00BD2C65">
        <w:t xml:space="preserve"> cornerstone concept</w:t>
      </w:r>
      <w:r w:rsidR="00855498" w:rsidRPr="00BD2C65">
        <w:t xml:space="preserve"> </w:t>
      </w:r>
      <w:r w:rsidR="00920960" w:rsidRPr="00BD2C65">
        <w:t>in</w:t>
      </w:r>
      <w:r w:rsidR="00D758FC" w:rsidRPr="00BD2C65">
        <w:t xml:space="preserve"> </w:t>
      </w:r>
      <w:r w:rsidR="00CB4A58" w:rsidRPr="00BD2C65">
        <w:t xml:space="preserve">various </w:t>
      </w:r>
      <w:r w:rsidR="00D758FC" w:rsidRPr="00BD2C65">
        <w:t>fields</w:t>
      </w:r>
      <w:r w:rsidR="00AD3719" w:rsidRPr="00BD2C65">
        <w:t>.</w:t>
      </w:r>
      <w:r w:rsidR="00D758FC" w:rsidRPr="00BD2C65">
        <w:t xml:space="preserve"> </w:t>
      </w:r>
      <w:r w:rsidR="00CB4A58" w:rsidRPr="00BD2C65">
        <w:t>H</w:t>
      </w:r>
      <w:r w:rsidR="00D758FC" w:rsidRPr="00BD2C65">
        <w:t>e is</w:t>
      </w:r>
      <w:r w:rsidRPr="00BD2C65">
        <w:t xml:space="preserve"> credited with exploring the </w:t>
      </w:r>
      <w:r w:rsidR="00CB4A58" w:rsidRPr="00BD2C65">
        <w:t>O</w:t>
      </w:r>
      <w:r w:rsidRPr="00BD2C65">
        <w:t xml:space="preserve">ther in the relation to the </w:t>
      </w:r>
      <w:r w:rsidR="00377502" w:rsidRPr="00BD2C65">
        <w:t>S</w:t>
      </w:r>
      <w:r w:rsidRPr="00BD2C65">
        <w:t>elf</w:t>
      </w:r>
      <w:r w:rsidR="00CB4A58" w:rsidRPr="00BD2C65">
        <w:t xml:space="preserve">. According to Hegel (1977), </w:t>
      </w:r>
      <w:r w:rsidR="00AF497F" w:rsidRPr="00BD2C65">
        <w:rPr>
          <w:color w:val="1A1A1A"/>
          <w:shd w:val="clear" w:color="auto" w:fill="FFFFFF"/>
        </w:rPr>
        <w:t>s</w:t>
      </w:r>
      <w:r w:rsidRPr="00BD2C65">
        <w:rPr>
          <w:color w:val="1A1A1A"/>
          <w:shd w:val="clear" w:color="auto" w:fill="FFFFFF"/>
        </w:rPr>
        <w:t>elf-</w:t>
      </w:r>
      <w:r w:rsidRPr="00BD2C65">
        <w:rPr>
          <w:color w:val="1A1A1A"/>
          <w:shd w:val="clear" w:color="auto" w:fill="FFFFFF"/>
        </w:rPr>
        <w:lastRenderedPageBreak/>
        <w:t>consciousness makes us human</w:t>
      </w:r>
      <w:r w:rsidR="00B75BA4" w:rsidRPr="00BD2C65">
        <w:rPr>
          <w:color w:val="1A1A1A"/>
          <w:shd w:val="clear" w:color="auto" w:fill="FFFFFF"/>
        </w:rPr>
        <w:t>.</w:t>
      </w:r>
      <w:r w:rsidR="00AF497F" w:rsidRPr="00BD2C65">
        <w:rPr>
          <w:color w:val="1A1A1A"/>
          <w:shd w:val="clear" w:color="auto" w:fill="FFFFFF"/>
        </w:rPr>
        <w:t xml:space="preserve"> </w:t>
      </w:r>
      <w:r w:rsidR="00B75BA4" w:rsidRPr="00BD2C65">
        <w:rPr>
          <w:color w:val="1A1A1A"/>
          <w:shd w:val="clear" w:color="auto" w:fill="FFFFFF"/>
        </w:rPr>
        <w:t>It is this ability that helps humans to be able to define themselves</w:t>
      </w:r>
      <w:r w:rsidR="00AF497F" w:rsidRPr="00BD2C65">
        <w:rPr>
          <w:color w:val="1A1A1A"/>
          <w:shd w:val="clear" w:color="auto" w:fill="FFFFFF"/>
        </w:rPr>
        <w:t>, relate</w:t>
      </w:r>
      <w:r w:rsidR="00B75BA4" w:rsidRPr="00BD2C65">
        <w:rPr>
          <w:color w:val="1A1A1A"/>
          <w:shd w:val="clear" w:color="auto" w:fill="FFFFFF"/>
        </w:rPr>
        <w:t xml:space="preserve"> to others and recognise </w:t>
      </w:r>
      <w:r w:rsidR="00AF497F" w:rsidRPr="00BD2C65">
        <w:rPr>
          <w:color w:val="1A1A1A"/>
          <w:shd w:val="clear" w:color="auto" w:fill="FFFFFF"/>
        </w:rPr>
        <w:t>difference</w:t>
      </w:r>
      <w:r w:rsidR="00B75BA4" w:rsidRPr="00BD2C65">
        <w:rPr>
          <w:color w:val="1A1A1A"/>
          <w:shd w:val="clear" w:color="auto" w:fill="FFFFFF"/>
        </w:rPr>
        <w:t>.</w:t>
      </w:r>
      <w:r w:rsidRPr="00BD2C65">
        <w:rPr>
          <w:color w:val="1A1A1A"/>
          <w:shd w:val="clear" w:color="auto" w:fill="FFFFFF"/>
        </w:rPr>
        <w:t xml:space="preserve"> Furthermore, Hegel </w:t>
      </w:r>
      <w:r w:rsidR="00144D88" w:rsidRPr="00BD2C65">
        <w:rPr>
          <w:color w:val="1A1A1A"/>
          <w:shd w:val="clear" w:color="auto" w:fill="FFFFFF"/>
        </w:rPr>
        <w:t xml:space="preserve">(1977) </w:t>
      </w:r>
      <w:r w:rsidRPr="00BD2C65">
        <w:rPr>
          <w:color w:val="1A1A1A"/>
          <w:shd w:val="clear" w:color="auto" w:fill="FFFFFF"/>
        </w:rPr>
        <w:t xml:space="preserve">explained that the </w:t>
      </w:r>
      <w:r w:rsidR="00AF497F" w:rsidRPr="00BD2C65">
        <w:rPr>
          <w:color w:val="1A1A1A"/>
          <w:shd w:val="clear" w:color="auto" w:fill="FFFFFF"/>
        </w:rPr>
        <w:t>S</w:t>
      </w:r>
      <w:r w:rsidRPr="00BD2C65">
        <w:rPr>
          <w:color w:val="1A1A1A"/>
          <w:shd w:val="clear" w:color="auto" w:fill="FFFFFF"/>
        </w:rPr>
        <w:t xml:space="preserve">elf and </w:t>
      </w:r>
      <w:r w:rsidR="00AF497F" w:rsidRPr="00BD2C65">
        <w:rPr>
          <w:color w:val="1A1A1A"/>
          <w:shd w:val="clear" w:color="auto" w:fill="FFFFFF"/>
        </w:rPr>
        <w:t>the O</w:t>
      </w:r>
      <w:r w:rsidRPr="00BD2C65">
        <w:rPr>
          <w:color w:val="1A1A1A"/>
          <w:shd w:val="clear" w:color="auto" w:fill="FFFFFF"/>
        </w:rPr>
        <w:t xml:space="preserve">ther is a dialectic, where humans become self-conscious only when we are confronted with another being who is self-conscious. Additionally, we </w:t>
      </w:r>
      <w:r w:rsidR="00AD57BE" w:rsidRPr="00BD2C65">
        <w:rPr>
          <w:color w:val="1A1A1A"/>
          <w:shd w:val="clear" w:color="auto" w:fill="FFFFFF"/>
        </w:rPr>
        <w:t>must</w:t>
      </w:r>
      <w:r w:rsidRPr="00BD2C65">
        <w:rPr>
          <w:color w:val="1A1A1A"/>
          <w:shd w:val="clear" w:color="auto" w:fill="FFFFFF"/>
        </w:rPr>
        <w:t xml:space="preserve"> </w:t>
      </w:r>
      <w:r w:rsidR="0051234B" w:rsidRPr="00BD2C65">
        <w:rPr>
          <w:color w:val="1A1A1A"/>
          <w:shd w:val="clear" w:color="auto" w:fill="FFFFFF"/>
        </w:rPr>
        <w:t>recognise</w:t>
      </w:r>
      <w:r w:rsidRPr="00BD2C65">
        <w:rPr>
          <w:color w:val="1A1A1A"/>
          <w:shd w:val="clear" w:color="auto" w:fill="FFFFFF"/>
        </w:rPr>
        <w:t xml:space="preserve"> the </w:t>
      </w:r>
      <w:r w:rsidR="00AF497F" w:rsidRPr="00BD2C65">
        <w:rPr>
          <w:color w:val="1A1A1A"/>
          <w:shd w:val="clear" w:color="auto" w:fill="FFFFFF"/>
        </w:rPr>
        <w:t>O</w:t>
      </w:r>
      <w:r w:rsidRPr="00BD2C65">
        <w:rPr>
          <w:color w:val="1A1A1A"/>
          <w:shd w:val="clear" w:color="auto" w:fill="FFFFFF"/>
        </w:rPr>
        <w:t>ther as a self-conscious being</w:t>
      </w:r>
      <w:r w:rsidR="00AF497F" w:rsidRPr="00BD2C65">
        <w:rPr>
          <w:color w:val="1A1A1A"/>
          <w:shd w:val="clear" w:color="auto" w:fill="FFFFFF"/>
        </w:rPr>
        <w:t>.</w:t>
      </w:r>
      <w:r w:rsidRPr="00BD2C65">
        <w:rPr>
          <w:color w:val="1A1A1A"/>
          <w:shd w:val="clear" w:color="auto" w:fill="FFFFFF"/>
        </w:rPr>
        <w:t xml:space="preserve"> </w:t>
      </w:r>
      <w:r w:rsidR="00AF497F" w:rsidRPr="00BD2C65">
        <w:rPr>
          <w:color w:val="1A1A1A"/>
          <w:shd w:val="clear" w:color="auto" w:fill="FFFFFF"/>
        </w:rPr>
        <w:t>W</w:t>
      </w:r>
      <w:r w:rsidRPr="00BD2C65">
        <w:rPr>
          <w:color w:val="1A1A1A"/>
          <w:shd w:val="clear" w:color="auto" w:fill="FFFFFF"/>
        </w:rPr>
        <w:t>ithout this we cannot, as humans, able to become self-conscious ourselves (ibid.). Furthermore, Hegel</w:t>
      </w:r>
      <w:r w:rsidR="00144D88" w:rsidRPr="00BD2C65">
        <w:rPr>
          <w:color w:val="1A1A1A"/>
          <w:shd w:val="clear" w:color="auto" w:fill="FFFFFF"/>
        </w:rPr>
        <w:t xml:space="preserve"> (1977)</w:t>
      </w:r>
      <w:r w:rsidRPr="00BD2C65">
        <w:rPr>
          <w:color w:val="1A1A1A"/>
          <w:shd w:val="clear" w:color="auto" w:fill="FFFFFF"/>
        </w:rPr>
        <w:t xml:space="preserve"> related this to </w:t>
      </w:r>
      <w:r w:rsidR="00144D88" w:rsidRPr="00BD2C65">
        <w:rPr>
          <w:color w:val="1A1A1A"/>
          <w:shd w:val="clear" w:color="auto" w:fill="FFFFFF"/>
        </w:rPr>
        <w:t>‘</w:t>
      </w:r>
      <w:r w:rsidRPr="00BD2C65">
        <w:rPr>
          <w:color w:val="1A1A1A"/>
          <w:shd w:val="clear" w:color="auto" w:fill="FFFFFF"/>
        </w:rPr>
        <w:t>Lord/Bondsman dialectic</w:t>
      </w:r>
      <w:r w:rsidR="00144D88" w:rsidRPr="00BD2C65">
        <w:rPr>
          <w:color w:val="1A1A1A"/>
          <w:shd w:val="clear" w:color="auto" w:fill="FFFFFF"/>
        </w:rPr>
        <w:t>’</w:t>
      </w:r>
      <w:r w:rsidRPr="00BD2C65">
        <w:rPr>
          <w:color w:val="1A1A1A"/>
          <w:shd w:val="clear" w:color="auto" w:fill="FFFFFF"/>
        </w:rPr>
        <w:t>, in which two people meet and find that their own self-consciousness is dependent on the other</w:t>
      </w:r>
      <w:r w:rsidR="00AF497F" w:rsidRPr="00BD2C65">
        <w:rPr>
          <w:color w:val="1A1A1A"/>
          <w:shd w:val="clear" w:color="auto" w:fill="FFFFFF"/>
        </w:rPr>
        <w:t xml:space="preserve">’s </w:t>
      </w:r>
      <w:r w:rsidRPr="00BD2C65">
        <w:rPr>
          <w:color w:val="1A1A1A"/>
          <w:shd w:val="clear" w:color="auto" w:fill="FFFFFF"/>
        </w:rPr>
        <w:t xml:space="preserve">(ibid.).  One person will try to dominate the </w:t>
      </w:r>
      <w:r w:rsidR="00AF497F" w:rsidRPr="00BD2C65">
        <w:rPr>
          <w:color w:val="1A1A1A"/>
          <w:shd w:val="clear" w:color="auto" w:fill="FFFFFF"/>
        </w:rPr>
        <w:t>o</w:t>
      </w:r>
      <w:r w:rsidRPr="00BD2C65">
        <w:rPr>
          <w:color w:val="1A1A1A"/>
          <w:shd w:val="clear" w:color="auto" w:fill="FFFFFF"/>
        </w:rPr>
        <w:t>ther, as Hegel (1977, p. 111) stated:</w:t>
      </w:r>
    </w:p>
    <w:p w14:paraId="1DF8547E" w14:textId="3351BBB5" w:rsidR="00922124" w:rsidRDefault="00F15FF6" w:rsidP="00AD3719">
      <w:pPr>
        <w:ind w:left="397" w:right="397"/>
        <w:jc w:val="both"/>
        <w:rPr>
          <w:color w:val="202122"/>
          <w:shd w:val="clear" w:color="auto" w:fill="FFFFFF"/>
        </w:rPr>
      </w:pPr>
      <w:r w:rsidRPr="00BD2C65">
        <w:rPr>
          <w:i/>
          <w:iCs/>
          <w:color w:val="202122"/>
          <w:shd w:val="clear" w:color="auto" w:fill="FFFFFF"/>
        </w:rPr>
        <w:t>‘</w:t>
      </w:r>
      <w:r w:rsidR="00294582" w:rsidRPr="00BD2C65">
        <w:rPr>
          <w:i/>
          <w:iCs/>
          <w:color w:val="202122"/>
          <w:shd w:val="clear" w:color="auto" w:fill="FFFFFF"/>
        </w:rPr>
        <w:t>On approaching the other it has lost its own self, since it finds itself as another being; secondly, it has thereby sublated that other, for this primitive consciousness does not regard the other as essentially real but sees its own self in the other</w:t>
      </w:r>
      <w:r w:rsidR="00294582" w:rsidRPr="00BD2C65">
        <w:rPr>
          <w:color w:val="202122"/>
          <w:shd w:val="clear" w:color="auto" w:fill="FFFFFF"/>
        </w:rPr>
        <w:t>.</w:t>
      </w:r>
      <w:r w:rsidRPr="00BD2C65">
        <w:rPr>
          <w:color w:val="202122"/>
          <w:shd w:val="clear" w:color="auto" w:fill="FFFFFF"/>
        </w:rPr>
        <w:t>’</w:t>
      </w:r>
    </w:p>
    <w:p w14:paraId="63B43DEA" w14:textId="77777777" w:rsidR="00C06016" w:rsidRPr="00BD2C65" w:rsidRDefault="00C06016" w:rsidP="00AD3719">
      <w:pPr>
        <w:ind w:left="397" w:right="397"/>
        <w:jc w:val="both"/>
        <w:rPr>
          <w:color w:val="1A1A1A"/>
          <w:shd w:val="clear" w:color="auto" w:fill="FFFFFF"/>
        </w:rPr>
      </w:pPr>
    </w:p>
    <w:p w14:paraId="3A558DA8" w14:textId="4A8361FC" w:rsidR="00AB041F" w:rsidRPr="00BD2C65" w:rsidRDefault="00294582" w:rsidP="00922124">
      <w:pPr>
        <w:spacing w:line="480" w:lineRule="auto"/>
        <w:jc w:val="both"/>
        <w:rPr>
          <w:color w:val="1A1A1A"/>
          <w:shd w:val="clear" w:color="auto" w:fill="FFFFFF"/>
        </w:rPr>
      </w:pPr>
      <w:r w:rsidRPr="00BD2C65">
        <w:rPr>
          <w:color w:val="1A1A1A"/>
          <w:shd w:val="clear" w:color="auto" w:fill="FFFFFF"/>
        </w:rPr>
        <w:t>Hegel (1977) goes on to suggest that on first meeting</w:t>
      </w:r>
      <w:r w:rsidR="00AF497F" w:rsidRPr="00BD2C65">
        <w:rPr>
          <w:color w:val="1A1A1A"/>
          <w:shd w:val="clear" w:color="auto" w:fill="FFFFFF"/>
        </w:rPr>
        <w:t xml:space="preserve">, </w:t>
      </w:r>
      <w:r w:rsidRPr="00BD2C65">
        <w:rPr>
          <w:color w:val="1A1A1A"/>
          <w:shd w:val="clear" w:color="auto" w:fill="FFFFFF"/>
        </w:rPr>
        <w:t xml:space="preserve">the two people will not be able to recognise themselves in </w:t>
      </w:r>
      <w:r w:rsidR="00AF497F" w:rsidRPr="00BD2C65">
        <w:rPr>
          <w:color w:val="1A1A1A"/>
          <w:shd w:val="clear" w:color="auto" w:fill="FFFFFF"/>
        </w:rPr>
        <w:t xml:space="preserve">the </w:t>
      </w:r>
      <w:r w:rsidR="00F15FF6" w:rsidRPr="00BD2C65">
        <w:rPr>
          <w:color w:val="1A1A1A"/>
          <w:shd w:val="clear" w:color="auto" w:fill="FFFFFF"/>
        </w:rPr>
        <w:t>o</w:t>
      </w:r>
      <w:r w:rsidRPr="00BD2C65">
        <w:rPr>
          <w:color w:val="1A1A1A"/>
          <w:shd w:val="clear" w:color="auto" w:fill="FFFFFF"/>
        </w:rPr>
        <w:t xml:space="preserve">ther. This leads to a struggle of death, </w:t>
      </w:r>
      <w:r w:rsidR="00AF497F" w:rsidRPr="00BD2C65">
        <w:rPr>
          <w:color w:val="1A1A1A"/>
          <w:shd w:val="clear" w:color="auto" w:fill="FFFFFF"/>
        </w:rPr>
        <w:t xml:space="preserve">but </w:t>
      </w:r>
      <w:r w:rsidRPr="00BD2C65">
        <w:rPr>
          <w:color w:val="1A1A1A"/>
          <w:shd w:val="clear" w:color="auto" w:fill="FFFFFF"/>
        </w:rPr>
        <w:t xml:space="preserve">instead of killing each other, often humans will agree a solution where one becomes the </w:t>
      </w:r>
      <w:r w:rsidR="00F33854" w:rsidRPr="00BD2C65">
        <w:rPr>
          <w:color w:val="1A1A1A"/>
          <w:shd w:val="clear" w:color="auto" w:fill="FFFFFF"/>
        </w:rPr>
        <w:t>master,</w:t>
      </w:r>
      <w:r w:rsidRPr="00BD2C65">
        <w:rPr>
          <w:color w:val="1A1A1A"/>
          <w:shd w:val="clear" w:color="auto" w:fill="FFFFFF"/>
        </w:rPr>
        <w:t xml:space="preserve"> and the other becomes a slave (ibid.). However, this solution is not static, as it does not </w:t>
      </w:r>
      <w:r w:rsidR="00F33854" w:rsidRPr="00BD2C65">
        <w:rPr>
          <w:color w:val="1A1A1A"/>
          <w:shd w:val="clear" w:color="auto" w:fill="FFFFFF"/>
        </w:rPr>
        <w:t>recognise</w:t>
      </w:r>
      <w:r w:rsidRPr="00BD2C65">
        <w:rPr>
          <w:color w:val="1A1A1A"/>
          <w:shd w:val="clear" w:color="auto" w:fill="FFFFFF"/>
        </w:rPr>
        <w:t xml:space="preserve"> full consciousness (ibid.)</w:t>
      </w:r>
      <w:r w:rsidR="00922124" w:rsidRPr="00BD2C65">
        <w:rPr>
          <w:color w:val="1A1A1A"/>
          <w:shd w:val="clear" w:color="auto" w:fill="FFFFFF"/>
        </w:rPr>
        <w:t xml:space="preserve">. </w:t>
      </w:r>
      <w:r w:rsidR="00AB041F" w:rsidRPr="00BD2C65">
        <w:t xml:space="preserve">The self-awareness of the masters is not independent, but rather relies on the presence of the slaves. The act of producing goods and </w:t>
      </w:r>
      <w:r w:rsidR="00AF497F" w:rsidRPr="00BD2C65">
        <w:t xml:space="preserve">through or by </w:t>
      </w:r>
      <w:r w:rsidR="00AB041F" w:rsidRPr="00BD2C65">
        <w:t>their own creativity allows the slaves to recogni</w:t>
      </w:r>
      <w:r w:rsidR="00F33854" w:rsidRPr="00BD2C65">
        <w:t>s</w:t>
      </w:r>
      <w:r w:rsidR="00AB041F" w:rsidRPr="00BD2C65">
        <w:t>e their own agency</w:t>
      </w:r>
      <w:r w:rsidR="00AF497F" w:rsidRPr="00BD2C65">
        <w:t xml:space="preserve"> </w:t>
      </w:r>
      <w:r w:rsidR="00AB041F" w:rsidRPr="00BD2C65">
        <w:t>and in turn</w:t>
      </w:r>
      <w:r w:rsidR="00AF497F" w:rsidRPr="00BD2C65">
        <w:t xml:space="preserve"> </w:t>
      </w:r>
      <w:r w:rsidR="00AB041F" w:rsidRPr="00BD2C65">
        <w:t>overcome the</w:t>
      </w:r>
      <w:r w:rsidR="00AF497F" w:rsidRPr="00BD2C65">
        <w:t>ir</w:t>
      </w:r>
      <w:r w:rsidR="00AB041F" w:rsidRPr="00BD2C65">
        <w:t xml:space="preserve"> sense of disconnection from their labo</w:t>
      </w:r>
      <w:r w:rsidR="00922124" w:rsidRPr="00BD2C65">
        <w:t>u</w:t>
      </w:r>
      <w:r w:rsidR="00AB041F" w:rsidRPr="00BD2C65">
        <w:t>r. This real</w:t>
      </w:r>
      <w:r w:rsidR="000E1B82" w:rsidRPr="00BD2C65">
        <w:t>is</w:t>
      </w:r>
      <w:r w:rsidR="00AB041F" w:rsidRPr="00BD2C65">
        <w:t>ation leads to their attainment of self-consciousness. In contrast, the lord</w:t>
      </w:r>
      <w:r w:rsidR="00AF497F" w:rsidRPr="00BD2C65">
        <w:t xml:space="preserve"> (coloniser)</w:t>
      </w:r>
      <w:r w:rsidR="00AB041F" w:rsidRPr="00BD2C65">
        <w:t xml:space="preserve"> becomes limited by the slaves' work</w:t>
      </w:r>
      <w:r w:rsidR="00922124" w:rsidRPr="00BD2C65">
        <w:t xml:space="preserve"> (ibid.).</w:t>
      </w:r>
    </w:p>
    <w:p w14:paraId="7F284B1B" w14:textId="77777777" w:rsidR="00AB041F" w:rsidRPr="00BD2C65" w:rsidRDefault="00AB041F" w:rsidP="00AB041F"/>
    <w:p w14:paraId="18C3184C" w14:textId="66513781" w:rsidR="00294582" w:rsidRPr="00BD2C65" w:rsidRDefault="00294582" w:rsidP="00294582">
      <w:pPr>
        <w:spacing w:line="480" w:lineRule="auto"/>
        <w:jc w:val="both"/>
        <w:rPr>
          <w:color w:val="1A1A1A"/>
          <w:shd w:val="clear" w:color="auto" w:fill="FFFFFF"/>
        </w:rPr>
      </w:pPr>
      <w:r w:rsidRPr="00BD2C65">
        <w:rPr>
          <w:color w:val="1A1A1A"/>
          <w:shd w:val="clear" w:color="auto" w:fill="FFFFFF"/>
        </w:rPr>
        <w:t xml:space="preserve">For Hegel, this explained why human beings engaged in slavery (Riker, 2022). Additionally, for Hegel it was this recognition of being equals that could create a sense of sameness which recognised </w:t>
      </w:r>
      <w:r w:rsidR="00AF497F" w:rsidRPr="00BD2C65">
        <w:rPr>
          <w:color w:val="1A1A1A"/>
          <w:shd w:val="clear" w:color="auto" w:fill="FFFFFF"/>
        </w:rPr>
        <w:t xml:space="preserve">both </w:t>
      </w:r>
      <w:r w:rsidRPr="00BD2C65">
        <w:rPr>
          <w:color w:val="1A1A1A"/>
          <w:shd w:val="clear" w:color="auto" w:fill="FFFFFF"/>
        </w:rPr>
        <w:t>individuality and difference (</w:t>
      </w:r>
      <w:r w:rsidR="0024632D" w:rsidRPr="00BD2C65">
        <w:rPr>
          <w:color w:val="1A1A1A"/>
          <w:shd w:val="clear" w:color="auto" w:fill="FFFFFF"/>
        </w:rPr>
        <w:t>ibid.</w:t>
      </w:r>
      <w:r w:rsidRPr="00BD2C65">
        <w:rPr>
          <w:color w:val="1A1A1A"/>
          <w:shd w:val="clear" w:color="auto" w:fill="FFFFFF"/>
        </w:rPr>
        <w:t>).</w:t>
      </w:r>
    </w:p>
    <w:p w14:paraId="0F87E903" w14:textId="77777777" w:rsidR="00294582" w:rsidRPr="00BD2C65" w:rsidRDefault="00294582" w:rsidP="00294582">
      <w:pPr>
        <w:spacing w:line="480" w:lineRule="auto"/>
        <w:jc w:val="both"/>
        <w:rPr>
          <w:color w:val="1A1A1A"/>
          <w:shd w:val="clear" w:color="auto" w:fill="FFFFFF"/>
        </w:rPr>
      </w:pPr>
    </w:p>
    <w:p w14:paraId="6C02E3EA" w14:textId="574A9F28" w:rsidR="00294582" w:rsidRPr="00BD2C65" w:rsidRDefault="00294582" w:rsidP="00294582">
      <w:pPr>
        <w:spacing w:line="480" w:lineRule="auto"/>
        <w:jc w:val="both"/>
        <w:rPr>
          <w:color w:val="1A1A1A"/>
          <w:shd w:val="clear" w:color="auto" w:fill="FFFFFF"/>
        </w:rPr>
      </w:pPr>
      <w:r w:rsidRPr="00BD2C65">
        <w:rPr>
          <w:color w:val="1A1A1A"/>
          <w:shd w:val="clear" w:color="auto" w:fill="FFFFFF"/>
        </w:rPr>
        <w:t xml:space="preserve">Moreover, </w:t>
      </w:r>
      <w:r w:rsidR="00AF497F" w:rsidRPr="00BD2C65">
        <w:rPr>
          <w:color w:val="1A1A1A"/>
          <w:shd w:val="clear" w:color="auto" w:fill="FFFFFF"/>
        </w:rPr>
        <w:t>Beauvoir</w:t>
      </w:r>
      <w:r w:rsidRPr="00BD2C65">
        <w:rPr>
          <w:color w:val="1A1A1A"/>
          <w:shd w:val="clear" w:color="auto" w:fill="FFFFFF"/>
        </w:rPr>
        <w:t xml:space="preserve"> (2011), in her seminal work the </w:t>
      </w:r>
      <w:r w:rsidR="000C5C03" w:rsidRPr="00BD2C65">
        <w:rPr>
          <w:color w:val="1A1A1A"/>
          <w:shd w:val="clear" w:color="auto" w:fill="FFFFFF"/>
        </w:rPr>
        <w:t>‘S</w:t>
      </w:r>
      <w:r w:rsidRPr="00BD2C65">
        <w:rPr>
          <w:color w:val="1A1A1A"/>
          <w:shd w:val="clear" w:color="auto" w:fill="FFFFFF"/>
        </w:rPr>
        <w:t xml:space="preserve">econd </w:t>
      </w:r>
      <w:r w:rsidR="000C5C03" w:rsidRPr="00BD2C65">
        <w:rPr>
          <w:color w:val="1A1A1A"/>
          <w:shd w:val="clear" w:color="auto" w:fill="FFFFFF"/>
        </w:rPr>
        <w:t>S</w:t>
      </w:r>
      <w:r w:rsidRPr="00BD2C65">
        <w:rPr>
          <w:color w:val="1A1A1A"/>
          <w:shd w:val="clear" w:color="auto" w:fill="FFFFFF"/>
        </w:rPr>
        <w:t>ex</w:t>
      </w:r>
      <w:r w:rsidR="000C5C03" w:rsidRPr="00BD2C65">
        <w:rPr>
          <w:color w:val="1A1A1A"/>
          <w:shd w:val="clear" w:color="auto" w:fill="FFFFFF"/>
        </w:rPr>
        <w:t>’</w:t>
      </w:r>
      <w:r w:rsidRPr="00BD2C65">
        <w:rPr>
          <w:color w:val="1A1A1A"/>
          <w:shd w:val="clear" w:color="auto" w:fill="FFFFFF"/>
        </w:rPr>
        <w:t xml:space="preserve">, related women’s experiences to the master/slave dialectic. </w:t>
      </w:r>
      <w:r w:rsidR="00366C92" w:rsidRPr="00BD2C65">
        <w:rPr>
          <w:color w:val="1A1A1A"/>
          <w:shd w:val="clear" w:color="auto" w:fill="FFFFFF"/>
        </w:rPr>
        <w:t>Similarly,</w:t>
      </w:r>
      <w:r w:rsidRPr="00BD2C65">
        <w:rPr>
          <w:color w:val="1A1A1A"/>
          <w:shd w:val="clear" w:color="auto" w:fill="FFFFFF"/>
        </w:rPr>
        <w:t xml:space="preserve"> Butler</w:t>
      </w:r>
      <w:r w:rsidR="00AF497F" w:rsidRPr="00BD2C65">
        <w:rPr>
          <w:color w:val="1A1A1A"/>
          <w:shd w:val="clear" w:color="auto" w:fill="FFFFFF"/>
        </w:rPr>
        <w:t>,</w:t>
      </w:r>
      <w:r w:rsidRPr="00BD2C65">
        <w:rPr>
          <w:color w:val="1A1A1A"/>
          <w:shd w:val="clear" w:color="auto" w:fill="FFFFFF"/>
        </w:rPr>
        <w:t xml:space="preserve"> a notable feminist and queer theorist, was influenced by the master/slave dialectic (Salih, 2002; </w:t>
      </w:r>
      <w:r w:rsidRPr="00BD2C65">
        <w:t>Lloyd, 2007).</w:t>
      </w:r>
      <w:r w:rsidRPr="00BD2C65">
        <w:rPr>
          <w:color w:val="1A1A1A"/>
          <w:shd w:val="clear" w:color="auto" w:fill="FFFFFF"/>
        </w:rPr>
        <w:t xml:space="preserve"> </w:t>
      </w:r>
    </w:p>
    <w:p w14:paraId="45EE8151" w14:textId="77777777" w:rsidR="00294582" w:rsidRPr="00BD2C65" w:rsidRDefault="00294582" w:rsidP="00294582">
      <w:pPr>
        <w:spacing w:line="480" w:lineRule="auto"/>
        <w:jc w:val="both"/>
      </w:pPr>
    </w:p>
    <w:p w14:paraId="753F85C7" w14:textId="6AC292BB" w:rsidR="00A7327E" w:rsidRPr="00BD2C65" w:rsidRDefault="00144D88" w:rsidP="00A7327E">
      <w:pPr>
        <w:spacing w:line="480" w:lineRule="auto"/>
        <w:jc w:val="both"/>
      </w:pPr>
      <w:r w:rsidRPr="00BD2C65">
        <w:t xml:space="preserve">Hegel’s understanding of </w:t>
      </w:r>
      <w:r w:rsidR="00BD3430" w:rsidRPr="00BD2C65">
        <w:t>Othering</w:t>
      </w:r>
      <w:r w:rsidRPr="00BD2C65">
        <w:t xml:space="preserve"> is </w:t>
      </w:r>
      <w:r w:rsidR="008834A3" w:rsidRPr="00BD2C65">
        <w:t>criticised</w:t>
      </w:r>
      <w:r w:rsidRPr="00BD2C65">
        <w:t xml:space="preserve"> as he </w:t>
      </w:r>
      <w:r w:rsidR="00AD3719" w:rsidRPr="00BD2C65">
        <w:t>held racist</w:t>
      </w:r>
      <w:r w:rsidR="00294582" w:rsidRPr="00BD2C65">
        <w:t xml:space="preserve"> views (James and Nappik, 2022) and believed black people could not achieve a level of self-consciousness (ibid.)</w:t>
      </w:r>
      <w:r w:rsidR="00AF497F" w:rsidRPr="00BD2C65">
        <w:t>. H</w:t>
      </w:r>
      <w:r w:rsidR="00294582" w:rsidRPr="00BD2C65">
        <w:t>e</w:t>
      </w:r>
      <w:r w:rsidR="00AF497F" w:rsidRPr="00BD2C65">
        <w:t xml:space="preserve"> also</w:t>
      </w:r>
      <w:r w:rsidR="00294582" w:rsidRPr="00BD2C65">
        <w:t xml:space="preserve"> supported colonialism as it brought </w:t>
      </w:r>
      <w:r w:rsidR="00AF497F" w:rsidRPr="00BD2C65">
        <w:t>the colonised</w:t>
      </w:r>
      <w:r w:rsidR="00294582" w:rsidRPr="00BD2C65">
        <w:t xml:space="preserve"> into the Eurocentric </w:t>
      </w:r>
      <w:r w:rsidR="00AF497F" w:rsidRPr="00BD2C65">
        <w:t xml:space="preserve">thinking based on enlightenment principles </w:t>
      </w:r>
      <w:r w:rsidR="00294582" w:rsidRPr="00BD2C65">
        <w:t>(ibid.). Some believe that</w:t>
      </w:r>
      <w:r w:rsidR="00AF497F" w:rsidRPr="00BD2C65">
        <w:t xml:space="preserve">, </w:t>
      </w:r>
      <w:r w:rsidR="00294582" w:rsidRPr="00BD2C65">
        <w:t>although Hegel had racist views</w:t>
      </w:r>
      <w:r w:rsidR="00AF497F" w:rsidRPr="00BD2C65">
        <w:t>,</w:t>
      </w:r>
      <w:r w:rsidR="00294582" w:rsidRPr="00BD2C65">
        <w:t xml:space="preserve"> this </w:t>
      </w:r>
      <w:r w:rsidR="00AF497F" w:rsidRPr="00BD2C65">
        <w:t>was not apparent in his writings and argued</w:t>
      </w:r>
      <w:r w:rsidR="00294582" w:rsidRPr="00BD2C65">
        <w:t xml:space="preserve"> for universal justice through revolutionary struggle (ibid</w:t>
      </w:r>
      <w:r w:rsidR="00BE4F57" w:rsidRPr="00BD2C65">
        <w:t>.</w:t>
      </w:r>
      <w:r w:rsidR="009F2CCE" w:rsidRPr="00BD2C65">
        <w:t>;</w:t>
      </w:r>
      <w:r w:rsidR="00AD3719" w:rsidRPr="00BD2C65">
        <w:t xml:space="preserve"> </w:t>
      </w:r>
      <w:r w:rsidR="009F2CCE" w:rsidRPr="00BD2C65">
        <w:t>Heller, 2020</w:t>
      </w:r>
      <w:r w:rsidR="00AD3719" w:rsidRPr="00BD2C65">
        <w:t xml:space="preserve">; </w:t>
      </w:r>
      <w:r w:rsidR="00CD6F98" w:rsidRPr="00BD2C65">
        <w:t>Tibebu, 2011</w:t>
      </w:r>
      <w:r w:rsidR="00AD3719" w:rsidRPr="00BD2C65">
        <w:t>)</w:t>
      </w:r>
      <w:r w:rsidR="00294582" w:rsidRPr="00BD2C65">
        <w:t xml:space="preserve">. However, this </w:t>
      </w:r>
      <w:r w:rsidR="00225A8C" w:rsidRPr="00BD2C65">
        <w:t>circumvents Hegel’s</w:t>
      </w:r>
      <w:r w:rsidR="00294582" w:rsidRPr="00BD2C65">
        <w:t xml:space="preserve"> belief that </w:t>
      </w:r>
      <w:r w:rsidR="00225A8C" w:rsidRPr="00BD2C65">
        <w:t>B</w:t>
      </w:r>
      <w:r w:rsidR="00294582" w:rsidRPr="00BD2C65">
        <w:t xml:space="preserve">lack and </w:t>
      </w:r>
      <w:r w:rsidR="00225A8C" w:rsidRPr="00BD2C65">
        <w:t>I</w:t>
      </w:r>
      <w:r w:rsidR="00BE4F57" w:rsidRPr="00BD2C65">
        <w:t xml:space="preserve">ndigenous </w:t>
      </w:r>
      <w:r w:rsidR="00225A8C" w:rsidRPr="00BD2C65">
        <w:t>P</w:t>
      </w:r>
      <w:r w:rsidR="00294582" w:rsidRPr="00BD2C65">
        <w:t xml:space="preserve">eoples have a dormant dialectic, meaning they are stuck and cannot possibly reach self-consciousness </w:t>
      </w:r>
      <w:r w:rsidR="00C21182" w:rsidRPr="00BD2C65">
        <w:t>(James and Nappik, 2022)</w:t>
      </w:r>
      <w:r w:rsidR="00E96F52" w:rsidRPr="00BD2C65">
        <w:t xml:space="preserve">. </w:t>
      </w:r>
      <w:r w:rsidR="00294582" w:rsidRPr="00BD2C65">
        <w:t xml:space="preserve">Therefore, it is important to understand the historical </w:t>
      </w:r>
      <w:r w:rsidR="00AF497F" w:rsidRPr="00BD2C65">
        <w:t xml:space="preserve">context </w:t>
      </w:r>
      <w:r w:rsidR="00294582" w:rsidRPr="00BD2C65">
        <w:t xml:space="preserve">of this </w:t>
      </w:r>
      <w:r w:rsidR="00E96F52" w:rsidRPr="00BD2C65">
        <w:t>theory</w:t>
      </w:r>
      <w:r w:rsidR="000C5C03" w:rsidRPr="00BD2C65">
        <w:t xml:space="preserve"> and how it may have lasting racist undertones</w:t>
      </w:r>
      <w:r w:rsidR="00294582" w:rsidRPr="00BD2C65">
        <w:t>.</w:t>
      </w:r>
    </w:p>
    <w:p w14:paraId="043838DC" w14:textId="77777777" w:rsidR="00A7327E" w:rsidRPr="00BD2C65" w:rsidRDefault="00A7327E" w:rsidP="00A7327E">
      <w:pPr>
        <w:spacing w:line="480" w:lineRule="auto"/>
        <w:jc w:val="both"/>
      </w:pPr>
    </w:p>
    <w:p w14:paraId="47193FC9" w14:textId="243D0E3B" w:rsidR="00A7327E" w:rsidRPr="00BD2C65" w:rsidRDefault="00294582" w:rsidP="00A7327E">
      <w:pPr>
        <w:spacing w:line="480" w:lineRule="auto"/>
        <w:jc w:val="both"/>
      </w:pPr>
      <w:r w:rsidRPr="00BD2C65">
        <w:t xml:space="preserve">This was further explored by Fanon (Badenhorst, 2022) who reinterpreted the Hegelian </w:t>
      </w:r>
      <w:r w:rsidR="00AF497F" w:rsidRPr="00BD2C65">
        <w:t>A</w:t>
      </w:r>
      <w:r w:rsidRPr="00BD2C65">
        <w:t xml:space="preserve">s Fanon (1986, p.216.-217) stated: </w:t>
      </w:r>
      <w:r w:rsidR="00194D83" w:rsidRPr="00BD2C65">
        <w:t>‘</w:t>
      </w:r>
      <w:r w:rsidRPr="00BD2C65">
        <w:rPr>
          <w:shd w:val="clear" w:color="auto" w:fill="FFFFFF"/>
        </w:rPr>
        <w:t>man is human only to the extent to which he tries to impose his existence on another man in order to be recognised by him</w:t>
      </w:r>
      <w:r w:rsidR="00DF67FD" w:rsidRPr="00BD2C65">
        <w:rPr>
          <w:shd w:val="clear" w:color="auto" w:fill="FFFFFF"/>
        </w:rPr>
        <w:t>’</w:t>
      </w:r>
      <w:r w:rsidRPr="00BD2C65">
        <w:rPr>
          <w:color w:val="333333"/>
          <w:shd w:val="clear" w:color="auto" w:fill="FFFFFF"/>
        </w:rPr>
        <w:t xml:space="preserve"> thus starting the same as Hegel but is radically different</w:t>
      </w:r>
      <w:r w:rsidR="00FE2486" w:rsidRPr="00BD2C65">
        <w:rPr>
          <w:color w:val="333333"/>
          <w:shd w:val="clear" w:color="auto" w:fill="FFFFFF"/>
        </w:rPr>
        <w:t xml:space="preserve">. </w:t>
      </w:r>
      <w:r w:rsidR="00A7327E" w:rsidRPr="00BD2C65">
        <w:t xml:space="preserve">Fanon (1986), </w:t>
      </w:r>
      <w:r w:rsidR="00771ED4" w:rsidRPr="00BD2C65">
        <w:t xml:space="preserve">in contrast to </w:t>
      </w:r>
      <w:r w:rsidR="00A7327E" w:rsidRPr="00BD2C65">
        <w:t>Hegelian philosophy</w:t>
      </w:r>
      <w:r w:rsidR="00771ED4" w:rsidRPr="00BD2C65">
        <w:t>,</w:t>
      </w:r>
      <w:r w:rsidR="00A7327E" w:rsidRPr="00BD2C65">
        <w:t xml:space="preserve"> </w:t>
      </w:r>
      <w:r w:rsidR="00652860" w:rsidRPr="00BD2C65">
        <w:t>argues that the</w:t>
      </w:r>
      <w:r w:rsidR="00A7327E" w:rsidRPr="00BD2C65">
        <w:t xml:space="preserve"> master </w:t>
      </w:r>
      <w:r w:rsidR="004E195A" w:rsidRPr="00BD2C65">
        <w:t>refutes</w:t>
      </w:r>
      <w:r w:rsidR="00A7327E" w:rsidRPr="00BD2C65">
        <w:t xml:space="preserve"> the consciousness of the slave</w:t>
      </w:r>
      <w:r w:rsidR="00652860" w:rsidRPr="00BD2C65">
        <w:t xml:space="preserve"> and that t</w:t>
      </w:r>
      <w:r w:rsidR="00A7327E" w:rsidRPr="00BD2C65">
        <w:t>he master's primary objective from the slave is not recognition but rather their labour.</w:t>
      </w:r>
    </w:p>
    <w:p w14:paraId="633E3667" w14:textId="77777777" w:rsidR="00407139" w:rsidRPr="00BD2C65" w:rsidRDefault="00407139" w:rsidP="00294582">
      <w:pPr>
        <w:spacing w:line="480" w:lineRule="auto"/>
        <w:jc w:val="both"/>
        <w:rPr>
          <w:shd w:val="clear" w:color="auto" w:fill="FFFFFF"/>
        </w:rPr>
      </w:pPr>
    </w:p>
    <w:p w14:paraId="16BA5115" w14:textId="2D6F9B75" w:rsidR="000449E5" w:rsidRPr="00BD2C65" w:rsidRDefault="00294582" w:rsidP="000449E5">
      <w:pPr>
        <w:spacing w:line="480" w:lineRule="auto"/>
        <w:jc w:val="both"/>
        <w:rPr>
          <w:color w:val="202122"/>
          <w:shd w:val="clear" w:color="auto" w:fill="FFFFFF"/>
        </w:rPr>
      </w:pPr>
      <w:r w:rsidRPr="00BD2C65">
        <w:t xml:space="preserve">Furthermore, instead of Hegel’s interpretation of people being on the same level as subject-subject, Fanon proposed that the colonisers viewed black and </w:t>
      </w:r>
      <w:r w:rsidR="00BE4F57" w:rsidRPr="00BD2C65">
        <w:t xml:space="preserve">indigenous </w:t>
      </w:r>
      <w:r w:rsidRPr="00BD2C65">
        <w:lastRenderedPageBreak/>
        <w:t>people</w:t>
      </w:r>
      <w:r w:rsidR="008845E0" w:rsidRPr="00BD2C65">
        <w:t xml:space="preserve">s </w:t>
      </w:r>
      <w:r w:rsidRPr="00BD2C65">
        <w:t xml:space="preserve">as subject/object (Badenhorst, 2022). However, according to Badenhorst (2022) Fanon was heavily influenced by </w:t>
      </w:r>
      <w:r w:rsidRPr="00BD2C65">
        <w:rPr>
          <w:color w:val="202122"/>
          <w:shd w:val="clear" w:color="auto" w:fill="FFFFFF"/>
        </w:rPr>
        <w:t xml:space="preserve">Kojève’s interpretation of Hegel which has been criticised for misunderstanding Hegel’s original work and was more focused on Kojève’s own thoughts. </w:t>
      </w:r>
    </w:p>
    <w:p w14:paraId="22CB4131" w14:textId="77777777" w:rsidR="000449E5" w:rsidRPr="00BD2C65" w:rsidRDefault="000449E5" w:rsidP="000449E5">
      <w:pPr>
        <w:spacing w:line="480" w:lineRule="auto"/>
        <w:jc w:val="both"/>
        <w:rPr>
          <w:color w:val="202122"/>
          <w:shd w:val="clear" w:color="auto" w:fill="FFFFFF"/>
        </w:rPr>
      </w:pPr>
    </w:p>
    <w:p w14:paraId="3B4442B4" w14:textId="1799EA21" w:rsidR="00472855" w:rsidRPr="00BD2C65" w:rsidRDefault="00AD3719" w:rsidP="000449E5">
      <w:pPr>
        <w:spacing w:line="480" w:lineRule="auto"/>
        <w:jc w:val="both"/>
        <w:rPr>
          <w:color w:val="202122"/>
          <w:shd w:val="clear" w:color="auto" w:fill="FFFFFF"/>
        </w:rPr>
      </w:pPr>
      <w:r w:rsidRPr="00BD2C65">
        <w:rPr>
          <w:color w:val="202122"/>
          <w:shd w:val="clear" w:color="auto" w:fill="FFFFFF"/>
        </w:rPr>
        <w:t xml:space="preserve">In lieu of this different understanding of the </w:t>
      </w:r>
      <w:r w:rsidR="00FE2486" w:rsidRPr="00BD2C65">
        <w:rPr>
          <w:color w:val="202122"/>
          <w:shd w:val="clear" w:color="auto" w:fill="FFFFFF"/>
        </w:rPr>
        <w:t>O</w:t>
      </w:r>
      <w:r w:rsidRPr="00BD2C65">
        <w:rPr>
          <w:color w:val="202122"/>
          <w:shd w:val="clear" w:color="auto" w:fill="FFFFFF"/>
        </w:rPr>
        <w:t xml:space="preserve">ther and </w:t>
      </w:r>
      <w:r w:rsidR="00BD3430" w:rsidRPr="00BD2C65">
        <w:rPr>
          <w:color w:val="202122"/>
          <w:shd w:val="clear" w:color="auto" w:fill="FFFFFF"/>
        </w:rPr>
        <w:t>Othering</w:t>
      </w:r>
      <w:r w:rsidRPr="00BD2C65">
        <w:rPr>
          <w:color w:val="202122"/>
          <w:shd w:val="clear" w:color="auto" w:fill="FFFFFF"/>
        </w:rPr>
        <w:t xml:space="preserve">, </w:t>
      </w:r>
      <w:r w:rsidR="001679DD" w:rsidRPr="00BD2C65">
        <w:rPr>
          <w:color w:val="202122"/>
          <w:shd w:val="clear" w:color="auto" w:fill="FFFFFF"/>
        </w:rPr>
        <w:t xml:space="preserve">Brons (2015) explored the Other and </w:t>
      </w:r>
      <w:r w:rsidR="00BD3430" w:rsidRPr="00BD2C65">
        <w:rPr>
          <w:color w:val="202122"/>
          <w:shd w:val="clear" w:color="auto" w:fill="FFFFFF"/>
        </w:rPr>
        <w:t>Othering</w:t>
      </w:r>
      <w:r w:rsidR="001679DD" w:rsidRPr="00BD2C65">
        <w:rPr>
          <w:color w:val="202122"/>
          <w:shd w:val="clear" w:color="auto" w:fill="FFFFFF"/>
        </w:rPr>
        <w:t xml:space="preserve"> in detail. </w:t>
      </w:r>
      <w:r w:rsidR="000449E5" w:rsidRPr="00BD2C65">
        <w:t xml:space="preserve">According to Brons (2015), there are two distinct forms of </w:t>
      </w:r>
      <w:r w:rsidR="00BD3430" w:rsidRPr="00BD2C65">
        <w:t>Othering</w:t>
      </w:r>
      <w:r w:rsidR="000449E5" w:rsidRPr="00BD2C65">
        <w:t>: crude and sophisticated.</w:t>
      </w:r>
      <w:r w:rsidR="000449E5" w:rsidRPr="00BD2C65">
        <w:rPr>
          <w:color w:val="202122"/>
          <w:shd w:val="clear" w:color="auto" w:fill="FFFFFF"/>
        </w:rPr>
        <w:t xml:space="preserve"> </w:t>
      </w:r>
    </w:p>
    <w:p w14:paraId="6C551354" w14:textId="77777777" w:rsidR="00AD3719" w:rsidRPr="00BD2C65" w:rsidRDefault="00AD3719" w:rsidP="000449E5">
      <w:pPr>
        <w:spacing w:line="480" w:lineRule="auto"/>
        <w:jc w:val="both"/>
        <w:rPr>
          <w:color w:val="202122"/>
          <w:shd w:val="clear" w:color="auto" w:fill="FFFFFF"/>
        </w:rPr>
      </w:pPr>
    </w:p>
    <w:p w14:paraId="44CA0392" w14:textId="59C967AA" w:rsidR="00472855" w:rsidRPr="00BD2C65" w:rsidRDefault="00DF67FD" w:rsidP="000449E5">
      <w:pPr>
        <w:spacing w:line="480" w:lineRule="auto"/>
        <w:jc w:val="both"/>
        <w:rPr>
          <w:color w:val="202122"/>
          <w:shd w:val="clear" w:color="auto" w:fill="FFFFFF"/>
        </w:rPr>
      </w:pPr>
      <w:r w:rsidRPr="00BD2C65">
        <w:rPr>
          <w:color w:val="202122"/>
          <w:shd w:val="clear" w:color="auto" w:fill="FFFFFF"/>
        </w:rPr>
        <w:t>‘</w:t>
      </w:r>
      <w:r w:rsidR="001679DD" w:rsidRPr="00BD2C65">
        <w:rPr>
          <w:i/>
          <w:iCs/>
          <w:color w:val="202122"/>
          <w:shd w:val="clear" w:color="auto" w:fill="FFFFFF"/>
        </w:rPr>
        <w:t xml:space="preserve">Crude </w:t>
      </w:r>
      <w:r w:rsidR="00BD3430" w:rsidRPr="00BD2C65">
        <w:rPr>
          <w:i/>
          <w:iCs/>
          <w:color w:val="202122"/>
          <w:shd w:val="clear" w:color="auto" w:fill="FFFFFF"/>
        </w:rPr>
        <w:t>Othering</w:t>
      </w:r>
      <w:r w:rsidR="001679DD" w:rsidRPr="00BD2C65">
        <w:rPr>
          <w:i/>
          <w:iCs/>
          <w:color w:val="202122"/>
          <w:shd w:val="clear" w:color="auto" w:fill="FFFFFF"/>
        </w:rPr>
        <w:t xml:space="preserve"> </w:t>
      </w:r>
      <w:r w:rsidR="00BC2664" w:rsidRPr="00BD2C65">
        <w:rPr>
          <w:i/>
          <w:iCs/>
          <w:color w:val="202122"/>
          <w:shd w:val="clear" w:color="auto" w:fill="FFFFFF"/>
        </w:rPr>
        <w:t xml:space="preserve">is </w:t>
      </w:r>
      <w:r w:rsidR="0012643D" w:rsidRPr="00BD2C65">
        <w:rPr>
          <w:i/>
          <w:iCs/>
          <w:color w:val="202122"/>
          <w:shd w:val="clear" w:color="auto" w:fill="FFFFFF"/>
        </w:rPr>
        <w:t xml:space="preserve">a more </w:t>
      </w:r>
      <w:r w:rsidR="001679DD" w:rsidRPr="00BD2C65">
        <w:rPr>
          <w:i/>
          <w:iCs/>
          <w:color w:val="202122"/>
          <w:shd w:val="clear" w:color="auto" w:fill="FFFFFF"/>
        </w:rPr>
        <w:t xml:space="preserve">sophisticated </w:t>
      </w:r>
      <w:r w:rsidR="00BD3430" w:rsidRPr="00BD2C65">
        <w:rPr>
          <w:i/>
          <w:iCs/>
          <w:color w:val="202122"/>
          <w:shd w:val="clear" w:color="auto" w:fill="FFFFFF"/>
        </w:rPr>
        <w:t>Othering</w:t>
      </w:r>
      <w:r w:rsidR="00BC2664" w:rsidRPr="00BD2C65">
        <w:rPr>
          <w:i/>
          <w:iCs/>
          <w:color w:val="202122"/>
          <w:shd w:val="clear" w:color="auto" w:fill="FFFFFF"/>
        </w:rPr>
        <w:t xml:space="preserve"> …</w:t>
      </w:r>
      <w:r w:rsidR="001679DD" w:rsidRPr="00BD2C65">
        <w:rPr>
          <w:i/>
          <w:iCs/>
          <w:color w:val="202122"/>
          <w:shd w:val="clear" w:color="auto" w:fill="FFFFFF"/>
        </w:rPr>
        <w:t xml:space="preserve"> </w:t>
      </w:r>
      <w:r w:rsidR="00C75F99" w:rsidRPr="00BD2C65">
        <w:rPr>
          <w:i/>
          <w:iCs/>
          <w:color w:val="202122"/>
          <w:shd w:val="clear" w:color="auto" w:fill="FFFFFF"/>
        </w:rPr>
        <w:t xml:space="preserve">[and] </w:t>
      </w:r>
      <w:r w:rsidR="00E338FF" w:rsidRPr="00BD2C65">
        <w:rPr>
          <w:i/>
          <w:iCs/>
          <w:color w:val="202122"/>
          <w:shd w:val="clear" w:color="auto" w:fill="FFFFFF"/>
        </w:rPr>
        <w:t>corresponds more to</w:t>
      </w:r>
      <w:r w:rsidR="001679DD" w:rsidRPr="00BD2C65">
        <w:rPr>
          <w:i/>
          <w:iCs/>
          <w:color w:val="202122"/>
          <w:shd w:val="clear" w:color="auto" w:fill="FFFFFF"/>
        </w:rPr>
        <w:t xml:space="preserve"> Hegel’s dialectic </w:t>
      </w:r>
      <w:r w:rsidR="00E338FF" w:rsidRPr="00BD2C65">
        <w:rPr>
          <w:i/>
          <w:iCs/>
          <w:color w:val="202122"/>
          <w:shd w:val="clear" w:color="auto" w:fill="FFFFFF"/>
        </w:rPr>
        <w:t xml:space="preserve">…  [sophisticated </w:t>
      </w:r>
      <w:r w:rsidR="00BD3430" w:rsidRPr="00BD2C65">
        <w:rPr>
          <w:i/>
          <w:iCs/>
          <w:color w:val="202122"/>
          <w:shd w:val="clear" w:color="auto" w:fill="FFFFFF"/>
        </w:rPr>
        <w:t>Othering</w:t>
      </w:r>
      <w:r w:rsidR="00E338FF" w:rsidRPr="00BD2C65">
        <w:rPr>
          <w:i/>
          <w:iCs/>
          <w:color w:val="202122"/>
          <w:shd w:val="clear" w:color="auto" w:fill="FFFFFF"/>
        </w:rPr>
        <w:t xml:space="preserve">] </w:t>
      </w:r>
      <w:r w:rsidR="001679DD" w:rsidRPr="00BD2C65">
        <w:rPr>
          <w:i/>
          <w:iCs/>
          <w:color w:val="202122"/>
          <w:shd w:val="clear" w:color="auto" w:fill="FFFFFF"/>
        </w:rPr>
        <w:t xml:space="preserve">partially depends on self-other </w:t>
      </w:r>
      <w:r w:rsidR="00C75F99" w:rsidRPr="00BD2C65">
        <w:rPr>
          <w:i/>
          <w:iCs/>
          <w:color w:val="202122"/>
          <w:shd w:val="clear" w:color="auto" w:fill="FFFFFF"/>
        </w:rPr>
        <w:t>dista</w:t>
      </w:r>
      <w:r w:rsidR="000B3EF6" w:rsidRPr="00BD2C65">
        <w:rPr>
          <w:i/>
          <w:iCs/>
          <w:color w:val="202122"/>
          <w:shd w:val="clear" w:color="auto" w:fill="FFFFFF"/>
        </w:rPr>
        <w:t>ntiation</w:t>
      </w:r>
      <w:r w:rsidRPr="00BD2C65">
        <w:rPr>
          <w:i/>
          <w:iCs/>
          <w:color w:val="202122"/>
          <w:shd w:val="clear" w:color="auto" w:fill="FFFFFF"/>
        </w:rPr>
        <w:t>’</w:t>
      </w:r>
      <w:r w:rsidR="00693BC2" w:rsidRPr="00BD2C65">
        <w:rPr>
          <w:color w:val="202122"/>
          <w:shd w:val="clear" w:color="auto" w:fill="FFFFFF"/>
        </w:rPr>
        <w:t xml:space="preserve"> (ibi</w:t>
      </w:r>
      <w:r w:rsidR="00893183" w:rsidRPr="00BD2C65">
        <w:rPr>
          <w:color w:val="202122"/>
          <w:shd w:val="clear" w:color="auto" w:fill="FFFFFF"/>
        </w:rPr>
        <w:t>d, p.70</w:t>
      </w:r>
      <w:r w:rsidR="000B3EF6" w:rsidRPr="00BD2C65">
        <w:rPr>
          <w:color w:val="202122"/>
          <w:shd w:val="clear" w:color="auto" w:fill="FFFFFF"/>
        </w:rPr>
        <w:t>.</w:t>
      </w:r>
      <w:r w:rsidR="00893183" w:rsidRPr="00BD2C65">
        <w:rPr>
          <w:color w:val="202122"/>
          <w:shd w:val="clear" w:color="auto" w:fill="FFFFFF"/>
        </w:rPr>
        <w:t>)</w:t>
      </w:r>
      <w:r w:rsidR="001679DD" w:rsidRPr="00BD2C65">
        <w:rPr>
          <w:color w:val="202122"/>
          <w:shd w:val="clear" w:color="auto" w:fill="FFFFFF"/>
        </w:rPr>
        <w:t xml:space="preserve">. </w:t>
      </w:r>
      <w:r w:rsidR="000449E5" w:rsidRPr="00BD2C65">
        <w:rPr>
          <w:color w:val="202122"/>
          <w:shd w:val="clear" w:color="auto" w:fill="FFFFFF"/>
        </w:rPr>
        <w:t xml:space="preserve"> </w:t>
      </w:r>
    </w:p>
    <w:p w14:paraId="09DD2B8D" w14:textId="77777777" w:rsidR="00472855" w:rsidRPr="00BD2C65" w:rsidRDefault="00472855" w:rsidP="000449E5">
      <w:pPr>
        <w:spacing w:line="480" w:lineRule="auto"/>
        <w:jc w:val="both"/>
        <w:rPr>
          <w:color w:val="202122"/>
          <w:shd w:val="clear" w:color="auto" w:fill="FFFFFF"/>
        </w:rPr>
      </w:pPr>
    </w:p>
    <w:p w14:paraId="3A64D6B3" w14:textId="64AE0E03" w:rsidR="001679DD" w:rsidRPr="00BD2C65" w:rsidRDefault="000E43BD" w:rsidP="000449E5">
      <w:pPr>
        <w:spacing w:line="480" w:lineRule="auto"/>
        <w:jc w:val="both"/>
        <w:rPr>
          <w:color w:val="202122"/>
          <w:shd w:val="clear" w:color="auto" w:fill="FFFFFF"/>
        </w:rPr>
      </w:pPr>
      <w:r w:rsidRPr="00BD2C65">
        <w:rPr>
          <w:color w:val="202122"/>
          <w:shd w:val="clear" w:color="auto" w:fill="FFFFFF"/>
        </w:rPr>
        <w:t>Furthermore,</w:t>
      </w:r>
      <w:r w:rsidR="00051DC4" w:rsidRPr="00BD2C65">
        <w:rPr>
          <w:color w:val="202122"/>
          <w:shd w:val="clear" w:color="auto" w:fill="FFFFFF"/>
        </w:rPr>
        <w:t xml:space="preserve"> </w:t>
      </w:r>
      <w:r w:rsidR="006B1CC2" w:rsidRPr="00BD2C65">
        <w:rPr>
          <w:color w:val="202122"/>
          <w:shd w:val="clear" w:color="auto" w:fill="FFFFFF"/>
        </w:rPr>
        <w:t>utilising the concept of</w:t>
      </w:r>
      <w:r w:rsidR="001679DD" w:rsidRPr="00BD2C65">
        <w:rPr>
          <w:color w:val="202122"/>
          <w:shd w:val="clear" w:color="auto" w:fill="FFFFFF"/>
        </w:rPr>
        <w:t xml:space="preserve"> sophisticated </w:t>
      </w:r>
      <w:r w:rsidR="00BD3430" w:rsidRPr="00BD2C65">
        <w:rPr>
          <w:color w:val="202122"/>
          <w:shd w:val="clear" w:color="auto" w:fill="FFFFFF"/>
        </w:rPr>
        <w:t>Othering</w:t>
      </w:r>
      <w:r w:rsidR="001679DD" w:rsidRPr="00BD2C65">
        <w:rPr>
          <w:color w:val="202122"/>
          <w:shd w:val="clear" w:color="auto" w:fill="FFFFFF"/>
        </w:rPr>
        <w:t xml:space="preserve"> can </w:t>
      </w:r>
      <w:r w:rsidR="006B1CC2" w:rsidRPr="00BD2C65">
        <w:rPr>
          <w:color w:val="202122"/>
          <w:shd w:val="clear" w:color="auto" w:fill="FFFFFF"/>
        </w:rPr>
        <w:t xml:space="preserve">serve as a </w:t>
      </w:r>
      <w:r w:rsidR="00747DEA" w:rsidRPr="00BD2C65">
        <w:rPr>
          <w:color w:val="202122"/>
          <w:shd w:val="clear" w:color="auto" w:fill="FFFFFF"/>
        </w:rPr>
        <w:t>mechanism</w:t>
      </w:r>
      <w:r w:rsidR="006B1CC2" w:rsidRPr="00BD2C65">
        <w:rPr>
          <w:color w:val="202122"/>
          <w:shd w:val="clear" w:color="auto" w:fill="FFFFFF"/>
        </w:rPr>
        <w:t xml:space="preserve"> to enhance our understanding of the </w:t>
      </w:r>
      <w:r w:rsidR="00FE2486" w:rsidRPr="00BD2C65">
        <w:rPr>
          <w:color w:val="202122"/>
          <w:shd w:val="clear" w:color="auto" w:fill="FFFFFF"/>
        </w:rPr>
        <w:t>S</w:t>
      </w:r>
      <w:r w:rsidR="006B1CC2" w:rsidRPr="00BD2C65">
        <w:rPr>
          <w:color w:val="202122"/>
          <w:shd w:val="clear" w:color="auto" w:fill="FFFFFF"/>
        </w:rPr>
        <w:t xml:space="preserve">elf and the </w:t>
      </w:r>
      <w:r w:rsidR="00FE2486" w:rsidRPr="00BD2C65">
        <w:rPr>
          <w:color w:val="202122"/>
          <w:shd w:val="clear" w:color="auto" w:fill="FFFFFF"/>
        </w:rPr>
        <w:t>O</w:t>
      </w:r>
      <w:r w:rsidR="006B1CC2" w:rsidRPr="00BD2C65">
        <w:rPr>
          <w:color w:val="202122"/>
          <w:shd w:val="clear" w:color="auto" w:fill="FFFFFF"/>
        </w:rPr>
        <w:t>ther</w:t>
      </w:r>
      <w:r w:rsidR="000449E5" w:rsidRPr="00BD2C65">
        <w:rPr>
          <w:color w:val="202122"/>
          <w:shd w:val="clear" w:color="auto" w:fill="FFFFFF"/>
        </w:rPr>
        <w:t xml:space="preserve"> Brons (2015).</w:t>
      </w:r>
    </w:p>
    <w:p w14:paraId="61C09686" w14:textId="77777777" w:rsidR="001679DD" w:rsidRPr="00BD2C65" w:rsidRDefault="001679DD" w:rsidP="00294582">
      <w:pPr>
        <w:spacing w:line="480" w:lineRule="auto"/>
        <w:jc w:val="both"/>
        <w:rPr>
          <w:color w:val="202122"/>
          <w:shd w:val="clear" w:color="auto" w:fill="FFFFFF"/>
        </w:rPr>
      </w:pPr>
    </w:p>
    <w:p w14:paraId="6C1AD04F" w14:textId="0E25E0DC" w:rsidR="00551423" w:rsidRPr="00BD2C65" w:rsidRDefault="008834A3" w:rsidP="00551423">
      <w:pPr>
        <w:spacing w:line="480" w:lineRule="auto"/>
        <w:jc w:val="both"/>
        <w:rPr>
          <w:color w:val="202122"/>
          <w:shd w:val="clear" w:color="auto" w:fill="FFFFFF"/>
        </w:rPr>
      </w:pPr>
      <w:r w:rsidRPr="00BD2C65">
        <w:rPr>
          <w:color w:val="202122"/>
          <w:shd w:val="clear" w:color="auto" w:fill="FFFFFF"/>
        </w:rPr>
        <w:t>Understanding</w:t>
      </w:r>
      <w:r w:rsidR="00472855" w:rsidRPr="00BD2C65">
        <w:rPr>
          <w:color w:val="202122"/>
          <w:shd w:val="clear" w:color="auto" w:fill="FFFFFF"/>
        </w:rPr>
        <w:t xml:space="preserve"> t</w:t>
      </w:r>
      <w:r w:rsidR="001679DD" w:rsidRPr="00BD2C65">
        <w:rPr>
          <w:color w:val="202122"/>
          <w:shd w:val="clear" w:color="auto" w:fill="FFFFFF"/>
        </w:rPr>
        <w:t xml:space="preserve">he concept of </w:t>
      </w:r>
      <w:r w:rsidR="00BD3430" w:rsidRPr="00BD2C65">
        <w:rPr>
          <w:color w:val="202122"/>
          <w:shd w:val="clear" w:color="auto" w:fill="FFFFFF"/>
        </w:rPr>
        <w:t>Othering</w:t>
      </w:r>
      <w:r w:rsidR="001679DD" w:rsidRPr="00BD2C65">
        <w:rPr>
          <w:color w:val="202122"/>
          <w:shd w:val="clear" w:color="auto" w:fill="FFFFFF"/>
        </w:rPr>
        <w:t xml:space="preserve"> is important as it can help to reveal ways in which dominant groups maintain power by marginalising and dehumanising</w:t>
      </w:r>
      <w:r w:rsidR="00FE2486" w:rsidRPr="00BD2C65">
        <w:rPr>
          <w:color w:val="202122"/>
          <w:shd w:val="clear" w:color="auto" w:fill="FFFFFF"/>
        </w:rPr>
        <w:t xml:space="preserve"> subordinate</w:t>
      </w:r>
      <w:r w:rsidR="001679DD" w:rsidRPr="00BD2C65">
        <w:rPr>
          <w:color w:val="202122"/>
          <w:shd w:val="clear" w:color="auto" w:fill="FFFFFF"/>
        </w:rPr>
        <w:t xml:space="preserve"> groups (ibid.). </w:t>
      </w:r>
      <w:r w:rsidR="00472855" w:rsidRPr="00BD2C65">
        <w:rPr>
          <w:color w:val="202122"/>
          <w:shd w:val="clear" w:color="auto" w:fill="FFFFFF"/>
        </w:rPr>
        <w:t xml:space="preserve">It also can help as a useful tool for combating </w:t>
      </w:r>
      <w:r w:rsidR="00BD3430" w:rsidRPr="00BD2C65">
        <w:rPr>
          <w:color w:val="202122"/>
          <w:shd w:val="clear" w:color="auto" w:fill="FFFFFF"/>
        </w:rPr>
        <w:t>Othering</w:t>
      </w:r>
      <w:r w:rsidRPr="00BD2C65">
        <w:rPr>
          <w:color w:val="202122"/>
          <w:shd w:val="clear" w:color="auto" w:fill="FFFFFF"/>
        </w:rPr>
        <w:t xml:space="preserve"> </w:t>
      </w:r>
      <w:r w:rsidR="00472855" w:rsidRPr="00BD2C65">
        <w:rPr>
          <w:color w:val="202122"/>
          <w:shd w:val="clear" w:color="auto" w:fill="FFFFFF"/>
        </w:rPr>
        <w:t>and creating greater empathy towards marginalised</w:t>
      </w:r>
      <w:r w:rsidRPr="00BD2C65">
        <w:rPr>
          <w:color w:val="202122"/>
          <w:shd w:val="clear" w:color="auto" w:fill="FFFFFF"/>
        </w:rPr>
        <w:t xml:space="preserve"> groups</w:t>
      </w:r>
      <w:r w:rsidR="00AD3719" w:rsidRPr="00BD2C65">
        <w:rPr>
          <w:color w:val="202122"/>
          <w:shd w:val="clear" w:color="auto" w:fill="FFFFFF"/>
        </w:rPr>
        <w:t>.</w:t>
      </w:r>
    </w:p>
    <w:p w14:paraId="7C0186D7" w14:textId="77777777" w:rsidR="00551423" w:rsidRPr="00BD2C65" w:rsidRDefault="00551423" w:rsidP="00551423">
      <w:pPr>
        <w:spacing w:line="480" w:lineRule="auto"/>
        <w:jc w:val="both"/>
        <w:rPr>
          <w:color w:val="202122"/>
          <w:shd w:val="clear" w:color="auto" w:fill="FFFFFF"/>
        </w:rPr>
      </w:pPr>
    </w:p>
    <w:p w14:paraId="7F3861B6" w14:textId="3C7F7DEF" w:rsidR="000E43BD" w:rsidRPr="00BD2C65" w:rsidRDefault="005F4442" w:rsidP="00E9140F">
      <w:pPr>
        <w:spacing w:line="480" w:lineRule="auto"/>
        <w:jc w:val="both"/>
      </w:pPr>
      <w:r w:rsidRPr="00BD2C65">
        <w:rPr>
          <w:b/>
          <w:bCs/>
          <w:shd w:val="clear" w:color="auto" w:fill="FFFFFF"/>
        </w:rPr>
        <w:t>Biopolitics</w:t>
      </w:r>
      <w:r w:rsidRPr="00BD2C65">
        <w:rPr>
          <w:shd w:val="clear" w:color="auto" w:fill="FFFFFF"/>
        </w:rPr>
        <w:t xml:space="preserve"> is a seminal concept within sociological though</w:t>
      </w:r>
      <w:r w:rsidR="009F6A31" w:rsidRPr="00BD2C65">
        <w:rPr>
          <w:shd w:val="clear" w:color="auto" w:fill="FFFFFF"/>
        </w:rPr>
        <w:t>t</w:t>
      </w:r>
      <w:r w:rsidRPr="00BD2C65">
        <w:rPr>
          <w:shd w:val="clear" w:color="auto" w:fill="FFFFFF"/>
        </w:rPr>
        <w:t xml:space="preserve"> </w:t>
      </w:r>
      <w:r w:rsidR="00472855" w:rsidRPr="00BD2C65">
        <w:rPr>
          <w:shd w:val="clear" w:color="auto" w:fill="FFFFFF"/>
        </w:rPr>
        <w:t xml:space="preserve">that intersects in various </w:t>
      </w:r>
      <w:r w:rsidRPr="00BD2C65">
        <w:rPr>
          <w:shd w:val="clear" w:color="auto" w:fill="FFFFFF"/>
        </w:rPr>
        <w:t xml:space="preserve">fields of political theory, biology, social constructivism and colonialism. The term is </w:t>
      </w:r>
      <w:r w:rsidR="00FE2486" w:rsidRPr="00BD2C65">
        <w:rPr>
          <w:shd w:val="clear" w:color="auto" w:fill="FFFFFF"/>
        </w:rPr>
        <w:t>associated</w:t>
      </w:r>
      <w:r w:rsidRPr="00BD2C65">
        <w:rPr>
          <w:shd w:val="clear" w:color="auto" w:fill="FFFFFF"/>
        </w:rPr>
        <w:t xml:space="preserve"> with Foucault (</w:t>
      </w:r>
      <w:r w:rsidR="0038247E" w:rsidRPr="00BD2C65">
        <w:rPr>
          <w:shd w:val="clear" w:color="auto" w:fill="FFFFFF"/>
        </w:rPr>
        <w:t>1990</w:t>
      </w:r>
      <w:r w:rsidRPr="00BD2C65">
        <w:rPr>
          <w:shd w:val="clear" w:color="auto" w:fill="FFFFFF"/>
        </w:rPr>
        <w:t xml:space="preserve">) and is used </w:t>
      </w:r>
      <w:r w:rsidR="0038247E" w:rsidRPr="00BD2C65">
        <w:rPr>
          <w:shd w:val="clear" w:color="auto" w:fill="FFFFFF"/>
        </w:rPr>
        <w:t>interchangeably</w:t>
      </w:r>
      <w:r w:rsidRPr="00BD2C65">
        <w:rPr>
          <w:shd w:val="clear" w:color="auto" w:fill="FFFFFF"/>
        </w:rPr>
        <w:t xml:space="preserve"> with biopower </w:t>
      </w:r>
      <w:r w:rsidRPr="00BD2C65">
        <w:t>(</w:t>
      </w:r>
      <w:r w:rsidR="0038247E" w:rsidRPr="00BD2C65">
        <w:t>ibid.</w:t>
      </w:r>
      <w:r w:rsidRPr="00BD2C65">
        <w:t>). Th</w:t>
      </w:r>
      <w:r w:rsidR="00472855" w:rsidRPr="00BD2C65">
        <w:t>is</w:t>
      </w:r>
      <w:r w:rsidRPr="00BD2C65">
        <w:t xml:space="preserve"> theory highlights how westernised countries, </w:t>
      </w:r>
      <w:r w:rsidR="00472855" w:rsidRPr="00BD2C65">
        <w:t xml:space="preserve">such as </w:t>
      </w:r>
      <w:r w:rsidRPr="00BD2C65">
        <w:t>Britain, have u</w:t>
      </w:r>
      <w:r w:rsidR="00757983" w:rsidRPr="00BD2C65">
        <w:t xml:space="preserve">tilised biopolitics </w:t>
      </w:r>
      <w:r w:rsidR="00757983" w:rsidRPr="00BD2C65">
        <w:lastRenderedPageBreak/>
        <w:t xml:space="preserve">to control populations </w:t>
      </w:r>
      <w:r w:rsidR="00FE2486" w:rsidRPr="00BD2C65">
        <w:t>by</w:t>
      </w:r>
      <w:r w:rsidR="00757983" w:rsidRPr="00BD2C65">
        <w:t xml:space="preserve"> creating a </w:t>
      </w:r>
      <w:r w:rsidR="00596E82" w:rsidRPr="00BD2C65">
        <w:t>heteropatriarchal system of oppression (</w:t>
      </w:r>
      <w:r w:rsidR="00821940" w:rsidRPr="00BD2C65">
        <w:t>ibid.</w:t>
      </w:r>
      <w:r w:rsidR="00596E82" w:rsidRPr="00BD2C65">
        <w:t>)</w:t>
      </w:r>
      <w:r w:rsidR="00FE2486" w:rsidRPr="00BD2C65">
        <w:t xml:space="preserve"> </w:t>
      </w:r>
      <w:r w:rsidR="00AD57BE" w:rsidRPr="00BD2C65">
        <w:t>to</w:t>
      </w:r>
      <w:r w:rsidR="00596E82" w:rsidRPr="00BD2C65">
        <w:t xml:space="preserve"> maximise </w:t>
      </w:r>
      <w:r w:rsidR="006860F6" w:rsidRPr="00BD2C65">
        <w:t>birth rate</w:t>
      </w:r>
      <w:r w:rsidR="00015C1B" w:rsidRPr="00BD2C65">
        <w:t xml:space="preserve"> and </w:t>
      </w:r>
      <w:r w:rsidR="00472855" w:rsidRPr="00BD2C65">
        <w:t xml:space="preserve">exert </w:t>
      </w:r>
      <w:r w:rsidR="00015C1B" w:rsidRPr="00BD2C65">
        <w:t>control</w:t>
      </w:r>
      <w:r w:rsidR="00472855" w:rsidRPr="00BD2C65">
        <w:t xml:space="preserve"> </w:t>
      </w:r>
      <w:r w:rsidR="00FE2486" w:rsidRPr="00BD2C65">
        <w:t>over</w:t>
      </w:r>
      <w:r w:rsidR="00015C1B" w:rsidRPr="00BD2C65">
        <w:t xml:space="preserve"> life</w:t>
      </w:r>
      <w:r w:rsidR="006860F6" w:rsidRPr="00BD2C65">
        <w:t xml:space="preserve"> (</w:t>
      </w:r>
      <w:r w:rsidR="00821940" w:rsidRPr="00BD2C65">
        <w:t>ibid.</w:t>
      </w:r>
      <w:r w:rsidR="006860F6" w:rsidRPr="00BD2C65">
        <w:t>). Foucault</w:t>
      </w:r>
      <w:r w:rsidR="001F2217" w:rsidRPr="00BD2C65">
        <w:t xml:space="preserve"> (1990, p.140)</w:t>
      </w:r>
      <w:r w:rsidR="006860F6" w:rsidRPr="00BD2C65">
        <w:t xml:space="preserve"> defines biopower as </w:t>
      </w:r>
      <w:r w:rsidR="00272155" w:rsidRPr="00BD2C65">
        <w:t>‘</w:t>
      </w:r>
      <w:r w:rsidR="006860F6" w:rsidRPr="00BD2C65">
        <w:t>numerous and diverse techniques for achieving the subjugation of bodies and the control of populations</w:t>
      </w:r>
      <w:r w:rsidR="00272155" w:rsidRPr="00BD2C65">
        <w:t>’</w:t>
      </w:r>
      <w:r w:rsidR="003F36AA" w:rsidRPr="00BD2C65">
        <w:rPr>
          <w:i/>
          <w:iCs/>
        </w:rPr>
        <w:t xml:space="preserve">. </w:t>
      </w:r>
      <w:r w:rsidR="00472855" w:rsidRPr="00BD2C65">
        <w:rPr>
          <w:i/>
          <w:iCs/>
        </w:rPr>
        <w:t xml:space="preserve"> </w:t>
      </w:r>
      <w:r w:rsidR="00472855" w:rsidRPr="00BD2C65">
        <w:t>G</w:t>
      </w:r>
      <w:r w:rsidR="003F36AA" w:rsidRPr="00BD2C65">
        <w:t>overnments</w:t>
      </w:r>
      <w:r w:rsidR="00CD5986" w:rsidRPr="00BD2C65">
        <w:t xml:space="preserve"> </w:t>
      </w:r>
      <w:r w:rsidR="003F36AA" w:rsidRPr="00BD2C65">
        <w:t>deploy regulatory control and utilise a series of interventions to supervise the mechanics of life</w:t>
      </w:r>
      <w:r w:rsidR="00472855" w:rsidRPr="00BD2C65">
        <w:t xml:space="preserve"> including</w:t>
      </w:r>
      <w:r w:rsidR="003F36AA" w:rsidRPr="00BD2C65">
        <w:t>:</w:t>
      </w:r>
      <w:r w:rsidR="000B7413" w:rsidRPr="00BD2C65">
        <w:t xml:space="preserve"> ‘</w:t>
      </w:r>
      <w:r w:rsidR="006860F6" w:rsidRPr="00BD2C65">
        <w:t>propagation, births and mortality, the level of health, life expectancy, and longevity</w:t>
      </w:r>
      <w:r w:rsidR="000B7413" w:rsidRPr="00BD2C65">
        <w:t>’</w:t>
      </w:r>
      <w:r w:rsidR="006860F6" w:rsidRPr="00BD2C65">
        <w:t xml:space="preserve"> (</w:t>
      </w:r>
      <w:r w:rsidR="004748CC" w:rsidRPr="00BD2C65">
        <w:t xml:space="preserve">ibid., </w:t>
      </w:r>
      <w:r w:rsidR="00D54FB3" w:rsidRPr="00BD2C65">
        <w:t>p.</w:t>
      </w:r>
      <w:r w:rsidR="006860F6" w:rsidRPr="00BD2C65">
        <w:t>139).</w:t>
      </w:r>
      <w:r w:rsidR="00CD5986" w:rsidRPr="00BD2C65">
        <w:t xml:space="preserve"> </w:t>
      </w:r>
      <w:r w:rsidR="003F36AA" w:rsidRPr="00BD2C65">
        <w:t xml:space="preserve"> </w:t>
      </w:r>
      <w:r w:rsidR="00472855" w:rsidRPr="00BD2C65">
        <w:t xml:space="preserve">As a result, this creates </w:t>
      </w:r>
      <w:r w:rsidR="000B7413" w:rsidRPr="00BD2C65">
        <w:t>‘</w:t>
      </w:r>
      <w:r w:rsidR="00CD5986" w:rsidRPr="00BD2C65">
        <w:t>segregation and social hierarchization, exerting [its] influence on the respective forces of both these movements, guaranteeing relations of domination and effects of hegemony</w:t>
      </w:r>
      <w:r w:rsidR="000B7413" w:rsidRPr="00BD2C65">
        <w:t>’</w:t>
      </w:r>
      <w:r w:rsidR="00CD5986" w:rsidRPr="00BD2C65">
        <w:t xml:space="preserve"> (</w:t>
      </w:r>
      <w:r w:rsidR="004748CC" w:rsidRPr="00BD2C65">
        <w:t>ibid.</w:t>
      </w:r>
      <w:r w:rsidR="00CD5986" w:rsidRPr="00BD2C65">
        <w:t>,</w:t>
      </w:r>
      <w:r w:rsidR="004748CC" w:rsidRPr="00BD2C65">
        <w:t xml:space="preserve"> </w:t>
      </w:r>
      <w:r w:rsidR="00D54FB3" w:rsidRPr="00BD2C65">
        <w:t>p.</w:t>
      </w:r>
      <w:r w:rsidR="004748CC" w:rsidRPr="00BD2C65">
        <w:t xml:space="preserve"> </w:t>
      </w:r>
      <w:r w:rsidR="00CD5986" w:rsidRPr="00BD2C65">
        <w:t>141).</w:t>
      </w:r>
    </w:p>
    <w:p w14:paraId="36D093E9" w14:textId="77777777" w:rsidR="000E43BD" w:rsidRPr="00BD2C65" w:rsidRDefault="000E43BD" w:rsidP="00E9140F">
      <w:pPr>
        <w:spacing w:line="480" w:lineRule="auto"/>
        <w:jc w:val="both"/>
      </w:pPr>
    </w:p>
    <w:p w14:paraId="34AF5CDA" w14:textId="3FB6110D" w:rsidR="00E9140F" w:rsidRPr="00BD2C65" w:rsidRDefault="00472855" w:rsidP="00E9140F">
      <w:pPr>
        <w:spacing w:line="480" w:lineRule="auto"/>
        <w:jc w:val="both"/>
        <w:rPr>
          <w:color w:val="202122"/>
          <w:shd w:val="clear" w:color="auto" w:fill="FFFFFF"/>
        </w:rPr>
      </w:pPr>
      <w:r w:rsidRPr="00BD2C65">
        <w:t xml:space="preserve">The ideas of </w:t>
      </w:r>
      <w:r w:rsidR="00A16449" w:rsidRPr="00BD2C65">
        <w:t>Foucault</w:t>
      </w:r>
      <w:r w:rsidR="00B010CC" w:rsidRPr="00BD2C65">
        <w:t xml:space="preserve"> have been</w:t>
      </w:r>
      <w:r w:rsidR="00D54FB3" w:rsidRPr="00BD2C65">
        <w:t xml:space="preserve"> further</w:t>
      </w:r>
      <w:r w:rsidR="00B010CC" w:rsidRPr="00BD2C65">
        <w:t xml:space="preserve"> developed </w:t>
      </w:r>
      <w:r w:rsidR="00A16449" w:rsidRPr="00BD2C65">
        <w:t>by</w:t>
      </w:r>
      <w:r w:rsidR="00B010CC" w:rsidRPr="00BD2C65">
        <w:t xml:space="preserve"> </w:t>
      </w:r>
      <w:r w:rsidR="008440C2" w:rsidRPr="00BD2C65">
        <w:t>Hardt and Negri</w:t>
      </w:r>
      <w:r w:rsidR="00B010CC" w:rsidRPr="00BD2C65">
        <w:t xml:space="preserve"> (2009)</w:t>
      </w:r>
      <w:r w:rsidR="008440C2" w:rsidRPr="00BD2C65">
        <w:t xml:space="preserve"> </w:t>
      </w:r>
      <w:r w:rsidR="00A16449" w:rsidRPr="00BD2C65">
        <w:t xml:space="preserve">who </w:t>
      </w:r>
      <w:r w:rsidR="008440C2" w:rsidRPr="00BD2C65">
        <w:t xml:space="preserve">have </w:t>
      </w:r>
      <w:r w:rsidR="00A16449" w:rsidRPr="00BD2C65">
        <w:t>suggest</w:t>
      </w:r>
      <w:r w:rsidR="005703DF" w:rsidRPr="00BD2C65">
        <w:t>ed</w:t>
      </w:r>
      <w:r w:rsidRPr="00BD2C65">
        <w:t xml:space="preserve"> that modern politics is essentially biopolitics. This control </w:t>
      </w:r>
      <w:r w:rsidR="00FE2486" w:rsidRPr="00BD2C65">
        <w:t xml:space="preserve">is </w:t>
      </w:r>
      <w:r w:rsidR="0011030E" w:rsidRPr="00BD2C65">
        <w:t>pervasive</w:t>
      </w:r>
      <w:r w:rsidRPr="00BD2C65">
        <w:t xml:space="preserve"> and affects the very </w:t>
      </w:r>
      <w:r w:rsidR="0011030E" w:rsidRPr="00BD2C65">
        <w:t>consciousness</w:t>
      </w:r>
      <w:r w:rsidRPr="00BD2C65">
        <w:t xml:space="preserve"> and </w:t>
      </w:r>
      <w:r w:rsidR="0011030E" w:rsidRPr="00BD2C65">
        <w:t>physical</w:t>
      </w:r>
      <w:r w:rsidRPr="00BD2C65">
        <w:t xml:space="preserve"> bodies of individuals (ibid</w:t>
      </w:r>
      <w:r w:rsidR="00693048" w:rsidRPr="00BD2C65">
        <w:t>.)</w:t>
      </w:r>
      <w:r w:rsidR="00AE59D1" w:rsidRPr="00BD2C65">
        <w:t>.</w:t>
      </w:r>
      <w:r w:rsidR="00693048" w:rsidRPr="00BD2C65">
        <w:t xml:space="preserve"> In</w:t>
      </w:r>
      <w:r w:rsidR="00E9140F" w:rsidRPr="00BD2C65">
        <w:t xml:space="preserve"> addition, Hardt and Negri (2009) distinguish between biopower and biopolitics. Biopower, according to them, is the exercise of control that imperial sovereignty or Empire exerts over the production of the multitude, through the use of </w:t>
      </w:r>
      <w:r w:rsidR="00650B29" w:rsidRPr="00BD2C65">
        <w:t>‘</w:t>
      </w:r>
      <w:r w:rsidR="00E9140F" w:rsidRPr="00BD2C65">
        <w:t>power-over</w:t>
      </w:r>
      <w:r w:rsidR="00650B29" w:rsidRPr="00BD2C65">
        <w:t>’</w:t>
      </w:r>
      <w:r w:rsidR="00E9140F" w:rsidRPr="00BD2C65">
        <w:t xml:space="preserve"> tactics (</w:t>
      </w:r>
      <w:r w:rsidR="00650B29" w:rsidRPr="00BD2C65">
        <w:t>H</w:t>
      </w:r>
      <w:r w:rsidR="00CD30A2" w:rsidRPr="00BD2C65">
        <w:t xml:space="preserve">ardy and Negri, 2009. </w:t>
      </w:r>
      <w:r w:rsidR="00E9140F" w:rsidRPr="00BD2C65">
        <w:t>p. 24)</w:t>
      </w:r>
      <w:r w:rsidR="006E5F2A" w:rsidRPr="00BD2C65">
        <w:t>.</w:t>
      </w:r>
      <w:r w:rsidR="00E9140F" w:rsidRPr="00BD2C65">
        <w:t xml:space="preserve"> On the other hand</w:t>
      </w:r>
      <w:r w:rsidR="003F36AA" w:rsidRPr="00BD2C65">
        <w:t>,</w:t>
      </w:r>
      <w:r w:rsidR="00EE3A98" w:rsidRPr="00BD2C65">
        <w:t xml:space="preserve"> the concept </w:t>
      </w:r>
      <w:r w:rsidR="002F1746" w:rsidRPr="00BD2C65">
        <w:t>of biopolitics</w:t>
      </w:r>
      <w:r w:rsidR="00E9140F" w:rsidRPr="00BD2C65">
        <w:t xml:space="preserve"> </w:t>
      </w:r>
      <w:r w:rsidR="00EE3A98" w:rsidRPr="00BD2C65">
        <w:t xml:space="preserve">seeks to elucidate </w:t>
      </w:r>
      <w:r w:rsidR="001A6C5A" w:rsidRPr="00BD2C65">
        <w:t xml:space="preserve">the actions and behaviours of the masses who, by opposing biopower, are progressively manifesting </w:t>
      </w:r>
      <w:r w:rsidR="00F30317" w:rsidRPr="00BD2C65">
        <w:t xml:space="preserve">themselves as </w:t>
      </w:r>
      <w:r w:rsidR="00FE2486" w:rsidRPr="00BD2C65">
        <w:t xml:space="preserve">having </w:t>
      </w:r>
      <w:r w:rsidR="00650B29" w:rsidRPr="00BD2C65">
        <w:t>‘</w:t>
      </w:r>
      <w:r w:rsidR="00F30317" w:rsidRPr="00BD2C65">
        <w:t>power to</w:t>
      </w:r>
      <w:r w:rsidR="00650B29" w:rsidRPr="00BD2C65">
        <w:t>’</w:t>
      </w:r>
      <w:r w:rsidR="00F30317" w:rsidRPr="00BD2C65">
        <w:t xml:space="preserve"> create a shared identity that </w:t>
      </w:r>
      <w:r w:rsidR="0011030E" w:rsidRPr="00BD2C65">
        <w:t>consists of</w:t>
      </w:r>
      <w:r w:rsidR="00F30317" w:rsidRPr="00BD2C65">
        <w:t xml:space="preserve"> the oppressive rule of biopower</w:t>
      </w:r>
      <w:r w:rsidR="002F1746" w:rsidRPr="00BD2C65">
        <w:t xml:space="preserve"> </w:t>
      </w:r>
      <w:r w:rsidR="007E309B" w:rsidRPr="00BD2C65">
        <w:t>(</w:t>
      </w:r>
      <w:r w:rsidR="00E9140F" w:rsidRPr="00BD2C65">
        <w:t>Dillon and Reid, 2001, p. 65)</w:t>
      </w:r>
      <w:r w:rsidR="007E309B" w:rsidRPr="00BD2C65">
        <w:t>.</w:t>
      </w:r>
    </w:p>
    <w:p w14:paraId="3B030EE2" w14:textId="77777777" w:rsidR="005F4B49" w:rsidRPr="00BD2C65" w:rsidRDefault="005F4B49" w:rsidP="00B010CC">
      <w:pPr>
        <w:spacing w:line="480" w:lineRule="auto"/>
        <w:jc w:val="both"/>
      </w:pPr>
    </w:p>
    <w:p w14:paraId="12314506" w14:textId="59C08122" w:rsidR="006E5F2A" w:rsidRPr="00BD2C65" w:rsidRDefault="00294582" w:rsidP="006E5F2A">
      <w:pPr>
        <w:spacing w:line="480" w:lineRule="auto"/>
        <w:jc w:val="both"/>
      </w:pPr>
      <w:r w:rsidRPr="00BD2C65">
        <w:t xml:space="preserve">These theories are further explored and </w:t>
      </w:r>
      <w:r w:rsidR="00F67B5A" w:rsidRPr="00BD2C65">
        <w:t>synthesised</w:t>
      </w:r>
      <w:r w:rsidRPr="00BD2C65">
        <w:t xml:space="preserve"> in </w:t>
      </w:r>
      <w:r w:rsidR="00E75699" w:rsidRPr="00BD2C65">
        <w:rPr>
          <w:b/>
          <w:bCs/>
        </w:rPr>
        <w:t xml:space="preserve">Discussion 1: Power, Biopolitics, Space and Control </w:t>
      </w:r>
      <w:r w:rsidR="00E75699" w:rsidRPr="00BD2C65">
        <w:t xml:space="preserve">and </w:t>
      </w:r>
      <w:r w:rsidR="00FE2486" w:rsidRPr="00BD2C65">
        <w:rPr>
          <w:b/>
          <w:bCs/>
        </w:rPr>
        <w:t>Discussion</w:t>
      </w:r>
      <w:r w:rsidRPr="00BD2C65">
        <w:rPr>
          <w:b/>
          <w:bCs/>
        </w:rPr>
        <w:t xml:space="preserve"> 2: </w:t>
      </w:r>
      <w:r w:rsidR="00BD3430" w:rsidRPr="00BD2C65">
        <w:rPr>
          <w:b/>
          <w:bCs/>
        </w:rPr>
        <w:t>Othering</w:t>
      </w:r>
      <w:r w:rsidRPr="00BD2C65">
        <w:rPr>
          <w:b/>
          <w:bCs/>
        </w:rPr>
        <w:t xml:space="preserve"> – a frame to synthesise Decolonial and </w:t>
      </w:r>
      <w:r w:rsidR="00BA2220" w:rsidRPr="00BD2C65">
        <w:rPr>
          <w:b/>
          <w:bCs/>
        </w:rPr>
        <w:t>Queer Theory</w:t>
      </w:r>
      <w:r w:rsidRPr="00BD2C65">
        <w:t xml:space="preserve">. </w:t>
      </w:r>
    </w:p>
    <w:p w14:paraId="71041B2D" w14:textId="77777777" w:rsidR="00D90BE0" w:rsidRPr="00BD2C65" w:rsidRDefault="00D90BE0" w:rsidP="006E5F2A">
      <w:pPr>
        <w:spacing w:line="480" w:lineRule="auto"/>
        <w:jc w:val="both"/>
      </w:pPr>
    </w:p>
    <w:p w14:paraId="58293208" w14:textId="0A34E268" w:rsidR="006E5F2A" w:rsidRPr="00BD2C65" w:rsidRDefault="0045569D" w:rsidP="006E5F2A">
      <w:pPr>
        <w:spacing w:line="480" w:lineRule="auto"/>
        <w:jc w:val="both"/>
      </w:pPr>
      <w:r w:rsidRPr="00BD2C65">
        <w:rPr>
          <w:b/>
          <w:bCs/>
        </w:rPr>
        <w:lastRenderedPageBreak/>
        <w:t>Intersectionality</w:t>
      </w:r>
      <w:r w:rsidRPr="00BD2C65">
        <w:t xml:space="preserve"> is </w:t>
      </w:r>
      <w:r w:rsidR="00472855" w:rsidRPr="00BD2C65">
        <w:t>a seminal concept within sociologically though</w:t>
      </w:r>
      <w:r w:rsidR="0053178F" w:rsidRPr="00BD2C65">
        <w:t>t and is initially</w:t>
      </w:r>
      <w:r w:rsidR="00472855" w:rsidRPr="00BD2C65">
        <w:t xml:space="preserve"> </w:t>
      </w:r>
      <w:r w:rsidRPr="00BD2C65">
        <w:t xml:space="preserve">credited </w:t>
      </w:r>
      <w:r w:rsidR="00FE2486" w:rsidRPr="00BD2C65">
        <w:t>to</w:t>
      </w:r>
      <w:r w:rsidRPr="00BD2C65">
        <w:t xml:space="preserve"> Kimeberle Crenshaw (1989) who highlighted the </w:t>
      </w:r>
      <w:r w:rsidR="0053178F" w:rsidRPr="00BD2C65">
        <w:t xml:space="preserve">unique </w:t>
      </w:r>
      <w:r w:rsidRPr="00BD2C65">
        <w:t xml:space="preserve">experiences of </w:t>
      </w:r>
      <w:r w:rsidR="00D90BE0" w:rsidRPr="00BD2C65">
        <w:t>B</w:t>
      </w:r>
      <w:r w:rsidRPr="00BD2C65">
        <w:t xml:space="preserve">lack </w:t>
      </w:r>
      <w:r w:rsidR="00D90BE0" w:rsidRPr="00BD2C65">
        <w:t>W</w:t>
      </w:r>
      <w:r w:rsidRPr="00BD2C65">
        <w:t>omen and how the</w:t>
      </w:r>
      <w:r w:rsidR="0053178F" w:rsidRPr="00BD2C65">
        <w:t>ir experience</w:t>
      </w:r>
      <w:r w:rsidRPr="00BD2C65">
        <w:t xml:space="preserve"> </w:t>
      </w:r>
      <w:r w:rsidR="0011030E" w:rsidRPr="00BD2C65">
        <w:t>distinguishes</w:t>
      </w:r>
      <w:r w:rsidR="0053178F" w:rsidRPr="00BD2C65">
        <w:t xml:space="preserve"> </w:t>
      </w:r>
      <w:r w:rsidR="00FE2486" w:rsidRPr="00BD2C65">
        <w:t xml:space="preserve">them </w:t>
      </w:r>
      <w:r w:rsidRPr="00BD2C65">
        <w:t xml:space="preserve">from </w:t>
      </w:r>
      <w:r w:rsidR="00D90BE0" w:rsidRPr="00BD2C65">
        <w:t>W</w:t>
      </w:r>
      <w:r w:rsidRPr="00BD2C65">
        <w:t xml:space="preserve">hite </w:t>
      </w:r>
      <w:r w:rsidR="00D90BE0" w:rsidRPr="00BD2C65">
        <w:t>W</w:t>
      </w:r>
      <w:r w:rsidRPr="00BD2C65">
        <w:t xml:space="preserve">omen.  This theory </w:t>
      </w:r>
      <w:r w:rsidR="0053178F" w:rsidRPr="00BD2C65">
        <w:t xml:space="preserve">and its application </w:t>
      </w:r>
      <w:r w:rsidR="00693048" w:rsidRPr="00BD2C65">
        <w:t>have</w:t>
      </w:r>
      <w:r w:rsidRPr="00BD2C65">
        <w:t xml:space="preserve"> increased in sociological understanding and </w:t>
      </w:r>
      <w:r w:rsidR="00FE2486" w:rsidRPr="00BD2C65">
        <w:t>have</w:t>
      </w:r>
      <w:r w:rsidRPr="00BD2C65">
        <w:t xml:space="preserve"> been applied to many other areas</w:t>
      </w:r>
      <w:r w:rsidR="00AA795A" w:rsidRPr="00BD2C65">
        <w:t xml:space="preserve"> (Collins, 2015)</w:t>
      </w:r>
      <w:r w:rsidRPr="00BD2C65">
        <w:t xml:space="preserve">. However, although intersectionality is a useful tool it has limited ontology, meaning it can be at risk of not addressing the inherent issue that the theory </w:t>
      </w:r>
      <w:r w:rsidR="00D46448" w:rsidRPr="00BD2C65">
        <w:t>‘</w:t>
      </w:r>
      <w:r w:rsidRPr="00BD2C65">
        <w:t>participates in the very power relations that it examines</w:t>
      </w:r>
      <w:r w:rsidR="00D46448" w:rsidRPr="00BD2C65">
        <w:t xml:space="preserve">’ </w:t>
      </w:r>
      <w:r w:rsidRPr="00BD2C65">
        <w:t xml:space="preserve">(Collins, 2015; Cho, Crenshaw and </w:t>
      </w:r>
      <w:r w:rsidR="00B9343F" w:rsidRPr="00BD2C65">
        <w:t>McCall</w:t>
      </w:r>
      <w:r w:rsidRPr="00BD2C65">
        <w:t>, 2013</w:t>
      </w:r>
      <w:r w:rsidR="0051688F" w:rsidRPr="00BD2C65">
        <w:t>, p.795</w:t>
      </w:r>
      <w:r w:rsidRPr="00BD2C65">
        <w:t>).</w:t>
      </w:r>
    </w:p>
    <w:p w14:paraId="7600470A" w14:textId="77777777" w:rsidR="006E5F2A" w:rsidRPr="00BD2C65" w:rsidRDefault="006E5F2A" w:rsidP="006E5F2A">
      <w:pPr>
        <w:spacing w:line="480" w:lineRule="auto"/>
        <w:jc w:val="both"/>
      </w:pPr>
    </w:p>
    <w:p w14:paraId="3F50116D" w14:textId="4712750A" w:rsidR="006E5F2A" w:rsidRPr="00BD2C65" w:rsidRDefault="003F36AA" w:rsidP="006E5F2A">
      <w:pPr>
        <w:spacing w:line="480" w:lineRule="auto"/>
        <w:jc w:val="both"/>
      </w:pPr>
      <w:r w:rsidRPr="00BD2C65">
        <w:t>Nevertheless</w:t>
      </w:r>
      <w:r w:rsidR="0045569D" w:rsidRPr="00BD2C65">
        <w:t>, Cho, Crenshaw and McCall (</w:t>
      </w:r>
      <w:hyperlink r:id="rId16" w:history="1">
        <w:r w:rsidR="0045569D" w:rsidRPr="00BD2C65">
          <w:t>2013</w:t>
        </w:r>
      </w:hyperlink>
      <w:r w:rsidRPr="00BD2C65">
        <w:t>)</w:t>
      </w:r>
      <w:r w:rsidR="0045569D" w:rsidRPr="00BD2C65">
        <w:t xml:space="preserve"> state</w:t>
      </w:r>
      <w:r w:rsidRPr="00BD2C65">
        <w:t xml:space="preserve"> that the concept of intersectionality involves a perspective that considers interconnected issues of homogeneity and heterogeneity and their intersecting relation to power dynamics. </w:t>
      </w:r>
      <w:r w:rsidR="0045569D" w:rsidRPr="00BD2C65">
        <w:t xml:space="preserve"> </w:t>
      </w:r>
      <w:r w:rsidRPr="00BD2C65">
        <w:t xml:space="preserve">Additionally, intersectionality enables the reader to </w:t>
      </w:r>
      <w:r w:rsidR="00E37BF0" w:rsidRPr="00BD2C65">
        <w:t xml:space="preserve">analyse how race, gender and sexual orientation interplay and how varying forms of oppression impact on marginalised groups of people. </w:t>
      </w:r>
      <w:r w:rsidR="0045569D" w:rsidRPr="00BD2C65">
        <w:t>It is essential</w:t>
      </w:r>
      <w:r w:rsidR="00FE2486" w:rsidRPr="00BD2C65">
        <w:t xml:space="preserve"> </w:t>
      </w:r>
      <w:r w:rsidR="0045569D" w:rsidRPr="00BD2C65">
        <w:t>that any analysis of marginalised group is caveated with an exploration of power (ibid.).</w:t>
      </w:r>
    </w:p>
    <w:p w14:paraId="49643A25" w14:textId="77777777" w:rsidR="006E5F2A" w:rsidRPr="00BD2C65" w:rsidRDefault="006E5F2A" w:rsidP="006E5F2A">
      <w:pPr>
        <w:spacing w:line="480" w:lineRule="auto"/>
        <w:jc w:val="both"/>
      </w:pPr>
    </w:p>
    <w:p w14:paraId="5E1EDBEA" w14:textId="7E51A2D3" w:rsidR="000857C3" w:rsidRPr="00BD2C65" w:rsidRDefault="006E5F2A" w:rsidP="006E5F2A">
      <w:pPr>
        <w:spacing w:line="480" w:lineRule="auto"/>
        <w:jc w:val="both"/>
      </w:pPr>
      <w:r w:rsidRPr="00BD2C65">
        <w:t>T</w:t>
      </w:r>
      <w:r w:rsidR="0045569D" w:rsidRPr="00BD2C65">
        <w:t xml:space="preserve">his is further argued by Salskov (2019, p.262), who states that </w:t>
      </w:r>
      <w:r w:rsidR="002910AC" w:rsidRPr="00BD2C65">
        <w:t>‘</w:t>
      </w:r>
      <w:r w:rsidR="0045569D" w:rsidRPr="00BD2C65">
        <w:t>power is inherent in all knowledge production</w:t>
      </w:r>
      <w:r w:rsidR="002910AC" w:rsidRPr="00BD2C65">
        <w:t>’</w:t>
      </w:r>
      <w:r w:rsidR="0045569D" w:rsidRPr="00BD2C65">
        <w:t xml:space="preserve"> and further claims that </w:t>
      </w:r>
      <w:r w:rsidR="002910AC" w:rsidRPr="00BD2C65">
        <w:t>‘</w:t>
      </w:r>
      <w:r w:rsidR="0045569D" w:rsidRPr="00BD2C65">
        <w:t>power is presumed rather than investigated</w:t>
      </w:r>
      <w:r w:rsidR="002910AC" w:rsidRPr="00BD2C65">
        <w:t>’</w:t>
      </w:r>
      <w:r w:rsidR="0045569D" w:rsidRPr="00BD2C65">
        <w:t xml:space="preserve"> (ibid.</w:t>
      </w:r>
      <w:r w:rsidR="00E37BF0" w:rsidRPr="00BD2C65">
        <w:t>, 262</w:t>
      </w:r>
      <w:r w:rsidR="0045569D" w:rsidRPr="00BD2C65">
        <w:t>). Salskov (2019</w:t>
      </w:r>
      <w:r w:rsidR="002910AC" w:rsidRPr="00BD2C65">
        <w:t xml:space="preserve">) </w:t>
      </w:r>
      <w:r w:rsidR="0045569D" w:rsidRPr="00BD2C65">
        <w:t xml:space="preserve">also argues </w:t>
      </w:r>
      <w:r w:rsidR="00FE2486" w:rsidRPr="00BD2C65">
        <w:t xml:space="preserve">that </w:t>
      </w:r>
      <w:r w:rsidR="00E37BF0" w:rsidRPr="00BD2C65">
        <w:t>it is crucial to maintain an openness to a range of interpretations</w:t>
      </w:r>
      <w:r w:rsidR="00FE2486" w:rsidRPr="00BD2C65">
        <w:t xml:space="preserve"> in order</w:t>
      </w:r>
      <w:r w:rsidR="00E37BF0" w:rsidRPr="00BD2C65">
        <w:t xml:space="preserve"> to avoid adopting problematic epistemic tendencies that limits the scope of </w:t>
      </w:r>
      <w:r w:rsidR="00FE2486" w:rsidRPr="00BD2C65">
        <w:t>investigations</w:t>
      </w:r>
      <w:r w:rsidR="00E37BF0" w:rsidRPr="00BD2C65">
        <w:t xml:space="preserve">.  </w:t>
      </w:r>
    </w:p>
    <w:p w14:paraId="2246AD02" w14:textId="77777777" w:rsidR="00AD3719" w:rsidRPr="00BD2C65" w:rsidRDefault="00AD3719" w:rsidP="006E5F2A">
      <w:pPr>
        <w:spacing w:line="480" w:lineRule="auto"/>
        <w:jc w:val="both"/>
      </w:pPr>
    </w:p>
    <w:p w14:paraId="7E3C3AE4" w14:textId="4ABF4605" w:rsidR="00294582" w:rsidRPr="00BD2C65" w:rsidRDefault="00294582" w:rsidP="00AD3719">
      <w:pPr>
        <w:spacing w:line="480" w:lineRule="auto"/>
        <w:jc w:val="both"/>
        <w:rPr>
          <w:i/>
          <w:iCs/>
        </w:rPr>
      </w:pPr>
      <w:r w:rsidRPr="00BD2C65">
        <w:t xml:space="preserve">To summarise, the research in this </w:t>
      </w:r>
      <w:r w:rsidR="00E37BF0" w:rsidRPr="00BD2C65">
        <w:t>t</w:t>
      </w:r>
      <w:r w:rsidRPr="00BD2C65">
        <w:t>heme critically explores important definitions relevant to the thesis and research</w:t>
      </w:r>
      <w:r w:rsidR="00FE2486" w:rsidRPr="00BD2C65">
        <w:t>. I</w:t>
      </w:r>
      <w:r w:rsidRPr="00BD2C65">
        <w:t xml:space="preserve">t also highlights the complexity of the subject and </w:t>
      </w:r>
      <w:r w:rsidRPr="00BD2C65">
        <w:lastRenderedPageBreak/>
        <w:t xml:space="preserve">how there </w:t>
      </w:r>
      <w:r w:rsidR="00FE2486" w:rsidRPr="00BD2C65">
        <w:t>are</w:t>
      </w:r>
      <w:r w:rsidRPr="00BD2C65">
        <w:t xml:space="preserve"> multiple interpretations. Instead of focusing on one definition of the </w:t>
      </w:r>
      <w:r w:rsidR="00FE2486" w:rsidRPr="00BD2C65">
        <w:t>O</w:t>
      </w:r>
      <w:r w:rsidRPr="00BD2C65">
        <w:t xml:space="preserve">ther, the </w:t>
      </w:r>
      <w:r w:rsidR="00EA7207" w:rsidRPr="00BD2C65">
        <w:t>writer</w:t>
      </w:r>
      <w:r w:rsidRPr="00BD2C65">
        <w:t xml:space="preserve"> has decided for this thesis, it would be ne helpful to interpret resources from a pluralistic social constructive view.</w:t>
      </w:r>
    </w:p>
    <w:p w14:paraId="67AC44F9" w14:textId="77777777" w:rsidR="00294582" w:rsidRPr="006F55B4" w:rsidRDefault="00294582" w:rsidP="00294582">
      <w:pPr>
        <w:spacing w:line="480" w:lineRule="auto"/>
        <w:jc w:val="both"/>
      </w:pPr>
    </w:p>
    <w:p w14:paraId="56DEDFF2" w14:textId="77777777" w:rsidR="00294582" w:rsidRPr="00BA5248" w:rsidRDefault="00294582" w:rsidP="00294582">
      <w:pPr>
        <w:numPr>
          <w:ilvl w:val="1"/>
          <w:numId w:val="1"/>
        </w:numPr>
        <w:spacing w:line="480" w:lineRule="auto"/>
        <w:outlineLvl w:val="1"/>
        <w:rPr>
          <w:b/>
          <w:bCs/>
        </w:rPr>
      </w:pPr>
      <w:bookmarkStart w:id="12" w:name="_Toc145927538"/>
      <w:r w:rsidRPr="00BA5248">
        <w:rPr>
          <w:b/>
          <w:bCs/>
        </w:rPr>
        <w:t>Theme 2</w:t>
      </w:r>
      <w:r>
        <w:rPr>
          <w:b/>
          <w:bCs/>
        </w:rPr>
        <w:t>: Pre-Colonialism</w:t>
      </w:r>
      <w:bookmarkEnd w:id="12"/>
    </w:p>
    <w:p w14:paraId="1E4AB800" w14:textId="4297EFE8" w:rsidR="00FC3A19" w:rsidRPr="00BD2C65" w:rsidRDefault="00294582" w:rsidP="00294582">
      <w:pPr>
        <w:spacing w:line="480" w:lineRule="auto"/>
        <w:jc w:val="both"/>
      </w:pPr>
      <w:r w:rsidRPr="00BD2C65">
        <w:t xml:space="preserve">The author </w:t>
      </w:r>
      <w:r w:rsidR="00A415BD" w:rsidRPr="00BD2C65">
        <w:t>acknowledges</w:t>
      </w:r>
      <w:r w:rsidR="00C14624" w:rsidRPr="00BD2C65">
        <w:t xml:space="preserve"> that </w:t>
      </w:r>
      <w:r w:rsidR="00AD57BE" w:rsidRPr="00BD2C65">
        <w:t>most of the</w:t>
      </w:r>
      <w:r w:rsidR="00C14624" w:rsidRPr="00BD2C65">
        <w:t xml:space="preserve"> knowledge </w:t>
      </w:r>
      <w:r w:rsidR="0053178F" w:rsidRPr="00BD2C65">
        <w:t xml:space="preserve">pertaining </w:t>
      </w:r>
      <w:r w:rsidR="00FE2486" w:rsidRPr="00BD2C65">
        <w:t xml:space="preserve">to </w:t>
      </w:r>
      <w:r w:rsidR="0038026C" w:rsidRPr="00BD2C65">
        <w:t>traditional African culture has been documented by individuals who were associated with the oppressive colonial system</w:t>
      </w:r>
      <w:r w:rsidRPr="00BD2C65">
        <w:t xml:space="preserve"> (Murray, Roscoe,</w:t>
      </w:r>
      <w:r w:rsidR="005866A3" w:rsidRPr="00BD2C65">
        <w:t xml:space="preserve"> and</w:t>
      </w:r>
      <w:r w:rsidRPr="00BD2C65">
        <w:t xml:space="preserve"> Epprecht, 2021; Bayly, 1999)</w:t>
      </w:r>
      <w:r w:rsidR="00FE2486" w:rsidRPr="00BD2C65">
        <w:t>;</w:t>
      </w:r>
      <w:r w:rsidR="001009DB" w:rsidRPr="00BD2C65">
        <w:t xml:space="preserve"> this can cause a</w:t>
      </w:r>
      <w:r w:rsidR="00561627" w:rsidRPr="00BD2C65">
        <w:t xml:space="preserve"> bias in the research. </w:t>
      </w:r>
      <w:r w:rsidRPr="00BD2C65">
        <w:t xml:space="preserve"> </w:t>
      </w:r>
      <w:r w:rsidR="0053178F" w:rsidRPr="00BD2C65">
        <w:t>Nevertheless</w:t>
      </w:r>
      <w:r w:rsidRPr="00BD2C65">
        <w:t xml:space="preserve">, </w:t>
      </w:r>
      <w:r w:rsidR="0053178F" w:rsidRPr="00BD2C65">
        <w:t>upon critically</w:t>
      </w:r>
      <w:r w:rsidRPr="00BD2C65">
        <w:t xml:space="preserve"> </w:t>
      </w:r>
      <w:r w:rsidR="002F5F8E" w:rsidRPr="00BD2C65">
        <w:t>examining</w:t>
      </w:r>
      <w:r w:rsidRPr="00BD2C65">
        <w:t xml:space="preserve"> the </w:t>
      </w:r>
      <w:r w:rsidR="0053178F" w:rsidRPr="00BD2C65">
        <w:t>available literature</w:t>
      </w:r>
      <w:r w:rsidRPr="00BD2C65">
        <w:t xml:space="preserve">, the author found that many former </w:t>
      </w:r>
      <w:r w:rsidR="00BD3430" w:rsidRPr="00BD2C65">
        <w:t xml:space="preserve">British </w:t>
      </w:r>
      <w:r w:rsidR="00766CF4" w:rsidRPr="00BD2C65">
        <w:t>C</w:t>
      </w:r>
      <w:r w:rsidR="00BD3430" w:rsidRPr="00BD2C65">
        <w:t>olonies</w:t>
      </w:r>
      <w:r w:rsidR="00FE2486" w:rsidRPr="00BD2C65">
        <w:t>,</w:t>
      </w:r>
      <w:r w:rsidRPr="00BD2C65">
        <w:t xml:space="preserve"> before the </w:t>
      </w:r>
      <w:r w:rsidR="00FE2486" w:rsidRPr="00BD2C65">
        <w:t xml:space="preserve">arrival of the </w:t>
      </w:r>
      <w:r w:rsidRPr="00BD2C65">
        <w:t>British Empire</w:t>
      </w:r>
      <w:r w:rsidR="00FE2486" w:rsidRPr="00BD2C65">
        <w:t>,</w:t>
      </w:r>
      <w:r w:rsidRPr="00BD2C65">
        <w:t xml:space="preserve"> did not have anti-LGBTQIA+ </w:t>
      </w:r>
      <w:r w:rsidR="00FE2486" w:rsidRPr="00BD2C65">
        <w:t>attitudes or a formal legal framework. There is evidence that in some former British Colonies, there was not a tradition of hostility towards LGBTQIA+ people, and instead were</w:t>
      </w:r>
      <w:r w:rsidRPr="00BD2C65">
        <w:t xml:space="preserve"> </w:t>
      </w:r>
      <w:r w:rsidR="00AD57BE" w:rsidRPr="00BD2C65">
        <w:t>embraced</w:t>
      </w:r>
      <w:r w:rsidRPr="00BD2C65">
        <w:t xml:space="preserve"> </w:t>
      </w:r>
      <w:r w:rsidR="00FE2486" w:rsidRPr="00BD2C65">
        <w:t xml:space="preserve">as members of their communities, culture and religions </w:t>
      </w:r>
      <w:r w:rsidRPr="00BD2C65">
        <w:t>(Murray</w:t>
      </w:r>
      <w:r w:rsidR="005866A3" w:rsidRPr="00BD2C65">
        <w:t xml:space="preserve">, </w:t>
      </w:r>
      <w:r w:rsidRPr="00BD2C65">
        <w:t>Roscoe</w:t>
      </w:r>
      <w:r w:rsidR="005866A3" w:rsidRPr="00BD2C65">
        <w:t xml:space="preserve"> and Epprecht, </w:t>
      </w:r>
      <w:r w:rsidRPr="00BD2C65">
        <w:t xml:space="preserve">2021; Pausacker and Whiting, 2019; Haskins, 2014). </w:t>
      </w:r>
      <w:r w:rsidR="0053178F" w:rsidRPr="00BD2C65">
        <w:t>However</w:t>
      </w:r>
      <w:r w:rsidRPr="00BD2C65">
        <w:t xml:space="preserve">, it is important to recognise there is a complexity to this issue (Haskins, 2014). Some </w:t>
      </w:r>
      <w:r w:rsidR="00FE2486" w:rsidRPr="00BD2C65">
        <w:t>pre-colonised cultures rejected</w:t>
      </w:r>
      <w:r w:rsidRPr="00BD2C65">
        <w:t xml:space="preserve"> LGBTQIA+ people (Han and O’Mahoney, 201</w:t>
      </w:r>
      <w:r w:rsidR="005C128D" w:rsidRPr="00BD2C65">
        <w:t>4</w:t>
      </w:r>
      <w:r w:rsidRPr="00BD2C65">
        <w:t>)</w:t>
      </w:r>
      <w:r w:rsidR="00FE2486" w:rsidRPr="00BD2C65">
        <w:t>. M</w:t>
      </w:r>
      <w:r w:rsidRPr="00BD2C65">
        <w:t>oreover, some have even increased anti-LGBTQIA+ legislation since their independence (H</w:t>
      </w:r>
      <w:r w:rsidRPr="00BD2C65">
        <w:rPr>
          <w:color w:val="000000"/>
        </w:rPr>
        <w:t xml:space="preserve">askins, 2014; </w:t>
      </w:r>
      <w:r w:rsidR="00D06395" w:rsidRPr="00BD2C65">
        <w:rPr>
          <w:color w:val="000000"/>
        </w:rPr>
        <w:t xml:space="preserve">Murray, Roscoe and </w:t>
      </w:r>
      <w:r w:rsidR="00B9343F">
        <w:rPr>
          <w:color w:val="000000"/>
        </w:rPr>
        <w:t>Epprecht</w:t>
      </w:r>
      <w:r w:rsidR="00D06395" w:rsidRPr="00BD2C65">
        <w:rPr>
          <w:color w:val="000000"/>
        </w:rPr>
        <w:t>, 2021</w:t>
      </w:r>
      <w:r w:rsidRPr="00BD2C65">
        <w:rPr>
          <w:color w:val="000000"/>
        </w:rPr>
        <w:t xml:space="preserve">; </w:t>
      </w:r>
      <w:r w:rsidR="00D06395" w:rsidRPr="00BD2C65">
        <w:rPr>
          <w:color w:val="000000"/>
        </w:rPr>
        <w:t>Pausacker and Whiting, 2019</w:t>
      </w:r>
      <w:r w:rsidRPr="00BD2C65">
        <w:t xml:space="preserve">). </w:t>
      </w:r>
    </w:p>
    <w:p w14:paraId="0FEF8988" w14:textId="77777777" w:rsidR="00FC3A19" w:rsidRPr="00BD2C65" w:rsidRDefault="00FC3A19" w:rsidP="00294582">
      <w:pPr>
        <w:spacing w:line="480" w:lineRule="auto"/>
        <w:jc w:val="both"/>
      </w:pPr>
    </w:p>
    <w:p w14:paraId="65B04C23" w14:textId="613DB32B" w:rsidR="00294582" w:rsidRPr="00BD2C65" w:rsidRDefault="00294582" w:rsidP="00294582">
      <w:pPr>
        <w:spacing w:line="480" w:lineRule="auto"/>
        <w:jc w:val="both"/>
      </w:pPr>
      <w:r w:rsidRPr="00BD2C65">
        <w:t xml:space="preserve">The British purposefully criminalised </w:t>
      </w:r>
      <w:r w:rsidR="004C008F" w:rsidRPr="00BD2C65">
        <w:t>h</w:t>
      </w:r>
      <w:r w:rsidRPr="00BD2C65">
        <w:t>omosexuality in colonial countries</w:t>
      </w:r>
      <w:r w:rsidR="009E6A34" w:rsidRPr="00BD2C65">
        <w:t>, this was achieved through introducing penal codes</w:t>
      </w:r>
      <w:r w:rsidRPr="00BD2C65">
        <w:t xml:space="preserve"> (Han and O’Mahoney, 2014; Aldrich, 2008). This contrasts with other European colonising countries such as France and Spain (Han and O’Mahoney, 2014) which did not create anti-LGBTQIA+ legislation in their colonised territories (ibid.</w:t>
      </w:r>
      <w:r w:rsidR="00343D7C" w:rsidRPr="00BD2C65">
        <w:t>; Aldrich, 2008</w:t>
      </w:r>
      <w:r w:rsidRPr="00BD2C65">
        <w:t>).</w:t>
      </w:r>
      <w:r w:rsidR="009E6A34" w:rsidRPr="00BD2C65">
        <w:t xml:space="preserve"> This legacy can be seen within post Franco </w:t>
      </w:r>
      <w:r w:rsidR="009E6A34" w:rsidRPr="00BD2C65">
        <w:lastRenderedPageBreak/>
        <w:t xml:space="preserve">and Spanish </w:t>
      </w:r>
      <w:r w:rsidR="00112CAD" w:rsidRPr="00BD2C65">
        <w:t>C</w:t>
      </w:r>
      <w:r w:rsidR="009E6A34" w:rsidRPr="00BD2C65">
        <w:t xml:space="preserve">olonies with many not having formal anti-LGBTQIA+ legislation (Aldrich, 2008). </w:t>
      </w:r>
    </w:p>
    <w:p w14:paraId="15D85FAC" w14:textId="77777777" w:rsidR="00343D7C" w:rsidRPr="00BD2C65" w:rsidRDefault="00343D7C" w:rsidP="00294582">
      <w:pPr>
        <w:spacing w:line="480" w:lineRule="auto"/>
        <w:jc w:val="both"/>
      </w:pPr>
    </w:p>
    <w:p w14:paraId="436CA625" w14:textId="475E033F" w:rsidR="003752BE" w:rsidRPr="00BD2C65" w:rsidRDefault="0053178F" w:rsidP="00294582">
      <w:pPr>
        <w:spacing w:line="480" w:lineRule="auto"/>
        <w:jc w:val="both"/>
      </w:pPr>
      <w:r w:rsidRPr="00BD2C65">
        <w:t xml:space="preserve">It is crucial to acknowledge </w:t>
      </w:r>
      <w:r w:rsidR="000C5C03" w:rsidRPr="00BD2C65">
        <w:t>the invisibility</w:t>
      </w:r>
      <w:r w:rsidR="00294582" w:rsidRPr="00BD2C65">
        <w:t xml:space="preserve"> and erasure of </w:t>
      </w:r>
      <w:r w:rsidR="00112CAD" w:rsidRPr="00BD2C65">
        <w:t>i</w:t>
      </w:r>
      <w:r w:rsidR="00BE4F57" w:rsidRPr="00BD2C65">
        <w:t xml:space="preserve">ndigenous </w:t>
      </w:r>
      <w:r w:rsidR="00294582" w:rsidRPr="00BD2C65">
        <w:t>custom and belief</w:t>
      </w:r>
      <w:r w:rsidR="00D520A1" w:rsidRPr="00BD2C65">
        <w:t>, in relation to LGBTQIA+ n</w:t>
      </w:r>
      <w:r w:rsidR="00294582" w:rsidRPr="00BD2C65">
        <w:t>eed</w:t>
      </w:r>
      <w:r w:rsidR="00D520A1" w:rsidRPr="00BD2C65">
        <w:t>s</w:t>
      </w:r>
      <w:r w:rsidR="00294582" w:rsidRPr="00BD2C65">
        <w:t xml:space="preserve"> to be </w:t>
      </w:r>
      <w:r w:rsidR="00AD57BE" w:rsidRPr="00BD2C65">
        <w:t>considered</w:t>
      </w:r>
      <w:r w:rsidR="00294582" w:rsidRPr="00BD2C65">
        <w:t>, as stated by Picq and Tikuna (2019)</w:t>
      </w:r>
      <w:r w:rsidRPr="00BD2C65">
        <w:t>,</w:t>
      </w:r>
      <w:r w:rsidR="00294582" w:rsidRPr="00BD2C65">
        <w:t xml:space="preserve"> </w:t>
      </w:r>
      <w:r w:rsidRPr="00BD2C65">
        <w:t xml:space="preserve">where </w:t>
      </w:r>
      <w:r w:rsidR="00294582" w:rsidRPr="00BD2C65">
        <w:t>indigenous queer expression and identities have become invisible owing forgotten</w:t>
      </w:r>
      <w:r w:rsidR="009E6A34" w:rsidRPr="00BD2C65">
        <w:t xml:space="preserve"> and</w:t>
      </w:r>
      <w:r w:rsidR="00294582" w:rsidRPr="00BD2C65">
        <w:t xml:space="preserve"> </w:t>
      </w:r>
      <w:r w:rsidR="009E6A34" w:rsidRPr="00BD2C65">
        <w:t>mis-</w:t>
      </w:r>
      <w:r w:rsidR="00294582" w:rsidRPr="00BD2C65">
        <w:t>translat</w:t>
      </w:r>
      <w:r w:rsidR="009E6A34" w:rsidRPr="00BD2C65">
        <w:t>ed histories</w:t>
      </w:r>
      <w:r w:rsidR="00294582" w:rsidRPr="00BD2C65">
        <w:t xml:space="preserve">. </w:t>
      </w:r>
      <w:r w:rsidRPr="00BD2C65">
        <w:t>Moreover</w:t>
      </w:r>
      <w:r w:rsidR="00294582" w:rsidRPr="00BD2C65">
        <w:t xml:space="preserve">, the fluidity of LGBQTIA+ identities in </w:t>
      </w:r>
      <w:r w:rsidR="009E6A34" w:rsidRPr="00BD2C65">
        <w:t xml:space="preserve">the </w:t>
      </w:r>
      <w:r w:rsidR="00294582" w:rsidRPr="00BD2C65">
        <w:t xml:space="preserve">pre-colonial era does not </w:t>
      </w:r>
      <w:r w:rsidRPr="00BD2C65">
        <w:t xml:space="preserve">conform to </w:t>
      </w:r>
      <w:r w:rsidR="00294582" w:rsidRPr="00BD2C65">
        <w:t>western ideas of</w:t>
      </w:r>
      <w:r w:rsidR="00D02E33" w:rsidRPr="00BD2C65">
        <w:t xml:space="preserve"> </w:t>
      </w:r>
      <w:r w:rsidR="009E6A34" w:rsidRPr="00BD2C65">
        <w:t xml:space="preserve">essentialist </w:t>
      </w:r>
      <w:r w:rsidR="00D02E33" w:rsidRPr="00BD2C65">
        <w:t>binary</w:t>
      </w:r>
      <w:r w:rsidR="00294582" w:rsidRPr="00BD2C65">
        <w:t xml:space="preserve"> gender and sexual orientation (Rifkin, 2011</w:t>
      </w:r>
      <w:r w:rsidR="007D7497" w:rsidRPr="00BD2C65">
        <w:t>; O’Sullivan, 2021</w:t>
      </w:r>
      <w:r w:rsidR="00294582" w:rsidRPr="00BD2C65">
        <w:t xml:space="preserve">).  Furthermore, </w:t>
      </w:r>
      <w:r w:rsidR="00BA2220" w:rsidRPr="00BD2C65">
        <w:t xml:space="preserve">British Colonies </w:t>
      </w:r>
      <w:r w:rsidR="00294582" w:rsidRPr="00BD2C65">
        <w:t xml:space="preserve">were </w:t>
      </w:r>
      <w:r w:rsidR="009E6A34" w:rsidRPr="00BD2C65">
        <w:t>composed</w:t>
      </w:r>
      <w:r w:rsidR="00294582" w:rsidRPr="00BD2C65">
        <w:t xml:space="preserve"> of</w:t>
      </w:r>
      <w:r w:rsidR="00167BEB" w:rsidRPr="00BD2C65">
        <w:t xml:space="preserve"> diverse </w:t>
      </w:r>
      <w:r w:rsidR="00294582" w:rsidRPr="00BD2C65">
        <w:t xml:space="preserve">countries, cultures, languages and religious beliefs (Ferguson, 2004) thus creating a </w:t>
      </w:r>
      <w:r w:rsidR="007A0657" w:rsidRPr="00BD2C65">
        <w:t xml:space="preserve">myriad of </w:t>
      </w:r>
      <w:r w:rsidR="009E6A34" w:rsidRPr="00BD2C65">
        <w:t xml:space="preserve">historical </w:t>
      </w:r>
      <w:r w:rsidR="007A0657" w:rsidRPr="00BD2C65">
        <w:t>possibilities</w:t>
      </w:r>
      <w:r w:rsidR="00294582" w:rsidRPr="00BD2C65">
        <w:t xml:space="preserve">.  </w:t>
      </w:r>
      <w:r w:rsidR="009A7C8D" w:rsidRPr="00BD2C65">
        <w:t>In addition</w:t>
      </w:r>
      <w:r w:rsidR="005259AE" w:rsidRPr="00BD2C65">
        <w:t>, Jones and Ferguson (2020) argue that colonialisation imposed a homogenous view on the culture and belief systems of</w:t>
      </w:r>
      <w:r w:rsidR="00817FD6" w:rsidRPr="00BD2C65">
        <w:t xml:space="preserve"> pre-colonial peoples and disregarded their </w:t>
      </w:r>
      <w:r w:rsidR="00EE6A59" w:rsidRPr="00BD2C65">
        <w:t>heterogeneity. As a result, colonised people</w:t>
      </w:r>
      <w:r w:rsidR="009A7C8D" w:rsidRPr="00BD2C65">
        <w:t>s</w:t>
      </w:r>
      <w:r w:rsidR="00EE6A59" w:rsidRPr="00BD2C65">
        <w:t xml:space="preserve"> were often viewed as sub-human and lacking westernised morality, therefore requiring </w:t>
      </w:r>
      <w:r w:rsidR="0011030E" w:rsidRPr="00BD2C65">
        <w:t>salvation</w:t>
      </w:r>
      <w:r w:rsidR="00EE6A59" w:rsidRPr="00BD2C65">
        <w:t xml:space="preserve"> from their supposed depravity (ibid.).</w:t>
      </w:r>
      <w:r w:rsidR="009E6A34" w:rsidRPr="00BD2C65">
        <w:t xml:space="preserve"> The </w:t>
      </w:r>
      <w:r w:rsidR="00294582" w:rsidRPr="00BD2C65">
        <w:t xml:space="preserve">author of this thesis is taking a pluralistic view </w:t>
      </w:r>
      <w:r w:rsidR="009E6A34" w:rsidRPr="00BD2C65">
        <w:t>of</w:t>
      </w:r>
      <w:r w:rsidR="00294582" w:rsidRPr="00BD2C65">
        <w:t xml:space="preserve"> this analysis, </w:t>
      </w:r>
      <w:r w:rsidR="009E6A34" w:rsidRPr="00BD2C65">
        <w:t>recognising</w:t>
      </w:r>
      <w:r w:rsidR="00294582" w:rsidRPr="00BD2C65">
        <w:t xml:space="preserve"> the multiplicity of different LGBTQIA+ people’s experiences in former colonial countries (ibid.) and </w:t>
      </w:r>
      <w:r w:rsidR="009E6A34" w:rsidRPr="00BD2C65">
        <w:t>being</w:t>
      </w:r>
      <w:r w:rsidR="00294582" w:rsidRPr="00BD2C65">
        <w:t xml:space="preserve"> aware of </w:t>
      </w:r>
      <w:r w:rsidR="009E6A34" w:rsidRPr="00BD2C65">
        <w:t>the author’s</w:t>
      </w:r>
      <w:r w:rsidR="00294582" w:rsidRPr="00BD2C65">
        <w:t xml:space="preserve"> own westernised upbringing and </w:t>
      </w:r>
      <w:r w:rsidR="009E6A34" w:rsidRPr="00BD2C65">
        <w:t>perceptions</w:t>
      </w:r>
      <w:r w:rsidR="00294582" w:rsidRPr="00BD2C65">
        <w:t xml:space="preserve">.  </w:t>
      </w:r>
    </w:p>
    <w:p w14:paraId="590AE0DD" w14:textId="77777777" w:rsidR="00294582" w:rsidRPr="00BD2C65" w:rsidRDefault="00294582" w:rsidP="00294582">
      <w:pPr>
        <w:spacing w:line="480" w:lineRule="auto"/>
        <w:jc w:val="both"/>
      </w:pPr>
    </w:p>
    <w:p w14:paraId="1161514F" w14:textId="7835B1A3" w:rsidR="00294582" w:rsidRPr="00BD2C65" w:rsidRDefault="009A7C8D" w:rsidP="00294582">
      <w:pPr>
        <w:spacing w:line="480" w:lineRule="auto"/>
        <w:jc w:val="both"/>
      </w:pPr>
      <w:r w:rsidRPr="00BD2C65">
        <w:t xml:space="preserve">By employing </w:t>
      </w:r>
      <w:r w:rsidR="00294582" w:rsidRPr="00BD2C65">
        <w:t>Foucault’s (1977) concepts within his seminal work ‘</w:t>
      </w:r>
      <w:r w:rsidR="009B215B" w:rsidRPr="00BD2C65">
        <w:t>H</w:t>
      </w:r>
      <w:r w:rsidR="00294582" w:rsidRPr="00BD2C65">
        <w:t xml:space="preserve">istory of </w:t>
      </w:r>
      <w:r w:rsidR="009B215B" w:rsidRPr="00BD2C65">
        <w:t>S</w:t>
      </w:r>
      <w:r w:rsidR="00294582" w:rsidRPr="00BD2C65">
        <w:t>exuality’ (ibid.), deconstructing notions of truth</w:t>
      </w:r>
      <w:r w:rsidR="009B215B" w:rsidRPr="00BD2C65">
        <w:t>,</w:t>
      </w:r>
      <w:r w:rsidR="00294582" w:rsidRPr="00BD2C65">
        <w:t xml:space="preserve"> and reflecting on the pre-colonial history of sexuality this perspective helps to disrupt</w:t>
      </w:r>
      <w:r w:rsidR="00986911" w:rsidRPr="00BD2C65">
        <w:t>:</w:t>
      </w:r>
    </w:p>
    <w:p w14:paraId="5D790110" w14:textId="77777777" w:rsidR="00294582" w:rsidRPr="00BD2C65" w:rsidRDefault="00294582" w:rsidP="00294582">
      <w:pPr>
        <w:spacing w:line="480" w:lineRule="auto"/>
        <w:jc w:val="both"/>
      </w:pPr>
    </w:p>
    <w:p w14:paraId="29CE5724" w14:textId="3B1ACC24" w:rsidR="00065B88" w:rsidRPr="00BD2C65" w:rsidRDefault="002D24D0" w:rsidP="00065B88">
      <w:pPr>
        <w:spacing w:line="480" w:lineRule="auto"/>
        <w:jc w:val="both"/>
      </w:pPr>
      <w:r w:rsidRPr="00BD2C65">
        <w:rPr>
          <w:i/>
          <w:iCs/>
        </w:rPr>
        <w:t>‘</w:t>
      </w:r>
      <w:r w:rsidR="00294582" w:rsidRPr="00BD2C65">
        <w:rPr>
          <w:i/>
          <w:iCs/>
        </w:rPr>
        <w:t>what was considered immobile; it fragments what was thought unified; it shows the heterogeneity of what was imagined consisted with itself</w:t>
      </w:r>
      <w:r w:rsidRPr="00BD2C65">
        <w:rPr>
          <w:i/>
          <w:iCs/>
        </w:rPr>
        <w:t>’</w:t>
      </w:r>
      <w:r w:rsidR="00294582" w:rsidRPr="00BD2C65">
        <w:rPr>
          <w:i/>
          <w:iCs/>
        </w:rPr>
        <w:t xml:space="preserve"> </w:t>
      </w:r>
      <w:r w:rsidR="00294582" w:rsidRPr="00BD2C65">
        <w:t>(ibid., p.147).</w:t>
      </w:r>
    </w:p>
    <w:p w14:paraId="35D7D9D9" w14:textId="77777777" w:rsidR="00065B88" w:rsidRPr="00BD2C65" w:rsidRDefault="00065B88" w:rsidP="00065B88">
      <w:pPr>
        <w:spacing w:line="480" w:lineRule="auto"/>
        <w:jc w:val="both"/>
      </w:pPr>
    </w:p>
    <w:p w14:paraId="40BADD76" w14:textId="75788980" w:rsidR="006125C2" w:rsidRPr="00BD2C65" w:rsidRDefault="00294582" w:rsidP="00935F92">
      <w:pPr>
        <w:spacing w:line="480" w:lineRule="auto"/>
        <w:jc w:val="both"/>
        <w:rPr>
          <w:b/>
          <w:bCs/>
        </w:rPr>
      </w:pPr>
      <w:r w:rsidRPr="00BD2C65">
        <w:t xml:space="preserve">Foucault’s lens helps to illustrate </w:t>
      </w:r>
      <w:r w:rsidR="009B215B" w:rsidRPr="00BD2C65">
        <w:t xml:space="preserve">that </w:t>
      </w:r>
      <w:r w:rsidRPr="00BD2C65">
        <w:t xml:space="preserve">there is some evidence of pre-British-Colonised countries being more accepting of LGBTQIA+ people, although they </w:t>
      </w:r>
      <w:r w:rsidR="009B215B" w:rsidRPr="00BD2C65">
        <w:t>would</w:t>
      </w:r>
      <w:r w:rsidRPr="00BD2C65">
        <w:t xml:space="preserve"> not have described it as such (Murray</w:t>
      </w:r>
      <w:r w:rsidR="00343D7C" w:rsidRPr="00BD2C65">
        <w:t>, Epprecht</w:t>
      </w:r>
      <w:r w:rsidRPr="00BD2C65">
        <w:t xml:space="preserve"> and Roscoe, 2021; Pausacker and Whiting, 2019; Haskins, 2014). This includes Southeast Asia, which recognised some people as Hijra (Dutta, 2012), which is a term used for trans people (ibid.).  Moreover, in Nigeria the Igbo and Yoruba tribes did not have binary</w:t>
      </w:r>
      <w:r w:rsidR="002F10A7" w:rsidRPr="00BD2C65">
        <w:t xml:space="preserve"> essentialist</w:t>
      </w:r>
      <w:r w:rsidRPr="00BD2C65">
        <w:t xml:space="preserve"> genders (Uchendu, Roets and Vandenbroeck, 2019; Willis, 2018)</w:t>
      </w:r>
      <w:r w:rsidR="009B215B" w:rsidRPr="00BD2C65">
        <w:t>;</w:t>
      </w:r>
      <w:r w:rsidRPr="00BD2C65">
        <w:t xml:space="preserve"> this was similar in Ghana (Bawa, 2019). One of the most famous LGBTQIA+ individuals to be recorded is </w:t>
      </w:r>
      <w:r w:rsidR="0011030E" w:rsidRPr="00BD2C65">
        <w:t>a</w:t>
      </w:r>
      <w:r w:rsidR="009A7C8D" w:rsidRPr="00BD2C65">
        <w:t xml:space="preserve"> </w:t>
      </w:r>
      <w:r w:rsidRPr="00BD2C65">
        <w:t xml:space="preserve">King </w:t>
      </w:r>
      <w:r w:rsidR="009B215B" w:rsidRPr="00BD2C65">
        <w:t xml:space="preserve">Mwanga </w:t>
      </w:r>
      <w:r w:rsidRPr="00BD2C65">
        <w:t xml:space="preserve">of </w:t>
      </w:r>
      <w:r w:rsidR="0011030E" w:rsidRPr="00BD2C65">
        <w:t>Buganda</w:t>
      </w:r>
      <w:r w:rsidRPr="00BD2C65">
        <w:t xml:space="preserve"> </w:t>
      </w:r>
      <w:r w:rsidR="009B215B" w:rsidRPr="00BD2C65">
        <w:t xml:space="preserve">now within </w:t>
      </w:r>
      <w:r w:rsidR="00675FA9" w:rsidRPr="00BD2C65">
        <w:t>modern Uganda</w:t>
      </w:r>
      <w:r w:rsidR="009B215B" w:rsidRPr="00BD2C65">
        <w:t>,</w:t>
      </w:r>
      <w:r w:rsidRPr="00BD2C65">
        <w:t xml:space="preserve"> who was gay (Nannyonga-Tamusuza, 2005).  In fact, biological sex was not equated to the two-gender hegemony of western Eurocentric states (Gomes da Costa Santos and Waites, 2021).  However, despite this acceptance in some areas, non-heteronormative sexuality and gender identities were expressed as don’t ask and don’t tell (Msibi, 2011). Power and control </w:t>
      </w:r>
      <w:r w:rsidR="009346B0" w:rsidRPr="00BD2C65">
        <w:t>are</w:t>
      </w:r>
      <w:r w:rsidRPr="00BD2C65">
        <w:t xml:space="preserve"> explored further in </w:t>
      </w:r>
      <w:r w:rsidRPr="00BD2C65">
        <w:rPr>
          <w:b/>
          <w:bCs/>
        </w:rPr>
        <w:t>Discussion 1</w:t>
      </w:r>
      <w:r w:rsidR="00753B2A" w:rsidRPr="00BD2C65">
        <w:rPr>
          <w:b/>
          <w:bCs/>
        </w:rPr>
        <w:t>:</w:t>
      </w:r>
      <w:r w:rsidR="00B1353C" w:rsidRPr="00BD2C65">
        <w:rPr>
          <w:b/>
          <w:bCs/>
        </w:rPr>
        <w:t xml:space="preserve"> Power: Biopolitics</w:t>
      </w:r>
    </w:p>
    <w:p w14:paraId="2D714857" w14:textId="77777777" w:rsidR="009346B0" w:rsidRPr="00BD2C65" w:rsidRDefault="009346B0" w:rsidP="00935F92">
      <w:pPr>
        <w:spacing w:line="480" w:lineRule="auto"/>
        <w:jc w:val="both"/>
      </w:pPr>
    </w:p>
    <w:p w14:paraId="1F5AD534" w14:textId="33547957" w:rsidR="00B1353C" w:rsidRDefault="00294582" w:rsidP="00B1353C">
      <w:pPr>
        <w:numPr>
          <w:ilvl w:val="1"/>
          <w:numId w:val="1"/>
        </w:numPr>
        <w:spacing w:line="480" w:lineRule="auto"/>
        <w:jc w:val="both"/>
        <w:outlineLvl w:val="1"/>
      </w:pPr>
      <w:bookmarkStart w:id="13" w:name="_Toc145927539"/>
      <w:r w:rsidRPr="00FC6F5C">
        <w:rPr>
          <w:b/>
        </w:rPr>
        <w:t>Theme 3: Morality</w:t>
      </w:r>
      <w:bookmarkEnd w:id="13"/>
      <w:r w:rsidRPr="00FC6F5C">
        <w:rPr>
          <w:b/>
        </w:rPr>
        <w:t xml:space="preserve"> </w:t>
      </w:r>
    </w:p>
    <w:p w14:paraId="58B88105" w14:textId="5E5F6159" w:rsidR="00294582" w:rsidRPr="00BD2C65" w:rsidRDefault="009A7C8D" w:rsidP="00294582">
      <w:pPr>
        <w:spacing w:line="480" w:lineRule="auto"/>
        <w:jc w:val="both"/>
      </w:pPr>
      <w:r w:rsidRPr="00BD2C65">
        <w:t>This theme discourse delves into the Christian influence on British Colonial rule and its impact on anti-LGBTQIA+ legislation in the British Empire</w:t>
      </w:r>
      <w:r w:rsidR="009B215B" w:rsidRPr="00BD2C65">
        <w:t>,</w:t>
      </w:r>
      <w:r w:rsidR="00294582" w:rsidRPr="00BD2C65">
        <w:t xml:space="preserve"> </w:t>
      </w:r>
      <w:r w:rsidR="009B215B" w:rsidRPr="00BD2C65">
        <w:t>which</w:t>
      </w:r>
      <w:r w:rsidR="00294582" w:rsidRPr="00BD2C65">
        <w:t xml:space="preserve"> began in the 15th Century (Piers, 2007). Although Britain, in the beginning, focused on imperialism through private companies such as the East India Company (Vaughan, 2019), towards the late 19th century the British introduced formal state control (ibid.). </w:t>
      </w:r>
    </w:p>
    <w:p w14:paraId="3E85620F" w14:textId="77777777" w:rsidR="006125C2" w:rsidRPr="00BD2C65" w:rsidRDefault="006125C2" w:rsidP="00294582">
      <w:pPr>
        <w:spacing w:line="480" w:lineRule="auto"/>
        <w:jc w:val="both"/>
      </w:pPr>
    </w:p>
    <w:p w14:paraId="400DD87D" w14:textId="7B160179" w:rsidR="00F15773" w:rsidRPr="00BD2C65" w:rsidRDefault="00294582" w:rsidP="00294582">
      <w:pPr>
        <w:spacing w:line="480" w:lineRule="auto"/>
        <w:jc w:val="both"/>
      </w:pPr>
      <w:r w:rsidRPr="00BD2C65">
        <w:t>British society was dominated by Christianity, which historically has shown less favourable attitudes to LGBTQIA+ people (ibid.)</w:t>
      </w:r>
      <w:r w:rsidR="009B215B" w:rsidRPr="00BD2C65">
        <w:t>. S</w:t>
      </w:r>
      <w:r w:rsidRPr="00BD2C65">
        <w:t xml:space="preserve">ome of the tenets of Christianity, </w:t>
      </w:r>
      <w:r w:rsidRPr="00BD2C65">
        <w:lastRenderedPageBreak/>
        <w:t>at this time were used to justify anti-LGBTQIA+ legislation (ibid.). In addition,</w:t>
      </w:r>
      <w:r w:rsidR="009B215B" w:rsidRPr="00BD2C65">
        <w:t xml:space="preserve"> some</w:t>
      </w:r>
      <w:r w:rsidRPr="00BD2C65">
        <w:t xml:space="preserve"> Europeans saw colonised people as </w:t>
      </w:r>
      <w:r w:rsidR="009B215B" w:rsidRPr="00BD2C65">
        <w:t>inferior</w:t>
      </w:r>
      <w:r w:rsidRPr="00BD2C65">
        <w:t xml:space="preserve"> (Wolfe, 2006; </w:t>
      </w:r>
      <w:r w:rsidRPr="00BD2C65">
        <w:rPr>
          <w:color w:val="000000"/>
        </w:rPr>
        <w:t>Ogunnaike, 2016; Rosa and Flores, 2017; Freire, Ramos and Macedo, 2014</w:t>
      </w:r>
      <w:r w:rsidRPr="00BD2C65">
        <w:t xml:space="preserve">). </w:t>
      </w:r>
    </w:p>
    <w:p w14:paraId="4E5800B3" w14:textId="77777777" w:rsidR="00F15773" w:rsidRPr="00BD2C65" w:rsidRDefault="00F15773" w:rsidP="00294582">
      <w:pPr>
        <w:spacing w:line="480" w:lineRule="auto"/>
        <w:jc w:val="both"/>
      </w:pPr>
    </w:p>
    <w:p w14:paraId="163C964C" w14:textId="61E9F02C" w:rsidR="00294582" w:rsidRPr="00BD2C65" w:rsidRDefault="003E5459" w:rsidP="00294582">
      <w:pPr>
        <w:spacing w:line="480" w:lineRule="auto"/>
        <w:jc w:val="both"/>
      </w:pPr>
      <w:r w:rsidRPr="00BD2C65">
        <w:t>Through the imposition of Christianity upon</w:t>
      </w:r>
      <w:r w:rsidR="00294582" w:rsidRPr="00BD2C65">
        <w:t xml:space="preserve"> </w:t>
      </w:r>
      <w:r w:rsidRPr="00BD2C65">
        <w:t>I</w:t>
      </w:r>
      <w:r w:rsidR="00294582" w:rsidRPr="00BD2C65">
        <w:t xml:space="preserve">ndigenous </w:t>
      </w:r>
      <w:r w:rsidRPr="00BD2C65">
        <w:t>P</w:t>
      </w:r>
      <w:r w:rsidR="00294582" w:rsidRPr="00BD2C65">
        <w:t xml:space="preserve">eople, traditional </w:t>
      </w:r>
      <w:r w:rsidR="009B215B" w:rsidRPr="00BD2C65">
        <w:t xml:space="preserve">religious </w:t>
      </w:r>
      <w:r w:rsidR="00294582" w:rsidRPr="00BD2C65">
        <w:t>practices</w:t>
      </w:r>
      <w:r w:rsidR="009B215B" w:rsidRPr="00BD2C65">
        <w:t xml:space="preserve"> were erased</w:t>
      </w:r>
      <w:r w:rsidR="00294582" w:rsidRPr="00BD2C65">
        <w:t xml:space="preserve"> (Picq and Tikuna, 2019; Peatrik, 2021). However, it should be noted that this was not just a British phenomenon</w:t>
      </w:r>
      <w:r w:rsidR="009B215B" w:rsidRPr="00BD2C65">
        <w:t>;</w:t>
      </w:r>
      <w:r w:rsidR="00294582" w:rsidRPr="00BD2C65">
        <w:t xml:space="preserve"> other European countries such as the</w:t>
      </w:r>
      <w:r w:rsidR="009B5DAC" w:rsidRPr="00BD2C65">
        <w:t xml:space="preserve"> </w:t>
      </w:r>
      <w:r w:rsidR="006A18A1" w:rsidRPr="00BD2C65">
        <w:t>Netherlands</w:t>
      </w:r>
      <w:r w:rsidR="00294582" w:rsidRPr="00BD2C65">
        <w:t xml:space="preserve">, </w:t>
      </w:r>
      <w:r w:rsidR="009B5DAC" w:rsidRPr="00BD2C65">
        <w:t>Spain</w:t>
      </w:r>
      <w:r w:rsidR="00294582" w:rsidRPr="00BD2C65">
        <w:t xml:space="preserve"> and </w:t>
      </w:r>
      <w:r w:rsidR="009B5DAC" w:rsidRPr="00BD2C65">
        <w:t>Portugal</w:t>
      </w:r>
      <w:r w:rsidR="00294582" w:rsidRPr="00BD2C65">
        <w:t xml:space="preserve"> also engaged in conversion of </w:t>
      </w:r>
      <w:r w:rsidR="00FB0CE0" w:rsidRPr="00BD2C65">
        <w:t>I</w:t>
      </w:r>
      <w:r w:rsidR="00BE4F57" w:rsidRPr="00BD2C65">
        <w:t xml:space="preserve">ndigenous </w:t>
      </w:r>
      <w:r w:rsidR="009B5DAC" w:rsidRPr="00BD2C65">
        <w:t>P</w:t>
      </w:r>
      <w:r w:rsidR="00294582" w:rsidRPr="00BD2C65">
        <w:t xml:space="preserve">eople’s </w:t>
      </w:r>
      <w:r w:rsidR="009B215B" w:rsidRPr="00BD2C65">
        <w:t xml:space="preserve">religious </w:t>
      </w:r>
      <w:r w:rsidR="00294582" w:rsidRPr="00BD2C65">
        <w:t xml:space="preserve">practices and beliefs (Oostindie and Howland, 2011; Burchardt and Leinius, 2022; Coates, 2016). Additionally, Christian missionaries not only brought religion but morality too (Jensz, 2012).   </w:t>
      </w:r>
    </w:p>
    <w:p w14:paraId="2D5E984F" w14:textId="77777777" w:rsidR="00294582" w:rsidRPr="00BD2C65" w:rsidRDefault="00294582" w:rsidP="00294582">
      <w:pPr>
        <w:spacing w:line="480" w:lineRule="auto"/>
        <w:jc w:val="both"/>
      </w:pPr>
    </w:p>
    <w:p w14:paraId="2105D91B" w14:textId="5B7E8A06" w:rsidR="00294582" w:rsidRPr="00BD2C65" w:rsidRDefault="00294582" w:rsidP="00294582">
      <w:pPr>
        <w:spacing w:line="480" w:lineRule="auto"/>
        <w:jc w:val="both"/>
      </w:pPr>
      <w:r w:rsidRPr="00BD2C65">
        <w:t>Morality is a huge influence on anti-LGBTQIA+ legislation</w:t>
      </w:r>
      <w:r w:rsidR="009B215B" w:rsidRPr="00BD2C65">
        <w:t>, B</w:t>
      </w:r>
      <w:r w:rsidRPr="00BD2C65">
        <w:t xml:space="preserve">efore the 18th century, </w:t>
      </w:r>
      <w:r w:rsidR="009B215B" w:rsidRPr="00BD2C65">
        <w:t xml:space="preserve">much </w:t>
      </w:r>
      <w:r w:rsidRPr="00BD2C65">
        <w:t xml:space="preserve">European writings on sexuality </w:t>
      </w:r>
      <w:r w:rsidR="00BF0559" w:rsidRPr="00BD2C65">
        <w:t>involved</w:t>
      </w:r>
      <w:r w:rsidRPr="00BD2C65">
        <w:t xml:space="preserve"> a moral discussion based on Judeo-Christian code (Runkel, 1998). This code established what was described as sinful and everyone was believed to be at risk of </w:t>
      </w:r>
      <w:r w:rsidR="009B215B" w:rsidRPr="00BD2C65">
        <w:t xml:space="preserve">lustful </w:t>
      </w:r>
      <w:r w:rsidRPr="00BD2C65">
        <w:t>temptation (ibid</w:t>
      </w:r>
      <w:r w:rsidR="00B27763" w:rsidRPr="00BD2C65">
        <w:t>.</w:t>
      </w:r>
      <w:r w:rsidRPr="00BD2C65">
        <w:t>)</w:t>
      </w:r>
      <w:r w:rsidR="00BF0559" w:rsidRPr="00BD2C65">
        <w:t xml:space="preserve"> which </w:t>
      </w:r>
      <w:r w:rsidRPr="00BD2C65">
        <w:t xml:space="preserve">was believed to cause a breakdown of moral </w:t>
      </w:r>
      <w:r w:rsidR="00BF0559" w:rsidRPr="00BD2C65">
        <w:t>awareness</w:t>
      </w:r>
      <w:r w:rsidRPr="00BD2C65">
        <w:t xml:space="preserve"> (ibid.). </w:t>
      </w:r>
      <w:r w:rsidR="006A18A1" w:rsidRPr="00BD2C65">
        <w:t>Therefore,</w:t>
      </w:r>
      <w:r w:rsidR="00BF0559" w:rsidRPr="00BD2C65">
        <w:t xml:space="preserve"> </w:t>
      </w:r>
      <w:r w:rsidR="004C008F" w:rsidRPr="00BD2C65">
        <w:t>h</w:t>
      </w:r>
      <w:r w:rsidRPr="00BD2C65">
        <w:t>omosexuality and other non-</w:t>
      </w:r>
      <w:r w:rsidR="00863726" w:rsidRPr="00BD2C65">
        <w:t>procreational</w:t>
      </w:r>
      <w:r w:rsidRPr="00BD2C65">
        <w:t xml:space="preserve"> sexual acts were all viewed as immoral (ibid.). Morality was used to justify the subjugation of </w:t>
      </w:r>
      <w:r w:rsidR="006A18A1" w:rsidRPr="00BD2C65">
        <w:t>I</w:t>
      </w:r>
      <w:r w:rsidR="00BE4F57" w:rsidRPr="00BD2C65">
        <w:t xml:space="preserve">ndigenous </w:t>
      </w:r>
      <w:r w:rsidR="006A18A1" w:rsidRPr="00BD2C65">
        <w:t>P</w:t>
      </w:r>
      <w:r w:rsidRPr="00BD2C65">
        <w:t>eople (Mooney, 2020)</w:t>
      </w:r>
      <w:r w:rsidR="00BF0559" w:rsidRPr="00BD2C65">
        <w:t xml:space="preserve">. </w:t>
      </w:r>
      <w:r w:rsidR="006A18A1" w:rsidRPr="00BD2C65">
        <w:t>Furthermore,</w:t>
      </w:r>
      <w:r w:rsidRPr="00BD2C65">
        <w:t xml:space="preserve"> only acts which violated natural law could lead to justification of violence as decreed by Pope Innocent IV (ibid.). The only way to save </w:t>
      </w:r>
      <w:r w:rsidR="004D01E7" w:rsidRPr="00BD2C65">
        <w:t>I</w:t>
      </w:r>
      <w:r w:rsidR="00BE4F57" w:rsidRPr="00BD2C65">
        <w:t xml:space="preserve">ndigenous </w:t>
      </w:r>
      <w:r w:rsidR="004D01E7" w:rsidRPr="00BD2C65">
        <w:t>P</w:t>
      </w:r>
      <w:r w:rsidRPr="00BD2C65">
        <w:t xml:space="preserve">eople, in the </w:t>
      </w:r>
      <w:r w:rsidR="0011030E" w:rsidRPr="00BD2C65">
        <w:t>colonisers</w:t>
      </w:r>
      <w:r w:rsidR="00873997" w:rsidRPr="00BD2C65">
        <w:t>’</w:t>
      </w:r>
      <w:r w:rsidRPr="00BD2C65">
        <w:t xml:space="preserve"> eyes</w:t>
      </w:r>
      <w:r w:rsidR="00873997" w:rsidRPr="00BD2C65">
        <w:t>, was</w:t>
      </w:r>
      <w:r w:rsidRPr="00BD2C65">
        <w:t xml:space="preserve"> to convert them to Christianity (ibid; Jindra, 2021; Kling, 2020). </w:t>
      </w:r>
      <w:r w:rsidR="00444775" w:rsidRPr="00BD2C65">
        <w:t xml:space="preserve"> </w:t>
      </w:r>
      <w:r w:rsidR="00B3532C" w:rsidRPr="00BD2C65">
        <w:t>Furthermore, the connection between LGBTQIA+ rights</w:t>
      </w:r>
      <w:r w:rsidR="001159A5" w:rsidRPr="00BD2C65">
        <w:t xml:space="preserve"> and</w:t>
      </w:r>
      <w:r w:rsidR="00B3532C" w:rsidRPr="00BD2C65">
        <w:t xml:space="preserve"> Christian </w:t>
      </w:r>
      <w:r w:rsidR="00B3532C" w:rsidRPr="00BD2C65">
        <w:rPr>
          <w:color w:val="000000"/>
        </w:rPr>
        <w:t xml:space="preserve">morality </w:t>
      </w:r>
      <w:r w:rsidR="001159A5" w:rsidRPr="00BD2C65">
        <w:rPr>
          <w:color w:val="000000"/>
        </w:rPr>
        <w:t>involves more than simply</w:t>
      </w:r>
      <w:r w:rsidR="00B3532C" w:rsidRPr="00BD2C65">
        <w:rPr>
          <w:color w:val="000000"/>
        </w:rPr>
        <w:t xml:space="preserve"> beliefs and attitudes, but also </w:t>
      </w:r>
      <w:r w:rsidR="001159A5" w:rsidRPr="00BD2C65">
        <w:rPr>
          <w:color w:val="000000"/>
        </w:rPr>
        <w:t>encompasses</w:t>
      </w:r>
      <w:r w:rsidR="00B3532C" w:rsidRPr="00BD2C65">
        <w:rPr>
          <w:color w:val="000000"/>
        </w:rPr>
        <w:t xml:space="preserve"> power and privilege (Todd et al, 2020</w:t>
      </w:r>
      <w:r w:rsidR="001159A5" w:rsidRPr="00BD2C65">
        <w:rPr>
          <w:color w:val="000000"/>
        </w:rPr>
        <w:t>).</w:t>
      </w:r>
    </w:p>
    <w:p w14:paraId="7866A271" w14:textId="77777777" w:rsidR="00294582" w:rsidRPr="00BD2C65" w:rsidRDefault="00294582" w:rsidP="00294582">
      <w:pPr>
        <w:spacing w:line="480" w:lineRule="auto"/>
        <w:jc w:val="both"/>
      </w:pPr>
    </w:p>
    <w:p w14:paraId="68BEC10D" w14:textId="13E17FC5" w:rsidR="00444775" w:rsidRPr="00BD2C65" w:rsidRDefault="00294582" w:rsidP="003549C4">
      <w:pPr>
        <w:spacing w:line="480" w:lineRule="auto"/>
        <w:jc w:val="both"/>
        <w:rPr>
          <w:color w:val="000000"/>
        </w:rPr>
      </w:pPr>
      <w:r w:rsidRPr="00BD2C65">
        <w:t xml:space="preserve">However, </w:t>
      </w:r>
      <w:r w:rsidR="00873997" w:rsidRPr="00BD2C65">
        <w:t>by the 18</w:t>
      </w:r>
      <w:r w:rsidR="00873997" w:rsidRPr="00BD2C65">
        <w:rPr>
          <w:vertAlign w:val="superscript"/>
        </w:rPr>
        <w:t>th</w:t>
      </w:r>
      <w:r w:rsidR="00873997" w:rsidRPr="00BD2C65">
        <w:t xml:space="preserve"> century</w:t>
      </w:r>
      <w:r w:rsidRPr="00BD2C65">
        <w:t xml:space="preserve"> there were philosophers</w:t>
      </w:r>
      <w:r w:rsidR="00873997" w:rsidRPr="00BD2C65">
        <w:t xml:space="preserve">, such as Immanuel Kant (Filkschuh, Ypi and Aiei, 2014; Eberl, 2019) and Adam Smith (Ince, 2021) </w:t>
      </w:r>
      <w:r w:rsidRPr="00BD2C65">
        <w:t xml:space="preserve">who </w:t>
      </w:r>
      <w:r w:rsidR="00873997" w:rsidRPr="00BD2C65">
        <w:t>argued</w:t>
      </w:r>
      <w:r w:rsidRPr="00BD2C65">
        <w:t xml:space="preserve"> against </w:t>
      </w:r>
      <w:r w:rsidR="00873997" w:rsidRPr="00BD2C65">
        <w:t>the</w:t>
      </w:r>
      <w:r w:rsidRPr="00BD2C65">
        <w:t xml:space="preserve"> barbaric practices</w:t>
      </w:r>
      <w:r w:rsidR="00873997" w:rsidRPr="00BD2C65">
        <w:t xml:space="preserve"> of slavery</w:t>
      </w:r>
      <w:r w:rsidRPr="00BD2C65">
        <w:t xml:space="preserve"> and objected to the idea that the Europeans had the right to </w:t>
      </w:r>
      <w:r w:rsidR="00873997" w:rsidRPr="00BD2C65">
        <w:t>subjugate</w:t>
      </w:r>
      <w:r w:rsidRPr="00BD2C65">
        <w:t xml:space="preserve"> </w:t>
      </w:r>
      <w:r w:rsidR="004D01E7" w:rsidRPr="00BD2C65">
        <w:t>I</w:t>
      </w:r>
      <w:r w:rsidR="00BE4F57" w:rsidRPr="00BD2C65">
        <w:t xml:space="preserve">ndigenous </w:t>
      </w:r>
      <w:r w:rsidR="004D01E7" w:rsidRPr="00BD2C65">
        <w:t>P</w:t>
      </w:r>
      <w:r w:rsidRPr="00BD2C65">
        <w:t xml:space="preserve">eoples. Moreover, </w:t>
      </w:r>
      <w:r w:rsidRPr="00BD2C65">
        <w:rPr>
          <w:color w:val="1A1A1A"/>
        </w:rPr>
        <w:t>Diderot,</w:t>
      </w:r>
      <w:r w:rsidR="00873997" w:rsidRPr="00BD2C65">
        <w:rPr>
          <w:color w:val="1A1A1A"/>
        </w:rPr>
        <w:t xml:space="preserve"> an </w:t>
      </w:r>
      <w:r w:rsidR="004D01E7" w:rsidRPr="00BD2C65">
        <w:rPr>
          <w:color w:val="1A1A1A"/>
        </w:rPr>
        <w:t>opponent of</w:t>
      </w:r>
      <w:r w:rsidRPr="00BD2C65">
        <w:rPr>
          <w:color w:val="1A1A1A"/>
        </w:rPr>
        <w:t xml:space="preserve"> anti-colonialism highlights the brutality and violence of settlers, </w:t>
      </w:r>
      <w:r w:rsidR="00873997" w:rsidRPr="00BD2C65">
        <w:rPr>
          <w:color w:val="1A1A1A"/>
        </w:rPr>
        <w:t>arising from an absence of legal restraint</w:t>
      </w:r>
      <w:r w:rsidRPr="00BD2C65">
        <w:rPr>
          <w:color w:val="1A1A1A"/>
        </w:rPr>
        <w:t xml:space="preserve"> (Imbruglia, 2015)</w:t>
      </w:r>
      <w:r w:rsidR="00873997" w:rsidRPr="00BD2C65">
        <w:rPr>
          <w:color w:val="1A1A1A"/>
        </w:rPr>
        <w:t>.</w:t>
      </w:r>
      <w:r w:rsidRPr="00BD2C65">
        <w:rPr>
          <w:color w:val="1A1A1A"/>
        </w:rPr>
        <w:t xml:space="preserve"> </w:t>
      </w:r>
      <w:r w:rsidR="00873997" w:rsidRPr="00BD2C65">
        <w:rPr>
          <w:color w:val="1A1A1A"/>
        </w:rPr>
        <w:t xml:space="preserve">Diderot </w:t>
      </w:r>
      <w:r w:rsidRPr="00BD2C65">
        <w:rPr>
          <w:color w:val="1A1A1A"/>
        </w:rPr>
        <w:t xml:space="preserve">did not see </w:t>
      </w:r>
      <w:r w:rsidR="00BE4F57" w:rsidRPr="00BD2C65">
        <w:t xml:space="preserve">indigenous </w:t>
      </w:r>
      <w:r w:rsidRPr="00BD2C65">
        <w:rPr>
          <w:color w:val="1A1A1A"/>
        </w:rPr>
        <w:t xml:space="preserve">people as primitive (ibid.). </w:t>
      </w:r>
      <w:r w:rsidR="00873997" w:rsidRPr="00BD2C65">
        <w:rPr>
          <w:color w:val="1A1A1A"/>
        </w:rPr>
        <w:t>He</w:t>
      </w:r>
      <w:r w:rsidRPr="00BD2C65">
        <w:rPr>
          <w:color w:val="1A1A1A"/>
        </w:rPr>
        <w:t xml:space="preserve"> challenged the narrative that </w:t>
      </w:r>
      <w:r w:rsidR="00BE4F57" w:rsidRPr="00BD2C65">
        <w:t xml:space="preserve">indigenous </w:t>
      </w:r>
      <w:r w:rsidRPr="00BD2C65">
        <w:rPr>
          <w:color w:val="1A1A1A"/>
        </w:rPr>
        <w:t>people were dangerous and could not</w:t>
      </w:r>
      <w:r w:rsidR="00873997" w:rsidRPr="00BD2C65">
        <w:rPr>
          <w:color w:val="1A1A1A"/>
        </w:rPr>
        <w:t xml:space="preserve"> be trusted to</w:t>
      </w:r>
      <w:r w:rsidRPr="00BD2C65">
        <w:rPr>
          <w:color w:val="1A1A1A"/>
        </w:rPr>
        <w:t xml:space="preserve"> trade and highlighted that Europeans </w:t>
      </w:r>
      <w:r w:rsidR="00873997" w:rsidRPr="00BD2C65">
        <w:rPr>
          <w:color w:val="1A1A1A"/>
        </w:rPr>
        <w:t xml:space="preserve">equally rapacious </w:t>
      </w:r>
      <w:r w:rsidRPr="00BD2C65">
        <w:rPr>
          <w:color w:val="1A1A1A"/>
        </w:rPr>
        <w:t xml:space="preserve">(ibid.). Diderot believed that </w:t>
      </w:r>
      <w:r w:rsidR="00BE4F57" w:rsidRPr="00BD2C65">
        <w:t xml:space="preserve">indigenous </w:t>
      </w:r>
      <w:r w:rsidRPr="00BD2C65">
        <w:rPr>
          <w:color w:val="1A1A1A"/>
        </w:rPr>
        <w:t xml:space="preserve">people </w:t>
      </w:r>
      <w:r w:rsidR="00873997" w:rsidRPr="00BD2C65">
        <w:rPr>
          <w:color w:val="1A1A1A"/>
        </w:rPr>
        <w:t xml:space="preserve">shared the same desire to </w:t>
      </w:r>
      <w:r w:rsidRPr="00BD2C65">
        <w:rPr>
          <w:color w:val="1A1A1A"/>
        </w:rPr>
        <w:t>create rules which allow</w:t>
      </w:r>
      <w:r w:rsidR="00873997" w:rsidRPr="00BD2C65">
        <w:rPr>
          <w:color w:val="1A1A1A"/>
        </w:rPr>
        <w:t xml:space="preserve"> </w:t>
      </w:r>
      <w:r w:rsidRPr="00BD2C65">
        <w:rPr>
          <w:color w:val="1A1A1A"/>
        </w:rPr>
        <w:t xml:space="preserve">life to flourish (ibid.). </w:t>
      </w:r>
      <w:r w:rsidRPr="00BD2C65">
        <w:t xml:space="preserve"> </w:t>
      </w:r>
      <w:r w:rsidRPr="00BD2C65">
        <w:rPr>
          <w:color w:val="000000"/>
        </w:rPr>
        <w:t xml:space="preserve">Morality is explored further in </w:t>
      </w:r>
      <w:r w:rsidRPr="00BD2C65">
        <w:rPr>
          <w:b/>
          <w:bCs/>
          <w:color w:val="000000"/>
        </w:rPr>
        <w:t>Discussion 3</w:t>
      </w:r>
      <w:r w:rsidR="006125C2" w:rsidRPr="00BD2C65">
        <w:rPr>
          <w:b/>
          <w:bCs/>
          <w:color w:val="000000"/>
        </w:rPr>
        <w:t>: Morality</w:t>
      </w:r>
      <w:r w:rsidRPr="00BD2C65">
        <w:rPr>
          <w:b/>
          <w:bCs/>
          <w:color w:val="000000"/>
        </w:rPr>
        <w:t>.</w:t>
      </w:r>
    </w:p>
    <w:p w14:paraId="1BB2D195" w14:textId="77777777" w:rsidR="00444775" w:rsidRPr="00BD2C65" w:rsidRDefault="00444775" w:rsidP="003549C4">
      <w:pPr>
        <w:spacing w:line="480" w:lineRule="auto"/>
        <w:jc w:val="both"/>
        <w:rPr>
          <w:color w:val="000000"/>
        </w:rPr>
      </w:pPr>
    </w:p>
    <w:p w14:paraId="678C3F38" w14:textId="1902C761" w:rsidR="00294582" w:rsidRPr="00BD2C65" w:rsidRDefault="00294582" w:rsidP="00294582">
      <w:pPr>
        <w:spacing w:line="480" w:lineRule="auto"/>
        <w:jc w:val="both"/>
        <w:rPr>
          <w:color w:val="000000"/>
        </w:rPr>
      </w:pPr>
      <w:r w:rsidRPr="00BD2C65">
        <w:t xml:space="preserve">The impact of the British Anti-homosexual laws in former colonies is well discussed </w:t>
      </w:r>
      <w:r w:rsidR="00873997" w:rsidRPr="00BD2C65">
        <w:t xml:space="preserve">elsewhere </w:t>
      </w:r>
      <w:r w:rsidRPr="00BD2C65">
        <w:t xml:space="preserve">(Human Rights Watch, 2008). The British introduced anti-homosexual legislation firstly in India, via the Indian Penal Code 1860 (ibid.), </w:t>
      </w:r>
      <w:r w:rsidR="00873997" w:rsidRPr="00BD2C65">
        <w:t>where it was</w:t>
      </w:r>
      <w:r w:rsidRPr="00BD2C65">
        <w:t xml:space="preserve"> an offense to engage in an act of buggery (ibid</w:t>
      </w:r>
      <w:r w:rsidR="005F5130" w:rsidRPr="00BD2C65">
        <w:t>.</w:t>
      </w:r>
      <w:r w:rsidRPr="00BD2C65">
        <w:t>)</w:t>
      </w:r>
      <w:r w:rsidR="00873997" w:rsidRPr="00BD2C65">
        <w:t>. T</w:t>
      </w:r>
      <w:r w:rsidRPr="00BD2C65">
        <w:t xml:space="preserve">his was because </w:t>
      </w:r>
      <w:r w:rsidR="005F5130" w:rsidRPr="00BD2C65">
        <w:t>‘</w:t>
      </w:r>
      <w:r w:rsidRPr="00BD2C65">
        <w:t>soldiers and colonial administrators—particularly those without wives at hand—would turn to sodomy in these decadent, hot surroundings</w:t>
      </w:r>
      <w:r w:rsidR="005F5130" w:rsidRPr="00BD2C65">
        <w:t>’</w:t>
      </w:r>
      <w:r w:rsidRPr="00BD2C65">
        <w:t xml:space="preserve"> (Human Rights Watch, 2008, p.16). </w:t>
      </w:r>
      <w:r w:rsidR="003549C4" w:rsidRPr="00BD2C65">
        <w:t>The Criminal Law Amendment Act of 1885 went even further by prohibiting all forms of same-sex activity between men (ibid.).</w:t>
      </w:r>
      <w:r w:rsidR="00627211" w:rsidRPr="00BD2C65">
        <w:rPr>
          <w:color w:val="000000"/>
        </w:rPr>
        <w:t xml:space="preserve"> </w:t>
      </w:r>
      <w:r w:rsidRPr="00BD2C65">
        <w:t>This legislation was exported</w:t>
      </w:r>
      <w:r w:rsidR="00873997" w:rsidRPr="00BD2C65">
        <w:t xml:space="preserve"> and </w:t>
      </w:r>
      <w:r w:rsidR="0018161B" w:rsidRPr="00BD2C65">
        <w:t>institutionalised across</w:t>
      </w:r>
      <w:r w:rsidRPr="00BD2C65">
        <w:t xml:space="preserve"> the </w:t>
      </w:r>
      <w:r w:rsidR="00873997" w:rsidRPr="00BD2C65">
        <w:t>British Empire (</w:t>
      </w:r>
      <w:r w:rsidR="00627211" w:rsidRPr="00BD2C65">
        <w:t>Human Rights Watch, 2008).</w:t>
      </w:r>
    </w:p>
    <w:p w14:paraId="0A6227EE" w14:textId="77777777" w:rsidR="00294582" w:rsidRPr="00BD2C65" w:rsidRDefault="00294582" w:rsidP="00294582">
      <w:pPr>
        <w:spacing w:line="480" w:lineRule="auto"/>
        <w:jc w:val="both"/>
      </w:pPr>
    </w:p>
    <w:p w14:paraId="72A28E1B" w14:textId="3F81DA40" w:rsidR="00294582" w:rsidRPr="00BD2C65" w:rsidRDefault="00294582" w:rsidP="00873997">
      <w:pPr>
        <w:spacing w:line="480" w:lineRule="auto"/>
        <w:jc w:val="both"/>
      </w:pPr>
      <w:r w:rsidRPr="00BD2C65">
        <w:t xml:space="preserve">Although, the author has focused on </w:t>
      </w:r>
      <w:r w:rsidR="00873997" w:rsidRPr="00BD2C65">
        <w:t xml:space="preserve">the criminalisation of </w:t>
      </w:r>
      <w:r w:rsidRPr="00BD2C65">
        <w:t>male same-sex acts</w:t>
      </w:r>
      <w:r w:rsidR="000E5354" w:rsidRPr="00BD2C65">
        <w:t>,</w:t>
      </w:r>
      <w:r w:rsidRPr="00BD2C65">
        <w:t xml:space="preserve"> it should be noted that the British saw </w:t>
      </w:r>
      <w:r w:rsidR="00873997" w:rsidRPr="00BD2C65">
        <w:t>any departure</w:t>
      </w:r>
      <w:r w:rsidRPr="00BD2C65">
        <w:t xml:space="preserve"> from heterosexuality as deviant and immoral. </w:t>
      </w:r>
      <w:r w:rsidR="00873997" w:rsidRPr="00BD2C65">
        <w:t>Although</w:t>
      </w:r>
      <w:r w:rsidRPr="00BD2C65">
        <w:t xml:space="preserve">, Lesbians were not criminalised owing to MPs wanting to erase and </w:t>
      </w:r>
      <w:r w:rsidRPr="00BD2C65">
        <w:lastRenderedPageBreak/>
        <w:t>maintain invisibility</w:t>
      </w:r>
      <w:r w:rsidR="00873997" w:rsidRPr="00BD2C65">
        <w:t xml:space="preserve"> and control of women</w:t>
      </w:r>
      <w:r w:rsidRPr="00BD2C65">
        <w:t xml:space="preserve"> (Dwyer and Rundle, 2019)</w:t>
      </w:r>
      <w:r w:rsidR="00873997" w:rsidRPr="00BD2C65">
        <w:t>.</w:t>
      </w:r>
      <w:r w:rsidR="00D320F4" w:rsidRPr="00BD2C65">
        <w:t xml:space="preserve"> </w:t>
      </w:r>
      <w:r w:rsidR="00873997" w:rsidRPr="00BD2C65">
        <w:t>Trans</w:t>
      </w:r>
      <w:r w:rsidRPr="00BD2C65">
        <w:t xml:space="preserve"> people were not directly discriminated against (Hines and Santos, 2018</w:t>
      </w:r>
      <w:r w:rsidR="0018161B" w:rsidRPr="00BD2C65">
        <w:t>), British</w:t>
      </w:r>
      <w:r w:rsidRPr="00BD2C65">
        <w:t xml:space="preserve"> colonialism introduced strong ideas of the morality of gender and heteronormativity (Gunther, 1998). Foucault (1977) proposes </w:t>
      </w:r>
      <w:r w:rsidR="00873997" w:rsidRPr="00BD2C65">
        <w:t>people’s bodies</w:t>
      </w:r>
      <w:r w:rsidRPr="00BD2C65">
        <w:t xml:space="preserve"> are controlled and oppressed. In India the Hijras (Dutta, 2012) were </w:t>
      </w:r>
      <w:r w:rsidR="00873997" w:rsidRPr="00BD2C65">
        <w:t>supressed</w:t>
      </w:r>
      <w:r w:rsidRPr="00BD2C65">
        <w:t xml:space="preserve"> by the British and labelled as deviant (ibid.). </w:t>
      </w:r>
    </w:p>
    <w:p w14:paraId="613287EF" w14:textId="77777777" w:rsidR="00294582" w:rsidRPr="00BD2C65" w:rsidRDefault="00294582" w:rsidP="00294582">
      <w:pPr>
        <w:spacing w:line="480" w:lineRule="auto"/>
        <w:jc w:val="both"/>
      </w:pPr>
    </w:p>
    <w:p w14:paraId="0FB9E627" w14:textId="5BED1308" w:rsidR="00294582" w:rsidRPr="00BD2C65" w:rsidRDefault="00873997" w:rsidP="00873997">
      <w:pPr>
        <w:spacing w:line="480" w:lineRule="auto"/>
        <w:jc w:val="both"/>
      </w:pPr>
      <w:r w:rsidRPr="00BD2C65">
        <w:t>T</w:t>
      </w:r>
      <w:r w:rsidR="00330F86" w:rsidRPr="00BD2C65">
        <w:t xml:space="preserve">he author wishes to highlight and emphasise how colonial </w:t>
      </w:r>
      <w:r w:rsidRPr="00BD2C65">
        <w:t>people</w:t>
      </w:r>
      <w:r w:rsidR="00330F86" w:rsidRPr="00BD2C65">
        <w:t xml:space="preserve"> were subjected to the enforcement of these laws. </w:t>
      </w:r>
      <w:r w:rsidR="00294582" w:rsidRPr="00BD2C65">
        <w:t xml:space="preserve"> As Human Rights Watch suggested:</w:t>
      </w:r>
    </w:p>
    <w:p w14:paraId="3DA1FB07" w14:textId="23A37126" w:rsidR="001D267B" w:rsidRPr="00BD2C65" w:rsidRDefault="00D320F4" w:rsidP="001D267B">
      <w:pPr>
        <w:ind w:left="397" w:right="397"/>
        <w:jc w:val="both"/>
        <w:rPr>
          <w:i/>
          <w:iCs/>
        </w:rPr>
      </w:pPr>
      <w:r w:rsidRPr="00BD2C65">
        <w:t>‘</w:t>
      </w:r>
      <w:r w:rsidR="00294582" w:rsidRPr="00BD2C65">
        <w:rPr>
          <w:i/>
          <w:iCs/>
        </w:rPr>
        <w:t>Colonial legislators and jurists introduced such laws, with no debates or “cultural consultations,” to support colonial control. They believed laws could inculcate European morality into resistant masses. They brought in the legislation, in fact, because they thought “native” cultures did not punish “perverse” sex enough. The colonized needed compulsory re-education in sexual mores. Imperial rulers held that, as long as they sweltered through the promiscuous proximities of settler societies, “native” viciousness and “white” virtue had to be segregated: the latter praised and protected, the former policed and kept subjected.</w:t>
      </w:r>
      <w:r w:rsidRPr="00BD2C65">
        <w:rPr>
          <w:i/>
          <w:iCs/>
        </w:rPr>
        <w:t>’</w:t>
      </w:r>
    </w:p>
    <w:p w14:paraId="69BF20FC" w14:textId="76565E56" w:rsidR="00294582" w:rsidRPr="00BD2C65" w:rsidRDefault="001D267B" w:rsidP="001D267B">
      <w:pPr>
        <w:jc w:val="right"/>
      </w:pPr>
      <w:r w:rsidRPr="00BD2C65">
        <w:t>(</w:t>
      </w:r>
      <w:r w:rsidR="00294582" w:rsidRPr="00BD2C65">
        <w:t>Human Rights Watch, 2008, p. 5)</w:t>
      </w:r>
    </w:p>
    <w:p w14:paraId="646153F0" w14:textId="77777777" w:rsidR="00294582" w:rsidRPr="00BD2C65" w:rsidRDefault="00294582" w:rsidP="00294582">
      <w:pPr>
        <w:spacing w:line="480" w:lineRule="auto"/>
        <w:jc w:val="both"/>
      </w:pPr>
    </w:p>
    <w:p w14:paraId="04DE09B7" w14:textId="28242A14" w:rsidR="00294582" w:rsidRPr="00BD2C65" w:rsidRDefault="00294582" w:rsidP="00294582">
      <w:pPr>
        <w:spacing w:line="480" w:lineRule="auto"/>
        <w:jc w:val="both"/>
      </w:pPr>
      <w:r w:rsidRPr="00BD2C65">
        <w:t>However, these arguments are not</w:t>
      </w:r>
      <w:r w:rsidR="002F7544" w:rsidRPr="00BD2C65">
        <w:t xml:space="preserve"> sufficiently</w:t>
      </w:r>
      <w:r w:rsidRPr="00BD2C65">
        <w:t xml:space="preserve"> nuanced and do not focus on the dual reality of British law and customary law (Wekesea, 2017). Gomes da Costa Santos and Waites (2019) argue that this reflects westernised hierarchies where customary law is not valued enough to be </w:t>
      </w:r>
      <w:r w:rsidR="002F7544" w:rsidRPr="00BD2C65">
        <w:t>considered</w:t>
      </w:r>
      <w:r w:rsidRPr="00BD2C65">
        <w:t xml:space="preserve"> within this context. Therefore, it can be argued that English law can be contextualised in a local </w:t>
      </w:r>
      <w:r w:rsidR="002F7544" w:rsidRPr="00BD2C65">
        <w:t>level</w:t>
      </w:r>
      <w:r w:rsidRPr="00BD2C65">
        <w:t xml:space="preserve">. On the other hand, </w:t>
      </w:r>
      <w:r w:rsidR="00BE4F57" w:rsidRPr="00BD2C65">
        <w:t xml:space="preserve">indigenous </w:t>
      </w:r>
      <w:r w:rsidRPr="00BD2C65">
        <w:t xml:space="preserve">or customary law could be overruled by British </w:t>
      </w:r>
      <w:r w:rsidR="001928B2" w:rsidRPr="00BD2C65">
        <w:t>l</w:t>
      </w:r>
      <w:r w:rsidRPr="00BD2C65">
        <w:t xml:space="preserve">aw (Wekesea, 2017) and </w:t>
      </w:r>
      <w:r w:rsidR="001928B2" w:rsidRPr="00BD2C65">
        <w:t>‘</w:t>
      </w:r>
      <w:r w:rsidRPr="00BD2C65">
        <w:t>customary laws were seen as inferior</w:t>
      </w:r>
      <w:r w:rsidR="001928B2" w:rsidRPr="00BD2C65">
        <w:t>’</w:t>
      </w:r>
      <w:r w:rsidRPr="00BD2C65">
        <w:t xml:space="preserve"> (ibid., p.18). </w:t>
      </w:r>
      <w:r w:rsidR="002F7544" w:rsidRPr="00BD2C65">
        <w:t>There</w:t>
      </w:r>
      <w:r w:rsidRPr="00BD2C65">
        <w:t xml:space="preserve"> is</w:t>
      </w:r>
      <w:r w:rsidR="002F7544" w:rsidRPr="00BD2C65">
        <w:t>, however,</w:t>
      </w:r>
      <w:r w:rsidRPr="00BD2C65">
        <w:t xml:space="preserve"> minimal evidence of the British actively prosecuting indigenous people </w:t>
      </w:r>
      <w:r w:rsidR="0018161B" w:rsidRPr="00BD2C65">
        <w:t>for same</w:t>
      </w:r>
      <w:r w:rsidRPr="00BD2C65">
        <w:t>-sex acts (ibid.).</w:t>
      </w:r>
    </w:p>
    <w:p w14:paraId="65058B10" w14:textId="77777777" w:rsidR="005634AF" w:rsidRPr="00BD2C65" w:rsidRDefault="005634AF" w:rsidP="00294582">
      <w:pPr>
        <w:spacing w:line="480" w:lineRule="auto"/>
        <w:jc w:val="both"/>
      </w:pPr>
    </w:p>
    <w:p w14:paraId="2C721A5B" w14:textId="4FA5D8CB" w:rsidR="00E42E9F" w:rsidRPr="00BD2C65" w:rsidRDefault="00B20056" w:rsidP="00294582">
      <w:pPr>
        <w:spacing w:line="480" w:lineRule="auto"/>
        <w:jc w:val="both"/>
        <w:rPr>
          <w:color w:val="000000"/>
        </w:rPr>
      </w:pPr>
      <w:r w:rsidRPr="00BD2C65">
        <w:t xml:space="preserve">However, Christianity is not </w:t>
      </w:r>
      <w:r w:rsidR="00A356A0" w:rsidRPr="00BD2C65">
        <w:t xml:space="preserve">a </w:t>
      </w:r>
      <w:r w:rsidR="002F7544" w:rsidRPr="00BD2C65">
        <w:t>unified</w:t>
      </w:r>
      <w:r w:rsidR="00A356A0" w:rsidRPr="00BD2C65">
        <w:t xml:space="preserve"> religious </w:t>
      </w:r>
      <w:r w:rsidR="005B5918" w:rsidRPr="00BD2C65">
        <w:t xml:space="preserve">institution, but rather </w:t>
      </w:r>
      <w:r w:rsidR="00A356A0" w:rsidRPr="00BD2C65">
        <w:t xml:space="preserve">a </w:t>
      </w:r>
      <w:r w:rsidR="005B5918" w:rsidRPr="00BD2C65">
        <w:t xml:space="preserve">diverse </w:t>
      </w:r>
      <w:r w:rsidR="00A356A0" w:rsidRPr="00BD2C65">
        <w:t xml:space="preserve">movement </w:t>
      </w:r>
      <w:r w:rsidR="00A21A6C" w:rsidRPr="00BD2C65">
        <w:t>encompassing</w:t>
      </w:r>
      <w:r w:rsidR="00A356A0" w:rsidRPr="00BD2C65">
        <w:t xml:space="preserve"> many </w:t>
      </w:r>
      <w:r w:rsidR="00A21A6C" w:rsidRPr="00BD2C65">
        <w:t>different interpretation</w:t>
      </w:r>
      <w:r w:rsidR="002F7544" w:rsidRPr="00BD2C65">
        <w:t>s</w:t>
      </w:r>
      <w:r w:rsidR="00A21A6C" w:rsidRPr="00BD2C65">
        <w:t xml:space="preserve"> and expression</w:t>
      </w:r>
      <w:r w:rsidR="002F7544" w:rsidRPr="00BD2C65">
        <w:t>s</w:t>
      </w:r>
      <w:r w:rsidR="00C96B77" w:rsidRPr="00BD2C65">
        <w:t xml:space="preserve"> (</w:t>
      </w:r>
      <w:r w:rsidR="00FC643C" w:rsidRPr="00BD2C65">
        <w:t>Coley</w:t>
      </w:r>
      <w:r w:rsidR="001D706E" w:rsidRPr="00BD2C65">
        <w:t>, 2016</w:t>
      </w:r>
      <w:r w:rsidR="00C96B77" w:rsidRPr="00BD2C65">
        <w:t>)</w:t>
      </w:r>
      <w:r w:rsidR="00A21A6C" w:rsidRPr="00BD2C65">
        <w:t xml:space="preserve">. </w:t>
      </w:r>
      <w:r w:rsidR="00A21A6C" w:rsidRPr="00BD2C65">
        <w:lastRenderedPageBreak/>
        <w:t xml:space="preserve">As a </w:t>
      </w:r>
      <w:r w:rsidR="0059565A" w:rsidRPr="00BD2C65">
        <w:t>result</w:t>
      </w:r>
      <w:r w:rsidR="005E1D2A" w:rsidRPr="00BD2C65">
        <w:t>, there are differing perspectives on homosexuality and gender identity</w:t>
      </w:r>
      <w:r w:rsidR="001D706E" w:rsidRPr="00BD2C65">
        <w:t xml:space="preserve"> within the </w:t>
      </w:r>
      <w:r w:rsidR="002F7544" w:rsidRPr="00BD2C65">
        <w:t>religion</w:t>
      </w:r>
      <w:r w:rsidR="0059565A" w:rsidRPr="00BD2C65">
        <w:t xml:space="preserve"> (</w:t>
      </w:r>
      <w:r w:rsidR="001D706E" w:rsidRPr="00BD2C65">
        <w:rPr>
          <w:rStyle w:val="authors"/>
          <w:shd w:val="clear" w:color="auto" w:fill="FFFFFF"/>
        </w:rPr>
        <w:t>Endsjø</w:t>
      </w:r>
      <w:r w:rsidR="001D706E" w:rsidRPr="00BD2C65">
        <w:rPr>
          <w:shd w:val="clear" w:color="auto" w:fill="FFFFFF"/>
        </w:rPr>
        <w:t>, 2020</w:t>
      </w:r>
      <w:r w:rsidR="0059565A" w:rsidRPr="00BD2C65">
        <w:t>).</w:t>
      </w:r>
      <w:r w:rsidR="008F7A1A" w:rsidRPr="00BD2C65">
        <w:t xml:space="preserve"> Additionally, Ritchie (2015) highlights that not all former British Colonial countries </w:t>
      </w:r>
      <w:r w:rsidR="00154A70" w:rsidRPr="00BD2C65">
        <w:t xml:space="preserve">have anti-LGBTQIA+ </w:t>
      </w:r>
      <w:r w:rsidR="005634AF" w:rsidRPr="00BD2C65">
        <w:t>legislation</w:t>
      </w:r>
      <w:r w:rsidR="00154A70" w:rsidRPr="00BD2C65">
        <w:t xml:space="preserve"> and in fac</w:t>
      </w:r>
      <w:r w:rsidR="00B10042" w:rsidRPr="00BD2C65">
        <w:t>t some</w:t>
      </w:r>
      <w:r w:rsidR="002F7544" w:rsidRPr="00BD2C65">
        <w:t>, such as Canada, Australia and America</w:t>
      </w:r>
      <w:r w:rsidR="00B10042" w:rsidRPr="00BD2C65">
        <w:t xml:space="preserve"> have progressive LGBTQIA+ rights (</w:t>
      </w:r>
      <w:r w:rsidR="00B10042" w:rsidRPr="00BD2C65">
        <w:rPr>
          <w:color w:val="000000"/>
        </w:rPr>
        <w:t>Ross et al, 2021), however these three countries are seen as part of the Western elite where LGBTQIA+ rights have become a symbol of modernism (Puar, 2013)</w:t>
      </w:r>
      <w:r w:rsidR="002F7544" w:rsidRPr="00BD2C65">
        <w:rPr>
          <w:color w:val="000000"/>
        </w:rPr>
        <w:t>. And</w:t>
      </w:r>
      <w:r w:rsidR="00CB7866" w:rsidRPr="00BD2C65">
        <w:rPr>
          <w:color w:val="000000"/>
        </w:rPr>
        <w:t xml:space="preserve"> Christianity is</w:t>
      </w:r>
      <w:r w:rsidR="002F7544" w:rsidRPr="00BD2C65">
        <w:rPr>
          <w:color w:val="000000"/>
        </w:rPr>
        <w:t>, of course,</w:t>
      </w:r>
      <w:r w:rsidR="00CB7866" w:rsidRPr="00BD2C65">
        <w:rPr>
          <w:color w:val="000000"/>
        </w:rPr>
        <w:t xml:space="preserve"> not the only </w:t>
      </w:r>
      <w:r w:rsidR="002F7544" w:rsidRPr="00BD2C65">
        <w:rPr>
          <w:color w:val="000000"/>
        </w:rPr>
        <w:t>religion</w:t>
      </w:r>
      <w:r w:rsidR="00CB7866" w:rsidRPr="00BD2C65">
        <w:rPr>
          <w:color w:val="000000"/>
        </w:rPr>
        <w:t xml:space="preserve"> that discriminates against LGBTQIA+ people (Dreier, Long, Winkler, 2019). </w:t>
      </w:r>
    </w:p>
    <w:p w14:paraId="16CE0F3C" w14:textId="77777777" w:rsidR="000857C3" w:rsidRPr="00BD2C65" w:rsidRDefault="000857C3" w:rsidP="00294582">
      <w:pPr>
        <w:spacing w:line="480" w:lineRule="auto"/>
        <w:jc w:val="both"/>
        <w:rPr>
          <w:color w:val="000000"/>
        </w:rPr>
      </w:pPr>
    </w:p>
    <w:p w14:paraId="2C62C152" w14:textId="60E04207" w:rsidR="009A7C8D" w:rsidRPr="00BD2C65" w:rsidRDefault="009A7C8D" w:rsidP="00294582">
      <w:pPr>
        <w:spacing w:line="480" w:lineRule="auto"/>
        <w:jc w:val="both"/>
        <w:rPr>
          <w:color w:val="000000"/>
        </w:rPr>
      </w:pPr>
      <w:r w:rsidRPr="00BD2C65">
        <w:rPr>
          <w:color w:val="000000"/>
        </w:rPr>
        <w:t>Despite this the discourse highlights how British colonialism introduced strong ideas of morality of gender and heteronormativity, subjecting people to these laws, which were introduced to support colonial control.</w:t>
      </w:r>
    </w:p>
    <w:p w14:paraId="6762BD56" w14:textId="77777777" w:rsidR="000857C3" w:rsidRPr="001D706E" w:rsidRDefault="000857C3" w:rsidP="00294582">
      <w:pPr>
        <w:spacing w:line="480" w:lineRule="auto"/>
        <w:jc w:val="both"/>
      </w:pPr>
    </w:p>
    <w:p w14:paraId="552757B1" w14:textId="53BE3B09" w:rsidR="00294582" w:rsidRPr="00237311" w:rsidRDefault="00294582" w:rsidP="00294582">
      <w:pPr>
        <w:numPr>
          <w:ilvl w:val="1"/>
          <w:numId w:val="1"/>
        </w:numPr>
        <w:spacing w:line="480" w:lineRule="auto"/>
        <w:outlineLvl w:val="1"/>
        <w:rPr>
          <w:b/>
        </w:rPr>
      </w:pPr>
      <w:bookmarkStart w:id="14" w:name="_Toc145927540"/>
      <w:r>
        <w:rPr>
          <w:b/>
        </w:rPr>
        <w:t xml:space="preserve">Theme 4: </w:t>
      </w:r>
      <w:r w:rsidR="009A30AB">
        <w:rPr>
          <w:b/>
        </w:rPr>
        <w:t>Modern Day:</w:t>
      </w:r>
      <w:r w:rsidR="008F1275">
        <w:rPr>
          <w:b/>
        </w:rPr>
        <w:t xml:space="preserve"> Cultural </w:t>
      </w:r>
      <w:r w:rsidR="00B20056">
        <w:rPr>
          <w:b/>
        </w:rPr>
        <w:t>Imperialism</w:t>
      </w:r>
      <w:r w:rsidR="008F1275">
        <w:rPr>
          <w:b/>
        </w:rPr>
        <w:t>,</w:t>
      </w:r>
      <w:r w:rsidR="009A30AB">
        <w:rPr>
          <w:b/>
        </w:rPr>
        <w:t xml:space="preserve"> </w:t>
      </w:r>
      <w:r w:rsidR="00CB71B2">
        <w:rPr>
          <w:b/>
        </w:rPr>
        <w:t>Homonationalism</w:t>
      </w:r>
      <w:r>
        <w:rPr>
          <w:b/>
        </w:rPr>
        <w:t xml:space="preserve"> and Heteroactivism</w:t>
      </w:r>
      <w:bookmarkEnd w:id="14"/>
      <w:r>
        <w:rPr>
          <w:b/>
        </w:rPr>
        <w:t xml:space="preserve"> </w:t>
      </w:r>
    </w:p>
    <w:p w14:paraId="015D32A1" w14:textId="518647AA" w:rsidR="00B12F04" w:rsidRPr="00BD2C65" w:rsidRDefault="00294582" w:rsidP="00294582">
      <w:pPr>
        <w:spacing w:line="480" w:lineRule="auto"/>
        <w:jc w:val="both"/>
      </w:pPr>
      <w:r w:rsidRPr="00BD2C65">
        <w:t>So far, the</w:t>
      </w:r>
      <w:r w:rsidR="00C55E21" w:rsidRPr="00BD2C65">
        <w:t xml:space="preserve"> existing</w:t>
      </w:r>
      <w:r w:rsidRPr="00BD2C65">
        <w:t xml:space="preserve"> literature has highlighted the legislation</w:t>
      </w:r>
      <w:r w:rsidR="00C55E21" w:rsidRPr="00BD2C65">
        <w:t xml:space="preserve"> and </w:t>
      </w:r>
      <w:r w:rsidR="00693048" w:rsidRPr="00BD2C65">
        <w:t>attitudes for</w:t>
      </w:r>
      <w:r w:rsidRPr="00BD2C65">
        <w:t xml:space="preserve"> LGBTQIA+ people before and during the British Empire</w:t>
      </w:r>
      <w:r w:rsidR="00C55E21" w:rsidRPr="00BD2C65">
        <w:t xml:space="preserve"> in former </w:t>
      </w:r>
      <w:r w:rsidR="00BD3430" w:rsidRPr="00BD2C65">
        <w:t>British Colonies</w:t>
      </w:r>
      <w:r w:rsidRPr="00BD2C65">
        <w:t xml:space="preserve">. </w:t>
      </w:r>
      <w:r w:rsidR="00C55E21" w:rsidRPr="00BD2C65">
        <w:t>Although t</w:t>
      </w:r>
      <w:r w:rsidRPr="00BD2C65">
        <w:t xml:space="preserve">he British Empire no longer exists, </w:t>
      </w:r>
      <w:r w:rsidR="002F7544" w:rsidRPr="00BD2C65">
        <w:t>there are</w:t>
      </w:r>
      <w:r w:rsidRPr="00BD2C65">
        <w:t xml:space="preserve"> varying disagreements about when the end came</w:t>
      </w:r>
      <w:r w:rsidR="002F7544" w:rsidRPr="00BD2C65">
        <w:t xml:space="preserve">: </w:t>
      </w:r>
      <w:r w:rsidRPr="00BD2C65">
        <w:t>some state it was after India achieved independence in 1947 and others say it was the end of British rule in Hong Kong in 1997 (Holland, 2000)</w:t>
      </w:r>
      <w:r w:rsidR="009B1108" w:rsidRPr="00BD2C65">
        <w:t>. However,</w:t>
      </w:r>
      <w:r w:rsidRPr="00BD2C65">
        <w:t xml:space="preserve"> many former </w:t>
      </w:r>
      <w:r w:rsidR="00932FE6" w:rsidRPr="00BD2C65">
        <w:t>British Colonies</w:t>
      </w:r>
      <w:r w:rsidRPr="00BD2C65">
        <w:t xml:space="preserve"> are members of the Commonwealth (Commonwealth, 2022). As discussed previously</w:t>
      </w:r>
      <w:r w:rsidR="009B1108" w:rsidRPr="00BD2C65">
        <w:t>,</w:t>
      </w:r>
      <w:r w:rsidRPr="00BD2C65">
        <w:t xml:space="preserve"> the British introduced anti-LGBTQIA+ legislation (Human Rights Watch, 2008) </w:t>
      </w:r>
      <w:r w:rsidR="00C55E21" w:rsidRPr="00BD2C65">
        <w:t>in their colonies, which several nation</w:t>
      </w:r>
      <w:r w:rsidR="009B1108" w:rsidRPr="00BD2C65">
        <w:t>s</w:t>
      </w:r>
      <w:r w:rsidR="00C55E21" w:rsidRPr="00BD2C65">
        <w:t xml:space="preserve"> have maintained </w:t>
      </w:r>
      <w:r w:rsidRPr="00BD2C65">
        <w:t xml:space="preserve">since independence (ibid.). </w:t>
      </w:r>
      <w:r w:rsidR="009B1108" w:rsidRPr="00BD2C65">
        <w:t>A</w:t>
      </w:r>
      <w:r w:rsidR="00C55E21" w:rsidRPr="00BD2C65">
        <w:t xml:space="preserve">rguing that </w:t>
      </w:r>
      <w:r w:rsidR="009B1108" w:rsidRPr="00BD2C65">
        <w:t>being LGBTQIA+ is</w:t>
      </w:r>
      <w:r w:rsidR="00C55E21" w:rsidRPr="00BD2C65">
        <w:t xml:space="preserve"> un-African is a western import</w:t>
      </w:r>
      <w:r w:rsidR="00AD57BE" w:rsidRPr="00BD2C65">
        <w:t xml:space="preserve"> (Kuloba, 2016; McAllister, 2013; </w:t>
      </w:r>
      <w:r w:rsidR="00AD57BE" w:rsidRPr="00BD2C65">
        <w:rPr>
          <w:color w:val="000000"/>
        </w:rPr>
        <w:t>Izugbara et al, 2020)</w:t>
      </w:r>
      <w:r w:rsidR="00C55E21" w:rsidRPr="00BD2C65">
        <w:t xml:space="preserve">, </w:t>
      </w:r>
      <w:r w:rsidR="00C55E21" w:rsidRPr="00BD2C65">
        <w:lastRenderedPageBreak/>
        <w:t xml:space="preserve">which is at odds </w:t>
      </w:r>
      <w:r w:rsidR="00FB10A1" w:rsidRPr="00BD2C65">
        <w:t>with the</w:t>
      </w:r>
      <w:r w:rsidR="009B1108" w:rsidRPr="00BD2C65">
        <w:t xml:space="preserve"> </w:t>
      </w:r>
      <w:r w:rsidR="00C55E21" w:rsidRPr="00BD2C65">
        <w:t>history of pre-colonial Africa.</w:t>
      </w:r>
      <w:r w:rsidR="000857C3" w:rsidRPr="00BD2C65">
        <w:t xml:space="preserve"> </w:t>
      </w:r>
      <w:r w:rsidR="00C55E21" w:rsidRPr="00BD2C65">
        <w:t xml:space="preserve">This is </w:t>
      </w:r>
      <w:r w:rsidR="009B1108" w:rsidRPr="00BD2C65">
        <w:t>at a time when</w:t>
      </w:r>
      <w:r w:rsidR="00C55E21" w:rsidRPr="00BD2C65">
        <w:t xml:space="preserve"> </w:t>
      </w:r>
      <w:r w:rsidRPr="00BD2C65">
        <w:t xml:space="preserve">the UK </w:t>
      </w:r>
      <w:r w:rsidR="009B1108" w:rsidRPr="00BD2C65">
        <w:t>has become</w:t>
      </w:r>
      <w:r w:rsidR="00C55E21" w:rsidRPr="00BD2C65">
        <w:t xml:space="preserve"> more liberalised </w:t>
      </w:r>
      <w:r w:rsidR="009B1108" w:rsidRPr="00BD2C65">
        <w:t>in</w:t>
      </w:r>
      <w:r w:rsidR="00C55E21" w:rsidRPr="00BD2C65">
        <w:t xml:space="preserve"> its attitude towards</w:t>
      </w:r>
      <w:r w:rsidRPr="00BD2C65">
        <w:t xml:space="preserve"> LGBTQIA+ people hav</w:t>
      </w:r>
      <w:r w:rsidR="009B1108" w:rsidRPr="00BD2C65">
        <w:t>ing</w:t>
      </w:r>
      <w:r w:rsidRPr="00BD2C65">
        <w:t xml:space="preserve"> gained legal recognition and protections</w:t>
      </w:r>
      <w:r w:rsidR="009B1108" w:rsidRPr="00BD2C65">
        <w:t>:</w:t>
      </w:r>
      <w:r w:rsidRPr="00BD2C65">
        <w:t xml:space="preserve"> </w:t>
      </w:r>
      <w:r w:rsidR="009B1108" w:rsidRPr="00BD2C65">
        <w:t xml:space="preserve">Gender Recognition Act (2004); Civil Partnership Act (2004); </w:t>
      </w:r>
      <w:r w:rsidRPr="00BD2C65">
        <w:t xml:space="preserve">Equality Act </w:t>
      </w:r>
      <w:r w:rsidR="006C0941" w:rsidRPr="00BD2C65">
        <w:t>(</w:t>
      </w:r>
      <w:r w:rsidRPr="00BD2C65">
        <w:t>2010</w:t>
      </w:r>
      <w:r w:rsidR="006C0941" w:rsidRPr="00BD2C65">
        <w:t>)</w:t>
      </w:r>
      <w:r w:rsidRPr="00BD2C65">
        <w:t xml:space="preserve">; Marriage (Same Sex Couples) Act </w:t>
      </w:r>
      <w:r w:rsidR="006C0941" w:rsidRPr="00BD2C65">
        <w:t>(</w:t>
      </w:r>
      <w:r w:rsidRPr="00BD2C65">
        <w:t>2013</w:t>
      </w:r>
      <w:r w:rsidR="006C0941" w:rsidRPr="00BD2C65">
        <w:t>)</w:t>
      </w:r>
      <w:r w:rsidRPr="00BD2C65">
        <w:t>, and the.</w:t>
      </w:r>
      <w:r w:rsidR="000D676D" w:rsidRPr="00BD2C65">
        <w:t xml:space="preserve"> However, the UK has a dualistic understanding of gender (man/woman) and sexuality (straight/gay</w:t>
      </w:r>
      <w:r w:rsidR="0018161B" w:rsidRPr="00BD2C65">
        <w:t>),</w:t>
      </w:r>
      <w:r w:rsidR="009B1108" w:rsidRPr="00BD2C65">
        <w:t xml:space="preserve"> and</w:t>
      </w:r>
      <w:r w:rsidR="00BB0AF6" w:rsidRPr="00BD2C65">
        <w:t xml:space="preserve"> this can lead to a limited understanding of </w:t>
      </w:r>
      <w:r w:rsidR="009B1108" w:rsidRPr="00BD2C65">
        <w:t>these concepts</w:t>
      </w:r>
      <w:r w:rsidR="009B4279" w:rsidRPr="00BD2C65">
        <w:t xml:space="preserve"> which is frequently spread </w:t>
      </w:r>
      <w:r w:rsidR="006C0941" w:rsidRPr="00BD2C65">
        <w:t>through</w:t>
      </w:r>
      <w:r w:rsidR="005A118B" w:rsidRPr="00BD2C65">
        <w:t xml:space="preserve"> political </w:t>
      </w:r>
      <w:r w:rsidR="00200E7B" w:rsidRPr="00BD2C65">
        <w:t>influence, media and culture</w:t>
      </w:r>
      <w:r w:rsidR="006C0941" w:rsidRPr="00BD2C65">
        <w:t xml:space="preserve"> </w:t>
      </w:r>
      <w:r w:rsidR="005A118B" w:rsidRPr="00BD2C65">
        <w:t>(</w:t>
      </w:r>
      <w:r w:rsidR="005A118B" w:rsidRPr="00BD2C65">
        <w:rPr>
          <w:color w:val="343541"/>
        </w:rPr>
        <w:t xml:space="preserve">Milestone and Meyer, 2021; Edensor, 2020). </w:t>
      </w:r>
      <w:r w:rsidR="00200E7B" w:rsidRPr="00BD2C65">
        <w:t xml:space="preserve">This </w:t>
      </w:r>
      <w:r w:rsidR="009B1108" w:rsidRPr="00BD2C65">
        <w:t>impact can be positive</w:t>
      </w:r>
      <w:r w:rsidR="004537E0" w:rsidRPr="00BD2C65">
        <w:t xml:space="preserve"> as it can increase awareness of LGBTQIA+ people</w:t>
      </w:r>
      <w:r w:rsidR="009B1108" w:rsidRPr="00BD2C65">
        <w:t>s’</w:t>
      </w:r>
      <w:r w:rsidR="004537E0" w:rsidRPr="00BD2C65">
        <w:t xml:space="preserve"> </w:t>
      </w:r>
      <w:r w:rsidR="00693048" w:rsidRPr="00BD2C65">
        <w:t>experiences</w:t>
      </w:r>
      <w:r w:rsidR="004537E0" w:rsidRPr="00BD2C65">
        <w:t xml:space="preserve"> and promote tolerance</w:t>
      </w:r>
      <w:r w:rsidR="00430960" w:rsidRPr="00BD2C65">
        <w:t xml:space="preserve"> (ibid.). </w:t>
      </w:r>
      <w:r w:rsidR="00B12F04" w:rsidRPr="00BD2C65">
        <w:t>However,</w:t>
      </w:r>
      <w:r w:rsidR="00430960" w:rsidRPr="00BD2C65">
        <w:t xml:space="preserve"> it can also </w:t>
      </w:r>
      <w:r w:rsidR="009B1108" w:rsidRPr="00BD2C65">
        <w:t>result in</w:t>
      </w:r>
      <w:r w:rsidR="00430960" w:rsidRPr="00BD2C65">
        <w:t xml:space="preserve"> a limited understanding of gender and sexuality on other countries (ibid.). </w:t>
      </w:r>
      <w:r w:rsidR="00B12F04" w:rsidRPr="00BD2C65">
        <w:t xml:space="preserve"> </w:t>
      </w:r>
    </w:p>
    <w:p w14:paraId="1F452406" w14:textId="77777777" w:rsidR="00B12F04" w:rsidRPr="00BD2C65" w:rsidRDefault="00B12F04" w:rsidP="00294582">
      <w:pPr>
        <w:spacing w:line="480" w:lineRule="auto"/>
        <w:jc w:val="both"/>
      </w:pPr>
    </w:p>
    <w:p w14:paraId="65CA1561" w14:textId="6B27EFF8" w:rsidR="00294582" w:rsidRPr="00BD2C65" w:rsidRDefault="00294582" w:rsidP="00294582">
      <w:pPr>
        <w:spacing w:line="480" w:lineRule="auto"/>
        <w:jc w:val="both"/>
      </w:pPr>
      <w:r w:rsidRPr="00BD2C65">
        <w:t>This is at odds with the history of pre-colonial Africa (ibid.).  Moreover, some African countries have increased their anti-LGBTQIA+ legislation</w:t>
      </w:r>
      <w:r w:rsidR="005A2A04" w:rsidRPr="00BD2C65">
        <w:t>, such as Nigeria</w:t>
      </w:r>
      <w:r w:rsidR="002B4917" w:rsidRPr="00BD2C65">
        <w:t xml:space="preserve"> </w:t>
      </w:r>
      <w:r w:rsidR="009B1108" w:rsidRPr="00BD2C65">
        <w:t>which</w:t>
      </w:r>
      <w:r w:rsidR="005A2A04" w:rsidRPr="00BD2C65">
        <w:t xml:space="preserve"> </w:t>
      </w:r>
      <w:r w:rsidR="002B4917" w:rsidRPr="00BD2C65">
        <w:t xml:space="preserve">have </w:t>
      </w:r>
      <w:r w:rsidR="002B4917" w:rsidRPr="00BD2C65">
        <w:rPr>
          <w:color w:val="000000"/>
        </w:rPr>
        <w:t xml:space="preserve">passed </w:t>
      </w:r>
      <w:r w:rsidR="00B12F04" w:rsidRPr="00BD2C65">
        <w:rPr>
          <w:color w:val="000000"/>
        </w:rPr>
        <w:t>legislation</w:t>
      </w:r>
      <w:r w:rsidR="002B4917" w:rsidRPr="00BD2C65">
        <w:rPr>
          <w:color w:val="000000"/>
        </w:rPr>
        <w:t xml:space="preserve"> in 2014</w:t>
      </w:r>
      <w:r w:rsidR="002B4917" w:rsidRPr="00BD2C65">
        <w:t xml:space="preserve"> </w:t>
      </w:r>
      <w:r w:rsidR="002B4917" w:rsidRPr="00BD2C65">
        <w:rPr>
          <w:color w:val="000000"/>
        </w:rPr>
        <w:t>criminalising same-sex relationships and impos</w:t>
      </w:r>
      <w:r w:rsidR="009B1108" w:rsidRPr="00BD2C65">
        <w:rPr>
          <w:color w:val="000000"/>
        </w:rPr>
        <w:t>ing</w:t>
      </w:r>
      <w:r w:rsidR="002B4917" w:rsidRPr="00BD2C65">
        <w:rPr>
          <w:color w:val="000000"/>
        </w:rPr>
        <w:t xml:space="preserve"> prison sentences of up to 14 years </w:t>
      </w:r>
      <w:r w:rsidR="00CB7866" w:rsidRPr="00BD2C65">
        <w:rPr>
          <w:color w:val="000000"/>
        </w:rPr>
        <w:t>(</w:t>
      </w:r>
      <w:bookmarkStart w:id="15" w:name="_Hlk136171510"/>
      <w:r w:rsidR="002B4917" w:rsidRPr="00BD2C65">
        <w:rPr>
          <w:color w:val="000000"/>
        </w:rPr>
        <w:t>Amusan, Saka and Muinat, 2019</w:t>
      </w:r>
      <w:r w:rsidR="00CB7866" w:rsidRPr="00BD2C65">
        <w:rPr>
          <w:color w:val="000000"/>
        </w:rPr>
        <w:t xml:space="preserve">). </w:t>
      </w:r>
      <w:bookmarkEnd w:id="15"/>
      <w:r w:rsidRPr="00BD2C65">
        <w:t xml:space="preserve">Uganda is </w:t>
      </w:r>
      <w:r w:rsidR="009B1108" w:rsidRPr="00BD2C65">
        <w:t>a further</w:t>
      </w:r>
      <w:r w:rsidR="00B12F04" w:rsidRPr="00BD2C65">
        <w:t xml:space="preserve"> example,</w:t>
      </w:r>
      <w:r w:rsidRPr="00BD2C65">
        <w:t xml:space="preserve"> </w:t>
      </w:r>
      <w:r w:rsidR="009B1108" w:rsidRPr="00BD2C65">
        <w:t>where in</w:t>
      </w:r>
      <w:r w:rsidRPr="00BD2C65">
        <w:t xml:space="preserve"> 2019 there were attempts to introduce the death penalty</w:t>
      </w:r>
      <w:r w:rsidR="009B1108" w:rsidRPr="00BD2C65">
        <w:t xml:space="preserve"> (</w:t>
      </w:r>
      <w:bookmarkStart w:id="16" w:name="_Hlk136171501"/>
      <w:r w:rsidR="009B1108" w:rsidRPr="00BD2C65">
        <w:t>Guardian, 2019; Wahab, 2016, 2021</w:t>
      </w:r>
      <w:bookmarkEnd w:id="16"/>
      <w:r w:rsidR="009B1108" w:rsidRPr="00BD2C65">
        <w:t xml:space="preserve">) however this was defeated, </w:t>
      </w:r>
      <w:r w:rsidR="00226095" w:rsidRPr="00BD2C65">
        <w:t>but the</w:t>
      </w:r>
      <w:r w:rsidR="009B1108" w:rsidRPr="00BD2C65">
        <w:t xml:space="preserve"> death penalty was passed by the Ugandan Parliament in 2023 (BBC, 2023). </w:t>
      </w:r>
      <w:r w:rsidRPr="00BD2C65">
        <w:t xml:space="preserve">To understand why Uganda has such laws we must look at its colonial past (Kuloba, 2016). Uganda was a colony of the British Empire, as Dube (2012, p.2) states: </w:t>
      </w:r>
      <w:r w:rsidR="00226095" w:rsidRPr="00BD2C65">
        <w:t>‘</w:t>
      </w:r>
      <w:r w:rsidRPr="00BD2C65">
        <w:rPr>
          <w:i/>
          <w:iCs/>
        </w:rPr>
        <w:t>the African continent was “penetrated by the West, its male subjugator, and inseminated with Western seed(s) (Of Christianity, Commerce and Civilization)</w:t>
      </w:r>
      <w:r w:rsidR="00226095" w:rsidRPr="00BD2C65">
        <w:rPr>
          <w:i/>
          <w:iCs/>
        </w:rPr>
        <w:t>’</w:t>
      </w:r>
      <w:r w:rsidRPr="00BD2C65">
        <w:rPr>
          <w:i/>
          <w:iCs/>
        </w:rPr>
        <w:t>.</w:t>
      </w:r>
      <w:r w:rsidRPr="00BD2C65">
        <w:t xml:space="preserve"> </w:t>
      </w:r>
    </w:p>
    <w:p w14:paraId="16BD01CE" w14:textId="77777777" w:rsidR="00851201" w:rsidRPr="00BD2C65" w:rsidRDefault="00851201" w:rsidP="00294582">
      <w:pPr>
        <w:spacing w:line="480" w:lineRule="auto"/>
        <w:jc w:val="both"/>
      </w:pPr>
    </w:p>
    <w:p w14:paraId="14A318E9" w14:textId="3CC3E00F" w:rsidR="00294582" w:rsidRPr="00BD2C65" w:rsidRDefault="005A2A04" w:rsidP="00294582">
      <w:pPr>
        <w:spacing w:line="480" w:lineRule="auto"/>
        <w:jc w:val="both"/>
      </w:pPr>
      <w:r w:rsidRPr="00BD2C65">
        <w:t xml:space="preserve">The issue </w:t>
      </w:r>
      <w:r w:rsidR="00693048" w:rsidRPr="00BD2C65">
        <w:t>of LGBTQIA</w:t>
      </w:r>
      <w:r w:rsidR="00294582" w:rsidRPr="00BD2C65">
        <w:t xml:space="preserve">+ rights </w:t>
      </w:r>
      <w:r w:rsidRPr="00BD2C65">
        <w:t xml:space="preserve">has become a symbol of </w:t>
      </w:r>
      <w:r w:rsidR="0011030E" w:rsidRPr="00BD2C65">
        <w:t>modernisation</w:t>
      </w:r>
      <w:r w:rsidRPr="00BD2C65">
        <w:t xml:space="preserve"> and </w:t>
      </w:r>
      <w:r w:rsidR="0011030E" w:rsidRPr="00BD2C65">
        <w:t>liberalism</w:t>
      </w:r>
      <w:r w:rsidR="00294582" w:rsidRPr="00BD2C65">
        <w:t xml:space="preserve">, in the western world (Slootmaeckers, Touquet and Vermeersch, 2016) </w:t>
      </w:r>
      <w:r w:rsidRPr="00BD2C65">
        <w:t xml:space="preserve">but </w:t>
      </w:r>
      <w:r w:rsidR="00294582" w:rsidRPr="00BD2C65">
        <w:t xml:space="preserve">some African </w:t>
      </w:r>
      <w:r w:rsidR="00294582" w:rsidRPr="00BD2C65">
        <w:lastRenderedPageBreak/>
        <w:t xml:space="preserve">states see this as modern imperialism, </w:t>
      </w:r>
      <w:r w:rsidR="009B1108" w:rsidRPr="00BD2C65">
        <w:t>the imposition of western values</w:t>
      </w:r>
      <w:r w:rsidR="00294582" w:rsidRPr="00BD2C65">
        <w:t xml:space="preserve"> on their nation states (</w:t>
      </w:r>
      <w:r w:rsidR="000C2E4C" w:rsidRPr="00BD2C65">
        <w:t>ibid.</w:t>
      </w:r>
      <w:r w:rsidR="00294582" w:rsidRPr="00BD2C65">
        <w:t xml:space="preserve">). </w:t>
      </w:r>
      <w:r w:rsidR="00576BE5" w:rsidRPr="00BD2C65">
        <w:t>Additionally,</w:t>
      </w:r>
      <w:r w:rsidR="00294582" w:rsidRPr="00BD2C65">
        <w:t xml:space="preserve"> Puar (20</w:t>
      </w:r>
      <w:r w:rsidR="00C95C5C" w:rsidRPr="00BD2C65">
        <w:t>13</w:t>
      </w:r>
      <w:r w:rsidR="00294582" w:rsidRPr="00BD2C65">
        <w:t xml:space="preserve">) has argued that homosexuality [and gender identity] has now become a part of nationalism, a </w:t>
      </w:r>
      <w:r w:rsidR="00CB71B2" w:rsidRPr="00BD2C65">
        <w:t>Homonationalism</w:t>
      </w:r>
      <w:r w:rsidR="00294582" w:rsidRPr="00BD2C65">
        <w:t xml:space="preserve"> (ibid). This is further argued by Schotten (2016, p.354) who </w:t>
      </w:r>
      <w:r w:rsidR="009B1108" w:rsidRPr="00BD2C65">
        <w:t>says</w:t>
      </w:r>
      <w:r w:rsidR="00294582" w:rsidRPr="00BD2C65">
        <w:t xml:space="preserve"> </w:t>
      </w:r>
      <w:r w:rsidR="009B1108" w:rsidRPr="00BD2C65">
        <w:t>the West</w:t>
      </w:r>
      <w:r w:rsidR="00294582" w:rsidRPr="00BD2C65">
        <w:t>:</w:t>
      </w:r>
    </w:p>
    <w:p w14:paraId="4BA6C531" w14:textId="77777777" w:rsidR="000857C3" w:rsidRPr="00BD2C65" w:rsidRDefault="000857C3" w:rsidP="00294582">
      <w:pPr>
        <w:spacing w:line="480" w:lineRule="auto"/>
        <w:jc w:val="both"/>
      </w:pPr>
    </w:p>
    <w:p w14:paraId="1338822F" w14:textId="0C9230BF" w:rsidR="00294582" w:rsidRPr="00BD2C65" w:rsidRDefault="00294582" w:rsidP="00AD3719">
      <w:pPr>
        <w:ind w:left="397" w:right="397"/>
        <w:jc w:val="both"/>
        <w:rPr>
          <w:i/>
          <w:iCs/>
        </w:rPr>
      </w:pPr>
      <w:r w:rsidRPr="00BD2C65">
        <w:rPr>
          <w:i/>
          <w:iCs/>
        </w:rPr>
        <w:t xml:space="preserve"> </w:t>
      </w:r>
      <w:r w:rsidR="00153382" w:rsidRPr="00BD2C65">
        <w:rPr>
          <w:i/>
          <w:iCs/>
        </w:rPr>
        <w:t>‘</w:t>
      </w:r>
      <w:r w:rsidRPr="00BD2C65">
        <w:rPr>
          <w:i/>
          <w:iCs/>
        </w:rPr>
        <w:t xml:space="preserve">both sanctions homosexuality and produces it in sanitized forms, normalizing queerness into patriotism, marriage and consumption, while queering racialized threats to the nation and national security as (for example) </w:t>
      </w:r>
      <w:r w:rsidR="00AD57BE" w:rsidRPr="00BD2C65">
        <w:rPr>
          <w:i/>
          <w:iCs/>
        </w:rPr>
        <w:t>terroris</w:t>
      </w:r>
      <w:r w:rsidR="00153382" w:rsidRPr="00BD2C65">
        <w:rPr>
          <w:i/>
          <w:iCs/>
        </w:rPr>
        <w:t>t.’</w:t>
      </w:r>
    </w:p>
    <w:p w14:paraId="2C8B7F9C" w14:textId="77777777" w:rsidR="000857C3" w:rsidRPr="00BD2C65" w:rsidRDefault="000857C3" w:rsidP="00294582">
      <w:pPr>
        <w:spacing w:line="480" w:lineRule="auto"/>
        <w:jc w:val="both"/>
        <w:rPr>
          <w:i/>
          <w:iCs/>
        </w:rPr>
      </w:pPr>
    </w:p>
    <w:p w14:paraId="27EA1396" w14:textId="3F06CC81" w:rsidR="00294582" w:rsidRPr="00BD2C65" w:rsidRDefault="00294582" w:rsidP="00294582">
      <w:pPr>
        <w:spacing w:line="480" w:lineRule="auto"/>
        <w:jc w:val="both"/>
      </w:pPr>
      <w:r w:rsidRPr="00BD2C65">
        <w:t xml:space="preserve">However, </w:t>
      </w:r>
      <w:r w:rsidR="005A2A04" w:rsidRPr="00BD2C65">
        <w:t xml:space="preserve">it is important to note that </w:t>
      </w:r>
      <w:r w:rsidR="00CB71B2" w:rsidRPr="00BD2C65">
        <w:t>Homonationalism</w:t>
      </w:r>
      <w:r w:rsidRPr="00BD2C65">
        <w:t xml:space="preserve"> is </w:t>
      </w:r>
      <w:r w:rsidR="005A2A04" w:rsidRPr="00BD2C65">
        <w:t xml:space="preserve">rooted in </w:t>
      </w:r>
      <w:r w:rsidRPr="00BD2C65">
        <w:t xml:space="preserve">a westernised </w:t>
      </w:r>
      <w:r w:rsidR="00576BE5" w:rsidRPr="00BD2C65">
        <w:t>concept,</w:t>
      </w:r>
      <w:r w:rsidRPr="00BD2C65">
        <w:t xml:space="preserve"> and the author is mindful how this term relates to non-western states </w:t>
      </w:r>
      <w:bookmarkStart w:id="17" w:name="_Hlk134354532"/>
      <w:r w:rsidRPr="00BD2C65">
        <w:t xml:space="preserve">(Tucker, 2020). </w:t>
      </w:r>
      <w:bookmarkEnd w:id="17"/>
      <w:r w:rsidR="00CB71B2" w:rsidRPr="00BD2C65">
        <w:t>Homonationalism</w:t>
      </w:r>
      <w:r w:rsidRPr="00BD2C65">
        <w:t xml:space="preserve"> is a form of Biopolitics (</w:t>
      </w:r>
      <w:r w:rsidR="000B18B5" w:rsidRPr="00BD2C65">
        <w:t>ibid.</w:t>
      </w:r>
      <w:r w:rsidRPr="00BD2C65">
        <w:t>)</w:t>
      </w:r>
      <w:r w:rsidR="005A2A04" w:rsidRPr="00BD2C65">
        <w:t xml:space="preserve">. Biopolitics as a framework has limitations in examining the modern power </w:t>
      </w:r>
      <w:r w:rsidR="00240539" w:rsidRPr="00BD2C65">
        <w:t>techniques</w:t>
      </w:r>
      <w:r w:rsidR="005A2A04" w:rsidRPr="00BD2C65">
        <w:t xml:space="preserve"> used to exercise control of life and death but also how death becomes sanctioned</w:t>
      </w:r>
      <w:r w:rsidR="009B1108" w:rsidRPr="00BD2C65">
        <w:t>.</w:t>
      </w:r>
      <w:r w:rsidR="005A2A04" w:rsidRPr="00BD2C65">
        <w:t xml:space="preserve"> </w:t>
      </w:r>
      <w:r w:rsidR="00CB71B2" w:rsidRPr="00BD2C65">
        <w:t>Homonationalism</w:t>
      </w:r>
      <w:r w:rsidR="005A2A04" w:rsidRPr="00BD2C65">
        <w:t xml:space="preserve"> </w:t>
      </w:r>
      <w:r w:rsidR="00240539" w:rsidRPr="00BD2C65">
        <w:t>enables</w:t>
      </w:r>
      <w:r w:rsidR="005A2A04" w:rsidRPr="00BD2C65">
        <w:t xml:space="preserve"> the reader to challenge these limitations (ibid.; Davies, Isakjee and Dhesi, 2017). </w:t>
      </w:r>
      <w:r w:rsidRPr="00BD2C65">
        <w:t xml:space="preserve">Additionally, </w:t>
      </w:r>
      <w:r w:rsidR="00CB71B2" w:rsidRPr="00BD2C65">
        <w:t>Homonationalism</w:t>
      </w:r>
      <w:r w:rsidRPr="00BD2C65">
        <w:t xml:space="preserve"> is only accepted if LGBTQIA+ people take on heteronormative accepted practices such as marriage and raising a family (Puar, 20</w:t>
      </w:r>
      <w:r w:rsidR="00C95C5C" w:rsidRPr="00BD2C65">
        <w:t>13</w:t>
      </w:r>
      <w:r w:rsidR="005A2A04" w:rsidRPr="00BD2C65">
        <w:t>; Lockhart, 2022</w:t>
      </w:r>
      <w:r w:rsidRPr="00BD2C65">
        <w:t>)</w:t>
      </w:r>
      <w:r w:rsidR="00786B80" w:rsidRPr="00BD2C65">
        <w:t xml:space="preserve"> thereby isolating other groups within the LGBTQIA+ community who do not fall into this </w:t>
      </w:r>
      <w:r w:rsidR="009B1108" w:rsidRPr="00BD2C65">
        <w:t>category</w:t>
      </w:r>
      <w:r w:rsidR="00786B80" w:rsidRPr="00BD2C65">
        <w:t xml:space="preserve"> (Lockhart, 2022)</w:t>
      </w:r>
      <w:r w:rsidRPr="00BD2C65">
        <w:t xml:space="preserve">.  </w:t>
      </w:r>
      <w:r w:rsidR="00CB71B2" w:rsidRPr="00BD2C65">
        <w:t>Homonationalism</w:t>
      </w:r>
      <w:r w:rsidRPr="00BD2C65">
        <w:t xml:space="preserve"> helps us to understand that these matters are not just about biopolitics but also about international relations and how </w:t>
      </w:r>
      <w:r w:rsidR="009B1108" w:rsidRPr="00BD2C65">
        <w:t xml:space="preserve">a sense of </w:t>
      </w:r>
      <w:r w:rsidRPr="00BD2C65">
        <w:t xml:space="preserve">nationality is created. </w:t>
      </w:r>
      <w:r w:rsidR="00CB71B2" w:rsidRPr="00BD2C65">
        <w:t>Homonationalism</w:t>
      </w:r>
      <w:r w:rsidR="00AE154D" w:rsidRPr="00BD2C65">
        <w:t xml:space="preserve"> can present in different ways</w:t>
      </w:r>
      <w:r w:rsidR="009B1108" w:rsidRPr="00BD2C65">
        <w:t xml:space="preserve"> and</w:t>
      </w:r>
      <w:r w:rsidR="00AE154D" w:rsidRPr="00BD2C65">
        <w:t xml:space="preserve"> one of the ways in which it is used is through Pinkwashing</w:t>
      </w:r>
      <w:r w:rsidR="00B73920" w:rsidRPr="00BD2C65">
        <w:t xml:space="preserve">. According to Blackmer (2019), Ritchie (2014) and Wahab (2021), the term Pinkwashing describes the exploitation of LGBTQIA+ rights to divert attention from or justify other forms of </w:t>
      </w:r>
      <w:r w:rsidR="00DF22DD" w:rsidRPr="00BD2C65">
        <w:t xml:space="preserve">oppression, particularly in the Israeli treatment of Palestinians. </w:t>
      </w:r>
      <w:r w:rsidR="00D54882" w:rsidRPr="00BD2C65">
        <w:t>Furthermore,</w:t>
      </w:r>
      <w:r w:rsidR="009B1108" w:rsidRPr="00BD2C65">
        <w:t xml:space="preserve"> </w:t>
      </w:r>
      <w:r w:rsidR="005367FF" w:rsidRPr="00BD2C65">
        <w:t>the term has been used in different contexts</w:t>
      </w:r>
      <w:r w:rsidR="00851560" w:rsidRPr="00BD2C65">
        <w:t>, such as</w:t>
      </w:r>
      <w:r w:rsidR="009B1108" w:rsidRPr="00BD2C65">
        <w:t xml:space="preserve"> in,</w:t>
      </w:r>
      <w:r w:rsidR="00851560" w:rsidRPr="00BD2C65">
        <w:t xml:space="preserve"> former </w:t>
      </w:r>
      <w:r w:rsidR="00BD3430" w:rsidRPr="00BD2C65">
        <w:t>British Colonies</w:t>
      </w:r>
      <w:r w:rsidR="00851560" w:rsidRPr="00BD2C65">
        <w:t xml:space="preserve">, where governments and </w:t>
      </w:r>
      <w:r w:rsidR="00851560" w:rsidRPr="00BD2C65">
        <w:lastRenderedPageBreak/>
        <w:t xml:space="preserve">political movements use LGBTQIA+ rights to illustrate that </w:t>
      </w:r>
      <w:r w:rsidR="00693048" w:rsidRPr="00BD2C65">
        <w:t>they are</w:t>
      </w:r>
      <w:r w:rsidR="00851560" w:rsidRPr="00BD2C65">
        <w:t xml:space="preserve"> progressive but still engage in oppressive practices against other groups</w:t>
      </w:r>
      <w:r w:rsidR="00230BA0" w:rsidRPr="00BD2C65">
        <w:t xml:space="preserve"> (Wahab, 2021). </w:t>
      </w:r>
      <w:r w:rsidR="005367FF" w:rsidRPr="00BD2C65">
        <w:t xml:space="preserve"> </w:t>
      </w:r>
    </w:p>
    <w:p w14:paraId="59FE3902" w14:textId="77777777" w:rsidR="00294582" w:rsidRPr="00BD2C65" w:rsidRDefault="00294582" w:rsidP="00294582">
      <w:pPr>
        <w:spacing w:line="480" w:lineRule="auto"/>
        <w:jc w:val="both"/>
      </w:pPr>
    </w:p>
    <w:p w14:paraId="2267DDA8" w14:textId="080C7758" w:rsidR="00294582" w:rsidRPr="00BD2C65" w:rsidRDefault="00C168C7" w:rsidP="00294582">
      <w:pPr>
        <w:spacing w:line="480" w:lineRule="auto"/>
        <w:jc w:val="both"/>
      </w:pPr>
      <w:r w:rsidRPr="00BD2C65">
        <w:t xml:space="preserve">Western </w:t>
      </w:r>
      <w:r w:rsidR="00294582" w:rsidRPr="00BD2C65">
        <w:t>nations promoting</w:t>
      </w:r>
      <w:r w:rsidRPr="00BD2C65">
        <w:t>,</w:t>
      </w:r>
      <w:r w:rsidR="00294582" w:rsidRPr="00BD2C65">
        <w:t xml:space="preserve"> a middles-class and white homosexuality as the accepted norm, </w:t>
      </w:r>
      <w:r w:rsidR="00397930" w:rsidRPr="00BD2C65">
        <w:t xml:space="preserve">creates a hegemonic idea of what homosexuality is, </w:t>
      </w:r>
      <w:r w:rsidR="00294582" w:rsidRPr="00BD2C65">
        <w:t xml:space="preserve">queer black and brown </w:t>
      </w:r>
      <w:r w:rsidR="00397930" w:rsidRPr="00BD2C65">
        <w:t xml:space="preserve">people </w:t>
      </w:r>
      <w:r w:rsidR="00294582" w:rsidRPr="00BD2C65">
        <w:t xml:space="preserve">are seen as the </w:t>
      </w:r>
      <w:r w:rsidRPr="00BD2C65">
        <w:t>O</w:t>
      </w:r>
      <w:r w:rsidR="00294582" w:rsidRPr="00BD2C65">
        <w:t>ther (</w:t>
      </w:r>
      <w:r w:rsidR="001D5941" w:rsidRPr="00BD2C65">
        <w:rPr>
          <w:color w:val="333333"/>
          <w:shd w:val="clear" w:color="auto" w:fill="FBFBFB"/>
        </w:rPr>
        <w:t>Bacchetta</w:t>
      </w:r>
      <w:r w:rsidR="00693048" w:rsidRPr="00BD2C65">
        <w:rPr>
          <w:color w:val="333333"/>
          <w:shd w:val="clear" w:color="auto" w:fill="FBFBFB"/>
        </w:rPr>
        <w:t>,</w:t>
      </w:r>
      <w:r w:rsidR="001D5941" w:rsidRPr="00BD2C65">
        <w:rPr>
          <w:color w:val="333333"/>
          <w:shd w:val="clear" w:color="auto" w:fill="FBFBFB"/>
        </w:rPr>
        <w:t xml:space="preserve"> El-Tayeb, and Haritaworn</w:t>
      </w:r>
      <w:r w:rsidR="00F058C9" w:rsidRPr="00BD2C65">
        <w:t>, 2018</w:t>
      </w:r>
      <w:r w:rsidR="00294582" w:rsidRPr="00BD2C65">
        <w:t xml:space="preserve">). This has led to some queer people </w:t>
      </w:r>
      <w:r w:rsidRPr="00BD2C65">
        <w:t>excluded</w:t>
      </w:r>
      <w:r w:rsidR="00294582" w:rsidRPr="00BD2C65">
        <w:t xml:space="preserve"> (Richardson,</w:t>
      </w:r>
      <w:r w:rsidR="000C2E4C" w:rsidRPr="00BD2C65">
        <w:t xml:space="preserve"> </w:t>
      </w:r>
      <w:r w:rsidR="00294582" w:rsidRPr="00BD2C65">
        <w:t xml:space="preserve">2017). This homonormalisation creates a new </w:t>
      </w:r>
      <w:r w:rsidR="00397930" w:rsidRPr="00BD2C65">
        <w:t>‘</w:t>
      </w:r>
      <w:r w:rsidRPr="00BD2C65">
        <w:t>O</w:t>
      </w:r>
      <w:r w:rsidR="00294582" w:rsidRPr="00BD2C65">
        <w:t>ther</w:t>
      </w:r>
      <w:r w:rsidR="00397930" w:rsidRPr="00BD2C65">
        <w:t>’</w:t>
      </w:r>
      <w:r w:rsidR="00294582" w:rsidRPr="00BD2C65">
        <w:t xml:space="preserve"> for those LGBTQIA+ people who do not fit within the new </w:t>
      </w:r>
      <w:r w:rsidR="00397930" w:rsidRPr="00BD2C65">
        <w:t>framework</w:t>
      </w:r>
      <w:r w:rsidR="00294582" w:rsidRPr="00BD2C65">
        <w:t xml:space="preserve"> (Johnston, 2018). However, Brown (2012), highlights that space and place is important when using a queer critique</w:t>
      </w:r>
      <w:r w:rsidRPr="00BD2C65">
        <w:t>.</w:t>
      </w:r>
      <w:r w:rsidR="00294582" w:rsidRPr="00BD2C65">
        <w:t xml:space="preserve"> Brown (2012) further argues that homonormalisation is limited to western culture, such as the UK and is </w:t>
      </w:r>
      <w:r w:rsidR="00294582" w:rsidRPr="00BD2C65">
        <w:rPr>
          <w:color w:val="000000"/>
        </w:rPr>
        <w:t xml:space="preserve">a </w:t>
      </w:r>
      <w:r w:rsidR="00C20FB2" w:rsidRPr="00BD2C65">
        <w:rPr>
          <w:color w:val="000000"/>
        </w:rPr>
        <w:t>‘</w:t>
      </w:r>
      <w:r w:rsidR="00294582" w:rsidRPr="00BD2C65">
        <w:rPr>
          <w:color w:val="000000"/>
        </w:rPr>
        <w:t>product of exactly the same spaces and social networks that it critiques</w:t>
      </w:r>
      <w:r w:rsidR="00C20FB2" w:rsidRPr="00BD2C65">
        <w:rPr>
          <w:color w:val="000000"/>
        </w:rPr>
        <w:t>’</w:t>
      </w:r>
      <w:r w:rsidR="00294582" w:rsidRPr="00BD2C65">
        <w:rPr>
          <w:color w:val="000000"/>
        </w:rPr>
        <w:t xml:space="preserve"> (</w:t>
      </w:r>
      <w:r w:rsidR="002E53C7" w:rsidRPr="00BD2C65">
        <w:t xml:space="preserve">Brown, 2012, </w:t>
      </w:r>
      <w:r w:rsidR="00294582" w:rsidRPr="00BD2C65">
        <w:rPr>
          <w:color w:val="000000"/>
        </w:rPr>
        <w:t xml:space="preserve">p.1067) thus this can create a knowledge and understanding which is hegemonically westernised </w:t>
      </w:r>
      <w:r w:rsidR="00397930" w:rsidRPr="00BD2C65">
        <w:rPr>
          <w:color w:val="000000"/>
        </w:rPr>
        <w:t xml:space="preserve">and biased </w:t>
      </w:r>
      <w:r w:rsidR="00294582" w:rsidRPr="00BD2C65">
        <w:rPr>
          <w:color w:val="000000"/>
        </w:rPr>
        <w:t>(Browne, Brown</w:t>
      </w:r>
      <w:r w:rsidR="00B16182" w:rsidRPr="00BD2C65">
        <w:rPr>
          <w:color w:val="000000"/>
        </w:rPr>
        <w:t>e</w:t>
      </w:r>
      <w:r w:rsidR="00294582" w:rsidRPr="00BD2C65">
        <w:rPr>
          <w:color w:val="000000"/>
        </w:rPr>
        <w:t xml:space="preserve"> and Nash, 2018). </w:t>
      </w:r>
    </w:p>
    <w:p w14:paraId="05AF349A" w14:textId="77777777" w:rsidR="00294582" w:rsidRPr="00BD2C65" w:rsidRDefault="00294582" w:rsidP="00294582">
      <w:pPr>
        <w:spacing w:line="480" w:lineRule="auto"/>
        <w:jc w:val="both"/>
      </w:pPr>
    </w:p>
    <w:p w14:paraId="2D819EC2" w14:textId="501F90C7" w:rsidR="00294582" w:rsidRPr="00BD2C65" w:rsidRDefault="00294582" w:rsidP="00294582">
      <w:pPr>
        <w:spacing w:line="480" w:lineRule="auto"/>
        <w:jc w:val="both"/>
      </w:pPr>
      <w:r w:rsidRPr="00BD2C65">
        <w:t xml:space="preserve">Despite </w:t>
      </w:r>
      <w:r w:rsidR="00CB71B2" w:rsidRPr="00BD2C65">
        <w:t>Homonationalism</w:t>
      </w:r>
      <w:r w:rsidRPr="00BD2C65">
        <w:t xml:space="preserve"> being linked to westernised neo-</w:t>
      </w:r>
      <w:r w:rsidR="001C4A46" w:rsidRPr="00BD2C65">
        <w:t>imperialism</w:t>
      </w:r>
      <w:r w:rsidRPr="00BD2C65">
        <w:t xml:space="preserve"> it does not </w:t>
      </w:r>
      <w:r w:rsidR="00AD57BE" w:rsidRPr="00BD2C65">
        <w:t>consider</w:t>
      </w:r>
      <w:r w:rsidRPr="00BD2C65">
        <w:t xml:space="preserve"> the local context of why ex-British colonial countries </w:t>
      </w:r>
      <w:r w:rsidR="00693048" w:rsidRPr="00BD2C65">
        <w:t>regulate</w:t>
      </w:r>
      <w:r w:rsidRPr="00BD2C65">
        <w:t xml:space="preserve"> LGBTQIA+ people’s identity. For </w:t>
      </w:r>
      <w:r w:rsidR="003C36F2" w:rsidRPr="00BD2C65">
        <w:t>example,</w:t>
      </w:r>
      <w:r w:rsidRPr="00BD2C65">
        <w:t xml:space="preserve"> Singapore, which was a colonial country for over 140 years (</w:t>
      </w:r>
      <w:r w:rsidR="000D00A0" w:rsidRPr="00BD2C65">
        <w:t>Radics, 2019</w:t>
      </w:r>
      <w:r w:rsidR="0047210A" w:rsidRPr="00BD2C65">
        <w:t>; Oswin, 2014</w:t>
      </w:r>
      <w:r w:rsidRPr="00BD2C65">
        <w:t xml:space="preserve">) and achieved independence in </w:t>
      </w:r>
      <w:r w:rsidR="00131A25" w:rsidRPr="00BD2C65">
        <w:t>1965 (ibid.)</w:t>
      </w:r>
      <w:r w:rsidRPr="00BD2C65">
        <w:t>, still discriminate against LGBTQIA+ people because the government wishes to promote heterosexuality and increase their population (</w:t>
      </w:r>
      <w:r w:rsidR="0047210A" w:rsidRPr="00BD2C65">
        <w:t xml:space="preserve">Radics 2019; </w:t>
      </w:r>
      <w:r w:rsidRPr="00BD2C65">
        <w:t xml:space="preserve">Oswin, </w:t>
      </w:r>
      <w:r w:rsidR="00CD25A3" w:rsidRPr="00BD2C65">
        <w:t>2014</w:t>
      </w:r>
      <w:r w:rsidRPr="00BD2C65">
        <w:t>). Furthermore, in Christian ex-colonial countries the ongoing debate of accepting LGBTQIA+ rights</w:t>
      </w:r>
      <w:r w:rsidR="00131A25" w:rsidRPr="00BD2C65">
        <w:t xml:space="preserve"> </w:t>
      </w:r>
      <w:r w:rsidRPr="00BD2C65">
        <w:t xml:space="preserve">in Christianity can be read as </w:t>
      </w:r>
      <w:r w:rsidR="00C168C7" w:rsidRPr="00BD2C65">
        <w:t>causing</w:t>
      </w:r>
      <w:r w:rsidRPr="00BD2C65">
        <w:t xml:space="preserve"> contradictions (Vanderbeck and Johnson, 2015). Various studies have shown the complexity of religion with sexual orientation and gender rights (</w:t>
      </w:r>
      <w:r w:rsidR="00803FE2" w:rsidRPr="00BD2C65">
        <w:t>ibid.</w:t>
      </w:r>
      <w:r w:rsidRPr="00BD2C65">
        <w:t>). Despite this</w:t>
      </w:r>
      <w:r w:rsidR="00C168C7" w:rsidRPr="00BD2C65">
        <w:t>,</w:t>
      </w:r>
      <w:r w:rsidRPr="00BD2C65">
        <w:t xml:space="preserve"> religion is often seen as</w:t>
      </w:r>
      <w:r w:rsidR="00C168C7" w:rsidRPr="00BD2C65">
        <w:t xml:space="preserve"> a</w:t>
      </w:r>
      <w:r w:rsidRPr="00BD2C65">
        <w:t xml:space="preserve"> key block </w:t>
      </w:r>
      <w:r w:rsidRPr="00BD2C65">
        <w:lastRenderedPageBreak/>
        <w:t>to LGBTQIA+ positive legislation (</w:t>
      </w:r>
      <w:r w:rsidR="00803FE2" w:rsidRPr="00BD2C65">
        <w:rPr>
          <w:color w:val="000000"/>
        </w:rPr>
        <w:t>ibid.</w:t>
      </w:r>
      <w:r w:rsidRPr="00BD2C65">
        <w:rPr>
          <w:color w:val="000000"/>
        </w:rPr>
        <w:t>). This does not allow a complex view of religion and often religion is seen as a homogenous mass which is inherently homophobic (</w:t>
      </w:r>
      <w:r w:rsidR="00BF1423" w:rsidRPr="00BD2C65">
        <w:rPr>
          <w:color w:val="000000"/>
        </w:rPr>
        <w:t>ibid.</w:t>
      </w:r>
      <w:r w:rsidRPr="00BD2C65">
        <w:rPr>
          <w:color w:val="000000"/>
        </w:rPr>
        <w:t xml:space="preserve">).  </w:t>
      </w:r>
      <w:r w:rsidR="00C168C7" w:rsidRPr="00BD2C65">
        <w:rPr>
          <w:color w:val="000000"/>
        </w:rPr>
        <w:t>The</w:t>
      </w:r>
      <w:r w:rsidR="00442C48" w:rsidRPr="00BD2C65">
        <w:rPr>
          <w:color w:val="000000"/>
        </w:rPr>
        <w:t xml:space="preserve"> </w:t>
      </w:r>
      <w:r w:rsidR="008B5B8F" w:rsidRPr="00BD2C65">
        <w:rPr>
          <w:color w:val="000000"/>
        </w:rPr>
        <w:t>C</w:t>
      </w:r>
      <w:r w:rsidRPr="00BD2C65">
        <w:rPr>
          <w:color w:val="000000"/>
        </w:rPr>
        <w:t xml:space="preserve">onservative </w:t>
      </w:r>
      <w:r w:rsidR="008B5B8F" w:rsidRPr="00BD2C65">
        <w:rPr>
          <w:color w:val="000000"/>
        </w:rPr>
        <w:t>R</w:t>
      </w:r>
      <w:r w:rsidRPr="00BD2C65">
        <w:rPr>
          <w:color w:val="000000"/>
        </w:rPr>
        <w:t xml:space="preserve">ight in the UK and the US have sent evangelists to former colonial countries to promote their version and understanding of </w:t>
      </w:r>
      <w:r w:rsidR="00693048" w:rsidRPr="00BD2C65">
        <w:rPr>
          <w:color w:val="000000"/>
        </w:rPr>
        <w:t>Christianity,</w:t>
      </w:r>
      <w:r w:rsidRPr="00BD2C65">
        <w:rPr>
          <w:color w:val="000000"/>
        </w:rPr>
        <w:t xml:space="preserve"> which is homophobic, transphobic (</w:t>
      </w:r>
      <w:r w:rsidR="00BF1423" w:rsidRPr="00BD2C65">
        <w:rPr>
          <w:color w:val="000000"/>
        </w:rPr>
        <w:t>ibid.</w:t>
      </w:r>
      <w:r w:rsidRPr="00BD2C65">
        <w:rPr>
          <w:color w:val="000000"/>
        </w:rPr>
        <w:t>)</w:t>
      </w:r>
      <w:r w:rsidR="00454894" w:rsidRPr="00BD2C65">
        <w:rPr>
          <w:color w:val="000000"/>
        </w:rPr>
        <w:t>.</w:t>
      </w:r>
    </w:p>
    <w:p w14:paraId="60B455C3" w14:textId="77777777" w:rsidR="00294582" w:rsidRPr="00BD2C65" w:rsidRDefault="00294582" w:rsidP="00294582">
      <w:pPr>
        <w:spacing w:line="480" w:lineRule="auto"/>
        <w:jc w:val="both"/>
      </w:pPr>
      <w:r w:rsidRPr="00BD2C65">
        <w:t xml:space="preserve"> </w:t>
      </w:r>
    </w:p>
    <w:p w14:paraId="420756E4" w14:textId="4CC3001D" w:rsidR="00397930" w:rsidRPr="00BD2C65" w:rsidRDefault="00294582" w:rsidP="00294582">
      <w:pPr>
        <w:spacing w:line="480" w:lineRule="auto"/>
        <w:jc w:val="both"/>
        <w:rPr>
          <w:color w:val="000000"/>
        </w:rPr>
      </w:pPr>
      <w:r w:rsidRPr="00BD2C65">
        <w:t>The Conservative Right are heavily influenced by</w:t>
      </w:r>
      <w:r w:rsidRPr="00BD2C65">
        <w:rPr>
          <w:b/>
          <w:bCs/>
        </w:rPr>
        <w:t xml:space="preserve"> </w:t>
      </w:r>
      <w:r w:rsidRPr="00BD2C65">
        <w:t xml:space="preserve">heteroactivism (Browne et al, 2018). Often touted as ‘gender ideology’ (ibid.), this movement aims to keep a traditional dichotomy between male and female and any changes to this </w:t>
      </w:r>
      <w:r w:rsidR="00C168C7" w:rsidRPr="00BD2C65">
        <w:t>are</w:t>
      </w:r>
      <w:r w:rsidRPr="00BD2C65">
        <w:t xml:space="preserve"> seen as an existential threat to humanity (</w:t>
      </w:r>
      <w:r w:rsidR="00F80427" w:rsidRPr="00BD2C65">
        <w:t>Nash</w:t>
      </w:r>
      <w:r w:rsidRPr="00BD2C65">
        <w:t xml:space="preserve"> and </w:t>
      </w:r>
      <w:r w:rsidR="00F80427" w:rsidRPr="00BD2C65">
        <w:t>Browne</w:t>
      </w:r>
      <w:r w:rsidRPr="00BD2C65">
        <w:t>, 2020). Furthermore, as well as gender, heteroactivist</w:t>
      </w:r>
      <w:r w:rsidR="00C168C7" w:rsidRPr="00BD2C65">
        <w:t>s</w:t>
      </w:r>
      <w:r w:rsidRPr="00BD2C65">
        <w:t xml:space="preserve"> aim to undo LGBTQIA+ legislation, supporting academics who are anti-trans and challenge same-sex education in schools (ibid.). Moreover, heteroactivists have been creating new ways to resist LGBTQIA+ rights without seeming homophobic </w:t>
      </w:r>
      <w:r w:rsidRPr="00BD2C65">
        <w:rPr>
          <w:color w:val="000000"/>
        </w:rPr>
        <w:t>(Browne, Brown and Nash, 2018).</w:t>
      </w:r>
    </w:p>
    <w:p w14:paraId="31C3D628" w14:textId="4B5BD7EF" w:rsidR="00397930" w:rsidRPr="00BD2C65" w:rsidRDefault="00397930" w:rsidP="00294582">
      <w:pPr>
        <w:spacing w:line="480" w:lineRule="auto"/>
        <w:jc w:val="both"/>
        <w:rPr>
          <w:color w:val="000000"/>
        </w:rPr>
      </w:pPr>
    </w:p>
    <w:p w14:paraId="674E9F0C" w14:textId="3B06DFFB" w:rsidR="00397930" w:rsidRDefault="00397930" w:rsidP="00294582">
      <w:pPr>
        <w:spacing w:line="480" w:lineRule="auto"/>
        <w:jc w:val="both"/>
        <w:rPr>
          <w:color w:val="000000"/>
        </w:rPr>
      </w:pPr>
      <w:r w:rsidRPr="00BD2C65">
        <w:rPr>
          <w:color w:val="000000"/>
        </w:rPr>
        <w:t xml:space="preserve">Overall, understanding the complex intersection of race, cultural, and socio-political dynamics is crucial for developing a </w:t>
      </w:r>
      <w:r w:rsidR="0011030E" w:rsidRPr="00BD2C65">
        <w:rPr>
          <w:color w:val="000000"/>
        </w:rPr>
        <w:t>nuanced</w:t>
      </w:r>
      <w:r w:rsidRPr="00BD2C65">
        <w:rPr>
          <w:color w:val="000000"/>
        </w:rPr>
        <w:t xml:space="preserve"> and inclusive understanding of queer experiences beyond Western norms and how this understanding can help to advocate for LGBTQIA+ rights in former </w:t>
      </w:r>
      <w:r w:rsidR="00BD3430" w:rsidRPr="00BD2C65">
        <w:rPr>
          <w:color w:val="000000"/>
        </w:rPr>
        <w:t>British Colonies</w:t>
      </w:r>
      <w:r w:rsidRPr="00BD2C65">
        <w:rPr>
          <w:color w:val="000000"/>
        </w:rPr>
        <w:t>.</w:t>
      </w:r>
      <w:r>
        <w:rPr>
          <w:color w:val="000000"/>
        </w:rPr>
        <w:t xml:space="preserve"> </w:t>
      </w:r>
    </w:p>
    <w:p w14:paraId="5C30D84D" w14:textId="77777777" w:rsidR="00294582" w:rsidRDefault="00294582" w:rsidP="00294582">
      <w:pPr>
        <w:spacing w:line="480" w:lineRule="auto"/>
        <w:jc w:val="both"/>
      </w:pPr>
    </w:p>
    <w:p w14:paraId="58E6E7E0" w14:textId="77777777" w:rsidR="00294582" w:rsidRDefault="00294582" w:rsidP="00294582">
      <w:pPr>
        <w:numPr>
          <w:ilvl w:val="1"/>
          <w:numId w:val="1"/>
        </w:numPr>
        <w:spacing w:line="480" w:lineRule="auto"/>
        <w:outlineLvl w:val="1"/>
        <w:rPr>
          <w:b/>
        </w:rPr>
      </w:pPr>
      <w:bookmarkStart w:id="18" w:name="_Toc145927541"/>
      <w:bookmarkEnd w:id="8"/>
      <w:r>
        <w:rPr>
          <w:b/>
        </w:rPr>
        <w:t>Conclusion</w:t>
      </w:r>
      <w:bookmarkEnd w:id="18"/>
    </w:p>
    <w:p w14:paraId="24CA2EC4" w14:textId="5ADD13F1" w:rsidR="00D8638D" w:rsidRDefault="00294582" w:rsidP="00294582">
      <w:pPr>
        <w:spacing w:line="480" w:lineRule="auto"/>
        <w:jc w:val="both"/>
      </w:pPr>
      <w:r>
        <w:t xml:space="preserve">To conclude the section, </w:t>
      </w:r>
      <w:r w:rsidR="00F57EEE">
        <w:t>the literature review has illustrated</w:t>
      </w:r>
      <w:r w:rsidR="006A5B39">
        <w:t xml:space="preserve"> and provided an </w:t>
      </w:r>
      <w:r w:rsidR="00693048">
        <w:t>in-depth</w:t>
      </w:r>
      <w:r w:rsidR="006A5B39">
        <w:t xml:space="preserve"> </w:t>
      </w:r>
      <w:r w:rsidR="00CB502A">
        <w:t>exploration</w:t>
      </w:r>
      <w:r w:rsidR="00C168C7">
        <w:t xml:space="preserve"> </w:t>
      </w:r>
      <w:r w:rsidR="00CB502A">
        <w:t>of</w:t>
      </w:r>
      <w:r w:rsidR="00F57EEE">
        <w:t xml:space="preserve"> many different theories and paradigms which explain the historical and continuing impact </w:t>
      </w:r>
      <w:r w:rsidR="00C168C7">
        <w:t>on</w:t>
      </w:r>
      <w:r w:rsidR="00F57EEE">
        <w:t xml:space="preserve"> colonialisation of the identities of sexuality and gender</w:t>
      </w:r>
      <w:r w:rsidR="006A5B39">
        <w:t xml:space="preserve"> </w:t>
      </w:r>
      <w:r w:rsidR="00F57EEE">
        <w:t xml:space="preserve">in former British </w:t>
      </w:r>
      <w:r w:rsidR="008B5B8F">
        <w:t>Colonies</w:t>
      </w:r>
      <w:r w:rsidR="00F57EEE">
        <w:t xml:space="preserve">.  </w:t>
      </w:r>
      <w:r w:rsidR="00CB502A">
        <w:t xml:space="preserve">Through the exploration of key themes such as key terms and </w:t>
      </w:r>
      <w:r w:rsidR="00CB502A">
        <w:lastRenderedPageBreak/>
        <w:t>theories, pre-colonialism, morality</w:t>
      </w:r>
      <w:r w:rsidR="00C168C7">
        <w:t>,</w:t>
      </w:r>
      <w:r w:rsidR="00CB502A">
        <w:t xml:space="preserve"> modern-day</w:t>
      </w:r>
      <w:r w:rsidR="00C168C7">
        <w:t>,</w:t>
      </w:r>
      <w:r w:rsidR="00CB502A">
        <w:t xml:space="preserve"> </w:t>
      </w:r>
      <w:r w:rsidR="00CB71B2">
        <w:t>Homonationalism</w:t>
      </w:r>
      <w:r w:rsidR="00CB502A">
        <w:t xml:space="preserve"> and heteroactivism, the literature review highlights the impact of colonialism on </w:t>
      </w:r>
      <w:r w:rsidR="0011030E">
        <w:t>indigenous</w:t>
      </w:r>
      <w:r w:rsidR="00CB502A">
        <w:t xml:space="preserve"> understanding of sexuality and gender identity. It also identifies and discusses the </w:t>
      </w:r>
      <w:r w:rsidR="0011030E">
        <w:t>continuing</w:t>
      </w:r>
      <w:r w:rsidR="00CB502A">
        <w:t xml:space="preserve"> impact of anti-LGBGTQIA+ </w:t>
      </w:r>
      <w:r w:rsidR="0011030E">
        <w:t>legislation</w:t>
      </w:r>
      <w:r w:rsidR="00CB502A">
        <w:t xml:space="preserve"> introduced by the British Empire on former British </w:t>
      </w:r>
      <w:r w:rsidR="00C168C7">
        <w:t>Colonies</w:t>
      </w:r>
      <w:r w:rsidR="00CB502A">
        <w:t xml:space="preserve">. </w:t>
      </w:r>
      <w:r w:rsidR="00C168C7">
        <w:t>By</w:t>
      </w:r>
      <w:r w:rsidR="00CB502A">
        <w:t xml:space="preserve"> using a decolonising model, it illustrates the limitation of westernised understanding of sexuality and gender identity, on former </w:t>
      </w:r>
      <w:r w:rsidR="00BA2220">
        <w:t xml:space="preserve">British Colonies </w:t>
      </w:r>
      <w:r w:rsidR="00CB502A">
        <w:t>and how this debate affects LGBTQIA+ rights</w:t>
      </w:r>
      <w:r w:rsidR="00C168C7">
        <w:t xml:space="preserve"> </w:t>
      </w:r>
      <w:r w:rsidR="00AD57BE">
        <w:t>in</w:t>
      </w:r>
      <w:r w:rsidR="00CB502A">
        <w:t xml:space="preserve"> Africa</w:t>
      </w:r>
      <w:r w:rsidR="00C168C7">
        <w:t xml:space="preserve"> today</w:t>
      </w:r>
      <w:r w:rsidR="00CB502A">
        <w:t xml:space="preserve">. Ultimately, </w:t>
      </w:r>
      <w:r w:rsidR="001856B3">
        <w:t xml:space="preserve">this literature review contributes to a greater understanding of the historical and contemporary struggles LGBTQIA+ people experience in former </w:t>
      </w:r>
      <w:r w:rsidR="00BA2220">
        <w:t xml:space="preserve">British Colonies </w:t>
      </w:r>
      <w:r w:rsidR="001856B3">
        <w:t>and the ongoing process of decolonisation and social justice.</w:t>
      </w:r>
    </w:p>
    <w:p w14:paraId="4D82916E" w14:textId="77777777" w:rsidR="00D8638D" w:rsidRDefault="00D8638D" w:rsidP="00294582">
      <w:pPr>
        <w:spacing w:line="480" w:lineRule="auto"/>
        <w:jc w:val="both"/>
      </w:pPr>
    </w:p>
    <w:bookmarkEnd w:id="9"/>
    <w:p w14:paraId="52AF3540" w14:textId="3D0519AA" w:rsidR="00F6445B" w:rsidRPr="00165131" w:rsidRDefault="00294582" w:rsidP="00294582">
      <w:pPr>
        <w:numPr>
          <w:ilvl w:val="0"/>
          <w:numId w:val="1"/>
        </w:numPr>
        <w:spacing w:line="480" w:lineRule="auto"/>
        <w:outlineLvl w:val="0"/>
        <w:rPr>
          <w:b/>
        </w:rPr>
      </w:pPr>
      <w:r w:rsidRPr="00165131">
        <w:rPr>
          <w:b/>
        </w:rPr>
        <w:br w:type="page"/>
      </w:r>
      <w:bookmarkStart w:id="19" w:name="_Toc145927542"/>
      <w:r w:rsidR="00BA7FED" w:rsidRPr="00165131">
        <w:rPr>
          <w:b/>
        </w:rPr>
        <w:lastRenderedPageBreak/>
        <w:t>DISCUSSION OF RESULTS</w:t>
      </w:r>
      <w:bookmarkEnd w:id="19"/>
    </w:p>
    <w:p w14:paraId="269AAF05" w14:textId="1951FB58" w:rsidR="003739F1" w:rsidRDefault="003739F1" w:rsidP="00165131">
      <w:pPr>
        <w:numPr>
          <w:ilvl w:val="1"/>
          <w:numId w:val="1"/>
        </w:numPr>
        <w:spacing w:line="480" w:lineRule="auto"/>
        <w:outlineLvl w:val="1"/>
        <w:rPr>
          <w:b/>
        </w:rPr>
      </w:pPr>
      <w:bookmarkStart w:id="20" w:name="_Toc145927543"/>
      <w:r w:rsidRPr="003739F1">
        <w:rPr>
          <w:b/>
        </w:rPr>
        <w:t>Introduction</w:t>
      </w:r>
      <w:bookmarkEnd w:id="20"/>
    </w:p>
    <w:p w14:paraId="3EF5A332" w14:textId="1E3D52DB" w:rsidR="002E53D5" w:rsidRDefault="00EA6780" w:rsidP="00E45638">
      <w:pPr>
        <w:spacing w:line="480" w:lineRule="auto"/>
        <w:jc w:val="both"/>
        <w:rPr>
          <w:rFonts w:cs="Calibri"/>
        </w:rPr>
      </w:pPr>
      <w:r>
        <w:rPr>
          <w:rFonts w:cs="Calibri"/>
        </w:rPr>
        <w:t xml:space="preserve">This </w:t>
      </w:r>
      <w:r w:rsidR="0085052E">
        <w:rPr>
          <w:rFonts w:cs="Calibri"/>
        </w:rPr>
        <w:t>section will discuss</w:t>
      </w:r>
      <w:r w:rsidR="003937A7">
        <w:rPr>
          <w:rFonts w:cs="Calibri"/>
        </w:rPr>
        <w:t xml:space="preserve"> and provide a comprehensive critical analysis of</w:t>
      </w:r>
      <w:r w:rsidR="0085052E">
        <w:rPr>
          <w:rFonts w:cs="Calibri"/>
        </w:rPr>
        <w:t xml:space="preserve"> the main findings from</w:t>
      </w:r>
      <w:r w:rsidR="006E4658">
        <w:rPr>
          <w:rFonts w:cs="Calibri"/>
        </w:rPr>
        <w:t xml:space="preserve"> the </w:t>
      </w:r>
      <w:r w:rsidR="00ED3196">
        <w:rPr>
          <w:rFonts w:cs="Calibri"/>
        </w:rPr>
        <w:t>L</w:t>
      </w:r>
      <w:r w:rsidR="0085052E">
        <w:rPr>
          <w:rFonts w:cs="Calibri"/>
        </w:rPr>
        <w:t xml:space="preserve">iterature </w:t>
      </w:r>
      <w:r w:rsidR="00ED3196">
        <w:rPr>
          <w:rFonts w:cs="Calibri"/>
        </w:rPr>
        <w:t>R</w:t>
      </w:r>
      <w:r w:rsidR="0085052E">
        <w:rPr>
          <w:rFonts w:cs="Calibri"/>
        </w:rPr>
        <w:t>eview</w:t>
      </w:r>
      <w:r w:rsidR="006E4658">
        <w:rPr>
          <w:rFonts w:cs="Calibri"/>
        </w:rPr>
        <w:t xml:space="preserve"> of this thesis</w:t>
      </w:r>
      <w:r w:rsidR="0085052E">
        <w:rPr>
          <w:rFonts w:cs="Calibri"/>
        </w:rPr>
        <w:t>. There are four main discussion points: Discussion 1: Power and Biopolitics</w:t>
      </w:r>
      <w:r w:rsidR="00C632C1">
        <w:rPr>
          <w:rFonts w:cs="Calibri"/>
        </w:rPr>
        <w:t>;</w:t>
      </w:r>
      <w:r w:rsidR="00A912E6">
        <w:rPr>
          <w:rFonts w:cs="Calibri"/>
        </w:rPr>
        <w:t xml:space="preserve"> </w:t>
      </w:r>
      <w:r w:rsidR="0085052E">
        <w:rPr>
          <w:rFonts w:cs="Calibri"/>
        </w:rPr>
        <w:t xml:space="preserve">Discussion 2: </w:t>
      </w:r>
      <w:r w:rsidR="00BD3430">
        <w:rPr>
          <w:rFonts w:cs="Calibri"/>
        </w:rPr>
        <w:t>Othering</w:t>
      </w:r>
      <w:r w:rsidR="0085052E">
        <w:rPr>
          <w:rFonts w:cs="Calibri"/>
        </w:rPr>
        <w:t xml:space="preserve"> a </w:t>
      </w:r>
      <w:r w:rsidR="00A912E6">
        <w:rPr>
          <w:rFonts w:cs="Calibri"/>
        </w:rPr>
        <w:t>frame</w:t>
      </w:r>
      <w:r w:rsidR="006E4658">
        <w:rPr>
          <w:rFonts w:cs="Calibri"/>
        </w:rPr>
        <w:t>work</w:t>
      </w:r>
      <w:r w:rsidR="00A912E6">
        <w:rPr>
          <w:rFonts w:cs="Calibri"/>
        </w:rPr>
        <w:t xml:space="preserve"> to synthesise </w:t>
      </w:r>
      <w:r w:rsidR="00BA2220">
        <w:rPr>
          <w:rFonts w:cs="Calibri"/>
        </w:rPr>
        <w:t>Queer Theory</w:t>
      </w:r>
      <w:r w:rsidR="00A912E6">
        <w:rPr>
          <w:rFonts w:cs="Calibri"/>
        </w:rPr>
        <w:t xml:space="preserve"> and </w:t>
      </w:r>
      <w:r w:rsidR="00BA2220">
        <w:rPr>
          <w:rFonts w:cs="Calibri"/>
        </w:rPr>
        <w:t>Decoloniality</w:t>
      </w:r>
      <w:r w:rsidR="00A912E6">
        <w:rPr>
          <w:rFonts w:cs="Calibri"/>
        </w:rPr>
        <w:t>; Discussion 3: Morality</w:t>
      </w:r>
      <w:r w:rsidR="006E4658">
        <w:rPr>
          <w:rFonts w:cs="Calibri"/>
        </w:rPr>
        <w:t xml:space="preserve"> -</w:t>
      </w:r>
      <w:r w:rsidR="00A912E6">
        <w:rPr>
          <w:rFonts w:cs="Calibri"/>
        </w:rPr>
        <w:t xml:space="preserve"> a nuanced debate and Discussion 4: Modern Day</w:t>
      </w:r>
      <w:r w:rsidR="003937A7">
        <w:rPr>
          <w:rFonts w:cs="Calibri"/>
        </w:rPr>
        <w:t xml:space="preserve"> Implications of </w:t>
      </w:r>
      <w:r w:rsidR="00A912E6">
        <w:rPr>
          <w:rFonts w:cs="Calibri"/>
        </w:rPr>
        <w:t xml:space="preserve">Cultural </w:t>
      </w:r>
      <w:r w:rsidR="00AD3719">
        <w:rPr>
          <w:rFonts w:cs="Calibri"/>
        </w:rPr>
        <w:t>Imperialism</w:t>
      </w:r>
      <w:r w:rsidR="00A912E6">
        <w:rPr>
          <w:rFonts w:cs="Calibri"/>
        </w:rPr>
        <w:t xml:space="preserve"> and </w:t>
      </w:r>
      <w:r w:rsidR="006E4658">
        <w:rPr>
          <w:rFonts w:cs="Calibri"/>
        </w:rPr>
        <w:t>Homonationalism</w:t>
      </w:r>
      <w:r w:rsidR="00A912E6">
        <w:rPr>
          <w:rFonts w:cs="Calibri"/>
        </w:rPr>
        <w:t xml:space="preserve">. </w:t>
      </w:r>
    </w:p>
    <w:p w14:paraId="5CF9BC6B" w14:textId="77777777" w:rsidR="002E53D5" w:rsidRDefault="002E53D5" w:rsidP="00E45638">
      <w:pPr>
        <w:spacing w:line="480" w:lineRule="auto"/>
        <w:jc w:val="both"/>
        <w:rPr>
          <w:rFonts w:cs="Calibri"/>
        </w:rPr>
      </w:pPr>
    </w:p>
    <w:p w14:paraId="61168CDE" w14:textId="6DDAD7F4" w:rsidR="00A912E6" w:rsidRDefault="00A912E6" w:rsidP="00E45638">
      <w:pPr>
        <w:spacing w:line="480" w:lineRule="auto"/>
        <w:jc w:val="both"/>
        <w:rPr>
          <w:rFonts w:cs="Calibri"/>
        </w:rPr>
      </w:pPr>
      <w:r>
        <w:rPr>
          <w:rFonts w:cs="Calibri"/>
        </w:rPr>
        <w:t xml:space="preserve">Discussion 1 explores </w:t>
      </w:r>
      <w:r w:rsidR="006038B2">
        <w:rPr>
          <w:rFonts w:cs="Calibri"/>
        </w:rPr>
        <w:t xml:space="preserve">how British Colonialism regulated </w:t>
      </w:r>
      <w:r w:rsidR="00834B0A">
        <w:rPr>
          <w:rFonts w:cs="Calibri"/>
        </w:rPr>
        <w:t xml:space="preserve">and maintained control over </w:t>
      </w:r>
      <w:r w:rsidR="006038B2">
        <w:rPr>
          <w:rFonts w:cs="Calibri"/>
        </w:rPr>
        <w:t xml:space="preserve">LGBTQIA+ sexualities and gender identities in </w:t>
      </w:r>
      <w:r w:rsidR="00C632C1">
        <w:rPr>
          <w:rFonts w:cs="Calibri"/>
        </w:rPr>
        <w:t>former</w:t>
      </w:r>
      <w:r w:rsidR="006038B2">
        <w:rPr>
          <w:rFonts w:cs="Calibri"/>
        </w:rPr>
        <w:t xml:space="preserve"> </w:t>
      </w:r>
      <w:r w:rsidR="00BD3430">
        <w:rPr>
          <w:rFonts w:cs="Calibri"/>
        </w:rPr>
        <w:t>British Colonies</w:t>
      </w:r>
      <w:r w:rsidR="00834B0A">
        <w:rPr>
          <w:rFonts w:cs="Calibri"/>
        </w:rPr>
        <w:t>. T</w:t>
      </w:r>
      <w:r w:rsidR="00B8284E">
        <w:rPr>
          <w:rFonts w:cs="Calibri"/>
        </w:rPr>
        <w:t xml:space="preserve">he </w:t>
      </w:r>
      <w:r w:rsidR="003937A7">
        <w:rPr>
          <w:rFonts w:cs="Calibri"/>
        </w:rPr>
        <w:t xml:space="preserve">study draws </w:t>
      </w:r>
      <w:r w:rsidR="0011030E">
        <w:rPr>
          <w:rFonts w:cs="Calibri"/>
        </w:rPr>
        <w:t>and interprets</w:t>
      </w:r>
      <w:r w:rsidR="00B8284E">
        <w:rPr>
          <w:rFonts w:cs="Calibri"/>
        </w:rPr>
        <w:t xml:space="preserve"> Foucault’s theories of </w:t>
      </w:r>
      <w:r w:rsidR="003937A7">
        <w:rPr>
          <w:rFonts w:cs="Calibri"/>
        </w:rPr>
        <w:t>bio</w:t>
      </w:r>
      <w:r w:rsidR="00B8284E">
        <w:rPr>
          <w:rFonts w:cs="Calibri"/>
        </w:rPr>
        <w:t>power</w:t>
      </w:r>
      <w:r w:rsidR="003937A7">
        <w:rPr>
          <w:rFonts w:cs="Calibri"/>
        </w:rPr>
        <w:t xml:space="preserve"> and biopolitics</w:t>
      </w:r>
      <w:r w:rsidR="006D5A7C">
        <w:rPr>
          <w:rFonts w:cs="Calibri"/>
        </w:rPr>
        <w:t xml:space="preserve"> </w:t>
      </w:r>
      <w:r w:rsidR="003937A7">
        <w:rPr>
          <w:rFonts w:cs="Calibri"/>
        </w:rPr>
        <w:t>to</w:t>
      </w:r>
      <w:r w:rsidR="00B8284E">
        <w:rPr>
          <w:rFonts w:cs="Calibri"/>
        </w:rPr>
        <w:t xml:space="preserve"> deconstruct </w:t>
      </w:r>
      <w:r w:rsidR="0052238B">
        <w:rPr>
          <w:rFonts w:cs="Calibri"/>
        </w:rPr>
        <w:t>normative notions of gender and sexual orientation</w:t>
      </w:r>
      <w:r w:rsidR="00023554">
        <w:rPr>
          <w:rFonts w:cs="Calibri"/>
        </w:rPr>
        <w:t xml:space="preserve"> and how these </w:t>
      </w:r>
      <w:r w:rsidR="006E4658">
        <w:rPr>
          <w:rFonts w:cs="Calibri"/>
        </w:rPr>
        <w:t>concepts</w:t>
      </w:r>
      <w:r w:rsidR="00023554">
        <w:rPr>
          <w:rFonts w:cs="Calibri"/>
        </w:rPr>
        <w:t xml:space="preserve"> have had long lasting impact</w:t>
      </w:r>
      <w:r w:rsidR="00E82157">
        <w:rPr>
          <w:rFonts w:cs="Calibri"/>
        </w:rPr>
        <w:t xml:space="preserve">s on the treatment of LGBTQIA+ people in former </w:t>
      </w:r>
      <w:r w:rsidR="00BD3430">
        <w:rPr>
          <w:rFonts w:cs="Calibri"/>
        </w:rPr>
        <w:t>British Colonies</w:t>
      </w:r>
      <w:r w:rsidR="00E82157">
        <w:rPr>
          <w:rFonts w:cs="Calibri"/>
        </w:rPr>
        <w:t xml:space="preserve">. </w:t>
      </w:r>
      <w:r w:rsidR="002E53D5">
        <w:rPr>
          <w:rFonts w:cs="Calibri"/>
        </w:rPr>
        <w:t xml:space="preserve">The </w:t>
      </w:r>
      <w:r w:rsidR="00693048">
        <w:rPr>
          <w:rFonts w:cs="Calibri"/>
        </w:rPr>
        <w:t>author argues</w:t>
      </w:r>
      <w:r w:rsidR="002E53D5">
        <w:rPr>
          <w:rFonts w:cs="Calibri"/>
        </w:rPr>
        <w:t xml:space="preserve"> that </w:t>
      </w:r>
      <w:r w:rsidR="00C632C1">
        <w:rPr>
          <w:rFonts w:cs="Calibri"/>
        </w:rPr>
        <w:t>decolonialisation</w:t>
      </w:r>
      <w:r w:rsidR="002E53D5">
        <w:rPr>
          <w:rFonts w:cs="Calibri"/>
        </w:rPr>
        <w:t xml:space="preserve"> must include an analysis </w:t>
      </w:r>
      <w:r w:rsidR="00992B2F">
        <w:rPr>
          <w:rFonts w:cs="Calibri"/>
        </w:rPr>
        <w:t>of the intersection of gender and sexuality and how the</w:t>
      </w:r>
      <w:r w:rsidR="006E4658">
        <w:rPr>
          <w:rFonts w:cs="Calibri"/>
        </w:rPr>
        <w:t>se were used by the</w:t>
      </w:r>
      <w:r w:rsidR="00992B2F">
        <w:rPr>
          <w:rFonts w:cs="Calibri"/>
        </w:rPr>
        <w:t xml:space="preserve"> British </w:t>
      </w:r>
      <w:r w:rsidR="007345AC">
        <w:rPr>
          <w:rFonts w:cs="Calibri"/>
        </w:rPr>
        <w:t xml:space="preserve">as tools to oppress </w:t>
      </w:r>
      <w:r w:rsidR="00BE4F57">
        <w:t xml:space="preserve">indigenous </w:t>
      </w:r>
      <w:r w:rsidR="007345AC">
        <w:rPr>
          <w:rFonts w:cs="Calibri"/>
        </w:rPr>
        <w:t>peoples</w:t>
      </w:r>
      <w:r w:rsidR="006E4658">
        <w:rPr>
          <w:rFonts w:cs="Calibri"/>
        </w:rPr>
        <w:t>,</w:t>
      </w:r>
      <w:r w:rsidR="007345AC">
        <w:rPr>
          <w:rFonts w:cs="Calibri"/>
        </w:rPr>
        <w:t xml:space="preserve"> introduce ideas of </w:t>
      </w:r>
      <w:r w:rsidR="006E4658">
        <w:rPr>
          <w:rFonts w:cs="Calibri"/>
        </w:rPr>
        <w:t>heteropatriarchy,</w:t>
      </w:r>
      <w:r w:rsidR="00DA33EB">
        <w:rPr>
          <w:rFonts w:cs="Calibri"/>
        </w:rPr>
        <w:t xml:space="preserve"> subject </w:t>
      </w:r>
      <w:r w:rsidR="00B85856">
        <w:t>I</w:t>
      </w:r>
      <w:r w:rsidR="00BE4F57">
        <w:t xml:space="preserve">ndigenous </w:t>
      </w:r>
      <w:r w:rsidR="00B85856">
        <w:rPr>
          <w:rFonts w:cs="Calibri"/>
        </w:rPr>
        <w:t>P</w:t>
      </w:r>
      <w:r w:rsidR="00DA33EB">
        <w:rPr>
          <w:rFonts w:cs="Calibri"/>
        </w:rPr>
        <w:t>eoples to settler</w:t>
      </w:r>
      <w:r w:rsidR="006E4658">
        <w:rPr>
          <w:rFonts w:cs="Calibri"/>
        </w:rPr>
        <w:t>s’ ideas of</w:t>
      </w:r>
      <w:r w:rsidR="00DA33EB">
        <w:rPr>
          <w:rFonts w:cs="Calibri"/>
        </w:rPr>
        <w:t xml:space="preserve"> sexuality</w:t>
      </w:r>
      <w:r w:rsidR="006E4658">
        <w:rPr>
          <w:rFonts w:cs="Calibri"/>
        </w:rPr>
        <w:t xml:space="preserve"> and gender identity</w:t>
      </w:r>
      <w:r w:rsidR="007345AC">
        <w:rPr>
          <w:rFonts w:cs="Calibri"/>
        </w:rPr>
        <w:t xml:space="preserve">. </w:t>
      </w:r>
    </w:p>
    <w:p w14:paraId="0F33D18E" w14:textId="15CF6B83" w:rsidR="00DA33EB" w:rsidRDefault="00DA33EB" w:rsidP="00E45638">
      <w:pPr>
        <w:spacing w:line="480" w:lineRule="auto"/>
        <w:jc w:val="both"/>
        <w:rPr>
          <w:rFonts w:cs="Calibri"/>
        </w:rPr>
      </w:pPr>
    </w:p>
    <w:p w14:paraId="515C3DCE" w14:textId="788C12A1" w:rsidR="00DA33EB" w:rsidRDefault="00DA33EB" w:rsidP="00E45638">
      <w:pPr>
        <w:spacing w:line="480" w:lineRule="auto"/>
        <w:jc w:val="both"/>
        <w:rPr>
          <w:rFonts w:cs="Calibri"/>
        </w:rPr>
      </w:pPr>
      <w:r>
        <w:rPr>
          <w:rFonts w:cs="Calibri"/>
        </w:rPr>
        <w:t xml:space="preserve">Discussion 2 explores </w:t>
      </w:r>
      <w:r w:rsidR="008A0BA8">
        <w:rPr>
          <w:rFonts w:cs="Calibri"/>
        </w:rPr>
        <w:t xml:space="preserve">the concept of </w:t>
      </w:r>
      <w:r w:rsidR="00BD3430">
        <w:rPr>
          <w:rFonts w:cs="Calibri"/>
        </w:rPr>
        <w:t>Othering</w:t>
      </w:r>
      <w:r w:rsidR="003937A7">
        <w:rPr>
          <w:rFonts w:cs="Calibri"/>
        </w:rPr>
        <w:t>, which the author has highlighted</w:t>
      </w:r>
      <w:r w:rsidR="008A0BA8">
        <w:rPr>
          <w:rFonts w:cs="Calibri"/>
        </w:rPr>
        <w:t xml:space="preserve"> as a </w:t>
      </w:r>
      <w:r w:rsidR="003937A7">
        <w:rPr>
          <w:rFonts w:cs="Calibri"/>
        </w:rPr>
        <w:t xml:space="preserve">key </w:t>
      </w:r>
      <w:r w:rsidR="008A0BA8">
        <w:rPr>
          <w:rFonts w:cs="Calibri"/>
        </w:rPr>
        <w:t xml:space="preserve">paradigm to </w:t>
      </w:r>
      <w:r w:rsidR="0011030E">
        <w:rPr>
          <w:rFonts w:cs="Calibri"/>
        </w:rPr>
        <w:t>synthesise</w:t>
      </w:r>
      <w:r w:rsidR="008A0BA8">
        <w:rPr>
          <w:rFonts w:cs="Calibri"/>
        </w:rPr>
        <w:t xml:space="preserve"> Queer and Decolonising theories</w:t>
      </w:r>
      <w:r w:rsidR="006B06DA">
        <w:rPr>
          <w:rFonts w:cs="Calibri"/>
        </w:rPr>
        <w:t xml:space="preserve">. </w:t>
      </w:r>
      <w:r w:rsidR="00BD3430">
        <w:rPr>
          <w:rFonts w:cs="Calibri"/>
        </w:rPr>
        <w:t>Othering</w:t>
      </w:r>
      <w:r w:rsidR="006B06DA">
        <w:rPr>
          <w:rFonts w:cs="Calibri"/>
        </w:rPr>
        <w:t xml:space="preserve"> is a seminal concept in understanding group dynamics</w:t>
      </w:r>
      <w:r w:rsidR="006E4658">
        <w:rPr>
          <w:rFonts w:cs="Calibri"/>
        </w:rPr>
        <w:t>.</w:t>
      </w:r>
      <w:r w:rsidR="006B06DA">
        <w:rPr>
          <w:rFonts w:cs="Calibri"/>
        </w:rPr>
        <w:t xml:space="preserve"> Hegel</w:t>
      </w:r>
      <w:r w:rsidR="003937A7">
        <w:rPr>
          <w:rFonts w:cs="Calibri"/>
        </w:rPr>
        <w:t xml:space="preserve"> (1977)</w:t>
      </w:r>
      <w:r w:rsidR="006B06DA">
        <w:rPr>
          <w:rFonts w:cs="Calibri"/>
        </w:rPr>
        <w:t xml:space="preserve"> was one of the first </w:t>
      </w:r>
      <w:r w:rsidR="006E4658">
        <w:rPr>
          <w:rFonts w:cs="Calibri"/>
        </w:rPr>
        <w:t>theorists</w:t>
      </w:r>
      <w:r w:rsidR="006B06DA">
        <w:rPr>
          <w:rFonts w:cs="Calibri"/>
        </w:rPr>
        <w:t xml:space="preserve"> of </w:t>
      </w:r>
      <w:r w:rsidR="00BD3430">
        <w:rPr>
          <w:rFonts w:cs="Calibri"/>
        </w:rPr>
        <w:t>Othering</w:t>
      </w:r>
      <w:r w:rsidR="006E4658">
        <w:rPr>
          <w:rFonts w:cs="Calibri"/>
        </w:rPr>
        <w:t>,</w:t>
      </w:r>
      <w:r w:rsidR="00594670">
        <w:rPr>
          <w:rFonts w:cs="Calibri"/>
        </w:rPr>
        <w:t xml:space="preserve"> and this concept was further developed by </w:t>
      </w:r>
      <w:r w:rsidR="00BD3430">
        <w:rPr>
          <w:rFonts w:cs="Calibri"/>
        </w:rPr>
        <w:t>Beauvoir</w:t>
      </w:r>
      <w:r w:rsidR="003937A7">
        <w:rPr>
          <w:rFonts w:cs="Calibri"/>
        </w:rPr>
        <w:t xml:space="preserve"> (</w:t>
      </w:r>
      <w:r w:rsidR="004366A8">
        <w:rPr>
          <w:rFonts w:cs="Calibri"/>
        </w:rPr>
        <w:t>2011</w:t>
      </w:r>
      <w:r w:rsidR="003937A7">
        <w:rPr>
          <w:rFonts w:cs="Calibri"/>
        </w:rPr>
        <w:t>)</w:t>
      </w:r>
      <w:r w:rsidR="00594670">
        <w:rPr>
          <w:rFonts w:cs="Calibri"/>
        </w:rPr>
        <w:t xml:space="preserve"> and Fanon</w:t>
      </w:r>
      <w:r w:rsidR="003937A7">
        <w:rPr>
          <w:rFonts w:cs="Calibri"/>
        </w:rPr>
        <w:t xml:space="preserve"> (</w:t>
      </w:r>
      <w:r w:rsidR="004366A8">
        <w:rPr>
          <w:rFonts w:cs="Calibri"/>
        </w:rPr>
        <w:t>1987</w:t>
      </w:r>
      <w:r w:rsidR="003937A7">
        <w:rPr>
          <w:rFonts w:cs="Calibri"/>
        </w:rPr>
        <w:t>)</w:t>
      </w:r>
      <w:r w:rsidR="00594670">
        <w:rPr>
          <w:rFonts w:cs="Calibri"/>
        </w:rPr>
        <w:t xml:space="preserve">. </w:t>
      </w:r>
      <w:r w:rsidR="009022BF">
        <w:rPr>
          <w:rFonts w:cs="Calibri"/>
        </w:rPr>
        <w:t xml:space="preserve"> This discussion </w:t>
      </w:r>
      <w:r w:rsidR="002D2568">
        <w:rPr>
          <w:rFonts w:cs="Calibri"/>
        </w:rPr>
        <w:t>highlights</w:t>
      </w:r>
      <w:r w:rsidR="009022BF">
        <w:rPr>
          <w:rFonts w:cs="Calibri"/>
        </w:rPr>
        <w:t xml:space="preserve"> how </w:t>
      </w:r>
      <w:r w:rsidR="00BD3430">
        <w:rPr>
          <w:rFonts w:cs="Calibri"/>
        </w:rPr>
        <w:t>Othering</w:t>
      </w:r>
      <w:r w:rsidR="009022BF">
        <w:rPr>
          <w:rFonts w:cs="Calibri"/>
        </w:rPr>
        <w:t xml:space="preserve"> has influenced the past and how it continues to affect the present</w:t>
      </w:r>
      <w:r w:rsidR="00027E23">
        <w:rPr>
          <w:rFonts w:cs="Calibri"/>
        </w:rPr>
        <w:t xml:space="preserve">. </w:t>
      </w:r>
      <w:r w:rsidR="002D2568">
        <w:rPr>
          <w:rFonts w:cs="Calibri"/>
        </w:rPr>
        <w:t>Overall,</w:t>
      </w:r>
      <w:r w:rsidR="00027E23">
        <w:rPr>
          <w:rFonts w:cs="Calibri"/>
        </w:rPr>
        <w:t xml:space="preserve"> by understanding how certain groups are </w:t>
      </w:r>
      <w:r w:rsidR="00027E23">
        <w:rPr>
          <w:rFonts w:cs="Calibri"/>
        </w:rPr>
        <w:lastRenderedPageBreak/>
        <w:t>othered, how this relates to power a</w:t>
      </w:r>
      <w:r w:rsidR="00053FCC">
        <w:rPr>
          <w:rFonts w:cs="Calibri"/>
        </w:rPr>
        <w:t xml:space="preserve">nd control and using intersectionality as a framework, the author was able to synthesise Queer and Decolonising theories. </w:t>
      </w:r>
    </w:p>
    <w:p w14:paraId="625C7F39" w14:textId="77777777" w:rsidR="00A05098" w:rsidRDefault="00A05098" w:rsidP="00E45638">
      <w:pPr>
        <w:spacing w:line="480" w:lineRule="auto"/>
        <w:jc w:val="both"/>
        <w:rPr>
          <w:rFonts w:cs="Calibri"/>
        </w:rPr>
      </w:pPr>
    </w:p>
    <w:p w14:paraId="5F5688CE" w14:textId="73F8EC3A" w:rsidR="00053FCC" w:rsidRDefault="00053FCC" w:rsidP="00E45638">
      <w:pPr>
        <w:spacing w:line="480" w:lineRule="auto"/>
        <w:jc w:val="both"/>
        <w:rPr>
          <w:rFonts w:cs="Calibri"/>
        </w:rPr>
      </w:pPr>
      <w:r>
        <w:rPr>
          <w:rFonts w:cs="Calibri"/>
        </w:rPr>
        <w:t xml:space="preserve">Discussion 3 </w:t>
      </w:r>
      <w:r w:rsidR="006A49A2">
        <w:rPr>
          <w:rFonts w:cs="Calibri"/>
        </w:rPr>
        <w:t>delves into the impact of morality on the sexuality and gender identity of former British Colonial subjects</w:t>
      </w:r>
      <w:r w:rsidR="00A05098">
        <w:rPr>
          <w:rFonts w:cs="Calibri"/>
        </w:rPr>
        <w:t xml:space="preserve">, and how this </w:t>
      </w:r>
      <w:r w:rsidR="00780EC4">
        <w:rPr>
          <w:rFonts w:cs="Calibri"/>
        </w:rPr>
        <w:t xml:space="preserve">continues to </w:t>
      </w:r>
      <w:r w:rsidR="00A05098">
        <w:rPr>
          <w:rFonts w:cs="Calibri"/>
        </w:rPr>
        <w:t xml:space="preserve">affect them today. The author highlights the use of </w:t>
      </w:r>
      <w:r w:rsidR="00D6483E">
        <w:rPr>
          <w:rFonts w:cs="Calibri"/>
        </w:rPr>
        <w:t>Judeo-</w:t>
      </w:r>
      <w:r w:rsidR="002D2568">
        <w:rPr>
          <w:rFonts w:cs="Calibri"/>
        </w:rPr>
        <w:t>Christian</w:t>
      </w:r>
      <w:r w:rsidR="00D6483E">
        <w:rPr>
          <w:rFonts w:cs="Calibri"/>
        </w:rPr>
        <w:t xml:space="preserve"> moral code </w:t>
      </w:r>
      <w:r w:rsidR="00780EC4">
        <w:rPr>
          <w:rFonts w:cs="Calibri"/>
        </w:rPr>
        <w:t xml:space="preserve">in shaping </w:t>
      </w:r>
      <w:r w:rsidR="00D6483E">
        <w:rPr>
          <w:rFonts w:cs="Calibri"/>
        </w:rPr>
        <w:t>Britain’s views of gender and sexual orientation</w:t>
      </w:r>
      <w:r w:rsidR="008B6EF6">
        <w:rPr>
          <w:rFonts w:cs="Calibri"/>
        </w:rPr>
        <w:t xml:space="preserve">, which led to violence and discrimination against LGBTQIA+ people. </w:t>
      </w:r>
      <w:r w:rsidR="000B62CE">
        <w:rPr>
          <w:rFonts w:cs="Calibri"/>
        </w:rPr>
        <w:t xml:space="preserve">The author explores the impact this had on former </w:t>
      </w:r>
      <w:r w:rsidR="00BA2220">
        <w:rPr>
          <w:rFonts w:cs="Calibri"/>
        </w:rPr>
        <w:t xml:space="preserve">British Colonies </w:t>
      </w:r>
      <w:r w:rsidR="000B62CE">
        <w:rPr>
          <w:rFonts w:cs="Calibri"/>
        </w:rPr>
        <w:t xml:space="preserve">in Africa, </w:t>
      </w:r>
      <w:r w:rsidR="00780EC4">
        <w:rPr>
          <w:rFonts w:cs="Calibri"/>
        </w:rPr>
        <w:t>especially</w:t>
      </w:r>
      <w:r w:rsidR="009B53E4">
        <w:rPr>
          <w:rFonts w:cs="Calibri"/>
        </w:rPr>
        <w:t xml:space="preserve"> Uganda and Nigeria who have imposed anti-LGBTQIA+ </w:t>
      </w:r>
      <w:r w:rsidR="003B49BD">
        <w:rPr>
          <w:rFonts w:cs="Calibri"/>
        </w:rPr>
        <w:t>legislation</w:t>
      </w:r>
      <w:r w:rsidR="009B53E4">
        <w:rPr>
          <w:rFonts w:cs="Calibri"/>
        </w:rPr>
        <w:t xml:space="preserve"> based on Christian </w:t>
      </w:r>
      <w:r w:rsidR="006E4658">
        <w:rPr>
          <w:rFonts w:cs="Calibri"/>
        </w:rPr>
        <w:t>m</w:t>
      </w:r>
      <w:r w:rsidR="009B53E4">
        <w:rPr>
          <w:rFonts w:cs="Calibri"/>
        </w:rPr>
        <w:t>oralit</w:t>
      </w:r>
      <w:r w:rsidR="00521159">
        <w:rPr>
          <w:rFonts w:cs="Calibri"/>
        </w:rPr>
        <w:t>y</w:t>
      </w:r>
      <w:r w:rsidR="00780EC4">
        <w:rPr>
          <w:rFonts w:cs="Calibri"/>
        </w:rPr>
        <w:t xml:space="preserve">. The author also </w:t>
      </w:r>
      <w:r w:rsidR="00693048">
        <w:rPr>
          <w:rFonts w:cs="Calibri"/>
        </w:rPr>
        <w:t>explores how</w:t>
      </w:r>
      <w:r w:rsidR="00521159">
        <w:rPr>
          <w:rFonts w:cs="Calibri"/>
        </w:rPr>
        <w:t xml:space="preserve"> other countries such as South Africa and </w:t>
      </w:r>
      <w:r w:rsidR="003B49BD">
        <w:rPr>
          <w:rFonts w:cs="Calibri"/>
        </w:rPr>
        <w:t>Mozambique</w:t>
      </w:r>
      <w:r w:rsidR="00521159">
        <w:rPr>
          <w:rFonts w:cs="Calibri"/>
        </w:rPr>
        <w:t xml:space="preserve"> have enshrined LGBTQIA+ rights </w:t>
      </w:r>
      <w:r w:rsidR="00310878">
        <w:rPr>
          <w:rFonts w:cs="Calibri"/>
        </w:rPr>
        <w:t xml:space="preserve">in their </w:t>
      </w:r>
      <w:r w:rsidR="003B49BD">
        <w:rPr>
          <w:rFonts w:cs="Calibri"/>
        </w:rPr>
        <w:t>constitutions</w:t>
      </w:r>
      <w:r w:rsidR="00310878">
        <w:rPr>
          <w:rFonts w:cs="Calibri"/>
        </w:rPr>
        <w:t xml:space="preserve"> and are more accepting of LGBTQIA+ relationships. Finally, the author also explores the </w:t>
      </w:r>
      <w:r w:rsidR="00BA0FBD">
        <w:rPr>
          <w:rFonts w:cs="Calibri"/>
        </w:rPr>
        <w:t xml:space="preserve">complex relationship between Christianity and LGBTQIA+ rights in former </w:t>
      </w:r>
      <w:r w:rsidR="00BA2220">
        <w:rPr>
          <w:rFonts w:cs="Calibri"/>
        </w:rPr>
        <w:t xml:space="preserve">British Colonies </w:t>
      </w:r>
      <w:r w:rsidR="00BA0FBD">
        <w:rPr>
          <w:rFonts w:cs="Calibri"/>
        </w:rPr>
        <w:t xml:space="preserve">and the role of colonialism in shaping attitudes towards LGBTQIA+ people. </w:t>
      </w:r>
    </w:p>
    <w:p w14:paraId="5805C6D6" w14:textId="77777777" w:rsidR="00A05098" w:rsidRDefault="00A05098" w:rsidP="00E45638">
      <w:pPr>
        <w:spacing w:line="480" w:lineRule="auto"/>
        <w:jc w:val="both"/>
        <w:rPr>
          <w:rFonts w:cs="Calibri"/>
        </w:rPr>
      </w:pPr>
    </w:p>
    <w:p w14:paraId="56493173" w14:textId="76EC9D78" w:rsidR="00053FCC" w:rsidRDefault="003B49BD" w:rsidP="00E45638">
      <w:pPr>
        <w:spacing w:line="480" w:lineRule="auto"/>
        <w:jc w:val="both"/>
        <w:rPr>
          <w:rFonts w:cs="Calibri"/>
        </w:rPr>
      </w:pPr>
      <w:r>
        <w:rPr>
          <w:rFonts w:cs="Calibri"/>
        </w:rPr>
        <w:t>Lastly,</w:t>
      </w:r>
      <w:r w:rsidR="00053FCC">
        <w:rPr>
          <w:rFonts w:cs="Calibri"/>
        </w:rPr>
        <w:t xml:space="preserve"> </w:t>
      </w:r>
      <w:r w:rsidR="006D1C48">
        <w:rPr>
          <w:rFonts w:cs="Calibri"/>
        </w:rPr>
        <w:t xml:space="preserve">the author in </w:t>
      </w:r>
      <w:r w:rsidR="00053FCC">
        <w:rPr>
          <w:rFonts w:cs="Calibri"/>
        </w:rPr>
        <w:t xml:space="preserve">Discussion 4 </w:t>
      </w:r>
      <w:r w:rsidR="00BA0FBD">
        <w:rPr>
          <w:rFonts w:cs="Calibri"/>
        </w:rPr>
        <w:t>explores</w:t>
      </w:r>
      <w:r w:rsidR="006D1C48">
        <w:rPr>
          <w:rFonts w:cs="Calibri"/>
        </w:rPr>
        <w:t xml:space="preserve"> the contemporary implications of the oppression faced by LGBTQIA+ people in former </w:t>
      </w:r>
      <w:r w:rsidR="00BD3430">
        <w:rPr>
          <w:rFonts w:cs="Calibri"/>
        </w:rPr>
        <w:t>British Colonies</w:t>
      </w:r>
      <w:r w:rsidR="006E4658">
        <w:rPr>
          <w:rFonts w:cs="Calibri"/>
        </w:rPr>
        <w:t>. This</w:t>
      </w:r>
      <w:r w:rsidR="006D1C48">
        <w:rPr>
          <w:rFonts w:cs="Calibri"/>
        </w:rPr>
        <w:t xml:space="preserve"> </w:t>
      </w:r>
      <w:r w:rsidR="006E4658">
        <w:rPr>
          <w:rFonts w:cs="Calibri"/>
        </w:rPr>
        <w:t>focuses</w:t>
      </w:r>
      <w:r w:rsidR="006D1C48">
        <w:rPr>
          <w:rFonts w:cs="Calibri"/>
        </w:rPr>
        <w:t xml:space="preserve"> on cultural imperialism</w:t>
      </w:r>
      <w:r w:rsidR="001564CD">
        <w:rPr>
          <w:rFonts w:cs="Calibri"/>
        </w:rPr>
        <w:t xml:space="preserve"> and </w:t>
      </w:r>
      <w:r w:rsidR="00CB71B2">
        <w:rPr>
          <w:rFonts w:cs="Calibri"/>
        </w:rPr>
        <w:t>Homonationalism</w:t>
      </w:r>
      <w:r w:rsidR="006E4658">
        <w:rPr>
          <w:rFonts w:cs="Calibri"/>
        </w:rPr>
        <w:t xml:space="preserve"> </w:t>
      </w:r>
      <w:r w:rsidR="001564CD">
        <w:rPr>
          <w:rFonts w:cs="Calibri"/>
        </w:rPr>
        <w:t>that perpetuate the marginalisation and exclusion of individuals who do not fit into the binary essentialist idea of gender and sexuality</w:t>
      </w:r>
      <w:r w:rsidR="0013447E">
        <w:rPr>
          <w:rFonts w:cs="Calibri"/>
        </w:rPr>
        <w:t xml:space="preserve">. </w:t>
      </w:r>
      <w:r w:rsidR="00780EC4">
        <w:rPr>
          <w:rFonts w:cs="Calibri"/>
        </w:rPr>
        <w:t>Using</w:t>
      </w:r>
      <w:r w:rsidR="0013447E">
        <w:rPr>
          <w:rFonts w:cs="Calibri"/>
        </w:rPr>
        <w:t xml:space="preserve"> Uganda as an example, </w:t>
      </w:r>
      <w:r w:rsidR="00780EC4">
        <w:rPr>
          <w:rFonts w:cs="Calibri"/>
        </w:rPr>
        <w:t xml:space="preserve">the author examines </w:t>
      </w:r>
      <w:r w:rsidR="0013447E">
        <w:rPr>
          <w:rFonts w:cs="Calibri"/>
        </w:rPr>
        <w:t>how</w:t>
      </w:r>
      <w:r w:rsidR="00D31A1B">
        <w:rPr>
          <w:rFonts w:cs="Calibri"/>
        </w:rPr>
        <w:t xml:space="preserve"> pre-colonial values in Uganda and </w:t>
      </w:r>
      <w:r w:rsidR="006E4658">
        <w:rPr>
          <w:rFonts w:cs="Calibri"/>
        </w:rPr>
        <w:t xml:space="preserve">subsequent </w:t>
      </w:r>
      <w:r w:rsidR="00D31A1B">
        <w:rPr>
          <w:rFonts w:cs="Calibri"/>
        </w:rPr>
        <w:t xml:space="preserve">British </w:t>
      </w:r>
      <w:r>
        <w:rPr>
          <w:rFonts w:cs="Calibri"/>
        </w:rPr>
        <w:t>values</w:t>
      </w:r>
      <w:r w:rsidR="00D31A1B">
        <w:rPr>
          <w:rFonts w:cs="Calibri"/>
        </w:rPr>
        <w:t xml:space="preserve"> </w:t>
      </w:r>
      <w:r>
        <w:rPr>
          <w:rFonts w:cs="Calibri"/>
        </w:rPr>
        <w:t>produced</w:t>
      </w:r>
      <w:r w:rsidR="00D31A1B">
        <w:rPr>
          <w:rFonts w:cs="Calibri"/>
        </w:rPr>
        <w:t xml:space="preserve"> a new cultural space where </w:t>
      </w:r>
      <w:r w:rsidR="001E2D1A">
        <w:rPr>
          <w:rFonts w:cs="Calibri"/>
        </w:rPr>
        <w:t xml:space="preserve">westernised </w:t>
      </w:r>
      <w:r>
        <w:rPr>
          <w:rFonts w:cs="Calibri"/>
        </w:rPr>
        <w:t>patriarchy</w:t>
      </w:r>
      <w:r w:rsidR="001E2D1A">
        <w:rPr>
          <w:rFonts w:cs="Calibri"/>
        </w:rPr>
        <w:t xml:space="preserve"> and </w:t>
      </w:r>
      <w:r w:rsidR="0018161B">
        <w:rPr>
          <w:rFonts w:cs="Calibri"/>
        </w:rPr>
        <w:t>heteronormativity</w:t>
      </w:r>
      <w:r w:rsidR="00D31A1B">
        <w:rPr>
          <w:rFonts w:cs="Calibri"/>
        </w:rPr>
        <w:t xml:space="preserve"> was established </w:t>
      </w:r>
      <w:r w:rsidR="00CA369F">
        <w:rPr>
          <w:rFonts w:cs="Calibri"/>
        </w:rPr>
        <w:t>as the natural norm. Furthermore, the author explore</w:t>
      </w:r>
      <w:r w:rsidR="006E4658">
        <w:rPr>
          <w:rFonts w:cs="Calibri"/>
        </w:rPr>
        <w:t>s</w:t>
      </w:r>
      <w:r w:rsidR="00CA369F">
        <w:rPr>
          <w:rFonts w:cs="Calibri"/>
        </w:rPr>
        <w:t xml:space="preserve"> how </w:t>
      </w:r>
      <w:r w:rsidR="00CB71B2">
        <w:rPr>
          <w:rFonts w:cs="Calibri"/>
        </w:rPr>
        <w:t>Homonationalism</w:t>
      </w:r>
      <w:r w:rsidR="006E4658">
        <w:rPr>
          <w:rFonts w:cs="Calibri"/>
        </w:rPr>
        <w:t xml:space="preserve"> and </w:t>
      </w:r>
      <w:r w:rsidR="00D61267">
        <w:rPr>
          <w:rFonts w:cs="Calibri"/>
        </w:rPr>
        <w:t>the convergence of nationalist and LGBTQIA+ movements, can be harmful to marginalised communities</w:t>
      </w:r>
      <w:r w:rsidR="00E34CD3">
        <w:rPr>
          <w:rFonts w:cs="Calibri"/>
        </w:rPr>
        <w:t xml:space="preserve">, </w:t>
      </w:r>
      <w:r w:rsidR="00E34CD3">
        <w:rPr>
          <w:rFonts w:cs="Calibri"/>
        </w:rPr>
        <w:lastRenderedPageBreak/>
        <w:t xml:space="preserve">including those within the LGBTQIA+ community, and can be used to promote </w:t>
      </w:r>
      <w:r w:rsidR="0077286E">
        <w:rPr>
          <w:rFonts w:cs="Calibri"/>
        </w:rPr>
        <w:t xml:space="preserve">an </w:t>
      </w:r>
      <w:r w:rsidR="00E34CD3">
        <w:rPr>
          <w:rFonts w:cs="Calibri"/>
        </w:rPr>
        <w:t xml:space="preserve">anti-immigration and </w:t>
      </w:r>
      <w:r w:rsidR="00693048">
        <w:rPr>
          <w:rFonts w:cs="Calibri"/>
        </w:rPr>
        <w:t>nationalist’s</w:t>
      </w:r>
      <w:r w:rsidR="00E34CD3">
        <w:rPr>
          <w:rFonts w:cs="Calibri"/>
        </w:rPr>
        <w:t xml:space="preserve"> agenda.</w:t>
      </w:r>
      <w:r w:rsidR="009C557A">
        <w:rPr>
          <w:rFonts w:cs="Calibri"/>
        </w:rPr>
        <w:t xml:space="preserve"> Finally, the author raises important questions about how British values related to gender </w:t>
      </w:r>
      <w:r w:rsidR="0012026A">
        <w:rPr>
          <w:rFonts w:cs="Calibri"/>
        </w:rPr>
        <w:t>and sexuality are promoted globally</w:t>
      </w:r>
      <w:r w:rsidR="0077286E">
        <w:rPr>
          <w:rFonts w:cs="Calibri"/>
        </w:rPr>
        <w:t>,</w:t>
      </w:r>
      <w:r w:rsidR="0012026A">
        <w:rPr>
          <w:rFonts w:cs="Calibri"/>
        </w:rPr>
        <w:t xml:space="preserve"> and how they can have both positive and negative impacts on the lives of LGBTQIA+ people.</w:t>
      </w:r>
    </w:p>
    <w:p w14:paraId="250E4780" w14:textId="77777777" w:rsidR="001939A3" w:rsidRDefault="001939A3" w:rsidP="00E45638">
      <w:pPr>
        <w:spacing w:line="480" w:lineRule="auto"/>
        <w:jc w:val="both"/>
        <w:rPr>
          <w:rFonts w:cs="Calibri"/>
        </w:rPr>
      </w:pPr>
    </w:p>
    <w:p w14:paraId="4EAD7482" w14:textId="52898512" w:rsidR="003E149F" w:rsidRDefault="005A5CA3" w:rsidP="003E149F">
      <w:pPr>
        <w:numPr>
          <w:ilvl w:val="1"/>
          <w:numId w:val="1"/>
        </w:numPr>
        <w:spacing w:line="480" w:lineRule="auto"/>
        <w:jc w:val="both"/>
        <w:outlineLvl w:val="1"/>
      </w:pPr>
      <w:bookmarkStart w:id="21" w:name="_Toc145927544"/>
      <w:r w:rsidRPr="00A27FD8">
        <w:rPr>
          <w:b/>
        </w:rPr>
        <w:t>Discussion</w:t>
      </w:r>
      <w:r w:rsidR="003739F1" w:rsidRPr="00A27FD8">
        <w:rPr>
          <w:b/>
        </w:rPr>
        <w:t xml:space="preserve"> 1:</w:t>
      </w:r>
      <w:r w:rsidR="00D41096" w:rsidRPr="00A27FD8">
        <w:rPr>
          <w:b/>
        </w:rPr>
        <w:t xml:space="preserve"> </w:t>
      </w:r>
      <w:r w:rsidR="00D41096" w:rsidRPr="00A27FD8">
        <w:rPr>
          <w:b/>
          <w:bCs/>
        </w:rPr>
        <w:t>Power</w:t>
      </w:r>
      <w:r w:rsidR="0085052E">
        <w:rPr>
          <w:b/>
          <w:bCs/>
        </w:rPr>
        <w:t xml:space="preserve"> and</w:t>
      </w:r>
      <w:r w:rsidR="00D41096" w:rsidRPr="00A27FD8">
        <w:rPr>
          <w:b/>
          <w:bCs/>
        </w:rPr>
        <w:t xml:space="preserve"> Biopolitics</w:t>
      </w:r>
      <w:bookmarkEnd w:id="21"/>
      <w:r w:rsidR="002638EE">
        <w:rPr>
          <w:b/>
          <w:bCs/>
        </w:rPr>
        <w:t xml:space="preserve"> </w:t>
      </w:r>
    </w:p>
    <w:p w14:paraId="008B977F" w14:textId="77777777" w:rsidR="002000AE" w:rsidRDefault="002000AE" w:rsidP="003E149F"/>
    <w:p w14:paraId="0AB311C5" w14:textId="42DA46C9" w:rsidR="00427BF3" w:rsidRPr="00BD2C65" w:rsidRDefault="00C447A9" w:rsidP="006C1475">
      <w:pPr>
        <w:spacing w:line="480" w:lineRule="auto"/>
        <w:jc w:val="both"/>
      </w:pPr>
      <w:bookmarkStart w:id="22" w:name="_Hlk127102364"/>
      <w:r w:rsidRPr="00BD2C65">
        <w:t>This discussion critically explores t</w:t>
      </w:r>
      <w:r w:rsidR="00C31293" w:rsidRPr="00BD2C65">
        <w:t>he complex and multifaceted nature of sexuality and gender identity</w:t>
      </w:r>
      <w:r w:rsidRPr="00BD2C65">
        <w:t>, building upon</w:t>
      </w:r>
      <w:r w:rsidR="00C31293" w:rsidRPr="00BD2C65">
        <w:t xml:space="preserve"> Foucault’s (1977) seminal work ‘History of Sexuality’, which is highlighted in this critical study’s </w:t>
      </w:r>
      <w:r w:rsidR="006C1475" w:rsidRPr="00BD2C65">
        <w:t>Literature Review</w:t>
      </w:r>
      <w:r w:rsidR="006C1475" w:rsidRPr="00BD2C65">
        <w:rPr>
          <w:b/>
          <w:bCs/>
        </w:rPr>
        <w:t xml:space="preserve"> Theme 1: Key Terms and Theories </w:t>
      </w:r>
      <w:r w:rsidR="007368D0" w:rsidRPr="00BD2C65">
        <w:rPr>
          <w:b/>
          <w:bCs/>
        </w:rPr>
        <w:t xml:space="preserve">and </w:t>
      </w:r>
      <w:r w:rsidR="006C1475" w:rsidRPr="00BD2C65">
        <w:rPr>
          <w:b/>
          <w:bCs/>
        </w:rPr>
        <w:t>Theme 2: Pre-Colonialism</w:t>
      </w:r>
      <w:r w:rsidR="00C31293" w:rsidRPr="00BD2C65">
        <w:t xml:space="preserve">. </w:t>
      </w:r>
      <w:r w:rsidR="0018161B" w:rsidRPr="00BD2C65">
        <w:t>Foucault’s (1977) theoretical paradigm</w:t>
      </w:r>
      <w:r w:rsidRPr="00BD2C65">
        <w:t xml:space="preserve"> examines biopolitics and biopower as </w:t>
      </w:r>
      <w:r w:rsidR="00693048" w:rsidRPr="00BD2C65">
        <w:t>tools</w:t>
      </w:r>
      <w:r w:rsidR="006C1475" w:rsidRPr="00BD2C65">
        <w:t xml:space="preserve"> to deconstruct normative notions of trut</w:t>
      </w:r>
      <w:r w:rsidR="0077286E" w:rsidRPr="00BD2C65">
        <w:t>h. It</w:t>
      </w:r>
      <w:r w:rsidR="006C1475" w:rsidRPr="00BD2C65">
        <w:t xml:space="preserve"> enables reflection on the pre-colonial history of sexuality</w:t>
      </w:r>
      <w:r w:rsidR="00301084" w:rsidRPr="00BD2C65">
        <w:t xml:space="preserve"> and gender identity</w:t>
      </w:r>
      <w:r w:rsidRPr="00BD2C65">
        <w:t xml:space="preserve">, </w:t>
      </w:r>
      <w:r w:rsidR="0077286E" w:rsidRPr="00BD2C65">
        <w:t>providing</w:t>
      </w:r>
      <w:r w:rsidRPr="00BD2C65">
        <w:t xml:space="preserve"> a starting point for the author to further </w:t>
      </w:r>
      <w:r w:rsidR="0077286E" w:rsidRPr="00BD2C65">
        <w:t>develop</w:t>
      </w:r>
      <w:r w:rsidRPr="00BD2C65">
        <w:t xml:space="preserve"> this </w:t>
      </w:r>
      <w:r w:rsidR="003905CB" w:rsidRPr="00BD2C65">
        <w:t>topic</w:t>
      </w:r>
      <w:r w:rsidR="006C1475" w:rsidRPr="00BD2C65">
        <w:t xml:space="preserve">. </w:t>
      </w:r>
      <w:r w:rsidR="00C31293" w:rsidRPr="00BD2C65">
        <w:t>This discussion will expand upon Foucault’s theoretical framework, examining its potential for critical analysis and reflection on the complex ways in which sexuality and gender identity have been constructed and regulated throughout the British Empire.</w:t>
      </w:r>
      <w:r w:rsidRPr="00BD2C65">
        <w:t xml:space="preserve"> Through a detailed examination of this topic, the author aims to contribute to broader academic discussion on the complexities of gender identity</w:t>
      </w:r>
      <w:r w:rsidR="00AD56B6" w:rsidRPr="00BD2C65">
        <w:t xml:space="preserve"> and sexuality</w:t>
      </w:r>
      <w:r w:rsidRPr="00BD2C65">
        <w:t xml:space="preserve">, while providing an insight into the historical and contemporary challenges LGBTQIA+ people experience in former </w:t>
      </w:r>
      <w:r w:rsidR="00BD3430" w:rsidRPr="00BD2C65">
        <w:t>British Colonies</w:t>
      </w:r>
      <w:r w:rsidRPr="00BD2C65">
        <w:t>.</w:t>
      </w:r>
    </w:p>
    <w:p w14:paraId="16AB862D" w14:textId="77777777" w:rsidR="00550842" w:rsidRPr="00BD2C65" w:rsidRDefault="00550842" w:rsidP="006C1475">
      <w:pPr>
        <w:spacing w:line="480" w:lineRule="auto"/>
        <w:jc w:val="both"/>
      </w:pPr>
    </w:p>
    <w:p w14:paraId="05069C6F" w14:textId="615CA66F" w:rsidR="00427BF3" w:rsidRPr="00BD2C65" w:rsidRDefault="006135F2" w:rsidP="006C1475">
      <w:pPr>
        <w:spacing w:line="480" w:lineRule="auto"/>
        <w:jc w:val="both"/>
      </w:pPr>
      <w:r w:rsidRPr="00BD2C65">
        <w:t>Foucault (1977)</w:t>
      </w:r>
      <w:r w:rsidR="00C447A9" w:rsidRPr="00BD2C65">
        <w:t xml:space="preserve"> in ‘History of Sexuality’ offers a </w:t>
      </w:r>
      <w:r w:rsidR="00D65FF0" w:rsidRPr="00BD2C65">
        <w:t>critique</w:t>
      </w:r>
      <w:r w:rsidR="00C447A9" w:rsidRPr="00BD2C65">
        <w:t xml:space="preserve"> of how Western societies developed</w:t>
      </w:r>
      <w:r w:rsidR="00301084" w:rsidRPr="00BD2C65">
        <w:t xml:space="preserve"> </w:t>
      </w:r>
      <w:r w:rsidR="00C447A9" w:rsidRPr="00BD2C65">
        <w:t>and constructed</w:t>
      </w:r>
      <w:r w:rsidR="008A7FFE" w:rsidRPr="00BD2C65">
        <w:t xml:space="preserve"> an idea of sexuality as </w:t>
      </w:r>
      <w:r w:rsidR="0077286E" w:rsidRPr="00BD2C65">
        <w:t xml:space="preserve">a </w:t>
      </w:r>
      <w:r w:rsidR="008A7FFE" w:rsidRPr="00BD2C65">
        <w:t xml:space="preserve">natural and </w:t>
      </w:r>
      <w:r w:rsidR="00604D9C" w:rsidRPr="00BD2C65">
        <w:t>universal aspect of human life</w:t>
      </w:r>
      <w:r w:rsidR="00C447A9" w:rsidRPr="00BD2C65">
        <w:t>. Foucault (1977) argues that</w:t>
      </w:r>
      <w:r w:rsidR="00604D9C" w:rsidRPr="00BD2C65">
        <w:t xml:space="preserve"> historically sexuality has been used to regulate </w:t>
      </w:r>
      <w:r w:rsidR="00604D9C" w:rsidRPr="00BD2C65">
        <w:lastRenderedPageBreak/>
        <w:t>and control human behaviour by creating</w:t>
      </w:r>
      <w:r w:rsidR="00C447A9" w:rsidRPr="00BD2C65">
        <w:t xml:space="preserve"> and imposing</w:t>
      </w:r>
      <w:r w:rsidR="0066001C" w:rsidRPr="00BD2C65">
        <w:t xml:space="preserve"> norms of what is considered ‘normal’ and what is </w:t>
      </w:r>
      <w:r w:rsidR="00C447A9" w:rsidRPr="00BD2C65">
        <w:t xml:space="preserve">regarded </w:t>
      </w:r>
      <w:r w:rsidR="0066001C" w:rsidRPr="00BD2C65">
        <w:t xml:space="preserve">as ‘deviant’ </w:t>
      </w:r>
      <w:r w:rsidR="009C3445" w:rsidRPr="00BD2C65">
        <w:t>(ibid.).</w:t>
      </w:r>
      <w:r w:rsidR="0066001C" w:rsidRPr="00BD2C65">
        <w:t xml:space="preserve"> </w:t>
      </w:r>
      <w:r w:rsidR="002634D4" w:rsidRPr="00BD2C65">
        <w:t xml:space="preserve">Furthermore, </w:t>
      </w:r>
      <w:r w:rsidR="009C3445" w:rsidRPr="00BD2C65">
        <w:t>Foucault (1977)</w:t>
      </w:r>
      <w:r w:rsidR="00DE0B56" w:rsidRPr="00BD2C65">
        <w:t xml:space="preserve"> </w:t>
      </w:r>
      <w:r w:rsidR="00E7499E" w:rsidRPr="00BD2C65">
        <w:t xml:space="preserve">similarly stated that gender </w:t>
      </w:r>
      <w:r w:rsidR="00D65FF0" w:rsidRPr="00BD2C65">
        <w:t>identity</w:t>
      </w:r>
      <w:r w:rsidR="00C447A9" w:rsidRPr="00BD2C65">
        <w:t xml:space="preserve"> </w:t>
      </w:r>
      <w:r w:rsidR="0077286E" w:rsidRPr="00BD2C65">
        <w:t xml:space="preserve">is </w:t>
      </w:r>
      <w:r w:rsidR="0081403F" w:rsidRPr="00BD2C65">
        <w:t xml:space="preserve">a social </w:t>
      </w:r>
      <w:r w:rsidR="0077286E" w:rsidRPr="00BD2C65">
        <w:t>construct</w:t>
      </w:r>
      <w:r w:rsidR="0075341A" w:rsidRPr="00BD2C65">
        <w:t xml:space="preserve"> </w:t>
      </w:r>
      <w:r w:rsidR="0081403F" w:rsidRPr="00BD2C65">
        <w:t>which</w:t>
      </w:r>
      <w:r w:rsidR="00C447A9" w:rsidRPr="00BD2C65">
        <w:t xml:space="preserve"> is used to</w:t>
      </w:r>
      <w:r w:rsidR="0081403F" w:rsidRPr="00BD2C65">
        <w:t xml:space="preserve"> maintain</w:t>
      </w:r>
      <w:r w:rsidR="00AD3719" w:rsidRPr="00BD2C65">
        <w:t xml:space="preserve"> </w:t>
      </w:r>
      <w:r w:rsidR="00A914DE" w:rsidRPr="00BD2C65">
        <w:t>hegemonic</w:t>
      </w:r>
      <w:r w:rsidR="0075341A" w:rsidRPr="00BD2C65">
        <w:t xml:space="preserve"> </w:t>
      </w:r>
      <w:r w:rsidR="001939A3" w:rsidRPr="00BD2C65">
        <w:t>patriarchal</w:t>
      </w:r>
      <w:r w:rsidR="00A914DE" w:rsidRPr="00BD2C65">
        <w:t xml:space="preserve"> </w:t>
      </w:r>
      <w:r w:rsidR="0081403F" w:rsidRPr="00BD2C65">
        <w:t xml:space="preserve">power. In the context of colonialism </w:t>
      </w:r>
      <w:r w:rsidR="003A6B2D" w:rsidRPr="00BD2C65">
        <w:t>Foucault</w:t>
      </w:r>
      <w:r w:rsidR="00063496" w:rsidRPr="00BD2C65">
        <w:t>’s theory</w:t>
      </w:r>
      <w:r w:rsidR="00C447A9" w:rsidRPr="00BD2C65">
        <w:t xml:space="preserve"> is </w:t>
      </w:r>
      <w:r w:rsidR="00D65FF0" w:rsidRPr="00BD2C65">
        <w:t>particularly</w:t>
      </w:r>
      <w:r w:rsidR="00063496" w:rsidRPr="00BD2C65">
        <w:t xml:space="preserve"> </w:t>
      </w:r>
      <w:r w:rsidR="0077286E" w:rsidRPr="00BD2C65">
        <w:t>useful</w:t>
      </w:r>
      <w:r w:rsidR="00C447A9" w:rsidRPr="00BD2C65">
        <w:t xml:space="preserve"> as it creates a critical lens</w:t>
      </w:r>
      <w:r w:rsidR="003A6B2D" w:rsidRPr="00BD2C65">
        <w:t xml:space="preserve"> to explore the way in which power and control </w:t>
      </w:r>
      <w:r w:rsidR="0077286E" w:rsidRPr="00BD2C65">
        <w:t>were</w:t>
      </w:r>
      <w:r w:rsidR="003A6B2D" w:rsidRPr="00BD2C65">
        <w:t xml:space="preserve"> exerted over colonised peoples</w:t>
      </w:r>
      <w:r w:rsidR="003C07BD" w:rsidRPr="00BD2C65">
        <w:t xml:space="preserve"> and how colonisers</w:t>
      </w:r>
      <w:r w:rsidR="001D4569" w:rsidRPr="00BD2C65">
        <w:t xml:space="preserve"> introduced </w:t>
      </w:r>
      <w:r w:rsidR="00C447A9" w:rsidRPr="00BD2C65">
        <w:t xml:space="preserve">and enforced </w:t>
      </w:r>
      <w:r w:rsidR="001D4569" w:rsidRPr="00BD2C65">
        <w:t>ideas of gender and race classification</w:t>
      </w:r>
      <w:r w:rsidR="009C3445" w:rsidRPr="00BD2C65">
        <w:t xml:space="preserve"> (Stoler, 199</w:t>
      </w:r>
      <w:r w:rsidR="00310840" w:rsidRPr="00BD2C65">
        <w:t>5</w:t>
      </w:r>
      <w:r w:rsidR="009C3445" w:rsidRPr="00BD2C65">
        <w:t>)</w:t>
      </w:r>
      <w:r w:rsidR="003A6B2D" w:rsidRPr="00BD2C65">
        <w:t>.</w:t>
      </w:r>
      <w:r w:rsidR="00F905B3" w:rsidRPr="00BD2C65">
        <w:t xml:space="preserve"> </w:t>
      </w:r>
      <w:r w:rsidR="00C447A9" w:rsidRPr="00BD2C65">
        <w:t>Thus</w:t>
      </w:r>
      <w:r w:rsidR="00F905B3" w:rsidRPr="00BD2C65">
        <w:t xml:space="preserve">, Foucault’s </w:t>
      </w:r>
      <w:r w:rsidR="003C4BC1" w:rsidRPr="00BD2C65">
        <w:t>theory</w:t>
      </w:r>
      <w:r w:rsidR="00C447A9" w:rsidRPr="00BD2C65">
        <w:t xml:space="preserve"> and work</w:t>
      </w:r>
      <w:r w:rsidR="003C4BC1" w:rsidRPr="00BD2C65">
        <w:t xml:space="preserve"> </w:t>
      </w:r>
      <w:r w:rsidR="00C447A9" w:rsidRPr="00BD2C65">
        <w:t>offers</w:t>
      </w:r>
      <w:r w:rsidR="00F905B3" w:rsidRPr="00BD2C65">
        <w:t xml:space="preserve"> a broad </w:t>
      </w:r>
      <w:r w:rsidR="00C447A9" w:rsidRPr="00BD2C65">
        <w:t xml:space="preserve">nuanced </w:t>
      </w:r>
      <w:r w:rsidR="00F905B3" w:rsidRPr="00BD2C65">
        <w:t>understanding of how</w:t>
      </w:r>
      <w:r w:rsidR="003C07BD" w:rsidRPr="00BD2C65">
        <w:t xml:space="preserve"> power is used in society</w:t>
      </w:r>
      <w:r w:rsidR="00D65FF0" w:rsidRPr="00BD2C65">
        <w:t xml:space="preserve"> and how this power has been used to control sexuality and gender identity.</w:t>
      </w:r>
    </w:p>
    <w:p w14:paraId="35CFFB8F" w14:textId="77777777" w:rsidR="00373429" w:rsidRPr="00BD2C65" w:rsidRDefault="00373429" w:rsidP="006C1475">
      <w:pPr>
        <w:spacing w:line="480" w:lineRule="auto"/>
        <w:jc w:val="both"/>
        <w:rPr>
          <w:color w:val="FF0000"/>
        </w:rPr>
      </w:pPr>
    </w:p>
    <w:p w14:paraId="4B4E81B1" w14:textId="2A4A140C" w:rsidR="004C7199" w:rsidRPr="00BD2C65" w:rsidRDefault="00D65FF0" w:rsidP="004C7199">
      <w:pPr>
        <w:spacing w:line="480" w:lineRule="auto"/>
        <w:jc w:val="both"/>
      </w:pPr>
      <w:r w:rsidRPr="00BD2C65">
        <w:t xml:space="preserve">By </w:t>
      </w:r>
      <w:r w:rsidR="0077286E" w:rsidRPr="00BD2C65">
        <w:t>using</w:t>
      </w:r>
      <w:r w:rsidR="00AD3719" w:rsidRPr="00BD2C65">
        <w:t xml:space="preserve"> </w:t>
      </w:r>
      <w:r w:rsidR="00373429" w:rsidRPr="00BD2C65">
        <w:t xml:space="preserve">this </w:t>
      </w:r>
      <w:r w:rsidRPr="00BD2C65">
        <w:t xml:space="preserve">critical </w:t>
      </w:r>
      <w:r w:rsidR="00373429" w:rsidRPr="00BD2C65">
        <w:t>perspective</w:t>
      </w:r>
      <w:r w:rsidRPr="00BD2C65">
        <w:t xml:space="preserve"> on the regulation of sexuality and gender identity</w:t>
      </w:r>
      <w:r w:rsidR="00305058" w:rsidRPr="00BD2C65">
        <w:t xml:space="preserve"> in former </w:t>
      </w:r>
      <w:r w:rsidR="00BD3430" w:rsidRPr="00BD2C65">
        <w:t>British Colonies</w:t>
      </w:r>
      <w:r w:rsidR="00373429" w:rsidRPr="00BD2C65">
        <w:t>, it</w:t>
      </w:r>
      <w:r w:rsidR="006C1475" w:rsidRPr="00BD2C65">
        <w:t xml:space="preserve"> helps </w:t>
      </w:r>
      <w:r w:rsidR="00373429" w:rsidRPr="00BD2C65">
        <w:t xml:space="preserve">the author </w:t>
      </w:r>
      <w:r w:rsidR="006C1475" w:rsidRPr="00BD2C65">
        <w:t>to disrupt</w:t>
      </w:r>
      <w:r w:rsidRPr="00BD2C65">
        <w:t xml:space="preserve"> the</w:t>
      </w:r>
      <w:r w:rsidR="006C1475" w:rsidRPr="00BD2C65">
        <w:t xml:space="preserve"> hegemonic </w:t>
      </w:r>
      <w:r w:rsidR="00291626" w:rsidRPr="00BD2C65">
        <w:t>ideas of</w:t>
      </w:r>
      <w:r w:rsidRPr="00BD2C65">
        <w:t xml:space="preserve"> heteronormative</w:t>
      </w:r>
      <w:r w:rsidR="00291626" w:rsidRPr="00BD2C65">
        <w:t xml:space="preserve"> </w:t>
      </w:r>
      <w:r w:rsidRPr="00BD2C65">
        <w:t xml:space="preserve">essentialist notions of </w:t>
      </w:r>
      <w:r w:rsidR="00291626" w:rsidRPr="00BD2C65">
        <w:t xml:space="preserve">sexual orientation and gender </w:t>
      </w:r>
      <w:r w:rsidR="009C3445" w:rsidRPr="00BD2C65">
        <w:t>identities and</w:t>
      </w:r>
      <w:r w:rsidR="006C1475" w:rsidRPr="00BD2C65">
        <w:t xml:space="preserve"> enables the exploration of how westernised </w:t>
      </w:r>
      <w:r w:rsidR="0018161B" w:rsidRPr="00BD2C65">
        <w:t>imperialism used</w:t>
      </w:r>
      <w:r w:rsidR="006C1475" w:rsidRPr="00BD2C65">
        <w:t xml:space="preserve"> biopolitics and biopower </w:t>
      </w:r>
      <w:r w:rsidR="0077286E" w:rsidRPr="00BD2C65">
        <w:t>against</w:t>
      </w:r>
      <w:r w:rsidR="006C1475" w:rsidRPr="00BD2C65">
        <w:t xml:space="preserve"> colonial subjects</w:t>
      </w:r>
      <w:r w:rsidR="0077286E" w:rsidRPr="00BD2C65">
        <w:t>. This</w:t>
      </w:r>
      <w:r w:rsidR="006C1475" w:rsidRPr="00BD2C65">
        <w:t xml:space="preserve"> in turn affected the experiences of </w:t>
      </w:r>
      <w:r w:rsidR="00704EF6" w:rsidRPr="00BD2C65">
        <w:t>I</w:t>
      </w:r>
      <w:r w:rsidR="00BE4F57" w:rsidRPr="00BD2C65">
        <w:t xml:space="preserve">ndigenous </w:t>
      </w:r>
      <w:r w:rsidR="00704EF6" w:rsidRPr="00BD2C65">
        <w:t>P</w:t>
      </w:r>
      <w:r w:rsidR="006C1475" w:rsidRPr="00BD2C65">
        <w:t>opulations’ non-heteronormative sexualities and gender identities</w:t>
      </w:r>
      <w:r w:rsidR="00137FEF" w:rsidRPr="00BD2C65">
        <w:t xml:space="preserve"> (ibid</w:t>
      </w:r>
      <w:r w:rsidR="00A53390" w:rsidRPr="00BD2C65">
        <w:t>.</w:t>
      </w:r>
      <w:r w:rsidR="00137FEF" w:rsidRPr="00BD2C65">
        <w:t>)</w:t>
      </w:r>
      <w:r w:rsidR="00A53390" w:rsidRPr="00BD2C65">
        <w:t>.</w:t>
      </w:r>
      <w:r w:rsidR="006C1475" w:rsidRPr="00BD2C65">
        <w:t xml:space="preserve"> </w:t>
      </w:r>
      <w:r w:rsidRPr="00BD2C65">
        <w:t xml:space="preserve">Drawing on the insights gained from the </w:t>
      </w:r>
      <w:r w:rsidR="00AD57BE" w:rsidRPr="00BD2C65">
        <w:t>perspective</w:t>
      </w:r>
      <w:r w:rsidRPr="00BD2C65">
        <w:t xml:space="preserve"> above, the following narrative</w:t>
      </w:r>
      <w:r w:rsidR="0077286E" w:rsidRPr="00BD2C65">
        <w:t xml:space="preserve"> </w:t>
      </w:r>
      <w:r w:rsidRPr="00BD2C65">
        <w:t>in</w:t>
      </w:r>
      <w:r w:rsidR="006C1475" w:rsidRPr="00BD2C65">
        <w:t xml:space="preserve"> this </w:t>
      </w:r>
      <w:r w:rsidR="00693048" w:rsidRPr="00BD2C65">
        <w:t>chapter</w:t>
      </w:r>
      <w:r w:rsidR="0077286E" w:rsidRPr="00BD2C65">
        <w:t xml:space="preserve"> </w:t>
      </w:r>
      <w:r w:rsidR="00693048" w:rsidRPr="00BD2C65">
        <w:t>explores</w:t>
      </w:r>
      <w:r w:rsidR="006C1475" w:rsidRPr="00BD2C65">
        <w:t xml:space="preserve"> </w:t>
      </w:r>
      <w:r w:rsidRPr="00BD2C65">
        <w:t xml:space="preserve">further </w:t>
      </w:r>
      <w:r w:rsidR="00A6762D" w:rsidRPr="00BD2C65">
        <w:t xml:space="preserve">how </w:t>
      </w:r>
      <w:r w:rsidR="006C1475" w:rsidRPr="00BD2C65">
        <w:t>biopolitics</w:t>
      </w:r>
      <w:r w:rsidR="00D01DD2" w:rsidRPr="00BD2C65">
        <w:t xml:space="preserve"> </w:t>
      </w:r>
      <w:r w:rsidRPr="00BD2C65">
        <w:t xml:space="preserve">and </w:t>
      </w:r>
      <w:r w:rsidR="00693048" w:rsidRPr="00BD2C65">
        <w:t xml:space="preserve">biopower </w:t>
      </w:r>
      <w:r w:rsidR="0077286E" w:rsidRPr="00BD2C65">
        <w:t>together with</w:t>
      </w:r>
      <w:r w:rsidR="004C7199" w:rsidRPr="00BD2C65">
        <w:t xml:space="preserve"> their mechanisms were </w:t>
      </w:r>
      <w:r w:rsidRPr="00BD2C65">
        <w:t xml:space="preserve">used </w:t>
      </w:r>
      <w:r w:rsidR="006C1475" w:rsidRPr="00BD2C65">
        <w:t xml:space="preserve">in former </w:t>
      </w:r>
      <w:r w:rsidR="00BA2220" w:rsidRPr="00BD2C65">
        <w:t xml:space="preserve">British Colonies </w:t>
      </w:r>
      <w:r w:rsidR="00693048" w:rsidRPr="00BD2C65">
        <w:t>to</w:t>
      </w:r>
      <w:r w:rsidR="004C7199" w:rsidRPr="00BD2C65">
        <w:t xml:space="preserve"> control </w:t>
      </w:r>
      <w:r w:rsidRPr="00BD2C65">
        <w:t>non-heteronormative</w:t>
      </w:r>
      <w:r w:rsidR="006C1475" w:rsidRPr="00BD2C65">
        <w:t xml:space="preserve"> sexualities and gender identities</w:t>
      </w:r>
      <w:r w:rsidR="0077286E" w:rsidRPr="00BD2C65">
        <w:t xml:space="preserve">. </w:t>
      </w:r>
      <w:r w:rsidR="004C7199" w:rsidRPr="00BD2C65">
        <w:t xml:space="preserve"> </w:t>
      </w:r>
    </w:p>
    <w:p w14:paraId="297CB495" w14:textId="30287772" w:rsidR="002000AE" w:rsidRPr="00BD2C65" w:rsidRDefault="002000AE" w:rsidP="006C1475">
      <w:pPr>
        <w:spacing w:line="480" w:lineRule="auto"/>
        <w:jc w:val="both"/>
      </w:pPr>
    </w:p>
    <w:p w14:paraId="4D766F0F" w14:textId="57CD7704" w:rsidR="00A84FEA" w:rsidRPr="00BD2C65" w:rsidRDefault="009B5F4F" w:rsidP="004C7199">
      <w:pPr>
        <w:spacing w:line="480" w:lineRule="auto"/>
        <w:jc w:val="both"/>
      </w:pPr>
      <w:r w:rsidRPr="00BD2C65">
        <w:t>A</w:t>
      </w:r>
      <w:r w:rsidR="00E1672F" w:rsidRPr="00BD2C65">
        <w:t>nti-LGBTQIA+ legislation and attitudes were actively constructed and maintained by the</w:t>
      </w:r>
      <w:r w:rsidR="00884E7C" w:rsidRPr="00BD2C65">
        <w:t xml:space="preserve"> British</w:t>
      </w:r>
      <w:r w:rsidR="00E1672F" w:rsidRPr="00BD2C65">
        <w:t xml:space="preserve"> state and other dominant institutions </w:t>
      </w:r>
      <w:r w:rsidR="00AD57BE" w:rsidRPr="00BD2C65">
        <w:t>to</w:t>
      </w:r>
      <w:r w:rsidR="00E1672F" w:rsidRPr="00BD2C65">
        <w:t xml:space="preserve"> control and regulate various </w:t>
      </w:r>
      <w:r w:rsidR="00B1782B" w:rsidRPr="00BD2C65">
        <w:t xml:space="preserve">colonised </w:t>
      </w:r>
      <w:r w:rsidR="00E1672F" w:rsidRPr="00BD2C65">
        <w:t>populations</w:t>
      </w:r>
      <w:r w:rsidR="00710AA7" w:rsidRPr="00BD2C65">
        <w:t xml:space="preserve"> (</w:t>
      </w:r>
      <w:r w:rsidR="00075C24" w:rsidRPr="00BD2C65">
        <w:t>Mo</w:t>
      </w:r>
      <w:r w:rsidR="00047D60" w:rsidRPr="00BD2C65">
        <w:t>o</w:t>
      </w:r>
      <w:r w:rsidR="00075C24" w:rsidRPr="00BD2C65">
        <w:t>ney, 2020; Jindra, 2021; Kling, 2020</w:t>
      </w:r>
      <w:r w:rsidR="00710AA7" w:rsidRPr="00BD2C65">
        <w:t>)</w:t>
      </w:r>
      <w:r w:rsidR="00E1672F" w:rsidRPr="00BD2C65">
        <w:t xml:space="preserve">. </w:t>
      </w:r>
    </w:p>
    <w:p w14:paraId="27D6B882" w14:textId="77777777" w:rsidR="001D4569" w:rsidRPr="00BD2C65" w:rsidRDefault="001D4569" w:rsidP="00A63800">
      <w:pPr>
        <w:spacing w:line="480" w:lineRule="auto"/>
        <w:jc w:val="both"/>
      </w:pPr>
    </w:p>
    <w:p w14:paraId="0E16D681" w14:textId="7841E293" w:rsidR="004C7199" w:rsidRPr="00BD2C65" w:rsidRDefault="00AD3719" w:rsidP="00A63800">
      <w:pPr>
        <w:spacing w:line="480" w:lineRule="auto"/>
        <w:jc w:val="both"/>
        <w:rPr>
          <w:color w:val="000000"/>
        </w:rPr>
      </w:pPr>
      <w:r w:rsidRPr="00BD2C65">
        <w:lastRenderedPageBreak/>
        <w:t>U</w:t>
      </w:r>
      <w:r w:rsidR="004C7199" w:rsidRPr="00BD2C65">
        <w:t>sing biopolitics and biopower as a framework</w:t>
      </w:r>
      <w:r w:rsidR="00A63800" w:rsidRPr="00BD2C65">
        <w:t xml:space="preserve"> </w:t>
      </w:r>
      <w:r w:rsidR="00BA5976" w:rsidRPr="00BD2C65">
        <w:t>this helps</w:t>
      </w:r>
      <w:r w:rsidR="00A63800" w:rsidRPr="00BD2C65">
        <w:t xml:space="preserve"> to deconstruct </w:t>
      </w:r>
      <w:r w:rsidR="00BA5976" w:rsidRPr="00BD2C65">
        <w:t>gender</w:t>
      </w:r>
      <w:r w:rsidR="00E24F14" w:rsidRPr="00BD2C65">
        <w:t xml:space="preserve"> and</w:t>
      </w:r>
      <w:r w:rsidR="00B01AC5" w:rsidRPr="00BD2C65">
        <w:t xml:space="preserve"> </w:t>
      </w:r>
      <w:r w:rsidR="00BA5976" w:rsidRPr="00BD2C65">
        <w:t xml:space="preserve">sexuality and challenges </w:t>
      </w:r>
      <w:r w:rsidR="0077286E" w:rsidRPr="00BD2C65">
        <w:t>the legacy, historical perspective and ongoing effects of colonialisation</w:t>
      </w:r>
      <w:r w:rsidR="00A63800" w:rsidRPr="00BD2C65">
        <w:t>.</w:t>
      </w:r>
      <w:r w:rsidR="00710AA7" w:rsidRPr="00BD2C65">
        <w:t xml:space="preserve"> Additionally, </w:t>
      </w:r>
      <w:r w:rsidR="004C7199" w:rsidRPr="00BD2C65">
        <w:t xml:space="preserve">it is evident that </w:t>
      </w:r>
      <w:r w:rsidR="00710AA7" w:rsidRPr="00BD2C65">
        <w:t xml:space="preserve">the laws and policies that were imposed on </w:t>
      </w:r>
      <w:r w:rsidR="009B5F4F" w:rsidRPr="00BD2C65">
        <w:t xml:space="preserve">former </w:t>
      </w:r>
      <w:r w:rsidR="00BA2220" w:rsidRPr="00BD2C65">
        <w:t xml:space="preserve">British Colonies </w:t>
      </w:r>
      <w:r w:rsidR="00710AA7" w:rsidRPr="00BD2C65">
        <w:t xml:space="preserve">often aimed to enforce </w:t>
      </w:r>
      <w:r w:rsidR="000B1E33" w:rsidRPr="00BD2C65">
        <w:t>heteronormativity</w:t>
      </w:r>
      <w:r w:rsidR="00710AA7" w:rsidRPr="00BD2C65">
        <w:t xml:space="preserve"> and suppress non-normative forms of sexuality </w:t>
      </w:r>
      <w:r w:rsidR="00710AA7" w:rsidRPr="00BD2C65">
        <w:rPr>
          <w:color w:val="000000"/>
        </w:rPr>
        <w:t>and gender identity (</w:t>
      </w:r>
      <w:r w:rsidR="000567A3" w:rsidRPr="00BD2C65">
        <w:rPr>
          <w:color w:val="000000"/>
        </w:rPr>
        <w:t>ibid.</w:t>
      </w:r>
      <w:r w:rsidR="00710AA7" w:rsidRPr="00BD2C65">
        <w:rPr>
          <w:color w:val="000000"/>
        </w:rPr>
        <w:t>)</w:t>
      </w:r>
      <w:r w:rsidR="004C7199" w:rsidRPr="00BD2C65">
        <w:rPr>
          <w:color w:val="000000"/>
        </w:rPr>
        <w:t xml:space="preserve">, thereby reinforcing westernised expectations of sexuality and gender </w:t>
      </w:r>
      <w:r w:rsidR="0011030E" w:rsidRPr="00BD2C65">
        <w:rPr>
          <w:color w:val="000000"/>
        </w:rPr>
        <w:t>identity</w:t>
      </w:r>
      <w:r w:rsidR="00710AA7" w:rsidRPr="00BD2C65">
        <w:rPr>
          <w:color w:val="000000"/>
        </w:rPr>
        <w:t xml:space="preserve">. </w:t>
      </w:r>
    </w:p>
    <w:p w14:paraId="506AE027" w14:textId="77777777" w:rsidR="004C7199" w:rsidRPr="00BD2C65" w:rsidRDefault="004C7199" w:rsidP="00A63800">
      <w:pPr>
        <w:spacing w:line="480" w:lineRule="auto"/>
        <w:jc w:val="both"/>
        <w:rPr>
          <w:color w:val="000000"/>
        </w:rPr>
      </w:pPr>
    </w:p>
    <w:p w14:paraId="06D20767" w14:textId="3105B320" w:rsidR="00710AA7" w:rsidRPr="00BD2C65" w:rsidRDefault="00710AA7" w:rsidP="00A63800">
      <w:pPr>
        <w:spacing w:line="480" w:lineRule="auto"/>
        <w:jc w:val="both"/>
      </w:pPr>
      <w:r w:rsidRPr="00BD2C65">
        <w:rPr>
          <w:color w:val="000000"/>
        </w:rPr>
        <w:t xml:space="preserve">This has </w:t>
      </w:r>
      <w:r w:rsidR="000567A3" w:rsidRPr="00BD2C65">
        <w:rPr>
          <w:color w:val="000000"/>
        </w:rPr>
        <w:t xml:space="preserve">had </w:t>
      </w:r>
      <w:r w:rsidRPr="00BD2C65">
        <w:rPr>
          <w:color w:val="000000"/>
        </w:rPr>
        <w:t>a long-lasting impact on the treatment of</w:t>
      </w:r>
      <w:r w:rsidRPr="00BD2C65">
        <w:t xml:space="preserve"> LGBTQIA+ individuals in former</w:t>
      </w:r>
      <w:r w:rsidR="00923644" w:rsidRPr="00BD2C65">
        <w:t xml:space="preserve"> </w:t>
      </w:r>
      <w:r w:rsidR="00BD3430" w:rsidRPr="00BD2C65">
        <w:t xml:space="preserve">British </w:t>
      </w:r>
      <w:r w:rsidR="0018161B" w:rsidRPr="00BD2C65">
        <w:t>Colonies but</w:t>
      </w:r>
      <w:r w:rsidRPr="00BD2C65">
        <w:t xml:space="preserve"> </w:t>
      </w:r>
      <w:r w:rsidR="0077286E" w:rsidRPr="00BD2C65">
        <w:t xml:space="preserve">has </w:t>
      </w:r>
      <w:r w:rsidRPr="00BD2C65">
        <w:t>also helped to reinforce existing power structures and hierarchies</w:t>
      </w:r>
      <w:r w:rsidR="00E24F14" w:rsidRPr="00BD2C65">
        <w:t xml:space="preserve"> (ibid.)</w:t>
      </w:r>
      <w:r w:rsidRPr="00BD2C65">
        <w:t>. Ultimately, the author</w:t>
      </w:r>
      <w:r w:rsidR="008F1275" w:rsidRPr="00BD2C65">
        <w:t>’s</w:t>
      </w:r>
      <w:r w:rsidRPr="00BD2C65">
        <w:t xml:space="preserve"> understanding of biopolitics is that it provides a critical lens for examining</w:t>
      </w:r>
      <w:r w:rsidR="0077286E" w:rsidRPr="00BD2C65">
        <w:t xml:space="preserve"> one of the several</w:t>
      </w:r>
      <w:r w:rsidRPr="00BD2C65">
        <w:t xml:space="preserve"> ways in which state power is used to regulate and control populations, including those who identify as LGBTQIA+.  By using this framework, the author </w:t>
      </w:r>
      <w:r w:rsidR="00AD57BE" w:rsidRPr="00BD2C65">
        <w:t>can</w:t>
      </w:r>
      <w:r w:rsidRPr="00BD2C65">
        <w:t xml:space="preserve"> examine the ongoing effects of colonial rule on the experiences of LGBTQIA+ people in former </w:t>
      </w:r>
      <w:r w:rsidR="00BD3430" w:rsidRPr="00BD2C65">
        <w:t>British Colonies</w:t>
      </w:r>
      <w:r w:rsidRPr="00BD2C65">
        <w:t xml:space="preserve">, and the ways in which these experiences are influenced by </w:t>
      </w:r>
      <w:r w:rsidR="001B19FB" w:rsidRPr="00BD2C65">
        <w:t>economic</w:t>
      </w:r>
      <w:r w:rsidRPr="00BD2C65">
        <w:t xml:space="preserve">, social political </w:t>
      </w:r>
      <w:r w:rsidR="00B120EE" w:rsidRPr="00BD2C65">
        <w:t>and ongoing coloniality dynamics</w:t>
      </w:r>
      <w:r w:rsidRPr="00BD2C65">
        <w:t>.</w:t>
      </w:r>
    </w:p>
    <w:p w14:paraId="6D8E5EF1" w14:textId="3B7D64D5" w:rsidR="00710AA7" w:rsidRPr="00BD2C65" w:rsidRDefault="00710AA7" w:rsidP="00A63800">
      <w:pPr>
        <w:spacing w:line="480" w:lineRule="auto"/>
        <w:jc w:val="both"/>
      </w:pPr>
    </w:p>
    <w:p w14:paraId="1D28325E" w14:textId="68B40552" w:rsidR="00570D17" w:rsidRPr="00BD2C65" w:rsidRDefault="0077286E" w:rsidP="00570D17">
      <w:pPr>
        <w:spacing w:line="480" w:lineRule="auto"/>
        <w:jc w:val="both"/>
      </w:pPr>
      <w:r w:rsidRPr="00BD2C65">
        <w:t>This</w:t>
      </w:r>
      <w:r w:rsidR="00EE5454" w:rsidRPr="00BD2C65">
        <w:t xml:space="preserve"> framework</w:t>
      </w:r>
      <w:r w:rsidRPr="00BD2C65">
        <w:t xml:space="preserve"> </w:t>
      </w:r>
      <w:r w:rsidR="00EE5454" w:rsidRPr="00BD2C65">
        <w:t>enables</w:t>
      </w:r>
      <w:r w:rsidR="004C7199" w:rsidRPr="00BD2C65">
        <w:t xml:space="preserve"> the author and reader</w:t>
      </w:r>
      <w:r w:rsidRPr="00BD2C65">
        <w:t xml:space="preserve"> to form</w:t>
      </w:r>
      <w:r w:rsidR="00EE5454" w:rsidRPr="00BD2C65">
        <w:t xml:space="preserve"> an understanding </w:t>
      </w:r>
      <w:r w:rsidR="00693048" w:rsidRPr="00BD2C65">
        <w:t>of how</w:t>
      </w:r>
      <w:r w:rsidR="00570D17" w:rsidRPr="00BD2C65">
        <w:t xml:space="preserve"> </w:t>
      </w:r>
      <w:r w:rsidR="00EE5454" w:rsidRPr="00BD2C65">
        <w:t>British</w:t>
      </w:r>
      <w:r w:rsidR="00075069" w:rsidRPr="00BD2C65">
        <w:t xml:space="preserve"> </w:t>
      </w:r>
      <w:r w:rsidRPr="00BD2C65">
        <w:t>interpretation</w:t>
      </w:r>
      <w:r w:rsidR="00710AA7" w:rsidRPr="00BD2C65">
        <w:t xml:space="preserve"> of sexuality and gender identity has been imposed on </w:t>
      </w:r>
      <w:r w:rsidR="00570D17" w:rsidRPr="00BD2C65">
        <w:t xml:space="preserve">to </w:t>
      </w:r>
      <w:r w:rsidR="00710AA7" w:rsidRPr="00BD2C65">
        <w:t>other cultures through</w:t>
      </w:r>
      <w:r w:rsidR="00570D17" w:rsidRPr="00BD2C65">
        <w:t xml:space="preserve"> their</w:t>
      </w:r>
      <w:r w:rsidR="00710AA7" w:rsidRPr="00BD2C65">
        <w:t xml:space="preserve"> colonialism</w:t>
      </w:r>
      <w:r w:rsidR="00071760" w:rsidRPr="00BD2C65">
        <w:t>, and that these</w:t>
      </w:r>
      <w:r w:rsidR="009656CA" w:rsidRPr="00BD2C65">
        <w:t xml:space="preserve"> </w:t>
      </w:r>
      <w:r w:rsidR="00570D17" w:rsidRPr="00BD2C65">
        <w:t>British ideas</w:t>
      </w:r>
      <w:r w:rsidR="00071760" w:rsidRPr="00BD2C65">
        <w:t xml:space="preserve"> continue to shape laws, policies </w:t>
      </w:r>
      <w:r w:rsidR="00693048" w:rsidRPr="00BD2C65">
        <w:t>and attitudes</w:t>
      </w:r>
      <w:r w:rsidR="00071760" w:rsidRPr="00BD2C65">
        <w:t xml:space="preserve"> towards LGBTQIA+ people in many </w:t>
      </w:r>
      <w:r w:rsidR="0018161B" w:rsidRPr="00BD2C65">
        <w:t>former British</w:t>
      </w:r>
      <w:r w:rsidR="00BA2220" w:rsidRPr="00BD2C65">
        <w:t xml:space="preserve"> Colonies </w:t>
      </w:r>
      <w:r w:rsidR="00071760" w:rsidRPr="00BD2C65">
        <w:rPr>
          <w:color w:val="000000"/>
        </w:rPr>
        <w:t>(</w:t>
      </w:r>
      <w:r w:rsidR="0015161A" w:rsidRPr="00BD2C65">
        <w:rPr>
          <w:color w:val="000000"/>
        </w:rPr>
        <w:t>Puar, 2013</w:t>
      </w:r>
      <w:r w:rsidR="00071760" w:rsidRPr="00BD2C65">
        <w:rPr>
          <w:color w:val="000000"/>
        </w:rPr>
        <w:t>;</w:t>
      </w:r>
      <w:r w:rsidR="00C57FBE" w:rsidRPr="00BD2C65">
        <w:rPr>
          <w:color w:val="000000"/>
        </w:rPr>
        <w:t xml:space="preserve"> Schotten 2016</w:t>
      </w:r>
      <w:r w:rsidR="00071760" w:rsidRPr="00BD2C65">
        <w:rPr>
          <w:color w:val="000000"/>
        </w:rPr>
        <w:t>;</w:t>
      </w:r>
      <w:r w:rsidR="00C57FBE" w:rsidRPr="00BD2C65">
        <w:rPr>
          <w:color w:val="000000"/>
        </w:rPr>
        <w:t xml:space="preserve"> Slootmaeckers, Touquet and Vermeersch, 2016</w:t>
      </w:r>
      <w:r w:rsidR="00071760" w:rsidRPr="00BD2C65">
        <w:rPr>
          <w:color w:val="000000"/>
        </w:rPr>
        <w:t xml:space="preserve">). </w:t>
      </w:r>
      <w:r w:rsidR="004C7199" w:rsidRPr="00BD2C65">
        <w:rPr>
          <w:color w:val="000000"/>
        </w:rPr>
        <w:t xml:space="preserve">As such, it is </w:t>
      </w:r>
      <w:r w:rsidR="00570D17" w:rsidRPr="00BD2C65">
        <w:rPr>
          <w:shd w:val="clear" w:color="auto" w:fill="FFFFFF"/>
        </w:rPr>
        <w:t xml:space="preserve">important that sexuality and gender identity </w:t>
      </w:r>
      <w:r w:rsidR="002F0DC6" w:rsidRPr="00BD2C65">
        <w:rPr>
          <w:shd w:val="clear" w:color="auto" w:fill="FFFFFF"/>
        </w:rPr>
        <w:t>is</w:t>
      </w:r>
      <w:r w:rsidR="00570D17" w:rsidRPr="00BD2C65">
        <w:rPr>
          <w:shd w:val="clear" w:color="auto" w:fill="FFFFFF"/>
        </w:rPr>
        <w:t xml:space="preserve"> included in the discussion of decolonising. Stoler (1995)</w:t>
      </w:r>
      <w:r w:rsidR="00B63D2F" w:rsidRPr="00BD2C65">
        <w:rPr>
          <w:shd w:val="clear" w:color="auto" w:fill="FFFFFF"/>
        </w:rPr>
        <w:t>,</w:t>
      </w:r>
      <w:r w:rsidR="004C7199" w:rsidRPr="00BD2C65">
        <w:rPr>
          <w:shd w:val="clear" w:color="auto" w:fill="FFFFFF"/>
        </w:rPr>
        <w:t xml:space="preserve"> who was one of the first </w:t>
      </w:r>
      <w:r w:rsidR="002F0DC6" w:rsidRPr="00BD2C65">
        <w:rPr>
          <w:shd w:val="clear" w:color="auto" w:fill="FFFFFF"/>
        </w:rPr>
        <w:t>to propose</w:t>
      </w:r>
      <w:r w:rsidR="004C7199" w:rsidRPr="00BD2C65">
        <w:rPr>
          <w:shd w:val="clear" w:color="auto" w:fill="FFFFFF"/>
        </w:rPr>
        <w:t xml:space="preserve"> </w:t>
      </w:r>
      <w:r w:rsidR="00B63D2F" w:rsidRPr="00BD2C65">
        <w:rPr>
          <w:shd w:val="clear" w:color="auto" w:fill="FFFFFF"/>
        </w:rPr>
        <w:t xml:space="preserve">combining </w:t>
      </w:r>
      <w:r w:rsidR="002F0DC6" w:rsidRPr="00BD2C65">
        <w:rPr>
          <w:shd w:val="clear" w:color="auto" w:fill="FFFFFF"/>
        </w:rPr>
        <w:t xml:space="preserve">the study of decolonising with LGBTQIA+ </w:t>
      </w:r>
      <w:r w:rsidR="00B63D2F" w:rsidRPr="00BD2C65">
        <w:rPr>
          <w:shd w:val="clear" w:color="auto" w:fill="FFFFFF"/>
        </w:rPr>
        <w:t>peopl</w:t>
      </w:r>
      <w:r w:rsidR="002F0DC6" w:rsidRPr="00BD2C65">
        <w:rPr>
          <w:shd w:val="clear" w:color="auto" w:fill="FFFFFF"/>
        </w:rPr>
        <w:t>es’</w:t>
      </w:r>
      <w:r w:rsidR="00B63D2F" w:rsidRPr="00BD2C65">
        <w:rPr>
          <w:shd w:val="clear" w:color="auto" w:fill="FFFFFF"/>
        </w:rPr>
        <w:t xml:space="preserve"> experiences</w:t>
      </w:r>
      <w:r w:rsidR="002D29F5" w:rsidRPr="00BD2C65">
        <w:rPr>
          <w:shd w:val="clear" w:color="auto" w:fill="FFFFFF"/>
        </w:rPr>
        <w:t>, suggested by</w:t>
      </w:r>
      <w:r w:rsidR="002F0DC6" w:rsidRPr="00BD2C65">
        <w:rPr>
          <w:shd w:val="clear" w:color="auto" w:fill="FFFFFF"/>
        </w:rPr>
        <w:t xml:space="preserve"> combining</w:t>
      </w:r>
      <w:r w:rsidR="00570D17" w:rsidRPr="00BD2C65">
        <w:rPr>
          <w:shd w:val="clear" w:color="auto" w:fill="FFFFFF"/>
        </w:rPr>
        <w:t xml:space="preserve"> </w:t>
      </w:r>
      <w:r w:rsidR="00570D17" w:rsidRPr="00BD2C65">
        <w:rPr>
          <w:shd w:val="clear" w:color="auto" w:fill="FFFFFF"/>
        </w:rPr>
        <w:lastRenderedPageBreak/>
        <w:t>Foucault’s theory of biopolitics</w:t>
      </w:r>
      <w:r w:rsidR="00AD3719" w:rsidRPr="00BD2C65">
        <w:rPr>
          <w:shd w:val="clear" w:color="auto" w:fill="FFFFFF"/>
        </w:rPr>
        <w:t xml:space="preserve"> </w:t>
      </w:r>
      <w:r w:rsidR="004C7199" w:rsidRPr="00BD2C65">
        <w:rPr>
          <w:shd w:val="clear" w:color="auto" w:fill="FFFFFF"/>
        </w:rPr>
        <w:t>with</w:t>
      </w:r>
      <w:r w:rsidR="00570D17" w:rsidRPr="00BD2C65">
        <w:rPr>
          <w:shd w:val="clear" w:color="auto" w:fill="FFFFFF"/>
        </w:rPr>
        <w:t xml:space="preserve"> sexuality</w:t>
      </w:r>
      <w:r w:rsidR="00AF0461" w:rsidRPr="00BD2C65">
        <w:rPr>
          <w:shd w:val="clear" w:color="auto" w:fill="FFFFFF"/>
        </w:rPr>
        <w:t xml:space="preserve">, </w:t>
      </w:r>
      <w:r w:rsidR="00570D17" w:rsidRPr="00BD2C65">
        <w:rPr>
          <w:shd w:val="clear" w:color="auto" w:fill="FFFFFF"/>
        </w:rPr>
        <w:t>gender identity and colonialism</w:t>
      </w:r>
      <w:r w:rsidR="00B63D2F" w:rsidRPr="00BD2C65">
        <w:rPr>
          <w:shd w:val="clear" w:color="auto" w:fill="FFFFFF"/>
        </w:rPr>
        <w:t xml:space="preserve">, </w:t>
      </w:r>
      <w:r w:rsidR="002D29F5" w:rsidRPr="00BD2C65">
        <w:rPr>
          <w:shd w:val="clear" w:color="auto" w:fill="FFFFFF"/>
        </w:rPr>
        <w:t>it</w:t>
      </w:r>
      <w:r w:rsidR="00B63D2F" w:rsidRPr="00BD2C65">
        <w:rPr>
          <w:shd w:val="clear" w:color="auto" w:fill="FFFFFF"/>
        </w:rPr>
        <w:t xml:space="preserve"> offers a </w:t>
      </w:r>
      <w:r w:rsidR="00AD3719" w:rsidRPr="00BD2C65">
        <w:rPr>
          <w:shd w:val="clear" w:color="auto" w:fill="FFFFFF"/>
        </w:rPr>
        <w:t>unique</w:t>
      </w:r>
      <w:r w:rsidR="00CE4B90" w:rsidRPr="00BD2C65">
        <w:rPr>
          <w:shd w:val="clear" w:color="auto" w:fill="FFFFFF"/>
        </w:rPr>
        <w:t xml:space="preserve"> analysis,</w:t>
      </w:r>
      <w:r w:rsidR="00570D17" w:rsidRPr="00BD2C65">
        <w:rPr>
          <w:shd w:val="clear" w:color="auto" w:fill="FFFFFF"/>
        </w:rPr>
        <w:t xml:space="preserve"> </w:t>
      </w:r>
      <w:r w:rsidR="00B63D2F" w:rsidRPr="00BD2C65">
        <w:rPr>
          <w:shd w:val="clear" w:color="auto" w:fill="FFFFFF"/>
        </w:rPr>
        <w:t>and</w:t>
      </w:r>
      <w:r w:rsidR="00AD3719" w:rsidRPr="00BD2C65">
        <w:rPr>
          <w:shd w:val="clear" w:color="auto" w:fill="FFFFFF"/>
        </w:rPr>
        <w:t xml:space="preserve"> </w:t>
      </w:r>
      <w:r w:rsidR="00570D17" w:rsidRPr="00BD2C65">
        <w:rPr>
          <w:shd w:val="clear" w:color="auto" w:fill="FFFFFF"/>
        </w:rPr>
        <w:t xml:space="preserve">provides a new perspective and understanding </w:t>
      </w:r>
      <w:r w:rsidR="00B63D2F" w:rsidRPr="00BD2C65">
        <w:rPr>
          <w:shd w:val="clear" w:color="auto" w:fill="FFFFFF"/>
        </w:rPr>
        <w:t xml:space="preserve">of </w:t>
      </w:r>
      <w:r w:rsidR="00570D17" w:rsidRPr="00BD2C65">
        <w:rPr>
          <w:shd w:val="clear" w:color="auto" w:fill="FFFFFF"/>
        </w:rPr>
        <w:t xml:space="preserve">how sexuality and gender identity were used as tools of oppression on </w:t>
      </w:r>
      <w:r w:rsidR="002D29F5" w:rsidRPr="00BD2C65">
        <w:t>I</w:t>
      </w:r>
      <w:r w:rsidR="00BE4F57" w:rsidRPr="00BD2C65">
        <w:t xml:space="preserve">ndigenous </w:t>
      </w:r>
      <w:r w:rsidR="002D29F5" w:rsidRPr="00BD2C65">
        <w:rPr>
          <w:shd w:val="clear" w:color="auto" w:fill="FFFFFF"/>
        </w:rPr>
        <w:t>P</w:t>
      </w:r>
      <w:r w:rsidR="00570D17" w:rsidRPr="00BD2C65">
        <w:rPr>
          <w:shd w:val="clear" w:color="auto" w:fill="FFFFFF"/>
        </w:rPr>
        <w:t xml:space="preserve">eoples. </w:t>
      </w:r>
      <w:r w:rsidR="002F0DC6" w:rsidRPr="00BD2C65">
        <w:t>Her approach</w:t>
      </w:r>
      <w:r w:rsidR="00CE4B90" w:rsidRPr="00BD2C65">
        <w:t xml:space="preserve"> also</w:t>
      </w:r>
      <w:r w:rsidR="00570D17" w:rsidRPr="00BD2C65">
        <w:t xml:space="preserve"> helps to uncover the history of sexuality and gender identity </w:t>
      </w:r>
      <w:r w:rsidR="00CE4B90" w:rsidRPr="00BD2C65">
        <w:t>in a British Imperial context</w:t>
      </w:r>
      <w:r w:rsidR="002F0DC6" w:rsidRPr="00BD2C65">
        <w:t>. She shows</w:t>
      </w:r>
      <w:r w:rsidR="00CE4B90" w:rsidRPr="00BD2C65">
        <w:t xml:space="preserve"> how the</w:t>
      </w:r>
      <w:r w:rsidR="00570D17" w:rsidRPr="00BD2C65">
        <w:t xml:space="preserve"> British Empire </w:t>
      </w:r>
      <w:r w:rsidR="002F0DC6" w:rsidRPr="00BD2C65">
        <w:t>exercised</w:t>
      </w:r>
      <w:r w:rsidR="004C7199" w:rsidRPr="00BD2C65">
        <w:t xml:space="preserve"> </w:t>
      </w:r>
      <w:r w:rsidR="00570D17" w:rsidRPr="00BD2C65">
        <w:t xml:space="preserve">the right of death, control </w:t>
      </w:r>
      <w:r w:rsidR="00CE4B90" w:rsidRPr="00BD2C65">
        <w:t xml:space="preserve">of </w:t>
      </w:r>
      <w:r w:rsidR="00570D17" w:rsidRPr="00BD2C65">
        <w:t>gender and sexual orientation</w:t>
      </w:r>
      <w:r w:rsidR="00CE4B90" w:rsidRPr="00BD2C65">
        <w:t xml:space="preserve"> </w:t>
      </w:r>
      <w:r w:rsidR="002F0DC6" w:rsidRPr="00BD2C65">
        <w:t>by imposing</w:t>
      </w:r>
      <w:r w:rsidR="009153B2" w:rsidRPr="00BD2C65">
        <w:t xml:space="preserve"> an essentialist </w:t>
      </w:r>
      <w:r w:rsidR="00442C48" w:rsidRPr="00BD2C65">
        <w:t>interpretation</w:t>
      </w:r>
      <w:r w:rsidR="009153B2" w:rsidRPr="00BD2C65">
        <w:t xml:space="preserve"> of a binary gender and sexuality</w:t>
      </w:r>
      <w:r w:rsidR="00570D17" w:rsidRPr="00BD2C65">
        <w:t xml:space="preserve"> </w:t>
      </w:r>
      <w:r w:rsidR="00AF0461" w:rsidRPr="00BD2C65">
        <w:t>as</w:t>
      </w:r>
      <w:r w:rsidR="00570D17" w:rsidRPr="00BD2C65">
        <w:t xml:space="preserve"> societal norm</w:t>
      </w:r>
      <w:r w:rsidR="009153B2" w:rsidRPr="00BD2C65">
        <w:t xml:space="preserve"> </w:t>
      </w:r>
      <w:r w:rsidR="002F0DC6" w:rsidRPr="00BD2C65">
        <w:t>on colonised people (ibid</w:t>
      </w:r>
      <w:r w:rsidR="00570D17" w:rsidRPr="00BD2C65">
        <w:t>.).</w:t>
      </w:r>
    </w:p>
    <w:p w14:paraId="2D02CEBD" w14:textId="77777777" w:rsidR="005E0B60" w:rsidRPr="00BD2C65" w:rsidRDefault="005E0B60" w:rsidP="00071760">
      <w:pPr>
        <w:spacing w:line="480" w:lineRule="auto"/>
        <w:jc w:val="both"/>
        <w:rPr>
          <w:color w:val="000000"/>
        </w:rPr>
      </w:pPr>
    </w:p>
    <w:p w14:paraId="71278EAD" w14:textId="3B9356E9" w:rsidR="00071760" w:rsidRPr="00BD2C65" w:rsidRDefault="00071760" w:rsidP="00071760">
      <w:pPr>
        <w:spacing w:line="480" w:lineRule="auto"/>
        <w:jc w:val="both"/>
        <w:rPr>
          <w:shd w:val="clear" w:color="auto" w:fill="FFFFFF"/>
        </w:rPr>
      </w:pPr>
      <w:r w:rsidRPr="00BD2C65">
        <w:rPr>
          <w:color w:val="000000"/>
        </w:rPr>
        <w:t>Moreover,</w:t>
      </w:r>
      <w:r w:rsidRPr="00BD2C65">
        <w:t xml:space="preserve"> </w:t>
      </w:r>
      <w:r w:rsidR="00B63D2F" w:rsidRPr="00BD2C65">
        <w:t xml:space="preserve">the </w:t>
      </w:r>
      <w:r w:rsidR="00AD3719" w:rsidRPr="00BD2C65">
        <w:t>phenomenon</w:t>
      </w:r>
      <w:r w:rsidR="00B63D2F" w:rsidRPr="00BD2C65">
        <w:t xml:space="preserve"> of </w:t>
      </w:r>
      <w:r w:rsidR="0011030E" w:rsidRPr="00BD2C65">
        <w:t>heteropatriarchy</w:t>
      </w:r>
      <w:r w:rsidR="00B63D2F" w:rsidRPr="00BD2C65">
        <w:t xml:space="preserve"> was introduced and established by </w:t>
      </w:r>
      <w:r w:rsidRPr="00BD2C65">
        <w:t xml:space="preserve">western imperialists </w:t>
      </w:r>
      <w:r w:rsidRPr="00BD2C65">
        <w:rPr>
          <w:shd w:val="clear" w:color="auto" w:fill="FFFFFF"/>
        </w:rPr>
        <w:t>(</w:t>
      </w:r>
      <w:r w:rsidR="00F80427" w:rsidRPr="00BD2C65">
        <w:t>Nash</w:t>
      </w:r>
      <w:r w:rsidRPr="00BD2C65">
        <w:t xml:space="preserve"> and </w:t>
      </w:r>
      <w:r w:rsidR="00F80427" w:rsidRPr="00BD2C65">
        <w:t>Browne</w:t>
      </w:r>
      <w:r w:rsidRPr="00BD2C65">
        <w:t>, 2020</w:t>
      </w:r>
      <w:r w:rsidRPr="00BD2C65">
        <w:rPr>
          <w:shd w:val="clear" w:color="auto" w:fill="FFFFFF"/>
        </w:rPr>
        <w:t>)</w:t>
      </w:r>
      <w:r w:rsidR="002F0DC6" w:rsidRPr="00BD2C65">
        <w:rPr>
          <w:shd w:val="clear" w:color="auto" w:fill="FFFFFF"/>
        </w:rPr>
        <w:t>,</w:t>
      </w:r>
      <w:r w:rsidR="00AD3719" w:rsidRPr="00BD2C65">
        <w:rPr>
          <w:shd w:val="clear" w:color="auto" w:fill="FFFFFF"/>
        </w:rPr>
        <w:t xml:space="preserve"> </w:t>
      </w:r>
      <w:r w:rsidR="00B63D2F" w:rsidRPr="00BD2C65">
        <w:rPr>
          <w:shd w:val="clear" w:color="auto" w:fill="FFFFFF"/>
        </w:rPr>
        <w:t xml:space="preserve">legitimised and </w:t>
      </w:r>
      <w:r w:rsidRPr="00BD2C65">
        <w:rPr>
          <w:shd w:val="clear" w:color="auto" w:fill="FFFFFF"/>
        </w:rPr>
        <w:t xml:space="preserve">further enforced by Christian </w:t>
      </w:r>
      <w:r w:rsidR="002F0DC6" w:rsidRPr="00BD2C65">
        <w:rPr>
          <w:shd w:val="clear" w:color="auto" w:fill="FFFFFF"/>
        </w:rPr>
        <w:t>m</w:t>
      </w:r>
      <w:r w:rsidRPr="00BD2C65">
        <w:rPr>
          <w:shd w:val="clear" w:color="auto" w:fill="FFFFFF"/>
        </w:rPr>
        <w:t xml:space="preserve">orality (discussed in Chapter 3: Morality a </w:t>
      </w:r>
      <w:r w:rsidR="005C0767" w:rsidRPr="00BD2C65">
        <w:rPr>
          <w:shd w:val="clear" w:color="auto" w:fill="FFFFFF"/>
        </w:rPr>
        <w:t>nuance debate</w:t>
      </w:r>
      <w:r w:rsidR="00693048" w:rsidRPr="00BD2C65">
        <w:rPr>
          <w:shd w:val="clear" w:color="auto" w:fill="FFFFFF"/>
        </w:rPr>
        <w:t>) and</w:t>
      </w:r>
      <w:r w:rsidR="00B63D2F" w:rsidRPr="00BD2C65">
        <w:rPr>
          <w:shd w:val="clear" w:color="auto" w:fill="FFFFFF"/>
        </w:rPr>
        <w:t xml:space="preserve"> </w:t>
      </w:r>
      <w:r w:rsidR="00AD3719" w:rsidRPr="00BD2C65">
        <w:rPr>
          <w:shd w:val="clear" w:color="auto" w:fill="FFFFFF"/>
        </w:rPr>
        <w:t>perpetuated</w:t>
      </w:r>
      <w:r w:rsidRPr="00BD2C65">
        <w:rPr>
          <w:shd w:val="clear" w:color="auto" w:fill="FFFFFF"/>
        </w:rPr>
        <w:t xml:space="preserve"> </w:t>
      </w:r>
      <w:r w:rsidR="002F0DC6" w:rsidRPr="00BD2C65">
        <w:rPr>
          <w:shd w:val="clear" w:color="auto" w:fill="FFFFFF"/>
        </w:rPr>
        <w:t xml:space="preserve">a view of </w:t>
      </w:r>
      <w:r w:rsidRPr="00BD2C65">
        <w:rPr>
          <w:shd w:val="clear" w:color="auto" w:fill="FFFFFF"/>
        </w:rPr>
        <w:t xml:space="preserve">what </w:t>
      </w:r>
      <w:r w:rsidR="00B63D2F" w:rsidRPr="00BD2C65">
        <w:rPr>
          <w:shd w:val="clear" w:color="auto" w:fill="FFFFFF"/>
        </w:rPr>
        <w:t>was considered</w:t>
      </w:r>
      <w:r w:rsidR="00AD3719" w:rsidRPr="00BD2C65">
        <w:rPr>
          <w:shd w:val="clear" w:color="auto" w:fill="FFFFFF"/>
        </w:rPr>
        <w:t xml:space="preserve"> </w:t>
      </w:r>
      <w:r w:rsidRPr="00BD2C65">
        <w:rPr>
          <w:shd w:val="clear" w:color="auto" w:fill="FFFFFF"/>
        </w:rPr>
        <w:t xml:space="preserve">normative and what </w:t>
      </w:r>
      <w:r w:rsidR="002F0DC6" w:rsidRPr="00BD2C65">
        <w:rPr>
          <w:shd w:val="clear" w:color="auto" w:fill="FFFFFF"/>
        </w:rPr>
        <w:t>was</w:t>
      </w:r>
      <w:r w:rsidRPr="00BD2C65">
        <w:rPr>
          <w:shd w:val="clear" w:color="auto" w:fill="FFFFFF"/>
        </w:rPr>
        <w:t xml:space="preserve"> </w:t>
      </w:r>
      <w:r w:rsidR="00CD3B83" w:rsidRPr="00BD2C65">
        <w:rPr>
          <w:shd w:val="clear" w:color="auto" w:fill="FFFFFF"/>
        </w:rPr>
        <w:t>not</w:t>
      </w:r>
      <w:r w:rsidR="00AD3719" w:rsidRPr="00BD2C65">
        <w:rPr>
          <w:shd w:val="clear" w:color="auto" w:fill="FFFFFF"/>
        </w:rPr>
        <w:t>.</w:t>
      </w:r>
      <w:r w:rsidRPr="00BD2C65">
        <w:rPr>
          <w:shd w:val="clear" w:color="auto" w:fill="FFFFFF"/>
        </w:rPr>
        <w:t xml:space="preserve"> </w:t>
      </w:r>
      <w:r w:rsidR="00B63D2F" w:rsidRPr="00BD2C65">
        <w:rPr>
          <w:shd w:val="clear" w:color="auto" w:fill="FFFFFF"/>
        </w:rPr>
        <w:t>M</w:t>
      </w:r>
      <w:r w:rsidRPr="00BD2C65">
        <w:rPr>
          <w:shd w:val="clear" w:color="auto" w:fill="FFFFFF"/>
        </w:rPr>
        <w:t xml:space="preserve">any former </w:t>
      </w:r>
      <w:r w:rsidR="00BA2220" w:rsidRPr="00BD2C65">
        <w:rPr>
          <w:shd w:val="clear" w:color="auto" w:fill="FFFFFF"/>
        </w:rPr>
        <w:t xml:space="preserve">British Colonies </w:t>
      </w:r>
      <w:r w:rsidR="002F0DC6" w:rsidRPr="00BD2C65">
        <w:rPr>
          <w:shd w:val="clear" w:color="auto" w:fill="FFFFFF"/>
        </w:rPr>
        <w:t>maintained</w:t>
      </w:r>
      <w:r w:rsidRPr="00BD2C65">
        <w:rPr>
          <w:shd w:val="clear" w:color="auto" w:fill="FFFFFF"/>
        </w:rPr>
        <w:t xml:space="preserve"> the religious morality that came with colonialisation, hence why </w:t>
      </w:r>
      <w:r w:rsidRPr="00BD2C65">
        <w:t>Jensz (2012)</w:t>
      </w:r>
      <w:r w:rsidRPr="00BD2C65">
        <w:rPr>
          <w:shd w:val="clear" w:color="auto" w:fill="FFFFFF"/>
        </w:rPr>
        <w:t xml:space="preserve"> argues that this influenced the new rulers </w:t>
      </w:r>
      <w:r w:rsidR="00CD3B83" w:rsidRPr="00BD2C65">
        <w:rPr>
          <w:shd w:val="clear" w:color="auto" w:fill="FFFFFF"/>
        </w:rPr>
        <w:t xml:space="preserve">of former </w:t>
      </w:r>
      <w:r w:rsidR="00BA2220" w:rsidRPr="00BD2C65">
        <w:rPr>
          <w:shd w:val="clear" w:color="auto" w:fill="FFFFFF"/>
        </w:rPr>
        <w:t xml:space="preserve">British Colonies </w:t>
      </w:r>
      <w:r w:rsidRPr="00BD2C65">
        <w:rPr>
          <w:shd w:val="clear" w:color="auto" w:fill="FFFFFF"/>
        </w:rPr>
        <w:t xml:space="preserve">to </w:t>
      </w:r>
      <w:r w:rsidR="002F0DC6" w:rsidRPr="00BD2C65">
        <w:rPr>
          <w:shd w:val="clear" w:color="auto" w:fill="FFFFFF"/>
        </w:rPr>
        <w:t>adopt</w:t>
      </w:r>
      <w:r w:rsidRPr="00BD2C65">
        <w:rPr>
          <w:shd w:val="clear" w:color="auto" w:fill="FFFFFF"/>
        </w:rPr>
        <w:t xml:space="preserve"> non-heteronormative identities based on westernised concepts of Christian morality. </w:t>
      </w:r>
    </w:p>
    <w:p w14:paraId="5A5D6E44" w14:textId="77777777" w:rsidR="00A40A8D" w:rsidRPr="00BD2C65" w:rsidRDefault="00A40A8D" w:rsidP="00071760">
      <w:pPr>
        <w:spacing w:line="480" w:lineRule="auto"/>
        <w:jc w:val="both"/>
        <w:rPr>
          <w:shd w:val="clear" w:color="auto" w:fill="FFFFFF"/>
        </w:rPr>
      </w:pPr>
    </w:p>
    <w:p w14:paraId="0A4543DB" w14:textId="5CE32610" w:rsidR="002F0DC6" w:rsidRPr="00BD2C65" w:rsidRDefault="00BB317B" w:rsidP="00570D17">
      <w:pPr>
        <w:spacing w:line="480" w:lineRule="auto"/>
        <w:jc w:val="both"/>
        <w:rPr>
          <w:color w:val="000000"/>
          <w:shd w:val="clear" w:color="auto" w:fill="FFFFFF"/>
        </w:rPr>
      </w:pPr>
      <w:r w:rsidRPr="00BD2C65">
        <w:rPr>
          <w:color w:val="000000"/>
          <w:shd w:val="clear" w:color="auto" w:fill="FFFFFF"/>
        </w:rPr>
        <w:t>Additionally</w:t>
      </w:r>
      <w:r w:rsidR="00570D17" w:rsidRPr="00BD2C65">
        <w:rPr>
          <w:color w:val="000000"/>
          <w:shd w:val="clear" w:color="auto" w:fill="FFFFFF"/>
        </w:rPr>
        <w:t xml:space="preserve">, </w:t>
      </w:r>
      <w:r w:rsidR="00DE489C" w:rsidRPr="00BD2C65">
        <w:rPr>
          <w:color w:val="000000"/>
          <w:shd w:val="clear" w:color="auto" w:fill="FFFFFF"/>
        </w:rPr>
        <w:t xml:space="preserve">in </w:t>
      </w:r>
      <w:r w:rsidR="00A40A8D" w:rsidRPr="00BD2C65">
        <w:rPr>
          <w:color w:val="000000"/>
          <w:shd w:val="clear" w:color="auto" w:fill="FFFFFF"/>
        </w:rPr>
        <w:t xml:space="preserve">former </w:t>
      </w:r>
      <w:r w:rsidR="00BD3430" w:rsidRPr="00BD2C65">
        <w:rPr>
          <w:color w:val="000000"/>
          <w:shd w:val="clear" w:color="auto" w:fill="FFFFFF"/>
        </w:rPr>
        <w:t>British Colonies</w:t>
      </w:r>
      <w:r w:rsidR="00DE489C" w:rsidRPr="00BD2C65">
        <w:rPr>
          <w:color w:val="000000"/>
          <w:shd w:val="clear" w:color="auto" w:fill="FFFFFF"/>
        </w:rPr>
        <w:t>, the British</w:t>
      </w:r>
      <w:r w:rsidR="00A40A8D" w:rsidRPr="00BD2C65">
        <w:rPr>
          <w:color w:val="000000"/>
          <w:shd w:val="clear" w:color="auto" w:fill="FFFFFF"/>
        </w:rPr>
        <w:t xml:space="preserve"> </w:t>
      </w:r>
      <w:r w:rsidR="00570D17" w:rsidRPr="00BD2C65">
        <w:rPr>
          <w:color w:val="000000"/>
          <w:shd w:val="clear" w:color="auto" w:fill="FFFFFF"/>
        </w:rPr>
        <w:t xml:space="preserve">subjected </w:t>
      </w:r>
      <w:r w:rsidR="00BE4F57" w:rsidRPr="00BD2C65">
        <w:t xml:space="preserve">indigenous </w:t>
      </w:r>
      <w:r w:rsidR="00570D17" w:rsidRPr="00BD2C65">
        <w:rPr>
          <w:color w:val="000000"/>
          <w:shd w:val="clear" w:color="auto" w:fill="FFFFFF"/>
        </w:rPr>
        <w:t xml:space="preserve">people to </w:t>
      </w:r>
      <w:r w:rsidR="002D29F5" w:rsidRPr="00BD2C65">
        <w:rPr>
          <w:color w:val="000000"/>
          <w:shd w:val="clear" w:color="auto" w:fill="FFFFFF"/>
        </w:rPr>
        <w:t>‘</w:t>
      </w:r>
      <w:r w:rsidR="00570D17" w:rsidRPr="00BD2C65">
        <w:rPr>
          <w:color w:val="000000"/>
          <w:shd w:val="clear" w:color="auto" w:fill="FFFFFF"/>
        </w:rPr>
        <w:t>settler sexuality</w:t>
      </w:r>
      <w:r w:rsidR="002D29F5" w:rsidRPr="00BD2C65">
        <w:rPr>
          <w:color w:val="000000"/>
          <w:shd w:val="clear" w:color="auto" w:fill="FFFFFF"/>
        </w:rPr>
        <w:t>’</w:t>
      </w:r>
      <w:r w:rsidR="00570D17" w:rsidRPr="00BD2C65">
        <w:rPr>
          <w:color w:val="000000"/>
          <w:shd w:val="clear" w:color="auto" w:fill="FFFFFF"/>
        </w:rPr>
        <w:t xml:space="preserve"> (Morgensen, 2010, p.106)</w:t>
      </w:r>
      <w:r w:rsidR="00796BB5" w:rsidRPr="00BD2C65">
        <w:rPr>
          <w:color w:val="000000"/>
          <w:shd w:val="clear" w:color="auto" w:fill="FFFFFF"/>
        </w:rPr>
        <w:t xml:space="preserve">, </w:t>
      </w:r>
      <w:r w:rsidR="00570D17" w:rsidRPr="00BD2C65">
        <w:rPr>
          <w:color w:val="000000"/>
          <w:shd w:val="clear" w:color="auto" w:fill="FFFFFF"/>
        </w:rPr>
        <w:t xml:space="preserve">which </w:t>
      </w:r>
      <w:r w:rsidR="00693048" w:rsidRPr="00BD2C65">
        <w:rPr>
          <w:color w:val="000000"/>
          <w:shd w:val="clear" w:color="auto" w:fill="FFFFFF"/>
        </w:rPr>
        <w:t>is</w:t>
      </w:r>
      <w:r w:rsidR="002D29F5" w:rsidRPr="00BD2C65">
        <w:rPr>
          <w:color w:val="000000"/>
          <w:shd w:val="clear" w:color="auto" w:fill="FFFFFF"/>
        </w:rPr>
        <w:t xml:space="preserve"> ‘</w:t>
      </w:r>
      <w:r w:rsidR="00570D17" w:rsidRPr="00BD2C65">
        <w:rPr>
          <w:color w:val="000000"/>
        </w:rPr>
        <w:t xml:space="preserve">a white national heteronormativity that regulates Indigenous sexuality and gender </w:t>
      </w:r>
      <w:r w:rsidR="00693048" w:rsidRPr="00BD2C65">
        <w:rPr>
          <w:color w:val="000000"/>
        </w:rPr>
        <w:t>by supplanting</w:t>
      </w:r>
      <w:r w:rsidR="00570D17" w:rsidRPr="00BD2C65">
        <w:rPr>
          <w:color w:val="000000"/>
        </w:rPr>
        <w:t xml:space="preserve"> them with the sexual modernity of settler subjects.</w:t>
      </w:r>
      <w:r w:rsidR="00796BB5" w:rsidRPr="00BD2C65">
        <w:rPr>
          <w:color w:val="000000"/>
        </w:rPr>
        <w:t xml:space="preserve">’ </w:t>
      </w:r>
      <w:r w:rsidR="00570D17" w:rsidRPr="00BD2C65">
        <w:rPr>
          <w:color w:val="000000"/>
        </w:rPr>
        <w:t xml:space="preserve">(ibid.). </w:t>
      </w:r>
      <w:r w:rsidR="00570D17" w:rsidRPr="00BD2C65">
        <w:rPr>
          <w:color w:val="000000"/>
          <w:shd w:val="clear" w:color="auto" w:fill="FFFFFF"/>
        </w:rPr>
        <w:t xml:space="preserve"> </w:t>
      </w:r>
    </w:p>
    <w:p w14:paraId="6B64DFFE" w14:textId="77777777" w:rsidR="002F0DC6" w:rsidRPr="00BD2C65" w:rsidRDefault="002F0DC6" w:rsidP="00570D17">
      <w:pPr>
        <w:spacing w:line="480" w:lineRule="auto"/>
        <w:jc w:val="both"/>
        <w:rPr>
          <w:color w:val="000000"/>
          <w:shd w:val="clear" w:color="auto" w:fill="FFFFFF"/>
        </w:rPr>
      </w:pPr>
    </w:p>
    <w:p w14:paraId="56B0E1E9" w14:textId="66E0BA1B" w:rsidR="00570D17" w:rsidRPr="00BD2C65" w:rsidRDefault="00570D17" w:rsidP="00570D17">
      <w:pPr>
        <w:spacing w:line="480" w:lineRule="auto"/>
        <w:jc w:val="both"/>
      </w:pPr>
      <w:r w:rsidRPr="00BD2C65">
        <w:rPr>
          <w:color w:val="000000"/>
          <w:shd w:val="clear" w:color="auto" w:fill="FFFFFF"/>
        </w:rPr>
        <w:t>This was violently imposed</w:t>
      </w:r>
      <w:r w:rsidR="000C0190" w:rsidRPr="00BD2C65">
        <w:rPr>
          <w:color w:val="000000"/>
          <w:shd w:val="clear" w:color="auto" w:fill="FFFFFF"/>
        </w:rPr>
        <w:t xml:space="preserve"> on the </w:t>
      </w:r>
      <w:r w:rsidR="00F058C4" w:rsidRPr="00BD2C65">
        <w:t>I</w:t>
      </w:r>
      <w:r w:rsidR="00BE4F57" w:rsidRPr="00BD2C65">
        <w:t xml:space="preserve">ndigenous </w:t>
      </w:r>
      <w:r w:rsidR="00F058C4" w:rsidRPr="00BD2C65">
        <w:rPr>
          <w:color w:val="000000"/>
          <w:shd w:val="clear" w:color="auto" w:fill="FFFFFF"/>
        </w:rPr>
        <w:t>P</w:t>
      </w:r>
      <w:r w:rsidR="000C0190" w:rsidRPr="00BD2C65">
        <w:rPr>
          <w:color w:val="000000"/>
          <w:shd w:val="clear" w:color="auto" w:fill="FFFFFF"/>
        </w:rPr>
        <w:t xml:space="preserve">opulation. </w:t>
      </w:r>
      <w:r w:rsidRPr="00BD2C65">
        <w:rPr>
          <w:color w:val="000000"/>
          <w:shd w:val="clear" w:color="auto" w:fill="FFFFFF"/>
        </w:rPr>
        <w:t xml:space="preserve"> </w:t>
      </w:r>
      <w:r w:rsidR="000C0190" w:rsidRPr="00BD2C65">
        <w:t>S</w:t>
      </w:r>
      <w:r w:rsidRPr="00BD2C65">
        <w:t xml:space="preserve">ettler sexuality </w:t>
      </w:r>
      <w:r w:rsidR="00B63D2F" w:rsidRPr="00BD2C65">
        <w:t>enhances the exploration</w:t>
      </w:r>
      <w:r w:rsidR="00AD3719" w:rsidRPr="00BD2C65">
        <w:t xml:space="preserve"> </w:t>
      </w:r>
      <w:r w:rsidR="00B63D2F" w:rsidRPr="00BD2C65">
        <w:t>of</w:t>
      </w:r>
      <w:r w:rsidRPr="00BD2C65">
        <w:t xml:space="preserve"> how sexuality and gender identity were instrumental in the </w:t>
      </w:r>
      <w:r w:rsidRPr="00BD2C65">
        <w:lastRenderedPageBreak/>
        <w:t>coloni</w:t>
      </w:r>
      <w:r w:rsidR="00BB317B" w:rsidRPr="00BD2C65">
        <w:t>s</w:t>
      </w:r>
      <w:r w:rsidRPr="00BD2C65">
        <w:t xml:space="preserve">ation process, as well as the forcible imposition of </w:t>
      </w:r>
      <w:r w:rsidR="00BB317B" w:rsidRPr="00BD2C65">
        <w:t>British</w:t>
      </w:r>
      <w:r w:rsidRPr="00BD2C65">
        <w:t xml:space="preserve"> </w:t>
      </w:r>
      <w:r w:rsidR="00BB317B" w:rsidRPr="00BD2C65">
        <w:t xml:space="preserve">culture, </w:t>
      </w:r>
      <w:r w:rsidR="00AD57BE" w:rsidRPr="00BD2C65">
        <w:t>politics,</w:t>
      </w:r>
      <w:r w:rsidR="00BB317B" w:rsidRPr="00BD2C65">
        <w:t xml:space="preserve"> and economics ideas</w:t>
      </w:r>
      <w:r w:rsidRPr="00BD2C65">
        <w:t xml:space="preserve"> on indigenous peoples (ibid.).</w:t>
      </w:r>
    </w:p>
    <w:p w14:paraId="5AD79E68" w14:textId="77777777" w:rsidR="00570D17" w:rsidRPr="00BD2C65" w:rsidRDefault="00570D17" w:rsidP="00570D17">
      <w:pPr>
        <w:spacing w:line="360" w:lineRule="auto"/>
        <w:jc w:val="both"/>
      </w:pPr>
    </w:p>
    <w:p w14:paraId="1CE4D1CD" w14:textId="77777777" w:rsidR="00570D17" w:rsidRPr="00BD2C65" w:rsidRDefault="00570D17" w:rsidP="00570D17">
      <w:pPr>
        <w:spacing w:line="360" w:lineRule="auto"/>
        <w:jc w:val="both"/>
        <w:rPr>
          <w:color w:val="0A0A0A"/>
          <w:shd w:val="clear" w:color="auto" w:fill="FFFFFF"/>
        </w:rPr>
      </w:pPr>
      <w:r w:rsidRPr="00BD2C65">
        <w:rPr>
          <w:color w:val="0A0A0A"/>
          <w:shd w:val="clear" w:color="auto" w:fill="FFFFFF"/>
        </w:rPr>
        <w:t>Furthermore, Smith (2011, p.61)</w:t>
      </w:r>
      <w:r w:rsidRPr="00BD2C65">
        <w:rPr>
          <w:i/>
          <w:iCs/>
          <w:color w:val="0A0A0A"/>
          <w:shd w:val="clear" w:color="auto" w:fill="FFFFFF"/>
        </w:rPr>
        <w:t xml:space="preserve"> </w:t>
      </w:r>
      <w:r w:rsidRPr="00BD2C65">
        <w:rPr>
          <w:color w:val="0A0A0A"/>
          <w:shd w:val="clear" w:color="auto" w:fill="FFFFFF"/>
        </w:rPr>
        <w:t>argues that:</w:t>
      </w:r>
    </w:p>
    <w:p w14:paraId="11516D08" w14:textId="77777777" w:rsidR="00570D17" w:rsidRPr="00BD2C65" w:rsidRDefault="00570D17" w:rsidP="00570D17">
      <w:pPr>
        <w:spacing w:line="360" w:lineRule="auto"/>
        <w:jc w:val="both"/>
      </w:pPr>
    </w:p>
    <w:p w14:paraId="7BD09149" w14:textId="66E93CF2" w:rsidR="00570D17" w:rsidRPr="00BD2C65" w:rsidRDefault="00570D17" w:rsidP="00AD3719">
      <w:pPr>
        <w:ind w:left="397" w:right="397"/>
        <w:jc w:val="both"/>
        <w:rPr>
          <w:i/>
          <w:iCs/>
          <w:color w:val="0A0A0A"/>
          <w:shd w:val="clear" w:color="auto" w:fill="FFFFFF"/>
        </w:rPr>
      </w:pPr>
      <w:r w:rsidRPr="00BD2C65">
        <w:rPr>
          <w:i/>
          <w:iCs/>
          <w:color w:val="0A0A0A"/>
          <w:shd w:val="clear" w:color="auto" w:fill="FFFFFF"/>
        </w:rPr>
        <w:t xml:space="preserve"> </w:t>
      </w:r>
      <w:r w:rsidR="00F058C4" w:rsidRPr="00BD2C65">
        <w:rPr>
          <w:i/>
          <w:iCs/>
          <w:color w:val="0A0A0A"/>
          <w:shd w:val="clear" w:color="auto" w:fill="FFFFFF"/>
        </w:rPr>
        <w:t>‘</w:t>
      </w:r>
      <w:r w:rsidRPr="00BD2C65">
        <w:rPr>
          <w:i/>
          <w:iCs/>
          <w:color w:val="0A0A0A"/>
          <w:shd w:val="clear" w:color="auto" w:fill="FFFFFF"/>
        </w:rPr>
        <w:t xml:space="preserve">it has been through sexual violence and through the imposition of European gender relationships on Native communities that Europeans were able to colonize Native </w:t>
      </w:r>
      <w:r w:rsidR="00693048" w:rsidRPr="00BD2C65">
        <w:rPr>
          <w:i/>
          <w:iCs/>
          <w:color w:val="0A0A0A"/>
          <w:shd w:val="clear" w:color="auto" w:fill="FFFFFF"/>
        </w:rPr>
        <w:t>peoples.</w:t>
      </w:r>
      <w:r w:rsidR="00F058C4" w:rsidRPr="00BD2C65">
        <w:rPr>
          <w:i/>
          <w:iCs/>
          <w:color w:val="0A0A0A"/>
          <w:shd w:val="clear" w:color="auto" w:fill="FFFFFF"/>
        </w:rPr>
        <w:t>’</w:t>
      </w:r>
    </w:p>
    <w:p w14:paraId="0B62A55E" w14:textId="77777777" w:rsidR="00570D17" w:rsidRPr="00BD2C65" w:rsidRDefault="00570D17" w:rsidP="00570D17">
      <w:pPr>
        <w:spacing w:line="360" w:lineRule="auto"/>
        <w:jc w:val="both"/>
        <w:rPr>
          <w:i/>
          <w:iCs/>
          <w:color w:val="0A0A0A"/>
          <w:shd w:val="clear" w:color="auto" w:fill="FFFFFF"/>
        </w:rPr>
      </w:pPr>
    </w:p>
    <w:p w14:paraId="48DAE051" w14:textId="1A316477" w:rsidR="00B63D2F" w:rsidRPr="00BD2C65" w:rsidRDefault="00570D17" w:rsidP="008C1506">
      <w:pPr>
        <w:spacing w:line="480" w:lineRule="auto"/>
        <w:jc w:val="both"/>
      </w:pPr>
      <w:r w:rsidRPr="00BD2C65">
        <w:t xml:space="preserve">This was further expanded by Wolfe (2006) who argued that </w:t>
      </w:r>
      <w:r w:rsidR="00F058C4" w:rsidRPr="00BD2C65">
        <w:t>‘</w:t>
      </w:r>
      <w:r w:rsidRPr="00BD2C65">
        <w:t>settler colonizers came to stay [and</w:t>
      </w:r>
      <w:r w:rsidR="009445F6" w:rsidRPr="00BD2C65">
        <w:t xml:space="preserve"> that</w:t>
      </w:r>
      <w:r w:rsidRPr="00BD2C65">
        <w:t>] invasion is a structure, not an event</w:t>
      </w:r>
      <w:r w:rsidR="00F058C4" w:rsidRPr="00BD2C65">
        <w:t>’</w:t>
      </w:r>
      <w:r w:rsidR="00B01AC5" w:rsidRPr="00BD2C65">
        <w:t xml:space="preserve"> </w:t>
      </w:r>
      <w:r w:rsidRPr="00BD2C65">
        <w:t>(Wolfe, 2006, p.388)</w:t>
      </w:r>
      <w:r w:rsidR="009445F6" w:rsidRPr="00BD2C65">
        <w:t xml:space="preserve">. Wolfe (2006) </w:t>
      </w:r>
      <w:r w:rsidR="00C42F8B" w:rsidRPr="00BD2C65">
        <w:t>additionally states</w:t>
      </w:r>
      <w:r w:rsidRPr="00BD2C65">
        <w:t xml:space="preserve"> that </w:t>
      </w:r>
      <w:r w:rsidR="00C42F8B" w:rsidRPr="00BD2C65">
        <w:t>British states participated in</w:t>
      </w:r>
      <w:r w:rsidRPr="00BD2C65">
        <w:t xml:space="preserve"> law in a logic of elimination</w:t>
      </w:r>
      <w:r w:rsidR="00B63D2F" w:rsidRPr="00BD2C65">
        <w:t xml:space="preserve">, creating a legal framework aimed at stamping out </w:t>
      </w:r>
      <w:r w:rsidR="00AD3719" w:rsidRPr="00BD2C65">
        <w:t xml:space="preserve">indigenous beliefs </w:t>
      </w:r>
      <w:r w:rsidRPr="00BD2C65">
        <w:t xml:space="preserve">(ibid.). Wolfe (2006) goes on to say that </w:t>
      </w:r>
      <w:r w:rsidR="00B63D2F" w:rsidRPr="00BD2C65">
        <w:t>this was achieved through</w:t>
      </w:r>
      <w:r w:rsidRPr="00BD2C65">
        <w:t xml:space="preserve"> the action of performing genocide, other practices such as converting people to a Christian faith, to eliminate </w:t>
      </w:r>
      <w:r w:rsidR="00D57DB4" w:rsidRPr="00BD2C65">
        <w:t>I</w:t>
      </w:r>
      <w:r w:rsidR="00BE4F57" w:rsidRPr="00BD2C65">
        <w:t xml:space="preserve">ndigenous </w:t>
      </w:r>
      <w:r w:rsidR="00D57DB4" w:rsidRPr="00BD2C65">
        <w:t>P</w:t>
      </w:r>
      <w:r w:rsidRPr="00BD2C65">
        <w:t>eoples</w:t>
      </w:r>
      <w:r w:rsidR="0005139F" w:rsidRPr="00BD2C65">
        <w:t>’ customs</w:t>
      </w:r>
      <w:r w:rsidR="00B63D2F" w:rsidRPr="00BD2C65">
        <w:t>, as well as impos</w:t>
      </w:r>
      <w:r w:rsidR="002F0DC6" w:rsidRPr="00BD2C65">
        <w:t>ing</w:t>
      </w:r>
      <w:r w:rsidR="00B63D2F" w:rsidRPr="00BD2C65">
        <w:t xml:space="preserve"> British ideas of sexuality and gender </w:t>
      </w:r>
      <w:r w:rsidR="0011030E" w:rsidRPr="00BD2C65">
        <w:t>identity</w:t>
      </w:r>
      <w:r w:rsidRPr="00BD2C65">
        <w:t xml:space="preserve">. </w:t>
      </w:r>
    </w:p>
    <w:p w14:paraId="128B7B8B" w14:textId="77777777" w:rsidR="00B63D2F" w:rsidRPr="00BD2C65" w:rsidRDefault="00B63D2F" w:rsidP="008C1506">
      <w:pPr>
        <w:spacing w:line="480" w:lineRule="auto"/>
        <w:jc w:val="both"/>
      </w:pPr>
    </w:p>
    <w:p w14:paraId="2D356B7A" w14:textId="6939E74A" w:rsidR="008C1506" w:rsidRPr="00BD2C65" w:rsidRDefault="00B63D2F" w:rsidP="008C1506">
      <w:pPr>
        <w:spacing w:line="480" w:lineRule="auto"/>
        <w:jc w:val="both"/>
        <w:rPr>
          <w:i/>
          <w:iCs/>
          <w:color w:val="0A0A0A"/>
          <w:shd w:val="clear" w:color="auto" w:fill="FFFFFF"/>
        </w:rPr>
      </w:pPr>
      <w:r w:rsidRPr="00BD2C65">
        <w:t>In her work</w:t>
      </w:r>
      <w:r w:rsidR="0005139F" w:rsidRPr="00BD2C65">
        <w:t xml:space="preserve"> </w:t>
      </w:r>
      <w:r w:rsidR="00570D17" w:rsidRPr="00BD2C65">
        <w:t xml:space="preserve">Ellinghaus (2017) </w:t>
      </w:r>
      <w:r w:rsidRPr="00BD2C65">
        <w:t>expands upon Wolfe (2006) demonstrating how</w:t>
      </w:r>
      <w:r w:rsidR="00570D17" w:rsidRPr="00BD2C65">
        <w:t xml:space="preserve">, as well as destruction, there was also a movement to unify </w:t>
      </w:r>
      <w:r w:rsidR="000B2920" w:rsidRPr="00BD2C65">
        <w:t>I</w:t>
      </w:r>
      <w:r w:rsidR="00BE4F57" w:rsidRPr="00BD2C65">
        <w:t xml:space="preserve">ndigenous </w:t>
      </w:r>
      <w:r w:rsidR="000B2920" w:rsidRPr="00BD2C65">
        <w:t>P</w:t>
      </w:r>
      <w:r w:rsidR="00570D17" w:rsidRPr="00BD2C65">
        <w:t xml:space="preserve">eople into one people and country, </w:t>
      </w:r>
      <w:r w:rsidR="00AD56B6" w:rsidRPr="00BD2C65">
        <w:t xml:space="preserve">thereby eliminating the possibility of creating </w:t>
      </w:r>
      <w:r w:rsidR="0011030E" w:rsidRPr="00BD2C65">
        <w:t>distinctive</w:t>
      </w:r>
      <w:r w:rsidR="00AD56B6" w:rsidRPr="00BD2C65">
        <w:t xml:space="preserve"> </w:t>
      </w:r>
      <w:r w:rsidR="0011030E" w:rsidRPr="00BD2C65">
        <w:t>indigenous</w:t>
      </w:r>
      <w:r w:rsidR="00AD56B6" w:rsidRPr="00BD2C65">
        <w:t xml:space="preserve"> nations.</w:t>
      </w:r>
      <w:r w:rsidR="00570D17" w:rsidRPr="00BD2C65">
        <w:t xml:space="preserve"> Therefore </w:t>
      </w:r>
      <w:r w:rsidR="0011030E" w:rsidRPr="00BD2C65">
        <w:t>inadvertently</w:t>
      </w:r>
      <w:r w:rsidR="002F0DC6" w:rsidRPr="00BD2C65">
        <w:t>,</w:t>
      </w:r>
      <w:r w:rsidR="00AD56B6" w:rsidRPr="00BD2C65">
        <w:t xml:space="preserve"> </w:t>
      </w:r>
      <w:r w:rsidR="000B2920" w:rsidRPr="00BD2C65">
        <w:t>I</w:t>
      </w:r>
      <w:r w:rsidR="00BE4F57" w:rsidRPr="00BD2C65">
        <w:t xml:space="preserve">ndigenous </w:t>
      </w:r>
      <w:r w:rsidR="000B2920" w:rsidRPr="00BD2C65">
        <w:t>P</w:t>
      </w:r>
      <w:r w:rsidR="00570D17" w:rsidRPr="00BD2C65">
        <w:t xml:space="preserve">eople’s concepts of sexuality and gender identity </w:t>
      </w:r>
      <w:r w:rsidR="002F0DC6" w:rsidRPr="00BD2C65">
        <w:t>have</w:t>
      </w:r>
      <w:r w:rsidR="00570D17" w:rsidRPr="00BD2C65">
        <w:t xml:space="preserve"> been destroyed or assimilated with the </w:t>
      </w:r>
      <w:r w:rsidR="0018161B" w:rsidRPr="00BD2C65">
        <w:t>coloniser’s</w:t>
      </w:r>
      <w:r w:rsidR="00570D17" w:rsidRPr="00BD2C65">
        <w:t xml:space="preserve"> </w:t>
      </w:r>
      <w:r w:rsidR="00431F6C" w:rsidRPr="00BD2C65">
        <w:t xml:space="preserve">essentialist </w:t>
      </w:r>
      <w:r w:rsidR="00570D17" w:rsidRPr="00BD2C65">
        <w:t>binary understanding o</w:t>
      </w:r>
      <w:r w:rsidR="00431F6C" w:rsidRPr="00BD2C65">
        <w:t>f</w:t>
      </w:r>
      <w:r w:rsidR="00570D17" w:rsidRPr="00BD2C65">
        <w:t xml:space="preserve"> gender and sexuality. </w:t>
      </w:r>
      <w:r w:rsidR="00AD56B6" w:rsidRPr="00BD2C65">
        <w:t xml:space="preserve">Ultimately, the </w:t>
      </w:r>
      <w:r w:rsidR="0011030E" w:rsidRPr="00BD2C65">
        <w:t>enduring</w:t>
      </w:r>
      <w:r w:rsidR="00AD56B6" w:rsidRPr="00BD2C65">
        <w:t xml:space="preserve"> impact of settler colonialism on </w:t>
      </w:r>
      <w:r w:rsidR="00ED09BF" w:rsidRPr="00BD2C65">
        <w:t>I</w:t>
      </w:r>
      <w:r w:rsidR="0011030E" w:rsidRPr="00BD2C65">
        <w:t>ndigenous</w:t>
      </w:r>
      <w:r w:rsidR="00AD56B6" w:rsidRPr="00BD2C65">
        <w:t xml:space="preserve"> </w:t>
      </w:r>
      <w:r w:rsidR="00ED09BF" w:rsidRPr="00BD2C65">
        <w:t>P</w:t>
      </w:r>
      <w:r w:rsidR="00AD56B6" w:rsidRPr="00BD2C65">
        <w:t xml:space="preserve">eople </w:t>
      </w:r>
      <w:r w:rsidR="0011030E" w:rsidRPr="00BD2C65">
        <w:t>underscores</w:t>
      </w:r>
      <w:r w:rsidR="00AD56B6" w:rsidRPr="00BD2C65">
        <w:t xml:space="preserve"> the long-standing nature of the </w:t>
      </w:r>
      <w:r w:rsidR="0011030E" w:rsidRPr="00BD2C65">
        <w:t>colonial</w:t>
      </w:r>
      <w:r w:rsidR="00AD56B6" w:rsidRPr="00BD2C65">
        <w:t xml:space="preserve"> project, which continues to shape the contemporary world in profound ways.</w:t>
      </w:r>
    </w:p>
    <w:p w14:paraId="5464C159" w14:textId="77777777" w:rsidR="008C1506" w:rsidRPr="00BD2C65" w:rsidRDefault="008C1506" w:rsidP="008C1506">
      <w:pPr>
        <w:spacing w:line="480" w:lineRule="auto"/>
        <w:jc w:val="both"/>
        <w:rPr>
          <w:i/>
          <w:iCs/>
          <w:color w:val="0A0A0A"/>
          <w:shd w:val="clear" w:color="auto" w:fill="FFFFFF"/>
        </w:rPr>
      </w:pPr>
    </w:p>
    <w:p w14:paraId="5A3A1789" w14:textId="34D08B31" w:rsidR="00AD56B6" w:rsidRPr="00BD2C65" w:rsidRDefault="002A66E6" w:rsidP="008C1506">
      <w:pPr>
        <w:spacing w:line="480" w:lineRule="auto"/>
        <w:jc w:val="both"/>
      </w:pPr>
      <w:r w:rsidRPr="00BD2C65">
        <w:rPr>
          <w:color w:val="000000"/>
        </w:rPr>
        <w:t>However, this argument is nuanced</w:t>
      </w:r>
      <w:r w:rsidR="002F0DC6" w:rsidRPr="00BD2C65">
        <w:rPr>
          <w:color w:val="000000"/>
        </w:rPr>
        <w:t>. I</w:t>
      </w:r>
      <w:r w:rsidRPr="00BD2C65">
        <w:rPr>
          <w:color w:val="000000"/>
        </w:rPr>
        <w:t>t</w:t>
      </w:r>
      <w:r w:rsidR="00BC2FBE" w:rsidRPr="00BD2C65">
        <w:t xml:space="preserve"> is true that some cultures had a more accepting attitude towards LGBTQIA+ people and communities</w:t>
      </w:r>
      <w:r w:rsidR="002F0DC6" w:rsidRPr="00BD2C65">
        <w:t xml:space="preserve"> and</w:t>
      </w:r>
      <w:r w:rsidR="00BC2FBE" w:rsidRPr="00BD2C65">
        <w:t xml:space="preserve"> it is important to note that </w:t>
      </w:r>
      <w:r w:rsidR="00BC2FBE" w:rsidRPr="00BD2C65">
        <w:lastRenderedPageBreak/>
        <w:t>attitudes and laws regarding LGBTQIA+ people have varied widely throughout history and across different cultures</w:t>
      </w:r>
      <w:r w:rsidR="008F1275" w:rsidRPr="00BD2C65">
        <w:t xml:space="preserve"> (</w:t>
      </w:r>
      <w:r w:rsidR="00AF4A30" w:rsidRPr="00BD2C65">
        <w:t>Murray, Epprecht and Roscoe, 2021; Pausacker and Whiting, 2019; Haskins, 2014</w:t>
      </w:r>
      <w:r w:rsidR="008F1275" w:rsidRPr="00BD2C65">
        <w:t>)</w:t>
      </w:r>
      <w:r w:rsidR="00BC2FBE" w:rsidRPr="00BD2C65">
        <w:t xml:space="preserve">. </w:t>
      </w:r>
    </w:p>
    <w:p w14:paraId="4F978EF4" w14:textId="77777777" w:rsidR="00AD56B6" w:rsidRPr="00BD2C65" w:rsidRDefault="00AD56B6" w:rsidP="008C1506">
      <w:pPr>
        <w:spacing w:line="480" w:lineRule="auto"/>
        <w:jc w:val="both"/>
      </w:pPr>
    </w:p>
    <w:p w14:paraId="407BE52B" w14:textId="5D0F750D" w:rsidR="0070482B" w:rsidRPr="00BD2C65" w:rsidRDefault="00BC2FBE" w:rsidP="008C1506">
      <w:pPr>
        <w:spacing w:line="480" w:lineRule="auto"/>
        <w:jc w:val="both"/>
        <w:rPr>
          <w:i/>
          <w:iCs/>
          <w:color w:val="0A0A0A"/>
          <w:shd w:val="clear" w:color="auto" w:fill="FFFFFF"/>
        </w:rPr>
      </w:pPr>
      <w:r w:rsidRPr="00BD2C65">
        <w:t>The historical records illustrate that LGBTQIA+ people have been accepted and persecuted in various societies and cultures, even before the advent of colonialism</w:t>
      </w:r>
      <w:r w:rsidR="008F1275" w:rsidRPr="00BD2C65">
        <w:t xml:space="preserve"> (</w:t>
      </w:r>
      <w:r w:rsidR="00E130B8" w:rsidRPr="00BD2C65">
        <w:t>Msibi, 2011</w:t>
      </w:r>
      <w:r w:rsidR="008F1275" w:rsidRPr="00BD2C65">
        <w:t>)</w:t>
      </w:r>
      <w:r w:rsidRPr="00BD2C65">
        <w:t xml:space="preserve">. For example, ancient Greece and Rome had a relatively accepting attitude towards homosexuality, but </w:t>
      </w:r>
      <w:r w:rsidR="002F0DC6" w:rsidRPr="00BD2C65">
        <w:t>a</w:t>
      </w:r>
      <w:r w:rsidR="000A2954" w:rsidRPr="00BD2C65">
        <w:t>t</w:t>
      </w:r>
      <w:r w:rsidRPr="00BD2C65">
        <w:t xml:space="preserve"> the same time, some societies such as medieval Europe and ancient China had strict laws against </w:t>
      </w:r>
      <w:r w:rsidR="00ED09BF" w:rsidRPr="00BD2C65">
        <w:t>homosexuality and</w:t>
      </w:r>
      <w:r w:rsidRPr="00BD2C65">
        <w:t xml:space="preserve"> imposed </w:t>
      </w:r>
      <w:r w:rsidR="000A2954" w:rsidRPr="00BD2C65">
        <w:t>severe</w:t>
      </w:r>
      <w:r w:rsidRPr="00BD2C65">
        <w:t xml:space="preserve"> punishments for same-sex relationships</w:t>
      </w:r>
      <w:r w:rsidR="008F1275" w:rsidRPr="00BD2C65">
        <w:t xml:space="preserve"> (</w:t>
      </w:r>
      <w:r w:rsidR="00E130B8" w:rsidRPr="00BD2C65">
        <w:t>Murray, Epprecht and Roscoe, 2021; Pausacker and Whiting, 2019; Haskins, 2014; Msibi, 2011</w:t>
      </w:r>
      <w:r w:rsidR="008F1275" w:rsidRPr="00BD2C65">
        <w:t>).</w:t>
      </w:r>
      <w:r w:rsidR="00AD56B6" w:rsidRPr="00BD2C65">
        <w:t xml:space="preserve"> These examples demonstrate the need for a nuanced understanding of the historical and cultural contexts in which attitudes towards LGBTQIA+ people have developed. </w:t>
      </w:r>
    </w:p>
    <w:p w14:paraId="40E5A032" w14:textId="77777777" w:rsidR="0070482B" w:rsidRPr="00BD2C65" w:rsidRDefault="0070482B" w:rsidP="008C1506">
      <w:pPr>
        <w:spacing w:line="480" w:lineRule="auto"/>
        <w:jc w:val="both"/>
      </w:pPr>
    </w:p>
    <w:p w14:paraId="20F86D26" w14:textId="71ABAD2C" w:rsidR="0070482B" w:rsidRPr="00BD2C65" w:rsidRDefault="00A84FEA" w:rsidP="008C1506">
      <w:pPr>
        <w:spacing w:line="480" w:lineRule="auto"/>
        <w:jc w:val="both"/>
      </w:pPr>
      <w:r w:rsidRPr="00BD2C65">
        <w:t xml:space="preserve">To conclude this </w:t>
      </w:r>
      <w:r w:rsidR="00F11137" w:rsidRPr="00BD2C65">
        <w:t>section</w:t>
      </w:r>
      <w:r w:rsidRPr="00BD2C65">
        <w:t xml:space="preserve">, </w:t>
      </w:r>
      <w:r w:rsidR="00AD56B6" w:rsidRPr="00BD2C65">
        <w:t xml:space="preserve">the </w:t>
      </w:r>
      <w:r w:rsidR="000E49E9" w:rsidRPr="00BD2C65">
        <w:t>analysis</w:t>
      </w:r>
      <w:r w:rsidR="00AD56B6" w:rsidRPr="00BD2C65">
        <w:t xml:space="preserve"> presented in </w:t>
      </w:r>
      <w:r w:rsidR="00AD56B6" w:rsidRPr="00BD2C65">
        <w:rPr>
          <w:b/>
          <w:bCs/>
        </w:rPr>
        <w:t xml:space="preserve">Discussion 1: </w:t>
      </w:r>
      <w:r w:rsidR="000E49E9" w:rsidRPr="00BD2C65">
        <w:rPr>
          <w:b/>
          <w:bCs/>
        </w:rPr>
        <w:t>Power</w:t>
      </w:r>
      <w:r w:rsidR="00AD56B6" w:rsidRPr="00BD2C65">
        <w:rPr>
          <w:b/>
          <w:bCs/>
        </w:rPr>
        <w:t xml:space="preserve"> and Biopo</w:t>
      </w:r>
      <w:r w:rsidR="000E49E9" w:rsidRPr="00BD2C65">
        <w:rPr>
          <w:b/>
          <w:bCs/>
        </w:rPr>
        <w:t>litics</w:t>
      </w:r>
      <w:r w:rsidR="00AD56B6" w:rsidRPr="00BD2C65">
        <w:t>, has demonstrated</w:t>
      </w:r>
      <w:r w:rsidR="000B3129" w:rsidRPr="00BD2C65">
        <w:t xml:space="preserve"> </w:t>
      </w:r>
      <w:r w:rsidRPr="00BD2C65">
        <w:t xml:space="preserve">the intricate ways in which </w:t>
      </w:r>
      <w:r w:rsidR="000B3129" w:rsidRPr="00BD2C65">
        <w:t xml:space="preserve">power, control, and domination were exercised in colonial societies, </w:t>
      </w:r>
      <w:r w:rsidR="00AD56B6" w:rsidRPr="00BD2C65">
        <w:t xml:space="preserve">particularly </w:t>
      </w:r>
      <w:r w:rsidR="000B3129" w:rsidRPr="00BD2C65">
        <w:t xml:space="preserve">how </w:t>
      </w:r>
      <w:r w:rsidR="00F976F0" w:rsidRPr="00BD2C65">
        <w:t>a binary essentialist understand</w:t>
      </w:r>
      <w:r w:rsidR="000E49E9" w:rsidRPr="00BD2C65">
        <w:t>ing</w:t>
      </w:r>
      <w:r w:rsidR="00F976F0" w:rsidRPr="00BD2C65">
        <w:t xml:space="preserve"> of </w:t>
      </w:r>
      <w:r w:rsidR="000B3129" w:rsidRPr="00BD2C65">
        <w:t xml:space="preserve">sexuality and gender identity </w:t>
      </w:r>
      <w:r w:rsidR="000E49E9" w:rsidRPr="00BD2C65">
        <w:t>was</w:t>
      </w:r>
      <w:r w:rsidR="000B3129" w:rsidRPr="00BD2C65">
        <w:t xml:space="preserve"> used as tool</w:t>
      </w:r>
      <w:r w:rsidR="000E49E9" w:rsidRPr="00BD2C65">
        <w:t xml:space="preserve"> a</w:t>
      </w:r>
      <w:r w:rsidR="000B3129" w:rsidRPr="00BD2C65">
        <w:t xml:space="preserve"> of colonialisation</w:t>
      </w:r>
      <w:r w:rsidR="000E49E9" w:rsidRPr="00BD2C65">
        <w:t xml:space="preserve"> to impose Western values</w:t>
      </w:r>
      <w:r w:rsidR="000B3129" w:rsidRPr="00BD2C65">
        <w:t xml:space="preserve">. By </w:t>
      </w:r>
      <w:r w:rsidR="00AD56B6" w:rsidRPr="00BD2C65">
        <w:t xml:space="preserve">examining </w:t>
      </w:r>
      <w:r w:rsidR="000B3129" w:rsidRPr="00BD2C65">
        <w:t>the way in which the British Empire sough</w:t>
      </w:r>
      <w:r w:rsidR="00970E43" w:rsidRPr="00BD2C65">
        <w:t>t</w:t>
      </w:r>
      <w:r w:rsidR="000B3129" w:rsidRPr="00BD2C65">
        <w:t xml:space="preserve"> to regulate and control the sexual and gendered bodies of colonised peoples, the author has highlighted the historical roots of colonialism and the </w:t>
      </w:r>
      <w:r w:rsidR="00A7509F" w:rsidRPr="00BD2C65">
        <w:t>long-lasting</w:t>
      </w:r>
      <w:r w:rsidR="000B3129" w:rsidRPr="00BD2C65">
        <w:t xml:space="preserve"> impacts that these policies still have on former </w:t>
      </w:r>
      <w:r w:rsidR="00BD3430" w:rsidRPr="00BD2C65">
        <w:t>British Colonies</w:t>
      </w:r>
      <w:r w:rsidR="000B3129" w:rsidRPr="00BD2C65">
        <w:t xml:space="preserve">. </w:t>
      </w:r>
      <w:bookmarkEnd w:id="22"/>
      <w:r w:rsidR="0070482B" w:rsidRPr="00BD2C65">
        <w:t xml:space="preserve">The author's </w:t>
      </w:r>
      <w:r w:rsidR="000E49E9" w:rsidRPr="00BD2C65">
        <w:t>use</w:t>
      </w:r>
      <w:r w:rsidR="0070482B" w:rsidRPr="00BD2C65">
        <w:t xml:space="preserve"> of the concept of biopolitics aims to enhance our comprehension of the impact of colonialism and imperialism on our world. Furthermore, it sheds light on the ongoing struggles for self-determination and resistance that persist today.</w:t>
      </w:r>
    </w:p>
    <w:p w14:paraId="758001CD" w14:textId="77777777" w:rsidR="0070482B" w:rsidRPr="009D0AE3" w:rsidRDefault="0070482B" w:rsidP="0070482B"/>
    <w:p w14:paraId="4751289C" w14:textId="4DC4039B" w:rsidR="00173B7D" w:rsidRDefault="00173B7D" w:rsidP="00173B7D">
      <w:pPr>
        <w:numPr>
          <w:ilvl w:val="1"/>
          <w:numId w:val="1"/>
        </w:numPr>
        <w:spacing w:line="480" w:lineRule="auto"/>
        <w:jc w:val="both"/>
        <w:outlineLvl w:val="1"/>
      </w:pPr>
      <w:bookmarkStart w:id="23" w:name="_Toc145927545"/>
      <w:r w:rsidRPr="00A27FD8">
        <w:rPr>
          <w:b/>
        </w:rPr>
        <w:t xml:space="preserve">Discussion </w:t>
      </w:r>
      <w:r>
        <w:rPr>
          <w:b/>
        </w:rPr>
        <w:t>2</w:t>
      </w:r>
      <w:r w:rsidRPr="00A27FD8">
        <w:rPr>
          <w:b/>
        </w:rPr>
        <w:t xml:space="preserve">: </w:t>
      </w:r>
      <w:r w:rsidR="00BD3430">
        <w:rPr>
          <w:b/>
          <w:bCs/>
        </w:rPr>
        <w:t>Othering</w:t>
      </w:r>
      <w:r w:rsidRPr="00A27FD8">
        <w:rPr>
          <w:b/>
          <w:bCs/>
        </w:rPr>
        <w:t xml:space="preserve">: </w:t>
      </w:r>
      <w:r w:rsidRPr="00F55F45">
        <w:rPr>
          <w:b/>
          <w:bCs/>
        </w:rPr>
        <w:t xml:space="preserve">a frame to synthesise Decolonising and </w:t>
      </w:r>
      <w:r w:rsidR="00BA2220">
        <w:rPr>
          <w:b/>
          <w:bCs/>
        </w:rPr>
        <w:t>Queer Theories</w:t>
      </w:r>
      <w:bookmarkEnd w:id="23"/>
      <w:r>
        <w:rPr>
          <w:b/>
          <w:bCs/>
        </w:rPr>
        <w:t xml:space="preserve"> </w:t>
      </w:r>
    </w:p>
    <w:p w14:paraId="101C070B" w14:textId="459921A6" w:rsidR="00D41096" w:rsidRPr="00BD2C65" w:rsidRDefault="009D02C2" w:rsidP="008C1506">
      <w:pPr>
        <w:spacing w:line="480" w:lineRule="auto"/>
        <w:jc w:val="both"/>
      </w:pPr>
      <w:r w:rsidRPr="00BD2C65">
        <w:t xml:space="preserve">In this discussion, the author </w:t>
      </w:r>
      <w:r w:rsidR="00C9028D" w:rsidRPr="00BD2C65">
        <w:t>investigates</w:t>
      </w:r>
      <w:r w:rsidRPr="00BD2C65">
        <w:t xml:space="preserve"> the complex intersection of decolonising and </w:t>
      </w:r>
      <w:r w:rsidR="00BA2220" w:rsidRPr="00BD2C65">
        <w:t>Queer Theories</w:t>
      </w:r>
      <w:r w:rsidRPr="00BD2C65">
        <w:t xml:space="preserve">, through the lens of </w:t>
      </w:r>
      <w:r w:rsidR="00BD3430" w:rsidRPr="00BD2C65">
        <w:t>Othering</w:t>
      </w:r>
      <w:r w:rsidRPr="00BD2C65">
        <w:t xml:space="preserve">, a fundamental concept in group dynamics. The author’s exploration of this theme draws on two primary Literature Review themes: </w:t>
      </w:r>
      <w:r w:rsidR="00DD0C07" w:rsidRPr="00BD2C65">
        <w:rPr>
          <w:b/>
          <w:bCs/>
        </w:rPr>
        <w:t>Theme 1: Key Theories and Definitions</w:t>
      </w:r>
      <w:r w:rsidR="00DD0C07" w:rsidRPr="00BD2C65">
        <w:t xml:space="preserve"> </w:t>
      </w:r>
      <w:r w:rsidR="00693048" w:rsidRPr="00BD2C65">
        <w:t>and Theme</w:t>
      </w:r>
      <w:r w:rsidR="00DD0C07" w:rsidRPr="00BD2C65">
        <w:rPr>
          <w:b/>
          <w:bCs/>
        </w:rPr>
        <w:t xml:space="preserve"> 2: Pre-Colonialism</w:t>
      </w:r>
      <w:r w:rsidRPr="00BD2C65">
        <w:rPr>
          <w:b/>
          <w:bCs/>
        </w:rPr>
        <w:t>.</w:t>
      </w:r>
    </w:p>
    <w:p w14:paraId="1E46F9C1" w14:textId="77777777" w:rsidR="0093403B" w:rsidRPr="00BD2C65" w:rsidRDefault="0093403B" w:rsidP="008C1506">
      <w:pPr>
        <w:spacing w:line="480" w:lineRule="auto"/>
        <w:jc w:val="both"/>
      </w:pPr>
    </w:p>
    <w:p w14:paraId="5F89AD87" w14:textId="0D0D6DEC" w:rsidR="009D02C2" w:rsidRPr="00BD2C65" w:rsidRDefault="000B3129" w:rsidP="008C1506">
      <w:pPr>
        <w:spacing w:line="480" w:lineRule="auto"/>
        <w:jc w:val="both"/>
      </w:pPr>
      <w:r w:rsidRPr="00BD2C65">
        <w:t xml:space="preserve">The author is interested in using the concept of </w:t>
      </w:r>
      <w:r w:rsidR="00BD3430" w:rsidRPr="00BD2C65">
        <w:t>Othering</w:t>
      </w:r>
      <w:r w:rsidRPr="00BD2C65">
        <w:t>, as it</w:t>
      </w:r>
      <w:r w:rsidR="00D41096" w:rsidRPr="00BD2C65">
        <w:t xml:space="preserve"> is a phenomenological term in which an individual person </w:t>
      </w:r>
      <w:r w:rsidR="000E49E9" w:rsidRPr="00BD2C65">
        <w:t>perceives</w:t>
      </w:r>
      <w:r w:rsidR="00D41096" w:rsidRPr="00BD2C65">
        <w:t xml:space="preserve"> another human being (Crang, 1998</w:t>
      </w:r>
      <w:r w:rsidR="007105F8" w:rsidRPr="00BD2C65">
        <w:t>; Hegel, 1977; Fanon, 1987</w:t>
      </w:r>
      <w:r w:rsidR="00D41096" w:rsidRPr="00BD2C65">
        <w:t>)</w:t>
      </w:r>
      <w:r w:rsidRPr="00BD2C65">
        <w:t xml:space="preserve"> and is </w:t>
      </w:r>
      <w:r w:rsidR="000017FA" w:rsidRPr="00BD2C65">
        <w:t>a cornerstone</w:t>
      </w:r>
      <w:r w:rsidRPr="00BD2C65">
        <w:t xml:space="preserve"> </w:t>
      </w:r>
      <w:r w:rsidR="000017FA" w:rsidRPr="00BD2C65">
        <w:t xml:space="preserve">theory </w:t>
      </w:r>
      <w:r w:rsidRPr="00BD2C65">
        <w:t>to understanding group dynamics</w:t>
      </w:r>
      <w:r w:rsidR="00D41096" w:rsidRPr="00BD2C65">
        <w:t>.</w:t>
      </w:r>
      <w:r w:rsidRPr="00BD2C65">
        <w:t xml:space="preserve"> </w:t>
      </w:r>
      <w:r w:rsidR="00BD3430" w:rsidRPr="00BD2C65">
        <w:t>Othering</w:t>
      </w:r>
      <w:r w:rsidRPr="00BD2C65">
        <w:t xml:space="preserve"> is </w:t>
      </w:r>
      <w:r w:rsidR="000E49E9" w:rsidRPr="00BD2C65">
        <w:t xml:space="preserve">a </w:t>
      </w:r>
      <w:r w:rsidRPr="00BD2C65">
        <w:t>process of categorising people into two different groups: the self and the other</w:t>
      </w:r>
      <w:r w:rsidR="000E49E9" w:rsidRPr="00BD2C65">
        <w:t>. T</w:t>
      </w:r>
      <w:r w:rsidRPr="00BD2C65">
        <w:t>he other is viewed as being different, inferior, or even exotic</w:t>
      </w:r>
      <w:r w:rsidR="002E0D2B" w:rsidRPr="00BD2C65">
        <w:t xml:space="preserve"> (</w:t>
      </w:r>
      <w:r w:rsidR="000017FA" w:rsidRPr="00BD2C65">
        <w:t>Hegel, 1977</w:t>
      </w:r>
      <w:r w:rsidR="002E0D2B" w:rsidRPr="00BD2C65">
        <w:t xml:space="preserve">). </w:t>
      </w:r>
      <w:r w:rsidRPr="00BD2C65">
        <w:t>This categorisation can be based on race, gender, sexuality and more</w:t>
      </w:r>
      <w:r w:rsidR="002E0D2B" w:rsidRPr="00BD2C65">
        <w:t xml:space="preserve"> (</w:t>
      </w:r>
      <w:r w:rsidR="000017FA" w:rsidRPr="00BD2C65">
        <w:t>ibid.</w:t>
      </w:r>
      <w:r w:rsidR="002E0D2B" w:rsidRPr="00BD2C65">
        <w:t>)</w:t>
      </w:r>
      <w:r w:rsidRPr="00BD2C65">
        <w:t xml:space="preserve">. </w:t>
      </w:r>
    </w:p>
    <w:p w14:paraId="1BF6B204" w14:textId="77777777" w:rsidR="009D02C2" w:rsidRPr="00BD2C65" w:rsidRDefault="009D02C2" w:rsidP="008C1506">
      <w:pPr>
        <w:spacing w:line="480" w:lineRule="auto"/>
        <w:jc w:val="both"/>
      </w:pPr>
    </w:p>
    <w:p w14:paraId="1441C994" w14:textId="41D9482F" w:rsidR="000B3129" w:rsidRPr="00BD2C65" w:rsidRDefault="00605C27" w:rsidP="008C1506">
      <w:pPr>
        <w:spacing w:line="480" w:lineRule="auto"/>
        <w:jc w:val="both"/>
      </w:pPr>
      <w:r w:rsidRPr="00BD2C65">
        <w:t>There is clear evidence that</w:t>
      </w:r>
      <w:r w:rsidR="000B3129" w:rsidRPr="00BD2C65">
        <w:t xml:space="preserve"> British colonisers </w:t>
      </w:r>
      <w:r w:rsidRPr="00BD2C65">
        <w:t xml:space="preserve">viewed </w:t>
      </w:r>
      <w:r w:rsidR="000B3129" w:rsidRPr="00BD2C65">
        <w:t xml:space="preserve">themselves as </w:t>
      </w:r>
      <w:r w:rsidR="000E49E9" w:rsidRPr="00BD2C65">
        <w:t>superior to the colonised</w:t>
      </w:r>
      <w:r w:rsidR="000B3129" w:rsidRPr="00BD2C65">
        <w:t xml:space="preserve">, they saw the </w:t>
      </w:r>
      <w:r w:rsidR="00BE4F57" w:rsidRPr="00BD2C65">
        <w:t xml:space="preserve">indigenous </w:t>
      </w:r>
      <w:r w:rsidR="000B3129" w:rsidRPr="00BD2C65">
        <w:t>populations as primitive, uncivilised and in need of subjugation</w:t>
      </w:r>
      <w:r w:rsidRPr="00BD2C65">
        <w:t xml:space="preserve"> (</w:t>
      </w:r>
      <w:r w:rsidR="00413414" w:rsidRPr="00BD2C65">
        <w:t>Aldrich, 2008</w:t>
      </w:r>
      <w:r w:rsidRPr="00BD2C65">
        <w:t>)</w:t>
      </w:r>
      <w:r w:rsidR="000B3129" w:rsidRPr="00BD2C65">
        <w:t xml:space="preserve">. </w:t>
      </w:r>
      <w:r w:rsidR="002E7E20" w:rsidRPr="00BD2C65">
        <w:t xml:space="preserve">The concept of </w:t>
      </w:r>
      <w:r w:rsidR="00BD3430" w:rsidRPr="00BD2C65">
        <w:t>Othering</w:t>
      </w:r>
      <w:r w:rsidR="002E7E20" w:rsidRPr="00BD2C65">
        <w:t xml:space="preserve"> is a central theme in the works of Hegel (1977)</w:t>
      </w:r>
      <w:r w:rsidR="00C0341A" w:rsidRPr="00BD2C65">
        <w:t xml:space="preserve">, </w:t>
      </w:r>
      <w:r w:rsidR="00442C48" w:rsidRPr="00BD2C65">
        <w:t>Beauvoir</w:t>
      </w:r>
      <w:r w:rsidR="00C0341A" w:rsidRPr="00BD2C65">
        <w:t xml:space="preserve"> (</w:t>
      </w:r>
      <w:r w:rsidR="009A0EFF" w:rsidRPr="00BD2C65">
        <w:t>2011</w:t>
      </w:r>
      <w:r w:rsidR="00C0341A" w:rsidRPr="00BD2C65">
        <w:t xml:space="preserve">) and </w:t>
      </w:r>
      <w:r w:rsidR="002E7E20" w:rsidRPr="00BD2C65">
        <w:t xml:space="preserve">Fanon (1987), who have discussed the ways in which the process of categorisation can shape </w:t>
      </w:r>
      <w:r w:rsidR="004942E0" w:rsidRPr="00BD2C65">
        <w:t>individuals</w:t>
      </w:r>
      <w:r w:rsidR="002E7E20" w:rsidRPr="00BD2C65">
        <w:t>’ perceptions and interaction with each other</w:t>
      </w:r>
      <w:r w:rsidR="00652E7B" w:rsidRPr="00BD2C65">
        <w:t xml:space="preserve"> and different groups of people</w:t>
      </w:r>
      <w:r w:rsidR="002E7E20" w:rsidRPr="00BD2C65">
        <w:t xml:space="preserve">. </w:t>
      </w:r>
      <w:r w:rsidR="009D02C2" w:rsidRPr="00BD2C65">
        <w:t>Moreover, u</w:t>
      </w:r>
      <w:r w:rsidR="002E7E20" w:rsidRPr="00BD2C65">
        <w:t xml:space="preserve">nderstanding the role of </w:t>
      </w:r>
      <w:r w:rsidR="00BD3430" w:rsidRPr="00BD2C65">
        <w:t>Othering</w:t>
      </w:r>
      <w:r w:rsidR="002E7E20" w:rsidRPr="00BD2C65">
        <w:t xml:space="preserve"> </w:t>
      </w:r>
      <w:r w:rsidR="009D02C2" w:rsidRPr="00BD2C65">
        <w:t>in the</w:t>
      </w:r>
      <w:r w:rsidR="002E7E20" w:rsidRPr="00BD2C65">
        <w:t xml:space="preserve"> past </w:t>
      </w:r>
      <w:r w:rsidR="009D02C2" w:rsidRPr="00BD2C65">
        <w:t>and</w:t>
      </w:r>
      <w:r w:rsidR="002E7E20" w:rsidRPr="00BD2C65">
        <w:t xml:space="preserve"> present is crucial in </w:t>
      </w:r>
      <w:r w:rsidR="009D02C2" w:rsidRPr="00BD2C65">
        <w:t xml:space="preserve">addressing </w:t>
      </w:r>
      <w:r w:rsidR="002E7E20" w:rsidRPr="00BD2C65">
        <w:t xml:space="preserve">the negative effects that it can have on both the individuals who are labelled as the </w:t>
      </w:r>
      <w:r w:rsidR="009D02C2" w:rsidRPr="00BD2C65">
        <w:t>‘O</w:t>
      </w:r>
      <w:r w:rsidR="002E7E20" w:rsidRPr="00BD2C65">
        <w:t>ther</w:t>
      </w:r>
      <w:r w:rsidR="009D02C2" w:rsidRPr="00BD2C65">
        <w:t>’</w:t>
      </w:r>
      <w:r w:rsidR="002E7E20" w:rsidRPr="00BD2C65">
        <w:t xml:space="preserve"> and on the larger society.</w:t>
      </w:r>
    </w:p>
    <w:p w14:paraId="1CF0A484" w14:textId="77777777" w:rsidR="00AD3719" w:rsidRPr="00BD2C65" w:rsidRDefault="00AD3719" w:rsidP="008C1506">
      <w:pPr>
        <w:spacing w:line="480" w:lineRule="auto"/>
        <w:jc w:val="both"/>
      </w:pPr>
    </w:p>
    <w:p w14:paraId="775B7F2B" w14:textId="5E69A1AF" w:rsidR="009D02C2" w:rsidRPr="00BD2C65" w:rsidRDefault="000E49E9" w:rsidP="008C1506">
      <w:pPr>
        <w:spacing w:line="480" w:lineRule="auto"/>
        <w:jc w:val="both"/>
      </w:pPr>
      <w:r w:rsidRPr="00BD2C65">
        <w:lastRenderedPageBreak/>
        <w:t>Using</w:t>
      </w:r>
      <w:r w:rsidR="009D02C2" w:rsidRPr="00BD2C65">
        <w:t xml:space="preserve"> </w:t>
      </w:r>
      <w:r w:rsidR="00BD3430" w:rsidRPr="00BD2C65">
        <w:t>Othering</w:t>
      </w:r>
      <w:r w:rsidR="009D02C2" w:rsidRPr="00BD2C65">
        <w:t xml:space="preserve"> as a paradigm to synthesise decolonising and </w:t>
      </w:r>
      <w:r w:rsidR="00BA2220" w:rsidRPr="00BD2C65">
        <w:t>Queer Theories</w:t>
      </w:r>
      <w:r w:rsidR="009D02C2" w:rsidRPr="00BD2C65">
        <w:t xml:space="preserve"> underscores the significance of </w:t>
      </w:r>
      <w:r w:rsidRPr="00BD2C65">
        <w:t>these</w:t>
      </w:r>
      <w:r w:rsidR="009D02C2" w:rsidRPr="00BD2C65">
        <w:t xml:space="preserve"> concept</w:t>
      </w:r>
      <w:r w:rsidRPr="00BD2C65">
        <w:t>s</w:t>
      </w:r>
      <w:r w:rsidR="009D02C2" w:rsidRPr="00BD2C65">
        <w:t xml:space="preserve"> in exploring the intersectionality of these theories. By examining the relationship between </w:t>
      </w:r>
      <w:r w:rsidR="00BD3430" w:rsidRPr="00BD2C65">
        <w:t>Othering</w:t>
      </w:r>
      <w:r w:rsidR="009D02C2" w:rsidRPr="00BD2C65">
        <w:t xml:space="preserve"> and decolonising and </w:t>
      </w:r>
      <w:r w:rsidR="00BA2220" w:rsidRPr="00BD2C65">
        <w:t>Queer Theories</w:t>
      </w:r>
      <w:r w:rsidR="009D02C2" w:rsidRPr="00BD2C65">
        <w:t xml:space="preserve">, this chapter seeks to provide a novel and nuanced perspective </w:t>
      </w:r>
      <w:r w:rsidR="00693048" w:rsidRPr="00BD2C65">
        <w:t>on this</w:t>
      </w:r>
      <w:r w:rsidR="009D02C2" w:rsidRPr="00BD2C65">
        <w:t xml:space="preserve"> complex issue.</w:t>
      </w:r>
    </w:p>
    <w:p w14:paraId="090DBFA9" w14:textId="77777777" w:rsidR="00AD3719" w:rsidRPr="00BD2C65" w:rsidRDefault="00AD3719" w:rsidP="008C1506">
      <w:pPr>
        <w:spacing w:line="480" w:lineRule="auto"/>
        <w:jc w:val="both"/>
      </w:pPr>
    </w:p>
    <w:p w14:paraId="4EAB3E85" w14:textId="4B9684C8" w:rsidR="009D02C2" w:rsidRPr="00BD2C65" w:rsidRDefault="002E7E20" w:rsidP="008C1506">
      <w:pPr>
        <w:spacing w:line="480" w:lineRule="auto"/>
        <w:jc w:val="both"/>
      </w:pPr>
      <w:r w:rsidRPr="00BD2C65">
        <w:t xml:space="preserve">The author understands that </w:t>
      </w:r>
      <w:r w:rsidR="00BD3430" w:rsidRPr="00BD2C65">
        <w:t>Othering</w:t>
      </w:r>
      <w:r w:rsidR="00D41096" w:rsidRPr="00BD2C65">
        <w:t xml:space="preserve"> is heavily based on Hegel’s Master-Slave Dialectic</w:t>
      </w:r>
      <w:r w:rsidR="009D02C2" w:rsidRPr="00BD2C65">
        <w:t xml:space="preserve"> and its significant influence on modern sociological and philosophical thought</w:t>
      </w:r>
      <w:r w:rsidR="00D41096" w:rsidRPr="00BD2C65">
        <w:t xml:space="preserve"> (Cole, 2004)</w:t>
      </w:r>
      <w:r w:rsidRPr="00BD2C65">
        <w:t xml:space="preserve">. According to Hegel (1977), the dialectic between the master and slave leads to the creation of </w:t>
      </w:r>
      <w:r w:rsidR="009D02C2" w:rsidRPr="00BD2C65">
        <w:t xml:space="preserve">a dichotomy of the </w:t>
      </w:r>
      <w:r w:rsidRPr="00BD2C65">
        <w:t xml:space="preserve">self and the </w:t>
      </w:r>
      <w:r w:rsidR="009D02C2" w:rsidRPr="00BD2C65">
        <w:t>O</w:t>
      </w:r>
      <w:r w:rsidRPr="00BD2C65">
        <w:t>ther. In this process, the master views himself as superior and the slave as inferior</w:t>
      </w:r>
      <w:r w:rsidR="000E49E9" w:rsidRPr="00BD2C65">
        <w:t>;</w:t>
      </w:r>
      <w:r w:rsidRPr="00BD2C65">
        <w:t xml:space="preserve"> the slave comes to </w:t>
      </w:r>
      <w:r w:rsidR="00B20056" w:rsidRPr="00BD2C65">
        <w:t>internalise</w:t>
      </w:r>
      <w:r w:rsidRPr="00BD2C65">
        <w:t xml:space="preserve"> this hierarchy, viewing </w:t>
      </w:r>
      <w:r w:rsidR="009D02C2" w:rsidRPr="00BD2C65">
        <w:t xml:space="preserve">themselves </w:t>
      </w:r>
      <w:r w:rsidRPr="00BD2C65">
        <w:t xml:space="preserve">as inferior and the master as superior. </w:t>
      </w:r>
      <w:r w:rsidR="00D41096" w:rsidRPr="00BD2C65">
        <w:t xml:space="preserve">Additionally, Hegel suggests that being self-conscious enables </w:t>
      </w:r>
      <w:r w:rsidR="000E49E9" w:rsidRPr="00BD2C65">
        <w:t>each</w:t>
      </w:r>
      <w:r w:rsidR="00D41096" w:rsidRPr="00BD2C65">
        <w:t xml:space="preserve"> to see the </w:t>
      </w:r>
      <w:r w:rsidR="000E49E9" w:rsidRPr="00BD2C65">
        <w:t>O</w:t>
      </w:r>
      <w:r w:rsidR="00D41096" w:rsidRPr="00BD2C65">
        <w:t xml:space="preserve">ther both as the </w:t>
      </w:r>
      <w:r w:rsidR="000E49E9" w:rsidRPr="00BD2C65">
        <w:t>S</w:t>
      </w:r>
      <w:r w:rsidR="00D41096" w:rsidRPr="00BD2C65">
        <w:t xml:space="preserve">elf and not </w:t>
      </w:r>
      <w:r w:rsidR="000E49E9" w:rsidRPr="00BD2C65">
        <w:t>S</w:t>
      </w:r>
      <w:r w:rsidR="00D41096" w:rsidRPr="00BD2C65">
        <w:t xml:space="preserve">elf (ibid.). </w:t>
      </w:r>
    </w:p>
    <w:p w14:paraId="4A93FBC9" w14:textId="77777777" w:rsidR="009D02C2" w:rsidRPr="00BD2C65" w:rsidRDefault="009D02C2" w:rsidP="008C1506">
      <w:pPr>
        <w:spacing w:line="480" w:lineRule="auto"/>
        <w:jc w:val="both"/>
      </w:pPr>
    </w:p>
    <w:p w14:paraId="7255FFE4" w14:textId="2E64F87C" w:rsidR="000B3129" w:rsidRPr="00BD2C65" w:rsidRDefault="009D02C2" w:rsidP="008C1506">
      <w:pPr>
        <w:spacing w:line="480" w:lineRule="auto"/>
        <w:jc w:val="both"/>
      </w:pPr>
      <w:r w:rsidRPr="00BD2C65">
        <w:t xml:space="preserve">With Hegel’s ideas </w:t>
      </w:r>
      <w:r w:rsidR="00442C48" w:rsidRPr="00BD2C65">
        <w:t>forming</w:t>
      </w:r>
      <w:r w:rsidRPr="00BD2C65">
        <w:t xml:space="preserve"> the foundations of </w:t>
      </w:r>
      <w:r w:rsidR="00BD3430" w:rsidRPr="00BD2C65">
        <w:t>Othering</w:t>
      </w:r>
      <w:r w:rsidRPr="00BD2C65">
        <w:t xml:space="preserve">, other scholars </w:t>
      </w:r>
      <w:r w:rsidR="00693048" w:rsidRPr="00BD2C65">
        <w:t>have</w:t>
      </w:r>
      <w:r w:rsidR="00D41096" w:rsidRPr="00BD2C65">
        <w:t xml:space="preserve"> further been developed </w:t>
      </w:r>
      <w:r w:rsidRPr="00BD2C65">
        <w:t>this theory</w:t>
      </w:r>
      <w:r w:rsidR="000E49E9" w:rsidRPr="00BD2C65">
        <w:t xml:space="preserve">: </w:t>
      </w:r>
      <w:r w:rsidR="009577C8" w:rsidRPr="00BD2C65">
        <w:t>Fanon</w:t>
      </w:r>
      <w:r w:rsidR="00E85E9B" w:rsidRPr="00BD2C65">
        <w:t xml:space="preserve"> (</w:t>
      </w:r>
      <w:r w:rsidR="009577C8" w:rsidRPr="00BD2C65">
        <w:t>1987)</w:t>
      </w:r>
      <w:r w:rsidR="002E7E20" w:rsidRPr="00BD2C65">
        <w:t xml:space="preserve"> who related it to decolonising</w:t>
      </w:r>
      <w:r w:rsidRPr="00BD2C65">
        <w:t>;</w:t>
      </w:r>
      <w:r w:rsidR="002E7E20" w:rsidRPr="00BD2C65">
        <w:t xml:space="preserve"> </w:t>
      </w:r>
      <w:r w:rsidR="000E49E9" w:rsidRPr="00BD2C65">
        <w:t>Beauvoir</w:t>
      </w:r>
      <w:r w:rsidR="00E85E9B" w:rsidRPr="00BD2C65">
        <w:t xml:space="preserve"> (</w:t>
      </w:r>
      <w:r w:rsidR="003C25DA" w:rsidRPr="00BD2C65">
        <w:t>2011</w:t>
      </w:r>
      <w:r w:rsidR="00E85E9B" w:rsidRPr="00BD2C65">
        <w:t>)</w:t>
      </w:r>
      <w:r w:rsidR="002E7E20" w:rsidRPr="00BD2C65">
        <w:t xml:space="preserve"> related to it gender oppression</w:t>
      </w:r>
      <w:r w:rsidR="000E49E9" w:rsidRPr="00BD2C65">
        <w:t xml:space="preserve"> </w:t>
      </w:r>
      <w:r w:rsidR="00D41096" w:rsidRPr="00BD2C65">
        <w:t>(</w:t>
      </w:r>
      <w:r w:rsidR="00366189" w:rsidRPr="00BD2C65">
        <w:t>Cole, 2004</w:t>
      </w:r>
      <w:r w:rsidR="009C3855" w:rsidRPr="00BD2C65">
        <w:t xml:space="preserve">). </w:t>
      </w:r>
      <w:r w:rsidR="00693048" w:rsidRPr="00BD2C65">
        <w:t>The</w:t>
      </w:r>
      <w:r w:rsidR="00D56615" w:rsidRPr="00BD2C65">
        <w:t xml:space="preserve"> author asserts that </w:t>
      </w:r>
      <w:r w:rsidR="00BD3430" w:rsidRPr="00BD2C65">
        <w:t>Othering</w:t>
      </w:r>
      <w:r w:rsidR="00D56615" w:rsidRPr="00BD2C65">
        <w:t xml:space="preserve"> remains a significant factor when examining identity, power dynamics and oppression. </w:t>
      </w:r>
      <w:r w:rsidR="002E7E20" w:rsidRPr="00BD2C65">
        <w:t xml:space="preserve">Understanding how </w:t>
      </w:r>
      <w:r w:rsidR="00BD3430" w:rsidRPr="00BD2C65">
        <w:t>Othering</w:t>
      </w:r>
      <w:r w:rsidR="002E7E20" w:rsidRPr="00BD2C65">
        <w:t xml:space="preserve"> occurs, how it is implemented</w:t>
      </w:r>
      <w:r w:rsidR="000E49E9" w:rsidRPr="00BD2C65">
        <w:t>,</w:t>
      </w:r>
      <w:r w:rsidR="002E7E20" w:rsidRPr="00BD2C65">
        <w:t xml:space="preserve"> and the effects </w:t>
      </w:r>
      <w:r w:rsidR="000E49E9" w:rsidRPr="00BD2C65">
        <w:t>it has</w:t>
      </w:r>
      <w:r w:rsidR="002E7E20" w:rsidRPr="00BD2C65">
        <w:t xml:space="preserve">, and </w:t>
      </w:r>
      <w:r w:rsidR="000857C3" w:rsidRPr="00BD2C65">
        <w:t>the intersections of these factors,</w:t>
      </w:r>
      <w:r w:rsidR="002E7E20" w:rsidRPr="00BD2C65">
        <w:t xml:space="preserve"> can help us understand</w:t>
      </w:r>
      <w:r w:rsidR="00C52FE5" w:rsidRPr="00BD2C65">
        <w:t xml:space="preserve"> the complexities of social relations and the challenges we face in working towards a more just and equal society</w:t>
      </w:r>
      <w:r w:rsidR="00FC3319" w:rsidRPr="00BD2C65">
        <w:t xml:space="preserve"> today</w:t>
      </w:r>
      <w:r w:rsidR="00C52FE5" w:rsidRPr="00BD2C65">
        <w:t>.</w:t>
      </w:r>
    </w:p>
    <w:p w14:paraId="7DB16DCA" w14:textId="77777777" w:rsidR="000B3129" w:rsidRPr="00BD2C65" w:rsidRDefault="000B3129" w:rsidP="008C1506">
      <w:pPr>
        <w:spacing w:line="480" w:lineRule="auto"/>
        <w:jc w:val="both"/>
      </w:pPr>
    </w:p>
    <w:p w14:paraId="1B8FBDD4" w14:textId="63EEEC29" w:rsidR="00D41096" w:rsidRPr="00BD2C65" w:rsidRDefault="004D46E4" w:rsidP="008C1506">
      <w:pPr>
        <w:spacing w:line="480" w:lineRule="auto"/>
        <w:jc w:val="both"/>
      </w:pPr>
      <w:r w:rsidRPr="00BD2C65">
        <w:rPr>
          <w:noProof/>
        </w:rPr>
        <w:lastRenderedPageBreak/>
        <mc:AlternateContent>
          <mc:Choice Requires="wps">
            <w:drawing>
              <wp:anchor distT="0" distB="0" distL="114300" distR="114300" simplePos="0" relativeHeight="251656704" behindDoc="0" locked="0" layoutInCell="1" allowOverlap="1" wp14:anchorId="676B9319" wp14:editId="00452472">
                <wp:simplePos x="0" y="0"/>
                <wp:positionH relativeFrom="column">
                  <wp:posOffset>1809750</wp:posOffset>
                </wp:positionH>
                <wp:positionV relativeFrom="paragraph">
                  <wp:posOffset>1392555</wp:posOffset>
                </wp:positionV>
                <wp:extent cx="882650" cy="882650"/>
                <wp:effectExtent l="0" t="0" r="12700" b="12700"/>
                <wp:wrapNone/>
                <wp:docPr id="116172996" name="Oval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882650" cy="882650"/>
                        </a:xfrm>
                        <a:prstGeom prst="ellipse">
                          <a:avLst/>
                        </a:prstGeom>
                        <a:noFill/>
                        <a:ln/>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oval w14:anchorId="22CF460C" id="Oval 1" o:spid="_x0000_s1026" style="position:absolute;margin-left:142.5pt;margin-top:109.65pt;width:69.5pt;height:69.5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" filled="f" strokecolor="black [3200]" strokeweight="1pt">
                <v:stroke joinstyle="miter"/>
                <v:path arrowok="t"/>
              </v:oval>
            </w:pict>
          </mc:Fallback>
        </mc:AlternateContent>
      </w:r>
      <w:r w:rsidR="00D41096" w:rsidRPr="00BD2C65">
        <w:t xml:space="preserve">The author </w:t>
      </w:r>
      <w:r w:rsidR="000857C3" w:rsidRPr="00BD2C65">
        <w:t>seeks to delve deeper into exploring</w:t>
      </w:r>
      <w:r w:rsidR="00B50E13" w:rsidRPr="00BD2C65">
        <w:t xml:space="preserve"> </w:t>
      </w:r>
      <w:r w:rsidR="00BD3430" w:rsidRPr="00BD2C65">
        <w:t>Othering</w:t>
      </w:r>
      <w:r w:rsidR="000857C3" w:rsidRPr="00BD2C65">
        <w:t>,</w:t>
      </w:r>
      <w:r w:rsidR="00AD3719" w:rsidRPr="00BD2C65">
        <w:t xml:space="preserve"> </w:t>
      </w:r>
      <w:r w:rsidR="000857C3" w:rsidRPr="00BD2C65">
        <w:t xml:space="preserve">drawing from </w:t>
      </w:r>
      <w:r w:rsidR="00D41096" w:rsidRPr="00BD2C65">
        <w:t>the proposal highlighted by Brons (2015)</w:t>
      </w:r>
      <w:r w:rsidR="000857C3" w:rsidRPr="00BD2C65">
        <w:t>,</w:t>
      </w:r>
      <w:r w:rsidR="00D41096" w:rsidRPr="00BD2C65">
        <w:t xml:space="preserve"> who synthesised Hegelian ideas of the Master/Dialectic with the process of </w:t>
      </w:r>
      <w:r w:rsidR="00BD3430" w:rsidRPr="00BD2C65">
        <w:t>Othering</w:t>
      </w:r>
      <w:r w:rsidR="00C52FE5" w:rsidRPr="00BD2C65">
        <w:t>, as well as deconstruct</w:t>
      </w:r>
      <w:r w:rsidR="000E49E9" w:rsidRPr="00BD2C65">
        <w:t>ing</w:t>
      </w:r>
      <w:r w:rsidR="00C52FE5" w:rsidRPr="00BD2C65">
        <w:t xml:space="preserve"> them both</w:t>
      </w:r>
      <w:r w:rsidR="000857C3" w:rsidRPr="00BD2C65">
        <w:t>. Brons (2015)</w:t>
      </w:r>
      <w:r w:rsidR="00D41096" w:rsidRPr="00BD2C65">
        <w:t xml:space="preserve"> illustrated this as a Ven diagram to explain their thoughts:</w:t>
      </w:r>
    </w:p>
    <w:p w14:paraId="7472338C" w14:textId="50A9461C" w:rsidR="00D41096" w:rsidRPr="00BD2C65" w:rsidRDefault="004D46E4" w:rsidP="008C1506">
      <w:pPr>
        <w:spacing w:line="480" w:lineRule="auto"/>
        <w:jc w:val="both"/>
      </w:pPr>
      <w:r w:rsidRPr="00BD2C65">
        <w:rPr>
          <w:noProof/>
        </w:rPr>
        <mc:AlternateContent>
          <mc:Choice Requires="wps">
            <w:drawing>
              <wp:anchor distT="0" distB="0" distL="114300" distR="114300" simplePos="0" relativeHeight="251661824" behindDoc="0" locked="0" layoutInCell="1" allowOverlap="1" wp14:anchorId="7C01AD8A" wp14:editId="07BF7A64">
                <wp:simplePos x="0" y="0"/>
                <wp:positionH relativeFrom="margin">
                  <wp:posOffset>2493010</wp:posOffset>
                </wp:positionH>
                <wp:positionV relativeFrom="paragraph">
                  <wp:posOffset>8255</wp:posOffset>
                </wp:positionV>
                <wp:extent cx="882650" cy="882650"/>
                <wp:effectExtent l="0" t="0" r="12700" b="12700"/>
                <wp:wrapNone/>
                <wp:docPr id="994017673" name="Oval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882650" cy="882650"/>
                        </a:xfrm>
                        <a:prstGeom prst="ellipse">
                          <a:avLst/>
                        </a:prstGeom>
                        <a:noFill/>
                        <a:ln/>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oval w14:anchorId="67C8FD86" id="Oval 2" o:spid="_x0000_s1026" style="position:absolute;margin-left:196.3pt;margin-top:.65pt;width:69.5pt;height:69.5pt;z-index:25166182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" filled="f" strokecolor="black [3200]" strokeweight="1pt">
                <v:stroke joinstyle="miter"/>
                <v:path arrowok="t"/>
                <w10:wrap anchorx="margin"/>
              </v:oval>
            </w:pict>
          </mc:Fallback>
        </mc:AlternateContent>
      </w:r>
    </w:p>
    <w:p w14:paraId="5C307147" w14:textId="653C2D78" w:rsidR="00D41096" w:rsidRPr="00BD2C65" w:rsidRDefault="00D41096" w:rsidP="008C1506">
      <w:pPr>
        <w:tabs>
          <w:tab w:val="left" w:pos="3370"/>
          <w:tab w:val="center" w:pos="4513"/>
        </w:tabs>
        <w:spacing w:line="480" w:lineRule="auto"/>
        <w:ind w:firstLine="3370"/>
        <w:jc w:val="both"/>
      </w:pPr>
      <w:r w:rsidRPr="00BD2C65">
        <w:t>H</w:t>
      </w:r>
      <w:r w:rsidRPr="00BD2C65">
        <w:tab/>
      </w:r>
      <w:r w:rsidR="000857C3" w:rsidRPr="00BD2C65">
        <w:t xml:space="preserve">  </w:t>
      </w:r>
      <w:r w:rsidRPr="00BD2C65">
        <w:t>O</w:t>
      </w:r>
    </w:p>
    <w:p w14:paraId="49768E87" w14:textId="77777777" w:rsidR="00D41096" w:rsidRPr="00BD2C65" w:rsidRDefault="00D41096" w:rsidP="008C1506">
      <w:pPr>
        <w:spacing w:line="480" w:lineRule="auto"/>
        <w:jc w:val="both"/>
      </w:pPr>
    </w:p>
    <w:p w14:paraId="4852C9E0" w14:textId="426C86CC" w:rsidR="000857C3" w:rsidRPr="00BD2C65" w:rsidRDefault="00E85E9B" w:rsidP="000857C3">
      <w:pPr>
        <w:spacing w:line="480" w:lineRule="auto"/>
        <w:jc w:val="both"/>
        <w:rPr>
          <w:color w:val="000000"/>
        </w:rPr>
      </w:pPr>
      <w:r w:rsidRPr="00BD2C65">
        <w:rPr>
          <w:color w:val="000000"/>
        </w:rPr>
        <w:t>Figure</w:t>
      </w:r>
      <w:r w:rsidR="00264D1B" w:rsidRPr="00BD2C65">
        <w:rPr>
          <w:color w:val="000000"/>
        </w:rPr>
        <w:t xml:space="preserve"> </w:t>
      </w:r>
      <w:r w:rsidR="00693048" w:rsidRPr="00BD2C65">
        <w:rPr>
          <w:color w:val="000000"/>
        </w:rPr>
        <w:t>1:</w:t>
      </w:r>
      <w:r w:rsidR="002638EE" w:rsidRPr="00BD2C65">
        <w:rPr>
          <w:color w:val="000000"/>
        </w:rPr>
        <w:t xml:space="preserve"> </w:t>
      </w:r>
      <w:r w:rsidRPr="00BD2C65">
        <w:rPr>
          <w:color w:val="000000"/>
        </w:rPr>
        <w:t xml:space="preserve"> adapted </w:t>
      </w:r>
      <w:r w:rsidR="002638EE" w:rsidRPr="00BD2C65">
        <w:rPr>
          <w:color w:val="000000"/>
        </w:rPr>
        <w:t>from Brons (2015)</w:t>
      </w:r>
    </w:p>
    <w:p w14:paraId="076C8263" w14:textId="515FB07A" w:rsidR="00D41096" w:rsidRPr="00BD2C65" w:rsidRDefault="000857C3" w:rsidP="008C1506">
      <w:pPr>
        <w:spacing w:line="480" w:lineRule="auto"/>
        <w:jc w:val="both"/>
      </w:pPr>
      <w:r w:rsidRPr="00BD2C65">
        <w:rPr>
          <w:color w:val="000000"/>
        </w:rPr>
        <w:t xml:space="preserve">This </w:t>
      </w:r>
      <w:r w:rsidR="00AD3719" w:rsidRPr="00BD2C65">
        <w:rPr>
          <w:color w:val="000000"/>
        </w:rPr>
        <w:t>diagram</w:t>
      </w:r>
      <w:r w:rsidRPr="00BD2C65">
        <w:rPr>
          <w:color w:val="000000"/>
        </w:rPr>
        <w:t xml:space="preserve"> serves </w:t>
      </w:r>
      <w:r w:rsidR="000E49E9" w:rsidRPr="00BD2C65">
        <w:rPr>
          <w:color w:val="000000"/>
        </w:rPr>
        <w:t xml:space="preserve">a </w:t>
      </w:r>
      <w:r w:rsidRPr="00BD2C65">
        <w:rPr>
          <w:color w:val="000000"/>
        </w:rPr>
        <w:t xml:space="preserve">as useful tool for </w:t>
      </w:r>
      <w:r w:rsidR="00AD3719" w:rsidRPr="00BD2C65">
        <w:rPr>
          <w:color w:val="000000"/>
        </w:rPr>
        <w:t>understanding</w:t>
      </w:r>
      <w:r w:rsidRPr="00BD2C65">
        <w:rPr>
          <w:color w:val="000000"/>
        </w:rPr>
        <w:t xml:space="preserve"> the interplay between different types of </w:t>
      </w:r>
      <w:r w:rsidR="00BD3430" w:rsidRPr="00BD2C65">
        <w:rPr>
          <w:color w:val="000000"/>
        </w:rPr>
        <w:t>Othering</w:t>
      </w:r>
      <w:r w:rsidRPr="00BD2C65">
        <w:rPr>
          <w:color w:val="000000"/>
        </w:rPr>
        <w:t>.</w:t>
      </w:r>
      <w:r w:rsidR="00AD3719" w:rsidRPr="00BD2C65">
        <w:rPr>
          <w:color w:val="000000"/>
        </w:rPr>
        <w:t xml:space="preserve"> </w:t>
      </w:r>
      <w:r w:rsidR="00D41096" w:rsidRPr="00BD2C65">
        <w:t xml:space="preserve">The H represents Hegelian thought, and the O represents </w:t>
      </w:r>
      <w:r w:rsidR="00BD3430" w:rsidRPr="00BD2C65">
        <w:t>Othering</w:t>
      </w:r>
      <w:r w:rsidR="00D41096" w:rsidRPr="00BD2C65">
        <w:t xml:space="preserve">, in particular the notion of unequal opposition (ibid.). This synthesis helped deconstruct </w:t>
      </w:r>
      <w:r w:rsidR="00BD3430" w:rsidRPr="00BD2C65">
        <w:t>Othering</w:t>
      </w:r>
      <w:r w:rsidR="00D41096" w:rsidRPr="00BD2C65">
        <w:t xml:space="preserve"> from a monolithic idea to one which has many parts (ibid</w:t>
      </w:r>
      <w:r w:rsidR="00201F37" w:rsidRPr="00BD2C65">
        <w:t>.</w:t>
      </w:r>
      <w:r w:rsidR="00D41096" w:rsidRPr="00BD2C65">
        <w:t xml:space="preserve">).  This included crude and sophisticated </w:t>
      </w:r>
      <w:r w:rsidR="00BD3430" w:rsidRPr="00BD2C65">
        <w:t>Othering</w:t>
      </w:r>
      <w:r w:rsidR="00C92D27" w:rsidRPr="00BD2C65">
        <w:t xml:space="preserve"> </w:t>
      </w:r>
      <w:r w:rsidR="00D41096" w:rsidRPr="00BD2C65">
        <w:t xml:space="preserve">(ibid.). The main difference between the two is that crude </w:t>
      </w:r>
      <w:r w:rsidR="00BD3430" w:rsidRPr="00BD2C65">
        <w:t>Othering</w:t>
      </w:r>
      <w:r w:rsidR="00D41096" w:rsidRPr="00BD2C65">
        <w:t xml:space="preserve"> is singularly </w:t>
      </w:r>
      <w:r w:rsidR="00A07DE4" w:rsidRPr="00BD2C65">
        <w:t>‘</w:t>
      </w:r>
      <w:r w:rsidR="00D41096" w:rsidRPr="00BD2C65">
        <w:t>self-other</w:t>
      </w:r>
      <w:r w:rsidR="00A07DE4" w:rsidRPr="00BD2C65">
        <w:t>’</w:t>
      </w:r>
      <w:r w:rsidRPr="00BD2C65">
        <w:t xml:space="preserve"> (ibid., p.86)</w:t>
      </w:r>
      <w:r w:rsidR="00AA39BB" w:rsidRPr="00BD2C65">
        <w:t xml:space="preserve"> </w:t>
      </w:r>
      <w:r w:rsidR="00D41096" w:rsidRPr="00BD2C65">
        <w:t xml:space="preserve">whilst sophisticated </w:t>
      </w:r>
      <w:r w:rsidR="00BD3430" w:rsidRPr="00BD2C65">
        <w:t>Othering</w:t>
      </w:r>
      <w:r w:rsidR="00D41096" w:rsidRPr="00BD2C65">
        <w:t xml:space="preserve"> </w:t>
      </w:r>
      <w:r w:rsidR="00A07DE4" w:rsidRPr="00BD2C65">
        <w:t>‘</w:t>
      </w:r>
      <w:r w:rsidR="00D41096" w:rsidRPr="00BD2C65">
        <w:t>partially depends on self-other identification</w:t>
      </w:r>
      <w:r w:rsidR="00A07DE4" w:rsidRPr="00BD2C65">
        <w:t xml:space="preserve">’ </w:t>
      </w:r>
      <w:r w:rsidR="00AA39BB" w:rsidRPr="00BD2C65">
        <w:t>(ibid., p. 86)</w:t>
      </w:r>
      <w:r w:rsidR="00D41096" w:rsidRPr="00BD2C65">
        <w:t xml:space="preserve">. </w:t>
      </w:r>
      <w:r w:rsidR="00936103" w:rsidRPr="00BD2C65">
        <w:t xml:space="preserve"> Figure 1</w:t>
      </w:r>
      <w:r w:rsidRPr="00BD2C65">
        <w:t>, above</w:t>
      </w:r>
      <w:r w:rsidR="00936103" w:rsidRPr="00BD2C65">
        <w:t xml:space="preserve"> </w:t>
      </w:r>
      <w:r w:rsidR="00D41096" w:rsidRPr="00BD2C65">
        <w:t>illustrates how these two theories interconnect</w:t>
      </w:r>
      <w:r w:rsidR="007B7E50" w:rsidRPr="00BD2C65">
        <w:t>:</w:t>
      </w:r>
      <w:r w:rsidR="00D41096" w:rsidRPr="00BD2C65">
        <w:t xml:space="preserve"> </w:t>
      </w:r>
    </w:p>
    <w:p w14:paraId="71409D48" w14:textId="77777777" w:rsidR="002638EE" w:rsidRPr="00BD2C65" w:rsidRDefault="002638EE" w:rsidP="00AD3719">
      <w:pPr>
        <w:ind w:left="397" w:right="397"/>
        <w:jc w:val="both"/>
      </w:pPr>
    </w:p>
    <w:p w14:paraId="68D2CB4E" w14:textId="26E45B2F" w:rsidR="00D41096" w:rsidRPr="00BD2C65" w:rsidRDefault="00A07DE4" w:rsidP="00AD3719">
      <w:pPr>
        <w:ind w:left="397" w:right="397"/>
        <w:jc w:val="both"/>
      </w:pPr>
      <w:r w:rsidRPr="00BD2C65">
        <w:rPr>
          <w:i/>
          <w:iCs/>
        </w:rPr>
        <w:t>‘</w:t>
      </w:r>
      <w:r w:rsidR="00D41096" w:rsidRPr="00BD2C65">
        <w:rPr>
          <w:i/>
          <w:iCs/>
        </w:rPr>
        <w:t xml:space="preserve">The overlap between H and O is sophisticated </w:t>
      </w:r>
      <w:r w:rsidR="00BD3430" w:rsidRPr="00BD2C65">
        <w:rPr>
          <w:i/>
          <w:iCs/>
        </w:rPr>
        <w:t>Othering</w:t>
      </w:r>
      <w:r w:rsidR="00D41096" w:rsidRPr="00BD2C65">
        <w:rPr>
          <w:i/>
          <w:iCs/>
        </w:rPr>
        <w:t xml:space="preserve">; crude </w:t>
      </w:r>
      <w:r w:rsidR="00BD3430" w:rsidRPr="00BD2C65">
        <w:rPr>
          <w:i/>
          <w:iCs/>
        </w:rPr>
        <w:t>Othering</w:t>
      </w:r>
      <w:r w:rsidR="00D41096" w:rsidRPr="00BD2C65">
        <w:rPr>
          <w:i/>
          <w:iCs/>
        </w:rPr>
        <w:t xml:space="preserve"> is in O, but not in H; quasi-</w:t>
      </w:r>
      <w:r w:rsidR="00BD3430" w:rsidRPr="00BD2C65">
        <w:rPr>
          <w:i/>
          <w:iCs/>
        </w:rPr>
        <w:t>Othering</w:t>
      </w:r>
      <w:r w:rsidR="00D41096" w:rsidRPr="00BD2C65">
        <w:rPr>
          <w:i/>
          <w:iCs/>
        </w:rPr>
        <w:t xml:space="preserve"> is in H, but not O. </w:t>
      </w:r>
      <w:r w:rsidR="00693048" w:rsidRPr="00BD2C65">
        <w:rPr>
          <w:i/>
          <w:iCs/>
        </w:rPr>
        <w:t>Hence,</w:t>
      </w:r>
      <w:r w:rsidR="00D41096" w:rsidRPr="00BD2C65">
        <w:rPr>
          <w:i/>
          <w:iCs/>
        </w:rPr>
        <w:t xml:space="preserve"> crude </w:t>
      </w:r>
      <w:r w:rsidR="00BD3430" w:rsidRPr="00BD2C65">
        <w:rPr>
          <w:i/>
          <w:iCs/>
        </w:rPr>
        <w:t>Othering</w:t>
      </w:r>
      <w:r w:rsidR="00D41096" w:rsidRPr="00BD2C65">
        <w:rPr>
          <w:i/>
          <w:iCs/>
        </w:rPr>
        <w:t xml:space="preserve">, which seems to be the paradigmatic form of </w:t>
      </w:r>
      <w:r w:rsidR="00BD3430" w:rsidRPr="00BD2C65">
        <w:rPr>
          <w:i/>
          <w:iCs/>
        </w:rPr>
        <w:t>Othering</w:t>
      </w:r>
      <w:r w:rsidR="00D41096" w:rsidRPr="00BD2C65">
        <w:rPr>
          <w:i/>
          <w:iCs/>
        </w:rPr>
        <w:t>, is not Hegelian, and conversely, quasi-</w:t>
      </w:r>
      <w:r w:rsidR="00BD3430" w:rsidRPr="00BD2C65">
        <w:rPr>
          <w:i/>
          <w:iCs/>
        </w:rPr>
        <w:t>Othering</w:t>
      </w:r>
      <w:r w:rsidR="00D41096" w:rsidRPr="00BD2C65">
        <w:rPr>
          <w:i/>
          <w:iCs/>
        </w:rPr>
        <w:t xml:space="preserve"> which seems to be the closet to what Hegel had in mind, is not </w:t>
      </w:r>
      <w:r w:rsidR="00BD3430" w:rsidRPr="00BD2C65">
        <w:rPr>
          <w:i/>
          <w:iCs/>
        </w:rPr>
        <w:t>Othering</w:t>
      </w:r>
      <w:r w:rsidRPr="00BD2C65">
        <w:t>’</w:t>
      </w:r>
      <w:r w:rsidR="00D41096" w:rsidRPr="00BD2C65">
        <w:t xml:space="preserve"> (ibid., p.86).</w:t>
      </w:r>
    </w:p>
    <w:p w14:paraId="79CE6A24" w14:textId="77777777" w:rsidR="00D41096" w:rsidRPr="00BD2C65" w:rsidRDefault="00D41096" w:rsidP="008C1506">
      <w:pPr>
        <w:spacing w:line="480" w:lineRule="auto"/>
        <w:jc w:val="both"/>
      </w:pPr>
    </w:p>
    <w:p w14:paraId="3A62ED19" w14:textId="7BDED65A" w:rsidR="008F1275" w:rsidRPr="00BD2C65" w:rsidRDefault="00D41096" w:rsidP="008C1506">
      <w:pPr>
        <w:spacing w:line="480" w:lineRule="auto"/>
        <w:jc w:val="both"/>
      </w:pPr>
      <w:r w:rsidRPr="00BD2C65">
        <w:t xml:space="preserve">If Hegel is correct in the assumption that to understand the </w:t>
      </w:r>
      <w:r w:rsidR="000857C3" w:rsidRPr="00BD2C65">
        <w:t>O</w:t>
      </w:r>
      <w:r w:rsidR="008F7068" w:rsidRPr="00BD2C65">
        <w:t>ther,</w:t>
      </w:r>
      <w:r w:rsidR="00936103" w:rsidRPr="00BD2C65">
        <w:t xml:space="preserve"> </w:t>
      </w:r>
      <w:r w:rsidRPr="00BD2C65">
        <w:t xml:space="preserve">we need to be able to recognise </w:t>
      </w:r>
      <w:r w:rsidR="008F7068" w:rsidRPr="00BD2C65">
        <w:t>ourselves</w:t>
      </w:r>
      <w:r w:rsidRPr="00BD2C65">
        <w:t xml:space="preserve"> and acknowledge the other at the same time, then Hegel’s proposed theory is an essential attribute of being human (ibid.). </w:t>
      </w:r>
      <w:r w:rsidR="00C52FE5" w:rsidRPr="00BD2C65">
        <w:t>The author</w:t>
      </w:r>
      <w:r w:rsidR="000E49E9" w:rsidRPr="00BD2C65">
        <w:t>,</w:t>
      </w:r>
      <w:r w:rsidR="00C52FE5" w:rsidRPr="00BD2C65">
        <w:t xml:space="preserve"> reflecting on this</w:t>
      </w:r>
      <w:r w:rsidR="00A47367" w:rsidRPr="00BD2C65">
        <w:t xml:space="preserve"> concept</w:t>
      </w:r>
      <w:r w:rsidR="000E49E9" w:rsidRPr="00BD2C65">
        <w:t>,</w:t>
      </w:r>
      <w:r w:rsidR="00C52FE5" w:rsidRPr="00BD2C65">
        <w:t xml:space="preserve"> feels that this is a potential way to understand one and another better but there are barriers and structures which prevent this from happening. </w:t>
      </w:r>
    </w:p>
    <w:p w14:paraId="1A443E38" w14:textId="77777777" w:rsidR="008F1275" w:rsidRPr="00BD2C65" w:rsidRDefault="008F1275" w:rsidP="008C1506">
      <w:pPr>
        <w:spacing w:line="480" w:lineRule="auto"/>
        <w:jc w:val="both"/>
      </w:pPr>
    </w:p>
    <w:p w14:paraId="296759F7" w14:textId="159C1916" w:rsidR="004937AA" w:rsidRPr="00BD2C65" w:rsidRDefault="000857C3" w:rsidP="008C1506">
      <w:pPr>
        <w:spacing w:line="480" w:lineRule="auto"/>
        <w:jc w:val="both"/>
        <w:rPr>
          <w:color w:val="202122"/>
          <w:shd w:val="clear" w:color="auto" w:fill="FFFFFF"/>
        </w:rPr>
      </w:pPr>
      <w:r w:rsidRPr="00BD2C65">
        <w:t>Therefore,</w:t>
      </w:r>
      <w:r w:rsidR="00A47367" w:rsidRPr="00BD2C65">
        <w:t xml:space="preserve"> the</w:t>
      </w:r>
      <w:r w:rsidR="007E316F" w:rsidRPr="00BD2C65">
        <w:t xml:space="preserve"> </w:t>
      </w:r>
      <w:r w:rsidR="00C52FE5" w:rsidRPr="00BD2C65">
        <w:t>author is also interested in the work of</w:t>
      </w:r>
      <w:r w:rsidR="007E316F" w:rsidRPr="00BD2C65">
        <w:t xml:space="preserve"> Simone </w:t>
      </w:r>
      <w:r w:rsidR="00F7258F" w:rsidRPr="00BD2C65">
        <w:t>de Beauvoir</w:t>
      </w:r>
      <w:r w:rsidR="007E316F" w:rsidRPr="00BD2C65">
        <w:t xml:space="preserve"> (</w:t>
      </w:r>
      <w:r w:rsidR="00EB56E6" w:rsidRPr="00BD2C65">
        <w:t>2011</w:t>
      </w:r>
      <w:r w:rsidR="007E316F" w:rsidRPr="00BD2C65">
        <w:t xml:space="preserve">), seminal work, the </w:t>
      </w:r>
      <w:r w:rsidR="0096088C" w:rsidRPr="00BD2C65">
        <w:t>S</w:t>
      </w:r>
      <w:r w:rsidR="007E316F" w:rsidRPr="00BD2C65">
        <w:t xml:space="preserve">econd </w:t>
      </w:r>
      <w:r w:rsidR="0096088C" w:rsidRPr="00BD2C65">
        <w:t>S</w:t>
      </w:r>
      <w:r w:rsidR="007E316F" w:rsidRPr="00BD2C65">
        <w:t>ex</w:t>
      </w:r>
      <w:r w:rsidR="00F7258F" w:rsidRPr="00BD2C65">
        <w:t>. It</w:t>
      </w:r>
      <w:r w:rsidR="00C52FE5" w:rsidRPr="00BD2C65">
        <w:t xml:space="preserve"> explores the </w:t>
      </w:r>
      <w:r w:rsidR="00A07DE4" w:rsidRPr="00BD2C65">
        <w:t>W</w:t>
      </w:r>
      <w:r w:rsidR="00C52FE5" w:rsidRPr="00BD2C65">
        <w:t>oma</w:t>
      </w:r>
      <w:r w:rsidR="005238CA">
        <w:t>n</w:t>
      </w:r>
      <w:r w:rsidR="00C52FE5" w:rsidRPr="00BD2C65">
        <w:t xml:space="preserve"> as the </w:t>
      </w:r>
      <w:r w:rsidR="00F7258F" w:rsidRPr="00BD2C65">
        <w:t>Other</w:t>
      </w:r>
      <w:r w:rsidR="00C52FE5" w:rsidRPr="00BD2C65">
        <w:t xml:space="preserve"> and gives a fascinating insight into the challenges of overcoming </w:t>
      </w:r>
      <w:r w:rsidR="00BD3430" w:rsidRPr="00BD2C65">
        <w:t>Othering</w:t>
      </w:r>
      <w:r w:rsidR="00A47367" w:rsidRPr="00BD2C65">
        <w:t xml:space="preserve"> and is heavily </w:t>
      </w:r>
      <w:r w:rsidR="004937AA" w:rsidRPr="00BD2C65">
        <w:t>grounded in</w:t>
      </w:r>
      <w:r w:rsidR="00A47367" w:rsidRPr="00BD2C65">
        <w:t xml:space="preserve"> Hegel’s theories of the </w:t>
      </w:r>
      <w:r w:rsidR="00F7258F" w:rsidRPr="00BD2C65">
        <w:t>M</w:t>
      </w:r>
      <w:r w:rsidR="00A47367" w:rsidRPr="00BD2C65">
        <w:t xml:space="preserve">aster and </w:t>
      </w:r>
      <w:r w:rsidR="00F7258F" w:rsidRPr="00BD2C65">
        <w:t>S</w:t>
      </w:r>
      <w:r w:rsidR="00A47367" w:rsidRPr="00BD2C65">
        <w:t>lave dialectic (ibid.)</w:t>
      </w:r>
      <w:r w:rsidR="00C52FE5" w:rsidRPr="00BD2C65">
        <w:t xml:space="preserve">. </w:t>
      </w:r>
      <w:r w:rsidR="007E316F" w:rsidRPr="00BD2C65">
        <w:t xml:space="preserve"> </w:t>
      </w:r>
      <w:r w:rsidR="00F7258F" w:rsidRPr="00BD2C65">
        <w:t xml:space="preserve">Beauvoir </w:t>
      </w:r>
      <w:r w:rsidR="004937AA" w:rsidRPr="00BD2C65">
        <w:t>(2011)</w:t>
      </w:r>
      <w:r w:rsidR="004B3511" w:rsidRPr="00BD2C65">
        <w:t xml:space="preserve"> declares that </w:t>
      </w:r>
      <w:r w:rsidR="00BD2C65" w:rsidRPr="00BD2C65">
        <w:t>‘o</w:t>
      </w:r>
      <w:r w:rsidR="004B3511" w:rsidRPr="00BD2C65">
        <w:t>ne is no</w:t>
      </w:r>
      <w:r w:rsidR="007711F7" w:rsidRPr="00BD2C65">
        <w:t>t born, but rather becomes, a woman</w:t>
      </w:r>
      <w:r w:rsidR="00BD2C65" w:rsidRPr="00BD2C65">
        <w:t>’</w:t>
      </w:r>
      <w:r w:rsidR="007711F7" w:rsidRPr="00BD2C65">
        <w:t xml:space="preserve"> (</w:t>
      </w:r>
      <w:r w:rsidR="00EB56E6" w:rsidRPr="00BD2C65">
        <w:t>Beauvoir, 2011, p.</w:t>
      </w:r>
      <w:r w:rsidR="00A225BB" w:rsidRPr="00BD2C65">
        <w:t>283</w:t>
      </w:r>
      <w:r w:rsidR="007711F7" w:rsidRPr="00BD2C65">
        <w:t xml:space="preserve">). </w:t>
      </w:r>
      <w:r w:rsidR="00F7258F" w:rsidRPr="00BD2C65">
        <w:t xml:space="preserve">Beauvoir </w:t>
      </w:r>
      <w:r w:rsidR="00693048" w:rsidRPr="00BD2C65">
        <w:t>(</w:t>
      </w:r>
      <w:r w:rsidR="004937AA" w:rsidRPr="00BD2C65">
        <w:t xml:space="preserve">2011) </w:t>
      </w:r>
      <w:r w:rsidR="00B97235" w:rsidRPr="00BD2C65">
        <w:t xml:space="preserve">argues that women are the </w:t>
      </w:r>
      <w:r w:rsidR="00F7258F" w:rsidRPr="00BD2C65">
        <w:t>O</w:t>
      </w:r>
      <w:r w:rsidR="00B97235" w:rsidRPr="00BD2C65">
        <w:t xml:space="preserve">ther in society and are oppressed by men </w:t>
      </w:r>
      <w:r w:rsidR="00693048" w:rsidRPr="00BD2C65">
        <w:t>to</w:t>
      </w:r>
      <w:r w:rsidR="00B97235" w:rsidRPr="00BD2C65">
        <w:t xml:space="preserve"> maintain heteropatriarchal structures</w:t>
      </w:r>
      <w:r w:rsidR="00F7258F" w:rsidRPr="00BD2C65">
        <w:t>. F</w:t>
      </w:r>
      <w:r w:rsidR="00271B8A" w:rsidRPr="00BD2C65">
        <w:t xml:space="preserve">urthermore, </w:t>
      </w:r>
      <w:r w:rsidR="00F7258F" w:rsidRPr="00BD2C65">
        <w:t xml:space="preserve">Beauvoir (2011) </w:t>
      </w:r>
      <w:r w:rsidR="00271B8A" w:rsidRPr="00BD2C65">
        <w:t xml:space="preserve">suggests that this </w:t>
      </w:r>
      <w:r w:rsidR="00F7258F" w:rsidRPr="00BD2C65">
        <w:t>being a woman is a</w:t>
      </w:r>
      <w:r w:rsidR="00271B8A" w:rsidRPr="00BD2C65">
        <w:t xml:space="preserve"> social construct </w:t>
      </w:r>
      <w:r w:rsidR="009C5A16" w:rsidRPr="00BD2C65">
        <w:rPr>
          <w:color w:val="202122"/>
          <w:shd w:val="clear" w:color="auto" w:fill="FFFFFF"/>
        </w:rPr>
        <w:t>(</w:t>
      </w:r>
      <w:r w:rsidR="00EB56E6" w:rsidRPr="00BD2C65">
        <w:rPr>
          <w:color w:val="202122"/>
          <w:shd w:val="clear" w:color="auto" w:fill="FFFFFF"/>
        </w:rPr>
        <w:t>ibid.</w:t>
      </w:r>
      <w:r w:rsidR="009C5A16" w:rsidRPr="00BD2C65">
        <w:rPr>
          <w:color w:val="202122"/>
          <w:shd w:val="clear" w:color="auto" w:fill="FFFFFF"/>
        </w:rPr>
        <w:t>).</w:t>
      </w:r>
      <w:r w:rsidR="009C5A16" w:rsidRPr="00BD2C65">
        <w:rPr>
          <w:rFonts w:ascii="Arial" w:hAnsi="Arial" w:cs="Arial"/>
          <w:color w:val="202122"/>
          <w:shd w:val="clear" w:color="auto" w:fill="FFFFFF"/>
        </w:rPr>
        <w:t xml:space="preserve"> </w:t>
      </w:r>
      <w:r w:rsidR="009C5A16" w:rsidRPr="00BD2C65">
        <w:rPr>
          <w:color w:val="202122"/>
          <w:shd w:val="clear" w:color="auto" w:fill="FFFFFF"/>
        </w:rPr>
        <w:t xml:space="preserve">This </w:t>
      </w:r>
      <w:r w:rsidR="00396896" w:rsidRPr="00BD2C65">
        <w:rPr>
          <w:color w:val="202122"/>
          <w:shd w:val="clear" w:color="auto" w:fill="FFFFFF"/>
        </w:rPr>
        <w:t xml:space="preserve">interpretation of the master/slave dialectic is different from Hegel’s in that </w:t>
      </w:r>
      <w:r w:rsidR="00F7258F" w:rsidRPr="00BD2C65">
        <w:rPr>
          <w:color w:val="202122"/>
          <w:shd w:val="clear" w:color="auto" w:fill="FFFFFF"/>
        </w:rPr>
        <w:t>Beauvoir</w:t>
      </w:r>
      <w:r w:rsidR="00527B22" w:rsidRPr="00BD2C65">
        <w:rPr>
          <w:color w:val="202122"/>
          <w:shd w:val="clear" w:color="auto" w:fill="FFFFFF"/>
        </w:rPr>
        <w:t xml:space="preserve"> argues that </w:t>
      </w:r>
      <w:r w:rsidR="00BD3430" w:rsidRPr="00BD2C65">
        <w:rPr>
          <w:color w:val="202122"/>
          <w:shd w:val="clear" w:color="auto" w:fill="FFFFFF"/>
        </w:rPr>
        <w:t>Othering</w:t>
      </w:r>
      <w:r w:rsidR="00527B22" w:rsidRPr="00BD2C65">
        <w:rPr>
          <w:color w:val="202122"/>
          <w:shd w:val="clear" w:color="auto" w:fill="FFFFFF"/>
        </w:rPr>
        <w:t xml:space="preserve"> is not </w:t>
      </w:r>
      <w:r w:rsidR="006E2D1D" w:rsidRPr="00BD2C65">
        <w:rPr>
          <w:color w:val="202122"/>
          <w:shd w:val="clear" w:color="auto" w:fill="FFFFFF"/>
        </w:rPr>
        <w:t>a</w:t>
      </w:r>
      <w:r w:rsidR="00527B22" w:rsidRPr="00BD2C65">
        <w:rPr>
          <w:color w:val="202122"/>
          <w:shd w:val="clear" w:color="auto" w:fill="FFFFFF"/>
        </w:rPr>
        <w:t xml:space="preserve"> universal concept</w:t>
      </w:r>
      <w:r w:rsidR="00D15328" w:rsidRPr="00BD2C65">
        <w:rPr>
          <w:color w:val="202122"/>
          <w:shd w:val="clear" w:color="auto" w:fill="FFFFFF"/>
        </w:rPr>
        <w:t>, rather women have been subjected to specific and historical oppression.</w:t>
      </w:r>
      <w:r w:rsidR="00C7782F" w:rsidRPr="00BD2C65">
        <w:rPr>
          <w:color w:val="202122"/>
          <w:shd w:val="clear" w:color="auto" w:fill="FFFFFF"/>
        </w:rPr>
        <w:t xml:space="preserve"> </w:t>
      </w:r>
    </w:p>
    <w:p w14:paraId="13308365" w14:textId="77777777" w:rsidR="004937AA" w:rsidRPr="00BD2C65" w:rsidRDefault="004937AA" w:rsidP="008C1506">
      <w:pPr>
        <w:spacing w:line="480" w:lineRule="auto"/>
        <w:jc w:val="both"/>
        <w:rPr>
          <w:color w:val="202122"/>
          <w:shd w:val="clear" w:color="auto" w:fill="FFFFFF"/>
        </w:rPr>
      </w:pPr>
    </w:p>
    <w:p w14:paraId="2C518267" w14:textId="2B7A63A8" w:rsidR="00FA2477" w:rsidRPr="00BD2C65" w:rsidRDefault="004937AA" w:rsidP="008C1506">
      <w:pPr>
        <w:spacing w:line="480" w:lineRule="auto"/>
        <w:jc w:val="both"/>
      </w:pPr>
      <w:r w:rsidRPr="00BD2C65">
        <w:rPr>
          <w:color w:val="202122"/>
          <w:shd w:val="clear" w:color="auto" w:fill="FFFFFF"/>
        </w:rPr>
        <w:t>Moreover</w:t>
      </w:r>
      <w:r w:rsidR="006D25A3" w:rsidRPr="00BD2C65">
        <w:rPr>
          <w:color w:val="202122"/>
          <w:shd w:val="clear" w:color="auto" w:fill="FFFFFF"/>
        </w:rPr>
        <w:t xml:space="preserve">, for </w:t>
      </w:r>
      <w:r w:rsidR="00F7258F" w:rsidRPr="00BD2C65">
        <w:rPr>
          <w:color w:val="202122"/>
          <w:shd w:val="clear" w:color="auto" w:fill="FFFFFF"/>
        </w:rPr>
        <w:t>Beauvoir</w:t>
      </w:r>
      <w:r w:rsidR="006D25A3" w:rsidRPr="00BD2C65">
        <w:rPr>
          <w:color w:val="202122"/>
          <w:shd w:val="clear" w:color="auto" w:fill="FFFFFF"/>
        </w:rPr>
        <w:t xml:space="preserve"> (2011), </w:t>
      </w:r>
      <w:r w:rsidR="00BE51D0" w:rsidRPr="00BD2C65">
        <w:rPr>
          <w:color w:val="202122"/>
          <w:shd w:val="clear" w:color="auto" w:fill="FFFFFF"/>
        </w:rPr>
        <w:t>instead of humans meeting at a subject</w:t>
      </w:r>
      <w:r w:rsidR="0045569D" w:rsidRPr="00BD2C65">
        <w:rPr>
          <w:color w:val="202122"/>
          <w:shd w:val="clear" w:color="auto" w:fill="FFFFFF"/>
        </w:rPr>
        <w:t>-</w:t>
      </w:r>
      <w:r w:rsidR="00BE51D0" w:rsidRPr="00BD2C65">
        <w:rPr>
          <w:color w:val="202122"/>
          <w:shd w:val="clear" w:color="auto" w:fill="FFFFFF"/>
        </w:rPr>
        <w:t>to</w:t>
      </w:r>
      <w:r w:rsidR="0045569D" w:rsidRPr="00BD2C65">
        <w:rPr>
          <w:color w:val="202122"/>
          <w:shd w:val="clear" w:color="auto" w:fill="FFFFFF"/>
        </w:rPr>
        <w:t>-</w:t>
      </w:r>
      <w:r w:rsidR="00BE51D0" w:rsidRPr="00BD2C65">
        <w:rPr>
          <w:color w:val="202122"/>
          <w:shd w:val="clear" w:color="auto" w:fill="FFFFFF"/>
        </w:rPr>
        <w:t>subject level, men and women meet each</w:t>
      </w:r>
      <w:r w:rsidR="004942E0" w:rsidRPr="00BD2C65">
        <w:rPr>
          <w:color w:val="202122"/>
          <w:shd w:val="clear" w:color="auto" w:fill="FFFFFF"/>
        </w:rPr>
        <w:t xml:space="preserve"> </w:t>
      </w:r>
      <w:r w:rsidR="00BE51D0" w:rsidRPr="00BD2C65">
        <w:rPr>
          <w:color w:val="202122"/>
          <w:shd w:val="clear" w:color="auto" w:fill="FFFFFF"/>
        </w:rPr>
        <w:t>other as a subject to object</w:t>
      </w:r>
      <w:r w:rsidR="002D519A" w:rsidRPr="00BD2C65">
        <w:rPr>
          <w:color w:val="202122"/>
          <w:shd w:val="clear" w:color="auto" w:fill="FFFFFF"/>
        </w:rPr>
        <w:t xml:space="preserve"> (</w:t>
      </w:r>
      <w:r w:rsidR="00F7258F" w:rsidRPr="00BD2C65">
        <w:rPr>
          <w:color w:val="202122"/>
          <w:shd w:val="clear" w:color="auto" w:fill="FFFFFF"/>
        </w:rPr>
        <w:t>O</w:t>
      </w:r>
      <w:r w:rsidR="002D519A" w:rsidRPr="00BD2C65">
        <w:rPr>
          <w:color w:val="202122"/>
          <w:shd w:val="clear" w:color="auto" w:fill="FFFFFF"/>
        </w:rPr>
        <w:t>ther)</w:t>
      </w:r>
      <w:r w:rsidR="00BE51D0" w:rsidRPr="00BD2C65">
        <w:rPr>
          <w:color w:val="202122"/>
          <w:shd w:val="clear" w:color="auto" w:fill="FFFFFF"/>
        </w:rPr>
        <w:t xml:space="preserve"> relationship, where the </w:t>
      </w:r>
      <w:r w:rsidR="008F606D" w:rsidRPr="00BD2C65">
        <w:rPr>
          <w:color w:val="202122"/>
          <w:shd w:val="clear" w:color="auto" w:fill="FFFFFF"/>
        </w:rPr>
        <w:t>subject (the one with the power</w:t>
      </w:r>
      <w:r w:rsidR="00F7258F" w:rsidRPr="00BD2C65">
        <w:rPr>
          <w:color w:val="202122"/>
          <w:shd w:val="clear" w:color="auto" w:fill="FFFFFF"/>
        </w:rPr>
        <w:t>)</w:t>
      </w:r>
      <w:r w:rsidR="008F606D" w:rsidRPr="00BD2C65">
        <w:rPr>
          <w:color w:val="202122"/>
          <w:shd w:val="clear" w:color="auto" w:fill="FFFFFF"/>
        </w:rPr>
        <w:t xml:space="preserve"> is a man</w:t>
      </w:r>
      <w:r w:rsidR="00F7258F" w:rsidRPr="00BD2C65">
        <w:rPr>
          <w:color w:val="202122"/>
          <w:shd w:val="clear" w:color="auto" w:fill="FFFFFF"/>
        </w:rPr>
        <w:t xml:space="preserve"> </w:t>
      </w:r>
      <w:r w:rsidR="008F606D" w:rsidRPr="00BD2C65">
        <w:rPr>
          <w:color w:val="202122"/>
          <w:shd w:val="clear" w:color="auto" w:fill="FFFFFF"/>
        </w:rPr>
        <w:t xml:space="preserve">and the </w:t>
      </w:r>
      <w:r w:rsidR="00F7258F" w:rsidRPr="00BD2C65">
        <w:rPr>
          <w:color w:val="202122"/>
          <w:shd w:val="clear" w:color="auto" w:fill="FFFFFF"/>
        </w:rPr>
        <w:t>O</w:t>
      </w:r>
      <w:r w:rsidR="002D519A" w:rsidRPr="00BD2C65">
        <w:rPr>
          <w:color w:val="202122"/>
          <w:shd w:val="clear" w:color="auto" w:fill="FFFFFF"/>
        </w:rPr>
        <w:t xml:space="preserve">ther </w:t>
      </w:r>
      <w:r w:rsidR="00F7258F" w:rsidRPr="00BD2C65">
        <w:rPr>
          <w:color w:val="202122"/>
          <w:shd w:val="clear" w:color="auto" w:fill="FFFFFF"/>
        </w:rPr>
        <w:t>and i</w:t>
      </w:r>
      <w:r w:rsidR="008F606D" w:rsidRPr="00BD2C65">
        <w:rPr>
          <w:color w:val="202122"/>
          <w:shd w:val="clear" w:color="auto" w:fill="FFFFFF"/>
        </w:rPr>
        <w:t>s a woman</w:t>
      </w:r>
      <w:r w:rsidR="002D519A" w:rsidRPr="00BD2C65">
        <w:rPr>
          <w:color w:val="202122"/>
          <w:shd w:val="clear" w:color="auto" w:fill="FFFFFF"/>
        </w:rPr>
        <w:t xml:space="preserve"> without agency or control</w:t>
      </w:r>
      <w:r w:rsidR="00F7258F" w:rsidRPr="00BD2C65">
        <w:rPr>
          <w:color w:val="202122"/>
          <w:shd w:val="clear" w:color="auto" w:fill="FFFFFF"/>
        </w:rPr>
        <w:t>s</w:t>
      </w:r>
      <w:r w:rsidR="002D519A" w:rsidRPr="00BD2C65">
        <w:rPr>
          <w:color w:val="202122"/>
          <w:shd w:val="clear" w:color="auto" w:fill="FFFFFF"/>
        </w:rPr>
        <w:t>.</w:t>
      </w:r>
      <w:r w:rsidR="00C7782F" w:rsidRPr="00BD2C65">
        <w:rPr>
          <w:color w:val="202122"/>
          <w:shd w:val="clear" w:color="auto" w:fill="FFFFFF"/>
        </w:rPr>
        <w:t xml:space="preserve"> </w:t>
      </w:r>
      <w:r w:rsidR="00D15328" w:rsidRPr="00BD2C65">
        <w:rPr>
          <w:color w:val="202122"/>
          <w:shd w:val="clear" w:color="auto" w:fill="FFFFFF"/>
        </w:rPr>
        <w:t xml:space="preserve"> </w:t>
      </w:r>
      <w:r w:rsidR="00F7258F" w:rsidRPr="00BD2C65">
        <w:rPr>
          <w:color w:val="202122"/>
          <w:shd w:val="clear" w:color="auto" w:fill="FFFFFF"/>
        </w:rPr>
        <w:t>F</w:t>
      </w:r>
      <w:r w:rsidR="006E2D1D" w:rsidRPr="00BD2C65">
        <w:rPr>
          <w:color w:val="202122"/>
          <w:shd w:val="clear" w:color="auto" w:fill="FFFFFF"/>
        </w:rPr>
        <w:t xml:space="preserve">ocusing on </w:t>
      </w:r>
      <w:r w:rsidR="00F7258F" w:rsidRPr="00BD2C65">
        <w:t xml:space="preserve">Beauvoir’s </w:t>
      </w:r>
      <w:r w:rsidR="006E2D1D" w:rsidRPr="00BD2C65">
        <w:rPr>
          <w:color w:val="202122"/>
          <w:shd w:val="clear" w:color="auto" w:fill="FFFFFF"/>
        </w:rPr>
        <w:t>contribution</w:t>
      </w:r>
      <w:r w:rsidR="00F7258F" w:rsidRPr="00BD2C65">
        <w:rPr>
          <w:color w:val="202122"/>
          <w:shd w:val="clear" w:color="auto" w:fill="FFFFFF"/>
        </w:rPr>
        <w:t xml:space="preserve"> and</w:t>
      </w:r>
      <w:r w:rsidR="006E2D1D" w:rsidRPr="00BD2C65">
        <w:rPr>
          <w:color w:val="202122"/>
          <w:shd w:val="clear" w:color="auto" w:fill="FFFFFF"/>
        </w:rPr>
        <w:t xml:space="preserve"> understanding of </w:t>
      </w:r>
      <w:r w:rsidR="00BD3430" w:rsidRPr="00BD2C65">
        <w:rPr>
          <w:color w:val="202122"/>
          <w:shd w:val="clear" w:color="auto" w:fill="FFFFFF"/>
        </w:rPr>
        <w:t>Othering</w:t>
      </w:r>
      <w:r w:rsidR="006E2D1D" w:rsidRPr="00BD2C65">
        <w:rPr>
          <w:color w:val="202122"/>
          <w:shd w:val="clear" w:color="auto" w:fill="FFFFFF"/>
        </w:rPr>
        <w:t xml:space="preserve">, </w:t>
      </w:r>
      <w:r w:rsidR="00751AA9" w:rsidRPr="00BD2C65">
        <w:rPr>
          <w:color w:val="202122"/>
          <w:shd w:val="clear" w:color="auto" w:fill="FFFFFF"/>
        </w:rPr>
        <w:t>helps</w:t>
      </w:r>
      <w:r w:rsidR="009C5A16" w:rsidRPr="00BD2C65">
        <w:rPr>
          <w:color w:val="202122"/>
          <w:shd w:val="clear" w:color="auto" w:fill="FFFFFF"/>
        </w:rPr>
        <w:t xml:space="preserve"> </w:t>
      </w:r>
      <w:r w:rsidR="00C52FE5" w:rsidRPr="00BD2C65">
        <w:rPr>
          <w:color w:val="202122"/>
          <w:shd w:val="clear" w:color="auto" w:fill="FFFFFF"/>
        </w:rPr>
        <w:t xml:space="preserve">the author </w:t>
      </w:r>
      <w:r w:rsidR="009C5A16" w:rsidRPr="00BD2C65">
        <w:rPr>
          <w:color w:val="202122"/>
          <w:shd w:val="clear" w:color="auto" w:fill="FFFFFF"/>
        </w:rPr>
        <w:t xml:space="preserve">to understand the ingrained </w:t>
      </w:r>
      <w:r w:rsidR="00751AA9" w:rsidRPr="00BD2C65">
        <w:rPr>
          <w:color w:val="202122"/>
          <w:shd w:val="clear" w:color="auto" w:fill="FFFFFF"/>
        </w:rPr>
        <w:t xml:space="preserve">heteropatriarchal system </w:t>
      </w:r>
      <w:r w:rsidR="00DF0585" w:rsidRPr="00BD2C65">
        <w:rPr>
          <w:color w:val="202122"/>
          <w:shd w:val="clear" w:color="auto" w:fill="FFFFFF"/>
        </w:rPr>
        <w:t>and provide</w:t>
      </w:r>
      <w:r w:rsidR="00C52FE5" w:rsidRPr="00BD2C65">
        <w:rPr>
          <w:color w:val="202122"/>
          <w:shd w:val="clear" w:color="auto" w:fill="FFFFFF"/>
        </w:rPr>
        <w:t>s</w:t>
      </w:r>
      <w:r w:rsidR="00DF0585" w:rsidRPr="00BD2C65">
        <w:rPr>
          <w:color w:val="202122"/>
          <w:shd w:val="clear" w:color="auto" w:fill="FFFFFF"/>
        </w:rPr>
        <w:t xml:space="preserve"> a platform to challenge these notions</w:t>
      </w:r>
      <w:r w:rsidR="00751AA9" w:rsidRPr="00BD2C65">
        <w:rPr>
          <w:color w:val="202122"/>
          <w:shd w:val="clear" w:color="auto" w:fill="FFFFFF"/>
        </w:rPr>
        <w:t xml:space="preserve">. </w:t>
      </w:r>
      <w:r w:rsidR="00C52FE5" w:rsidRPr="00BD2C65">
        <w:rPr>
          <w:color w:val="202122"/>
          <w:shd w:val="clear" w:color="auto" w:fill="FFFFFF"/>
        </w:rPr>
        <w:t>This relates to how the</w:t>
      </w:r>
      <w:r w:rsidR="00F7258F" w:rsidRPr="00BD2C65">
        <w:rPr>
          <w:color w:val="202122"/>
          <w:shd w:val="clear" w:color="auto" w:fill="FFFFFF"/>
        </w:rPr>
        <w:t xml:space="preserve"> way in which the</w:t>
      </w:r>
      <w:r w:rsidR="00C52FE5" w:rsidRPr="00BD2C65">
        <w:rPr>
          <w:color w:val="202122"/>
          <w:shd w:val="clear" w:color="auto" w:fill="FFFFFF"/>
        </w:rPr>
        <w:t xml:space="preserve"> British Colonial system worke</w:t>
      </w:r>
      <w:r w:rsidR="00F7258F" w:rsidRPr="00BD2C65">
        <w:rPr>
          <w:color w:val="202122"/>
          <w:shd w:val="clear" w:color="auto" w:fill="FFFFFF"/>
        </w:rPr>
        <w:t>d</w:t>
      </w:r>
      <w:r w:rsidR="00C52FE5" w:rsidRPr="00BD2C65">
        <w:rPr>
          <w:color w:val="202122"/>
          <w:shd w:val="clear" w:color="auto" w:fill="FFFFFF"/>
        </w:rPr>
        <w:t xml:space="preserve"> as it introduced strict binary ideas of gender onto </w:t>
      </w:r>
      <w:r w:rsidR="00BB6E0B">
        <w:rPr>
          <w:color w:val="202122"/>
          <w:shd w:val="clear" w:color="auto" w:fill="FFFFFF"/>
        </w:rPr>
        <w:t>I</w:t>
      </w:r>
      <w:r w:rsidR="00BE4F57" w:rsidRPr="00BD2C65">
        <w:t xml:space="preserve">ndigenous </w:t>
      </w:r>
      <w:r w:rsidR="00BB6E0B">
        <w:t>P</w:t>
      </w:r>
      <w:r w:rsidR="00C52FE5" w:rsidRPr="00BD2C65">
        <w:rPr>
          <w:color w:val="202122"/>
          <w:shd w:val="clear" w:color="auto" w:fill="FFFFFF"/>
        </w:rPr>
        <w:t>opulations</w:t>
      </w:r>
      <w:r w:rsidR="00B45F89" w:rsidRPr="00BD2C65">
        <w:rPr>
          <w:color w:val="202122"/>
          <w:shd w:val="clear" w:color="auto" w:fill="FFFFFF"/>
        </w:rPr>
        <w:t xml:space="preserve"> as well as</w:t>
      </w:r>
      <w:r w:rsidR="00F7258F" w:rsidRPr="00BD2C65">
        <w:rPr>
          <w:color w:val="202122"/>
          <w:shd w:val="clear" w:color="auto" w:fill="FFFFFF"/>
        </w:rPr>
        <w:t xml:space="preserve"> a formal coded</w:t>
      </w:r>
      <w:r w:rsidR="00B45F89" w:rsidRPr="00BD2C65">
        <w:rPr>
          <w:color w:val="202122"/>
          <w:shd w:val="clear" w:color="auto" w:fill="FFFFFF"/>
        </w:rPr>
        <w:t xml:space="preserve"> </w:t>
      </w:r>
      <w:r w:rsidR="00075069" w:rsidRPr="00BD2C65">
        <w:rPr>
          <w:color w:val="202122"/>
          <w:shd w:val="clear" w:color="auto" w:fill="FFFFFF"/>
        </w:rPr>
        <w:t>patriarchy</w:t>
      </w:r>
      <w:r w:rsidR="00C52FE5" w:rsidRPr="00BD2C65">
        <w:rPr>
          <w:color w:val="202122"/>
          <w:shd w:val="clear" w:color="auto" w:fill="FFFFFF"/>
        </w:rPr>
        <w:t>.</w:t>
      </w:r>
    </w:p>
    <w:p w14:paraId="0A235B58" w14:textId="09740302" w:rsidR="002426EB" w:rsidRPr="00BD2C65" w:rsidRDefault="002426EB" w:rsidP="008C1506">
      <w:pPr>
        <w:spacing w:line="480" w:lineRule="auto"/>
        <w:jc w:val="both"/>
        <w:rPr>
          <w:color w:val="1A1A1A"/>
          <w:shd w:val="clear" w:color="auto" w:fill="FFFFFF"/>
        </w:rPr>
      </w:pPr>
    </w:p>
    <w:p w14:paraId="339503E3" w14:textId="0725E428" w:rsidR="00317BA0" w:rsidRDefault="00CD4B7A" w:rsidP="008C1506">
      <w:pPr>
        <w:spacing w:line="480" w:lineRule="auto"/>
        <w:jc w:val="both"/>
        <w:rPr>
          <w:shd w:val="clear" w:color="auto" w:fill="FFFFFF"/>
        </w:rPr>
      </w:pPr>
      <w:r w:rsidRPr="00BD2C65">
        <w:rPr>
          <w:color w:val="1A1A1A"/>
          <w:shd w:val="clear" w:color="auto" w:fill="FFFFFF"/>
        </w:rPr>
        <w:t>Furthermore,</w:t>
      </w:r>
      <w:r w:rsidR="00084109" w:rsidRPr="00BD2C65">
        <w:rPr>
          <w:color w:val="1A1A1A"/>
          <w:shd w:val="clear" w:color="auto" w:fill="FFFFFF"/>
        </w:rPr>
        <w:t xml:space="preserve"> in the context of Colonialism</w:t>
      </w:r>
      <w:r w:rsidR="004D36A1" w:rsidRPr="00BD2C65">
        <w:rPr>
          <w:color w:val="1A1A1A"/>
          <w:shd w:val="clear" w:color="auto" w:fill="FFFFFF"/>
        </w:rPr>
        <w:t>,</w:t>
      </w:r>
      <w:r w:rsidR="00C52FE5" w:rsidRPr="00BD2C65">
        <w:rPr>
          <w:color w:val="1A1A1A"/>
          <w:shd w:val="clear" w:color="auto" w:fill="FFFFFF"/>
        </w:rPr>
        <w:t xml:space="preserve"> </w:t>
      </w:r>
      <w:r w:rsidR="00B56EBA" w:rsidRPr="00BD2C65">
        <w:rPr>
          <w:color w:val="1A1A1A"/>
          <w:shd w:val="clear" w:color="auto" w:fill="FFFFFF"/>
        </w:rPr>
        <w:t xml:space="preserve">Fanon </w:t>
      </w:r>
      <w:r w:rsidR="00075069" w:rsidRPr="00BD2C65">
        <w:rPr>
          <w:color w:val="1A1A1A"/>
          <w:shd w:val="clear" w:color="auto" w:fill="FFFFFF"/>
        </w:rPr>
        <w:t>reinterpreted</w:t>
      </w:r>
      <w:r w:rsidR="00B56EBA" w:rsidRPr="00BD2C65">
        <w:rPr>
          <w:color w:val="1A1A1A"/>
          <w:shd w:val="clear" w:color="auto" w:fill="FFFFFF"/>
        </w:rPr>
        <w:t xml:space="preserve"> the Hegelian master-slave dialectic</w:t>
      </w:r>
      <w:r w:rsidR="00084109" w:rsidRPr="00BD2C65">
        <w:rPr>
          <w:color w:val="1A1A1A"/>
          <w:shd w:val="clear" w:color="auto" w:fill="FFFFFF"/>
        </w:rPr>
        <w:t xml:space="preserve">, which is comparable to </w:t>
      </w:r>
      <w:r w:rsidR="00F7258F" w:rsidRPr="00BD2C65">
        <w:rPr>
          <w:color w:val="1A1A1A"/>
          <w:shd w:val="clear" w:color="auto" w:fill="FFFFFF"/>
        </w:rPr>
        <w:t>Beauvoir’s</w:t>
      </w:r>
      <w:r w:rsidR="00084109" w:rsidRPr="00BD2C65">
        <w:rPr>
          <w:color w:val="1A1A1A"/>
          <w:shd w:val="clear" w:color="auto" w:fill="FFFFFF"/>
        </w:rPr>
        <w:t xml:space="preserve"> </w:t>
      </w:r>
      <w:r w:rsidRPr="00BD2C65">
        <w:rPr>
          <w:color w:val="1A1A1A"/>
          <w:shd w:val="clear" w:color="auto" w:fill="FFFFFF"/>
        </w:rPr>
        <w:t>condemnation</w:t>
      </w:r>
      <w:r w:rsidR="00084109" w:rsidRPr="00BD2C65">
        <w:rPr>
          <w:color w:val="1A1A1A"/>
          <w:shd w:val="clear" w:color="auto" w:fill="FFFFFF"/>
        </w:rPr>
        <w:t xml:space="preserve"> of</w:t>
      </w:r>
      <w:r w:rsidRPr="00BD2C65">
        <w:rPr>
          <w:color w:val="1A1A1A"/>
          <w:shd w:val="clear" w:color="auto" w:fill="FFFFFF"/>
        </w:rPr>
        <w:t xml:space="preserve"> the heteropatriarchal system of oppression</w:t>
      </w:r>
      <w:r w:rsidR="00B56EBA" w:rsidRPr="00BD2C65">
        <w:rPr>
          <w:color w:val="1A1A1A"/>
          <w:shd w:val="clear" w:color="auto" w:fill="FFFFFF"/>
        </w:rPr>
        <w:t xml:space="preserve"> </w:t>
      </w:r>
      <w:r w:rsidR="002426EB" w:rsidRPr="00BD2C65">
        <w:t>(Badenhorst, 2022)</w:t>
      </w:r>
      <w:r w:rsidR="00E301CC" w:rsidRPr="00BD2C65">
        <w:t xml:space="preserve">. </w:t>
      </w:r>
      <w:r w:rsidR="002426EB" w:rsidRPr="00BD2C65">
        <w:t xml:space="preserve"> Fanon (1986, p.216.-217) </w:t>
      </w:r>
      <w:r w:rsidR="00834B5B" w:rsidRPr="00BD2C65">
        <w:t>establish</w:t>
      </w:r>
      <w:r w:rsidR="00F7258F" w:rsidRPr="00BD2C65">
        <w:t xml:space="preserve">ed </w:t>
      </w:r>
      <w:r w:rsidR="00834B5B" w:rsidRPr="00BD2C65">
        <w:t>his understanding through Hegel</w:t>
      </w:r>
      <w:r w:rsidR="002426EB" w:rsidRPr="00BD2C65">
        <w:t xml:space="preserve">: </w:t>
      </w:r>
      <w:r w:rsidR="00BB6E0B" w:rsidRPr="00BB6E0B">
        <w:t>‘</w:t>
      </w:r>
      <w:r w:rsidR="002426EB" w:rsidRPr="00BB6E0B">
        <w:rPr>
          <w:shd w:val="clear" w:color="auto" w:fill="FFFFFF"/>
        </w:rPr>
        <w:t xml:space="preserve">man is human only to the extent to which </w:t>
      </w:r>
      <w:r w:rsidR="002426EB" w:rsidRPr="00BB6E0B">
        <w:rPr>
          <w:shd w:val="clear" w:color="auto" w:fill="FFFFFF"/>
        </w:rPr>
        <w:lastRenderedPageBreak/>
        <w:t>he tries to impose his existence on another man in order to be recognised by him</w:t>
      </w:r>
      <w:r w:rsidR="00BB6E0B" w:rsidRPr="00BB6E0B">
        <w:rPr>
          <w:shd w:val="clear" w:color="auto" w:fill="FFFFFF"/>
        </w:rPr>
        <w:t>’</w:t>
      </w:r>
      <w:r w:rsidR="002426EB" w:rsidRPr="00BB6E0B">
        <w:rPr>
          <w:color w:val="333333"/>
          <w:shd w:val="clear" w:color="auto" w:fill="FFFFFF"/>
        </w:rPr>
        <w:t xml:space="preserve"> </w:t>
      </w:r>
      <w:r w:rsidR="002426EB" w:rsidRPr="00BD2C65">
        <w:rPr>
          <w:color w:val="333333"/>
          <w:shd w:val="clear" w:color="auto" w:fill="FFFFFF"/>
        </w:rPr>
        <w:t xml:space="preserve">thus starting the same as </w:t>
      </w:r>
      <w:r w:rsidR="002426EB" w:rsidRPr="00BD2C65">
        <w:rPr>
          <w:shd w:val="clear" w:color="auto" w:fill="FFFFFF"/>
        </w:rPr>
        <w:t>Hegel but radically different insofar as he suggests</w:t>
      </w:r>
      <w:r w:rsidR="00BB6E0B">
        <w:rPr>
          <w:shd w:val="clear" w:color="auto" w:fill="FFFFFF"/>
        </w:rPr>
        <w:t xml:space="preserve"> ‘f</w:t>
      </w:r>
      <w:r w:rsidR="002426EB" w:rsidRPr="00BB6E0B">
        <w:rPr>
          <w:shd w:val="clear" w:color="auto" w:fill="FFFFFF"/>
        </w:rPr>
        <w:t>or Hegel there is reciprocity, here the master laughs at the consciousness of the slave. What he wants from the slave is not recognition but work</w:t>
      </w:r>
      <w:r w:rsidR="00BB6E0B">
        <w:rPr>
          <w:shd w:val="clear" w:color="auto" w:fill="FFFFFF"/>
        </w:rPr>
        <w:t>’</w:t>
      </w:r>
      <w:r w:rsidR="002426EB" w:rsidRPr="00BB6E0B">
        <w:rPr>
          <w:rFonts w:ascii="Libre Franklin" w:hAnsi="Libre Franklin"/>
          <w:shd w:val="clear" w:color="auto" w:fill="FFFFFF"/>
        </w:rPr>
        <w:t xml:space="preserve"> </w:t>
      </w:r>
      <w:r w:rsidR="002426EB" w:rsidRPr="00BD2C65">
        <w:rPr>
          <w:shd w:val="clear" w:color="auto" w:fill="FFFFFF"/>
        </w:rPr>
        <w:t>(Fanon, 1986, p. 220).</w:t>
      </w:r>
    </w:p>
    <w:p w14:paraId="68E1F1B3" w14:textId="77777777" w:rsidR="00BB6E0B" w:rsidRPr="00BD2C65" w:rsidRDefault="00BB6E0B" w:rsidP="008C1506">
      <w:pPr>
        <w:spacing w:line="480" w:lineRule="auto"/>
        <w:jc w:val="both"/>
        <w:rPr>
          <w:shd w:val="clear" w:color="auto" w:fill="FFFFFF"/>
        </w:rPr>
      </w:pPr>
    </w:p>
    <w:p w14:paraId="365DE9BF" w14:textId="1062E669" w:rsidR="00FA2477" w:rsidRPr="00BD2C65" w:rsidRDefault="002426EB" w:rsidP="008C1506">
      <w:pPr>
        <w:spacing w:line="480" w:lineRule="auto"/>
        <w:jc w:val="both"/>
      </w:pPr>
      <w:r w:rsidRPr="00BD2C65">
        <w:t xml:space="preserve">Furthermore, instead of Hegel’s interpretation of people being on the same level as subject-subject, Fanon proposed that the colonisers viewed </w:t>
      </w:r>
      <w:r w:rsidR="00BB6E0B">
        <w:t>B</w:t>
      </w:r>
      <w:r w:rsidRPr="00BD2C65">
        <w:t xml:space="preserve">lack and </w:t>
      </w:r>
      <w:r w:rsidR="00BB6E0B">
        <w:t>I</w:t>
      </w:r>
      <w:r w:rsidR="00BE4F57" w:rsidRPr="00BD2C65">
        <w:t xml:space="preserve">ndigenous </w:t>
      </w:r>
      <w:r w:rsidR="00BB6E0B">
        <w:t>P</w:t>
      </w:r>
      <w:r w:rsidR="00693048" w:rsidRPr="00BD2C65">
        <w:t>eoples</w:t>
      </w:r>
      <w:r w:rsidRPr="00BD2C65">
        <w:t xml:space="preserve"> as subject/object </w:t>
      </w:r>
      <w:r w:rsidR="00317BA0" w:rsidRPr="00BD2C65">
        <w:t xml:space="preserve">and this relationship is </w:t>
      </w:r>
      <w:r w:rsidR="00F113C3" w:rsidRPr="00BD2C65">
        <w:t xml:space="preserve">experienced through violence and oppression </w:t>
      </w:r>
      <w:r w:rsidRPr="00BD2C65">
        <w:t xml:space="preserve">(Badenhorst, 2022). </w:t>
      </w:r>
      <w:r w:rsidR="00C52FE5" w:rsidRPr="00BD2C65">
        <w:t xml:space="preserve">For the author, this analysis and argument helps us understand why </w:t>
      </w:r>
      <w:r w:rsidR="00BE4F57" w:rsidRPr="00BD2C65">
        <w:t xml:space="preserve">indigenous </w:t>
      </w:r>
      <w:r w:rsidR="00C52FE5" w:rsidRPr="00BD2C65">
        <w:t xml:space="preserve">people were </w:t>
      </w:r>
      <w:r w:rsidR="00F7258F" w:rsidRPr="00BD2C65">
        <w:t>considered</w:t>
      </w:r>
      <w:r w:rsidR="00C52FE5" w:rsidRPr="00BD2C65">
        <w:t xml:space="preserve"> as inferior.</w:t>
      </w:r>
    </w:p>
    <w:p w14:paraId="05D7F530" w14:textId="2248F6FA" w:rsidR="001B6CC1" w:rsidRPr="00BD2C65" w:rsidRDefault="00E62CF9" w:rsidP="008C1506">
      <w:pPr>
        <w:spacing w:line="480" w:lineRule="auto"/>
        <w:jc w:val="both"/>
      </w:pPr>
      <w:r w:rsidRPr="00BD2C65">
        <w:t xml:space="preserve">This </w:t>
      </w:r>
      <w:r w:rsidR="00F77EDC" w:rsidRPr="00BD2C65">
        <w:t>is similar to</w:t>
      </w:r>
      <w:r w:rsidR="0078319C" w:rsidRPr="00BD2C65">
        <w:t xml:space="preserve"> Butler’s understanding of how</w:t>
      </w:r>
      <w:r w:rsidR="004C56B0" w:rsidRPr="00BD2C65">
        <w:t xml:space="preserve"> LGBTQIA+ people </w:t>
      </w:r>
      <w:r w:rsidR="00F77EDC" w:rsidRPr="00BD2C65">
        <w:t>are</w:t>
      </w:r>
      <w:r w:rsidR="004C56B0" w:rsidRPr="00BD2C65">
        <w:t xml:space="preserve"> othered</w:t>
      </w:r>
      <w:r w:rsidR="009F7074" w:rsidRPr="00BD2C65">
        <w:t>, as Butler (</w:t>
      </w:r>
      <w:r w:rsidR="003E2BF2" w:rsidRPr="00BD2C65">
        <w:t>1999, p.</w:t>
      </w:r>
      <w:r w:rsidR="0081574D" w:rsidRPr="00BD2C65">
        <w:t>22-23</w:t>
      </w:r>
      <w:r w:rsidR="009F7074" w:rsidRPr="00BD2C65">
        <w:t>) suggests</w:t>
      </w:r>
      <w:r w:rsidR="004C56B0" w:rsidRPr="00BD2C65">
        <w:t>:</w:t>
      </w:r>
      <w:r w:rsidR="009F7074" w:rsidRPr="00BD2C65">
        <w:t xml:space="preserve"> </w:t>
      </w:r>
    </w:p>
    <w:p w14:paraId="3AB1E85D" w14:textId="6F1B1CB3" w:rsidR="000C4656" w:rsidRPr="00BD2C65" w:rsidRDefault="00BB6E0B" w:rsidP="00AD3719">
      <w:pPr>
        <w:ind w:left="397" w:right="397"/>
        <w:jc w:val="both"/>
        <w:rPr>
          <w:i/>
          <w:iCs/>
        </w:rPr>
      </w:pPr>
      <w:r>
        <w:rPr>
          <w:i/>
          <w:iCs/>
        </w:rPr>
        <w:t>‘</w:t>
      </w:r>
      <w:r w:rsidR="000C4656" w:rsidRPr="00BD2C65">
        <w:rPr>
          <w:i/>
          <w:iCs/>
        </w:rPr>
        <w:t xml:space="preserve">The institution of a compulsory and naturalized heterosexuality requires and regulates gender as a binary relation in which the masculine term is differentiated from a feminine term, and this differentiation is accomplished through the practices of heterosexual </w:t>
      </w:r>
      <w:r w:rsidR="00693048" w:rsidRPr="00BD2C65">
        <w:rPr>
          <w:i/>
          <w:iCs/>
        </w:rPr>
        <w:t>desir</w:t>
      </w:r>
      <w:r w:rsidR="00771B5E">
        <w:rPr>
          <w:i/>
          <w:iCs/>
        </w:rPr>
        <w:t>e’</w:t>
      </w:r>
      <w:r w:rsidR="00693048" w:rsidRPr="00BD2C65">
        <w:rPr>
          <w:i/>
          <w:iCs/>
        </w:rPr>
        <w:t>.</w:t>
      </w:r>
    </w:p>
    <w:p w14:paraId="404D2A86" w14:textId="573E88CC" w:rsidR="00241C7A" w:rsidRPr="00BD2C65" w:rsidRDefault="00F77EDC" w:rsidP="008C1506">
      <w:pPr>
        <w:spacing w:line="480" w:lineRule="auto"/>
        <w:jc w:val="both"/>
      </w:pPr>
      <w:r w:rsidRPr="00BD2C65">
        <w:br/>
      </w:r>
      <w:r w:rsidR="003E0A61" w:rsidRPr="00BD2C65">
        <w:t xml:space="preserve">These theories build on and challenge Hegel’s interpretation </w:t>
      </w:r>
      <w:r w:rsidR="00A225BB" w:rsidRPr="00BD2C65">
        <w:t>of</w:t>
      </w:r>
      <w:r w:rsidR="003E0A61" w:rsidRPr="00BD2C65">
        <w:t xml:space="preserve"> the master/</w:t>
      </w:r>
      <w:r w:rsidR="00693048" w:rsidRPr="00BD2C65">
        <w:t>slave dialectic</w:t>
      </w:r>
      <w:r w:rsidR="003E0A61" w:rsidRPr="00BD2C65">
        <w:t xml:space="preserve"> </w:t>
      </w:r>
      <w:r w:rsidR="002F1252" w:rsidRPr="00BD2C65">
        <w:t xml:space="preserve">and highlight the ways in which </w:t>
      </w:r>
      <w:r w:rsidR="00F22181" w:rsidRPr="00BD2C65">
        <w:t xml:space="preserve">oppressed groups are </w:t>
      </w:r>
      <w:r w:rsidR="0011030E" w:rsidRPr="00BD2C65">
        <w:t>dehumanised</w:t>
      </w:r>
      <w:r w:rsidR="00F22181" w:rsidRPr="00BD2C65">
        <w:t>.</w:t>
      </w:r>
      <w:r w:rsidRPr="00BD2C65">
        <w:t xml:space="preserve"> </w:t>
      </w:r>
      <w:r w:rsidR="00F22181" w:rsidRPr="00BD2C65">
        <w:t xml:space="preserve"> </w:t>
      </w:r>
      <w:r w:rsidR="00D41096" w:rsidRPr="00BD2C65">
        <w:t xml:space="preserve">The author will use </w:t>
      </w:r>
      <w:r w:rsidR="00E62CF9" w:rsidRPr="00BD2C65">
        <w:t>Fanon</w:t>
      </w:r>
      <w:r w:rsidR="00F7258F" w:rsidRPr="00BD2C65">
        <w:t>’s</w:t>
      </w:r>
      <w:r w:rsidR="00E62CF9" w:rsidRPr="00BD2C65">
        <w:t xml:space="preserve"> (</w:t>
      </w:r>
      <w:r w:rsidR="00075069" w:rsidRPr="00BD2C65">
        <w:t>1986)</w:t>
      </w:r>
      <w:r w:rsidR="00E62CF9" w:rsidRPr="00BD2C65">
        <w:t xml:space="preserve"> and </w:t>
      </w:r>
      <w:r w:rsidR="00F7258F" w:rsidRPr="00BD2C65">
        <w:t xml:space="preserve">Beauvoir’s </w:t>
      </w:r>
      <w:r w:rsidR="00693048" w:rsidRPr="00BD2C65">
        <w:t>(</w:t>
      </w:r>
      <w:r w:rsidR="00075069" w:rsidRPr="00BD2C65">
        <w:t>2011</w:t>
      </w:r>
      <w:r w:rsidR="00E62CF9" w:rsidRPr="00BD2C65">
        <w:t xml:space="preserve">) </w:t>
      </w:r>
      <w:r w:rsidR="00075069" w:rsidRPr="00BD2C65">
        <w:t>understanding</w:t>
      </w:r>
      <w:r w:rsidR="00E62CF9" w:rsidRPr="00BD2C65">
        <w:t xml:space="preserve"> of </w:t>
      </w:r>
      <w:r w:rsidR="00BD3430" w:rsidRPr="00BD2C65">
        <w:t>Othering</w:t>
      </w:r>
      <w:r w:rsidR="00E62CF9" w:rsidRPr="00BD2C65">
        <w:t xml:space="preserve"> </w:t>
      </w:r>
      <w:r w:rsidR="00D41096" w:rsidRPr="00BD2C65">
        <w:t xml:space="preserve">going forward when discussing </w:t>
      </w:r>
      <w:r w:rsidR="00BD3430" w:rsidRPr="00BD2C65">
        <w:t>Othering</w:t>
      </w:r>
      <w:r w:rsidR="00FB1A67" w:rsidRPr="00BD2C65">
        <w:t xml:space="preserve"> as a basis to synthesise queer and decolonising theories</w:t>
      </w:r>
      <w:r w:rsidR="007E142A" w:rsidRPr="00BD2C65">
        <w:t xml:space="preserve">. </w:t>
      </w:r>
      <w:r w:rsidR="00135C3D" w:rsidRPr="00BD2C65">
        <w:t xml:space="preserve">Using Fanon’s interpretation of </w:t>
      </w:r>
      <w:r w:rsidR="00BD3430" w:rsidRPr="00BD2C65">
        <w:t>Othering</w:t>
      </w:r>
      <w:r w:rsidR="00135C3D" w:rsidRPr="00BD2C65">
        <w:t xml:space="preserve">, the author </w:t>
      </w:r>
      <w:r w:rsidR="00693048" w:rsidRPr="00BD2C65">
        <w:t>understands</w:t>
      </w:r>
      <w:r w:rsidR="00135C3D" w:rsidRPr="00BD2C65">
        <w:t xml:space="preserve"> that there was </w:t>
      </w:r>
      <w:r w:rsidR="00D41096" w:rsidRPr="00BD2C65">
        <w:t xml:space="preserve">unequal power between colonisers and </w:t>
      </w:r>
      <w:r w:rsidR="00BE4F57" w:rsidRPr="00BD2C65">
        <w:t xml:space="preserve">indigenous </w:t>
      </w:r>
      <w:r w:rsidR="00135C3D" w:rsidRPr="00BD2C65">
        <w:t xml:space="preserve">and </w:t>
      </w:r>
      <w:r w:rsidR="00BA2220" w:rsidRPr="00BD2C65">
        <w:t>that</w:t>
      </w:r>
      <w:r w:rsidR="00D41096" w:rsidRPr="00BD2C65">
        <w:t xml:space="preserve"> colonisers were able to create the conditions for hierarchies of domination (ibid</w:t>
      </w:r>
      <w:r w:rsidR="00E24A97" w:rsidRPr="00BD2C65">
        <w:t>.</w:t>
      </w:r>
      <w:r w:rsidR="00D41096" w:rsidRPr="00BD2C65">
        <w:t xml:space="preserve">). </w:t>
      </w:r>
      <w:r w:rsidR="00E6629A" w:rsidRPr="00BD2C65">
        <w:t xml:space="preserve">This system of </w:t>
      </w:r>
      <w:r w:rsidR="00BD3430" w:rsidRPr="00BD2C65">
        <w:t>Othering</w:t>
      </w:r>
      <w:r w:rsidR="00E6629A" w:rsidRPr="00BD2C65">
        <w:t xml:space="preserve"> and exploitation </w:t>
      </w:r>
      <w:r w:rsidR="00277B89" w:rsidRPr="00BD2C65">
        <w:t xml:space="preserve">was used to maintain control of the colonised populations and reinforced the power dynamics </w:t>
      </w:r>
      <w:r w:rsidR="002127A0" w:rsidRPr="00BD2C65">
        <w:t xml:space="preserve">which sustained the British Empire (ibid.). </w:t>
      </w:r>
    </w:p>
    <w:p w14:paraId="46510572" w14:textId="77777777" w:rsidR="00D41096" w:rsidRPr="00BD2C65" w:rsidRDefault="00D41096" w:rsidP="008C1506">
      <w:pPr>
        <w:spacing w:line="480" w:lineRule="auto"/>
        <w:jc w:val="both"/>
      </w:pPr>
    </w:p>
    <w:p w14:paraId="2D4AC8F2" w14:textId="02E8EDCF" w:rsidR="00A023CA" w:rsidRPr="00BD2C65" w:rsidRDefault="00BA2220" w:rsidP="008C1506">
      <w:pPr>
        <w:spacing w:line="480" w:lineRule="auto"/>
        <w:jc w:val="both"/>
      </w:pPr>
      <w:r w:rsidRPr="00BD2C65">
        <w:lastRenderedPageBreak/>
        <w:t xml:space="preserve">Using </w:t>
      </w:r>
      <w:r w:rsidR="00AF6B38" w:rsidRPr="00BD2C65">
        <w:t>b</w:t>
      </w:r>
      <w:r w:rsidR="00D41096" w:rsidRPr="00BD2C65">
        <w:t xml:space="preserve">oth </w:t>
      </w:r>
      <w:r w:rsidRPr="00BD2C65">
        <w:t>Decoloniality</w:t>
      </w:r>
      <w:r w:rsidR="00D41096" w:rsidRPr="00BD2C65">
        <w:t xml:space="preserve"> and </w:t>
      </w:r>
      <w:r w:rsidRPr="00BD2C65">
        <w:t>Q</w:t>
      </w:r>
      <w:r w:rsidR="00D41096" w:rsidRPr="00BD2C65">
        <w:t xml:space="preserve">ueering </w:t>
      </w:r>
      <w:r w:rsidRPr="00BD2C65">
        <w:t>Th</w:t>
      </w:r>
      <w:r w:rsidR="00D41096" w:rsidRPr="00BD2C65">
        <w:t>eories</w:t>
      </w:r>
      <w:r w:rsidR="00AF6B38" w:rsidRPr="00BD2C65">
        <w:t>, which</w:t>
      </w:r>
      <w:r w:rsidR="00015A58" w:rsidRPr="00BD2C65">
        <w:t xml:space="preserve"> emphasise those that have experienced </w:t>
      </w:r>
      <w:r w:rsidR="004C1A7F" w:rsidRPr="00BD2C65">
        <w:t>marginalisation and being othere</w:t>
      </w:r>
      <w:r w:rsidR="00D41096" w:rsidRPr="00BD2C65">
        <w:t xml:space="preserve">d as the focal point of their own justice and liberation </w:t>
      </w:r>
      <w:r w:rsidR="0093403B" w:rsidRPr="00BD2C65">
        <w:t>(</w:t>
      </w:r>
      <w:r w:rsidR="004B71EE" w:rsidRPr="00BD2C65">
        <w:t xml:space="preserve">Pillay, 2021; </w:t>
      </w:r>
      <w:r w:rsidR="00246A3F" w:rsidRPr="00BD2C65">
        <w:t>Browne and Nash, 2016</w:t>
      </w:r>
      <w:r w:rsidR="0093403B" w:rsidRPr="00BD2C65">
        <w:t>)</w:t>
      </w:r>
      <w:r w:rsidR="00AF6B38" w:rsidRPr="00BD2C65">
        <w:t xml:space="preserve"> helps the author unpick the </w:t>
      </w:r>
      <w:r w:rsidR="00BD3430" w:rsidRPr="00BD2C65">
        <w:t>Othering</w:t>
      </w:r>
      <w:r w:rsidR="00AF6B38" w:rsidRPr="00BD2C65">
        <w:t xml:space="preserve"> which still takes place to this day</w:t>
      </w:r>
      <w:r w:rsidR="0093403B" w:rsidRPr="00BD2C65">
        <w:t xml:space="preserve">. </w:t>
      </w:r>
      <w:r w:rsidR="00D41096" w:rsidRPr="00BD2C65">
        <w:t xml:space="preserve">Additionally, the philosophers and academics </w:t>
      </w:r>
      <w:r w:rsidR="00E85E9B" w:rsidRPr="00BD2C65">
        <w:t xml:space="preserve">(Fanon, </w:t>
      </w:r>
      <w:r w:rsidR="00F22181" w:rsidRPr="00BD2C65">
        <w:t>1986</w:t>
      </w:r>
      <w:r w:rsidR="002127A0" w:rsidRPr="00BD2C65">
        <w:t>;</w:t>
      </w:r>
      <w:r w:rsidR="00E85E9B" w:rsidRPr="00BD2C65">
        <w:t xml:space="preserve"> Butler, </w:t>
      </w:r>
      <w:r w:rsidR="00690F47" w:rsidRPr="00BD2C65">
        <w:t>1999</w:t>
      </w:r>
      <w:r w:rsidR="00E85E9B" w:rsidRPr="00BD2C65">
        <w:t>)</w:t>
      </w:r>
      <w:r w:rsidR="00943402" w:rsidRPr="00BD2C65">
        <w:t xml:space="preserve"> w</w:t>
      </w:r>
      <w:r w:rsidR="00D41096" w:rsidRPr="00BD2C65">
        <w:t xml:space="preserve">ho are proponents of these theories believe that the othered community holds their true knowledge and that the current westernised paradigms harm individuals and groups who fall under these categories. </w:t>
      </w:r>
      <w:r w:rsidR="00DA07BE" w:rsidRPr="00BD2C65">
        <w:t>By centring these perspectives</w:t>
      </w:r>
      <w:r w:rsidR="00363480" w:rsidRPr="00BD2C65">
        <w:t xml:space="preserve">, </w:t>
      </w:r>
      <w:r w:rsidRPr="00BD2C65">
        <w:t>Decoloniality</w:t>
      </w:r>
      <w:r w:rsidR="00363480" w:rsidRPr="00BD2C65">
        <w:t xml:space="preserve"> and </w:t>
      </w:r>
      <w:r w:rsidRPr="00BD2C65">
        <w:t>Queer Theories</w:t>
      </w:r>
      <w:r w:rsidR="00363480" w:rsidRPr="00BD2C65">
        <w:t xml:space="preserve"> aim to challenge and disrupt the power dynamics that sustain oppression and work towards the liberation of marginalised peoples</w:t>
      </w:r>
      <w:r w:rsidR="00AF6B38" w:rsidRPr="00BD2C65">
        <w:t>.</w:t>
      </w:r>
    </w:p>
    <w:p w14:paraId="7D02B755" w14:textId="77777777" w:rsidR="00CB5C86" w:rsidRPr="00BD2C65" w:rsidRDefault="00CB5C86" w:rsidP="008C1506">
      <w:pPr>
        <w:spacing w:line="480" w:lineRule="auto"/>
        <w:jc w:val="both"/>
      </w:pPr>
    </w:p>
    <w:p w14:paraId="4B6911B8" w14:textId="61958006" w:rsidR="000857C3" w:rsidRPr="00BD2C65" w:rsidRDefault="00AF6B38" w:rsidP="008C1506">
      <w:pPr>
        <w:spacing w:line="480" w:lineRule="auto"/>
        <w:jc w:val="both"/>
      </w:pPr>
      <w:r w:rsidRPr="00BD2C65">
        <w:t>The author believes that it would be useful to integrate</w:t>
      </w:r>
      <w:r w:rsidR="006A305D" w:rsidRPr="00BD2C65">
        <w:t>,</w:t>
      </w:r>
      <w:r w:rsidRPr="00BD2C65">
        <w:t xml:space="preserve"> </w:t>
      </w:r>
      <w:r w:rsidR="00BA2220" w:rsidRPr="00BD2C65">
        <w:t>Queer Theory</w:t>
      </w:r>
      <w:r w:rsidRPr="00BD2C65">
        <w:t xml:space="preserve"> with </w:t>
      </w:r>
      <w:r w:rsidR="00BA2220" w:rsidRPr="00BD2C65">
        <w:t>Decoloniality</w:t>
      </w:r>
      <w:r w:rsidR="00A873F4" w:rsidRPr="00BD2C65">
        <w:t xml:space="preserve"> because both are based on the premise of group</w:t>
      </w:r>
      <w:r w:rsidR="00BA2220" w:rsidRPr="00BD2C65">
        <w:t>s</w:t>
      </w:r>
      <w:r w:rsidR="00A873F4" w:rsidRPr="00BD2C65">
        <w:t xml:space="preserve"> being </w:t>
      </w:r>
      <w:r w:rsidR="00BA2220" w:rsidRPr="00BD2C65">
        <w:t>O</w:t>
      </w:r>
      <w:r w:rsidR="00A873F4" w:rsidRPr="00BD2C65">
        <w:t>thered</w:t>
      </w:r>
      <w:r w:rsidRPr="00BD2C65">
        <w:t xml:space="preserve">. </w:t>
      </w:r>
      <w:r w:rsidR="00A023CA" w:rsidRPr="00BD2C65">
        <w:t>Queer theorist</w:t>
      </w:r>
      <w:r w:rsidR="004942E0" w:rsidRPr="00BD2C65">
        <w:t xml:space="preserve">s </w:t>
      </w:r>
      <w:r w:rsidR="00C30771" w:rsidRPr="00BD2C65">
        <w:t>h</w:t>
      </w:r>
      <w:r w:rsidR="00D87F0E" w:rsidRPr="00BD2C65">
        <w:t xml:space="preserve">ave </w:t>
      </w:r>
      <w:r w:rsidR="00771B5E" w:rsidRPr="00BD2C65">
        <w:t>clarified</w:t>
      </w:r>
      <w:r w:rsidR="00A023CA" w:rsidRPr="00BD2C65">
        <w:t xml:space="preserve">, </w:t>
      </w:r>
      <w:r w:rsidR="00AD57BE" w:rsidRPr="00BD2C65">
        <w:t>explored,</w:t>
      </w:r>
      <w:r w:rsidR="00A023CA" w:rsidRPr="00BD2C65">
        <w:t xml:space="preserve"> and expanded on inequality, </w:t>
      </w:r>
      <w:r w:rsidR="00BD3430" w:rsidRPr="00BD2C65">
        <w:t>Othering</w:t>
      </w:r>
      <w:r w:rsidR="0093403B" w:rsidRPr="00BD2C65">
        <w:t xml:space="preserve">, </w:t>
      </w:r>
      <w:r w:rsidR="00A023CA" w:rsidRPr="00BD2C65">
        <w:t>hegemony and systems of oppression (</w:t>
      </w:r>
      <w:r w:rsidR="00943402" w:rsidRPr="00BD2C65">
        <w:t xml:space="preserve">Butler, 1999; </w:t>
      </w:r>
      <w:r w:rsidR="00F14B37" w:rsidRPr="00BD2C65">
        <w:t>Browne and Nash, 2016</w:t>
      </w:r>
      <w:r w:rsidR="008744C0" w:rsidRPr="00BD2C65">
        <w:t>; Stewart, 2017</w:t>
      </w:r>
      <w:r w:rsidR="00A023CA" w:rsidRPr="00BD2C65">
        <w:t xml:space="preserve">). However, there </w:t>
      </w:r>
      <w:r w:rsidR="0042153D" w:rsidRPr="00BD2C65">
        <w:t>has been limited</w:t>
      </w:r>
      <w:r w:rsidR="00A023CA" w:rsidRPr="00BD2C65">
        <w:t xml:space="preserve"> integration of </w:t>
      </w:r>
      <w:r w:rsidR="00BA2220" w:rsidRPr="00BD2C65">
        <w:t>Queer Theory</w:t>
      </w:r>
      <w:r w:rsidR="00A023CA" w:rsidRPr="00BD2C65">
        <w:t xml:space="preserve"> and </w:t>
      </w:r>
      <w:r w:rsidR="00BA2220" w:rsidRPr="00BD2C65">
        <w:t>D</w:t>
      </w:r>
      <w:r w:rsidR="00EC0ACF" w:rsidRPr="00BD2C65">
        <w:t>ecolonial</w:t>
      </w:r>
      <w:r w:rsidR="00A023CA" w:rsidRPr="00BD2C65">
        <w:t xml:space="preserve"> thought (</w:t>
      </w:r>
      <w:r w:rsidR="0042153D" w:rsidRPr="00BD2C65">
        <w:t>Stoler, 1995</w:t>
      </w:r>
      <w:r w:rsidR="00A023CA" w:rsidRPr="00BD2C65">
        <w:t xml:space="preserve">). Stoler (1995) argued that </w:t>
      </w:r>
      <w:r w:rsidR="00BE4F57" w:rsidRPr="00BD2C65">
        <w:t xml:space="preserve">indigenous </w:t>
      </w:r>
      <w:r w:rsidR="00A023CA" w:rsidRPr="00BD2C65">
        <w:t>people were controlled to maintain imperial power</w:t>
      </w:r>
      <w:r w:rsidR="00B0327A" w:rsidRPr="00BD2C65">
        <w:t xml:space="preserve">. </w:t>
      </w:r>
      <w:r w:rsidR="000B7045" w:rsidRPr="00BD2C65">
        <w:t>Moreover</w:t>
      </w:r>
      <w:r w:rsidR="00B0327A" w:rsidRPr="00BD2C65">
        <w:t>, some queer theorists (</w:t>
      </w:r>
      <w:r w:rsidR="00F839AF" w:rsidRPr="00BD2C65">
        <w:t>Asante and Hanchey, 2021</w:t>
      </w:r>
      <w:r w:rsidR="00B0327A" w:rsidRPr="00BD2C65">
        <w:t>;</w:t>
      </w:r>
      <w:r w:rsidR="00871511" w:rsidRPr="00BD2C65">
        <w:t xml:space="preserve"> Kao, 2021</w:t>
      </w:r>
      <w:r w:rsidR="00B0327A" w:rsidRPr="00BD2C65">
        <w:t>;</w:t>
      </w:r>
      <w:r w:rsidR="00871511" w:rsidRPr="00BD2C65">
        <w:t xml:space="preserve"> </w:t>
      </w:r>
      <w:r w:rsidR="008E2255" w:rsidRPr="00BD2C65">
        <w:t>Gill and Piers, 2019</w:t>
      </w:r>
      <w:r w:rsidR="00B0327A" w:rsidRPr="00BD2C65">
        <w:t xml:space="preserve">) </w:t>
      </w:r>
      <w:r w:rsidR="008A5D99" w:rsidRPr="00BD2C65">
        <w:t>have suggested that the lack of discussion on the homogeneity of sexualities and gender identities within a decolonised context</w:t>
      </w:r>
      <w:r w:rsidR="008257CB" w:rsidRPr="00BD2C65">
        <w:t xml:space="preserve"> can limit the ability to critique heteropatriarchy.</w:t>
      </w:r>
      <w:r w:rsidR="00BA2220" w:rsidRPr="00BD2C65">
        <w:t xml:space="preserve"> Merging D</w:t>
      </w:r>
      <w:r w:rsidR="00220F67" w:rsidRPr="00BD2C65">
        <w:t xml:space="preserve">ecolonial and </w:t>
      </w:r>
      <w:r w:rsidR="00BA2220" w:rsidRPr="00BD2C65">
        <w:t>Queer Theories</w:t>
      </w:r>
      <w:r w:rsidR="00220F67" w:rsidRPr="00BD2C65">
        <w:t xml:space="preserve"> can create new possibilities </w:t>
      </w:r>
      <w:r w:rsidR="00A44DCB" w:rsidRPr="00BD2C65">
        <w:t>for intersectional analysis that challenges binary debates and opens the space for conversing about the complexities of being human</w:t>
      </w:r>
      <w:r w:rsidR="00BA2220" w:rsidRPr="00BD2C65">
        <w:t>,</w:t>
      </w:r>
      <w:r w:rsidR="0045569D" w:rsidRPr="00BD2C65">
        <w:t xml:space="preserve"> this could be a form of intersectionality</w:t>
      </w:r>
      <w:r w:rsidR="00A44DCB" w:rsidRPr="00BD2C65">
        <w:t>.</w:t>
      </w:r>
    </w:p>
    <w:p w14:paraId="1F35B5AA" w14:textId="4CBEB66B" w:rsidR="00F622B9" w:rsidRPr="00BD2C65" w:rsidRDefault="00A44DCB" w:rsidP="008C1506">
      <w:pPr>
        <w:spacing w:line="480" w:lineRule="auto"/>
        <w:jc w:val="both"/>
      </w:pPr>
      <w:r w:rsidRPr="00BD2C65">
        <w:t xml:space="preserve"> </w:t>
      </w:r>
    </w:p>
    <w:p w14:paraId="579ECC40" w14:textId="3CD4509A" w:rsidR="00F622B9" w:rsidRPr="00BD2C65" w:rsidRDefault="00040B15" w:rsidP="008C1506">
      <w:pPr>
        <w:spacing w:line="480" w:lineRule="auto"/>
        <w:jc w:val="both"/>
        <w:rPr>
          <w:b/>
          <w:bCs/>
        </w:rPr>
      </w:pPr>
      <w:r w:rsidRPr="00BD2C65">
        <w:rPr>
          <w:b/>
          <w:bCs/>
        </w:rPr>
        <w:lastRenderedPageBreak/>
        <w:tab/>
      </w:r>
      <w:r w:rsidR="002229AD" w:rsidRPr="00BD2C65">
        <w:rPr>
          <w:b/>
          <w:bCs/>
        </w:rPr>
        <w:t xml:space="preserve">Applying </w:t>
      </w:r>
      <w:r w:rsidRPr="00BD2C65">
        <w:rPr>
          <w:b/>
          <w:bCs/>
        </w:rPr>
        <w:t xml:space="preserve">Intersectionality as a framework for </w:t>
      </w:r>
      <w:r w:rsidR="00BA1A39" w:rsidRPr="00BD2C65">
        <w:rPr>
          <w:b/>
          <w:bCs/>
        </w:rPr>
        <w:t>synthesising</w:t>
      </w:r>
      <w:r w:rsidR="006D5DB2" w:rsidRPr="00BD2C65">
        <w:rPr>
          <w:b/>
          <w:bCs/>
        </w:rPr>
        <w:t xml:space="preserve"> </w:t>
      </w:r>
      <w:r w:rsidR="002229AD" w:rsidRPr="00BD2C65">
        <w:rPr>
          <w:b/>
          <w:bCs/>
        </w:rPr>
        <w:t xml:space="preserve">various perspectives into a unified </w:t>
      </w:r>
      <w:r w:rsidR="006D5DB2" w:rsidRPr="00BD2C65">
        <w:rPr>
          <w:b/>
          <w:bCs/>
        </w:rPr>
        <w:t>theory</w:t>
      </w:r>
    </w:p>
    <w:p w14:paraId="0CDFF7E1" w14:textId="6909DD94" w:rsidR="00384636" w:rsidRDefault="0045569D" w:rsidP="008C1506">
      <w:pPr>
        <w:spacing w:line="480" w:lineRule="auto"/>
        <w:jc w:val="both"/>
        <w:rPr>
          <w:shd w:val="clear" w:color="auto" w:fill="FFFFFF"/>
        </w:rPr>
      </w:pPr>
      <w:r w:rsidRPr="00BD2C65">
        <w:t>Using intersectionality (Crenshaw, 1989)</w:t>
      </w:r>
      <w:r w:rsidR="00BA2220" w:rsidRPr="00BD2C65">
        <w:t xml:space="preserve"> </w:t>
      </w:r>
      <w:r w:rsidRPr="00BD2C65">
        <w:t xml:space="preserve">as a tool and framework the author can combine both theories of </w:t>
      </w:r>
      <w:r w:rsidR="00BD3430" w:rsidRPr="00BD2C65">
        <w:t>Othering</w:t>
      </w:r>
      <w:r w:rsidRPr="00BD2C65">
        <w:t xml:space="preserve"> and </w:t>
      </w:r>
      <w:r w:rsidR="00384636" w:rsidRPr="00BD2C65">
        <w:t>biopolitics</w:t>
      </w:r>
      <w:r w:rsidRPr="00BD2C65">
        <w:t xml:space="preserve"> b</w:t>
      </w:r>
      <w:r w:rsidR="0079609B" w:rsidRPr="00BD2C65">
        <w:t xml:space="preserve">y </w:t>
      </w:r>
      <w:r w:rsidR="00384636" w:rsidRPr="00BD2C65">
        <w:t>incorporating</w:t>
      </w:r>
      <w:r w:rsidR="0079609B" w:rsidRPr="00BD2C65">
        <w:t xml:space="preserve"> the relationship</w:t>
      </w:r>
      <w:r w:rsidR="00384636" w:rsidRPr="00BD2C65">
        <w:t>s</w:t>
      </w:r>
      <w:r w:rsidR="0079609B" w:rsidRPr="00BD2C65">
        <w:t xml:space="preserve"> between the </w:t>
      </w:r>
      <w:r w:rsidR="00BA2220" w:rsidRPr="00BD2C65">
        <w:t>S</w:t>
      </w:r>
      <w:r w:rsidR="0079609B" w:rsidRPr="00BD2C65">
        <w:t xml:space="preserve">elf, the </w:t>
      </w:r>
      <w:r w:rsidR="00BA2220" w:rsidRPr="00BD2C65">
        <w:t>Ot</w:t>
      </w:r>
      <w:r w:rsidR="0079609B" w:rsidRPr="00BD2C65">
        <w:t>her, and power</w:t>
      </w:r>
      <w:r w:rsidR="00915386" w:rsidRPr="00BD2C65">
        <w:t xml:space="preserve"> in a coherent system. This </w:t>
      </w:r>
      <w:r w:rsidR="001F4058" w:rsidRPr="00BD2C65">
        <w:t xml:space="preserve">intersectional </w:t>
      </w:r>
      <w:r w:rsidR="00915386" w:rsidRPr="00BD2C65">
        <w:t xml:space="preserve">system </w:t>
      </w:r>
      <w:r w:rsidR="0079609B" w:rsidRPr="00BD2C65">
        <w:t>deconstruct</w:t>
      </w:r>
      <w:r w:rsidR="001F4058" w:rsidRPr="00BD2C65">
        <w:t>s</w:t>
      </w:r>
      <w:r w:rsidR="0079609B" w:rsidRPr="00BD2C65">
        <w:t xml:space="preserve"> and challenge</w:t>
      </w:r>
      <w:r w:rsidR="001F4058" w:rsidRPr="00BD2C65">
        <w:t>s the</w:t>
      </w:r>
      <w:r w:rsidR="0079609B" w:rsidRPr="00BD2C65">
        <w:t xml:space="preserve"> </w:t>
      </w:r>
      <w:r w:rsidR="004D5552">
        <w:t xml:space="preserve">legacy of </w:t>
      </w:r>
      <w:r w:rsidR="00390D7B">
        <w:t>British Empires’</w:t>
      </w:r>
      <w:r w:rsidR="004D5552">
        <w:t xml:space="preserve"> </w:t>
      </w:r>
      <w:r w:rsidR="0079609B" w:rsidRPr="00BD2C65">
        <w:t>power dynamics</w:t>
      </w:r>
      <w:r w:rsidR="00F11500" w:rsidRPr="00BD2C65">
        <w:t xml:space="preserve"> in former </w:t>
      </w:r>
      <w:r w:rsidR="00BD3430" w:rsidRPr="00BD2C65">
        <w:t>British Colonies</w:t>
      </w:r>
      <w:r w:rsidR="0079609B" w:rsidRPr="00BD2C65">
        <w:t>.</w:t>
      </w:r>
      <w:r w:rsidRPr="00BD2C65">
        <w:t xml:space="preserve"> </w:t>
      </w:r>
      <w:r w:rsidR="00F622B9" w:rsidRPr="00BD2C65">
        <w:t xml:space="preserve">The author asserts </w:t>
      </w:r>
      <w:r w:rsidR="00BA2220" w:rsidRPr="00BD2C65">
        <w:t>that incorporating</w:t>
      </w:r>
      <w:r w:rsidR="001F4058" w:rsidRPr="00BD2C65">
        <w:t xml:space="preserve"> a</w:t>
      </w:r>
      <w:r w:rsidR="00F622B9" w:rsidRPr="00BD2C65">
        <w:t xml:space="preserve"> Foucauldian perspective </w:t>
      </w:r>
      <w:r w:rsidR="001F4058" w:rsidRPr="00BD2C65">
        <w:t xml:space="preserve">into </w:t>
      </w:r>
      <w:r w:rsidR="00BD3430" w:rsidRPr="00BD2C65">
        <w:t>Othering</w:t>
      </w:r>
      <w:r w:rsidR="001F4058" w:rsidRPr="00BD2C65">
        <w:t xml:space="preserve"> </w:t>
      </w:r>
      <w:r w:rsidR="00F622B9" w:rsidRPr="00BD2C65">
        <w:t>highlights the influence of power on the formation of societal norms related to gender identity and sexual</w:t>
      </w:r>
      <w:r w:rsidR="00B654C2" w:rsidRPr="00BD2C65">
        <w:t>ity</w:t>
      </w:r>
      <w:r w:rsidR="00F622B9" w:rsidRPr="00BD2C65">
        <w:t xml:space="preserve"> (Foucault, 2008)</w:t>
      </w:r>
      <w:r w:rsidR="00BA2220" w:rsidRPr="00BD2C65">
        <w:t>. It also</w:t>
      </w:r>
      <w:r w:rsidR="00B95DC2" w:rsidRPr="00BD2C65">
        <w:rPr>
          <w:shd w:val="clear" w:color="auto" w:fill="FFFFFF"/>
        </w:rPr>
        <w:t xml:space="preserve"> </w:t>
      </w:r>
      <w:r w:rsidR="002842E1" w:rsidRPr="00BD2C65">
        <w:rPr>
          <w:shd w:val="clear" w:color="auto" w:fill="FFFFFF"/>
        </w:rPr>
        <w:t>uncover</w:t>
      </w:r>
      <w:r w:rsidR="00BA2220" w:rsidRPr="00BD2C65">
        <w:rPr>
          <w:shd w:val="clear" w:color="auto" w:fill="FFFFFF"/>
        </w:rPr>
        <w:t>s</w:t>
      </w:r>
      <w:r w:rsidR="002842E1" w:rsidRPr="00BD2C65">
        <w:rPr>
          <w:shd w:val="clear" w:color="auto" w:fill="FFFFFF"/>
        </w:rPr>
        <w:t xml:space="preserve"> ways in which power influences the experiences of marginalised people and reinforces oppression</w:t>
      </w:r>
      <w:r w:rsidR="00F11500" w:rsidRPr="00BD2C65">
        <w:rPr>
          <w:shd w:val="clear" w:color="auto" w:fill="FFFFFF"/>
        </w:rPr>
        <w:t xml:space="preserve"> in former </w:t>
      </w:r>
      <w:r w:rsidR="00BA2220" w:rsidRPr="00BD2C65">
        <w:rPr>
          <w:shd w:val="clear" w:color="auto" w:fill="FFFFFF"/>
        </w:rPr>
        <w:t xml:space="preserve">British Colonies </w:t>
      </w:r>
      <w:r w:rsidR="00E42E9F" w:rsidRPr="00BD2C65">
        <w:rPr>
          <w:shd w:val="clear" w:color="auto" w:fill="FFFFFF"/>
        </w:rPr>
        <w:t>(ibid.)</w:t>
      </w:r>
      <w:r w:rsidR="001C7818" w:rsidRPr="00BD2C65">
        <w:rPr>
          <w:shd w:val="clear" w:color="auto" w:fill="FFFFFF"/>
        </w:rPr>
        <w:t>.</w:t>
      </w:r>
      <w:r w:rsidR="00B435A3" w:rsidRPr="00BD2C65">
        <w:rPr>
          <w:shd w:val="clear" w:color="auto" w:fill="FFFFFF"/>
        </w:rPr>
        <w:t xml:space="preserve"> </w:t>
      </w:r>
      <w:r w:rsidR="00B20056" w:rsidRPr="00BD2C65">
        <w:rPr>
          <w:shd w:val="clear" w:color="auto" w:fill="FFFFFF"/>
        </w:rPr>
        <w:t>Furthermore,</w:t>
      </w:r>
      <w:r w:rsidR="00384636" w:rsidRPr="00BD2C65">
        <w:rPr>
          <w:shd w:val="clear" w:color="auto" w:fill="FFFFFF"/>
        </w:rPr>
        <w:t xml:space="preserve"> biopolitical techniques such as surveillance, discipline and control may be used to target specific groups that are seen as the </w:t>
      </w:r>
      <w:r w:rsidR="00BA2220" w:rsidRPr="00BD2C65">
        <w:rPr>
          <w:shd w:val="clear" w:color="auto" w:fill="FFFFFF"/>
        </w:rPr>
        <w:t>O</w:t>
      </w:r>
      <w:r w:rsidR="00384636" w:rsidRPr="00BD2C65">
        <w:rPr>
          <w:shd w:val="clear" w:color="auto" w:fill="FFFFFF"/>
        </w:rPr>
        <w:t>ther</w:t>
      </w:r>
      <w:r w:rsidR="004D5552">
        <w:rPr>
          <w:shd w:val="clear" w:color="auto" w:fill="FFFFFF"/>
        </w:rPr>
        <w:t xml:space="preserve"> </w:t>
      </w:r>
      <w:r w:rsidR="00384636" w:rsidRPr="00BD2C65">
        <w:rPr>
          <w:shd w:val="clear" w:color="auto" w:fill="FFFFFF"/>
        </w:rPr>
        <w:t xml:space="preserve">based on factors such as race, ethnicity, </w:t>
      </w:r>
      <w:r w:rsidR="00AD57BE" w:rsidRPr="00BD2C65">
        <w:rPr>
          <w:shd w:val="clear" w:color="auto" w:fill="FFFFFF"/>
        </w:rPr>
        <w:t>gender,</w:t>
      </w:r>
      <w:r w:rsidR="00384636" w:rsidRPr="00BD2C65">
        <w:rPr>
          <w:shd w:val="clear" w:color="auto" w:fill="FFFFFF"/>
        </w:rPr>
        <w:t xml:space="preserve"> and sexual orientation</w:t>
      </w:r>
      <w:r w:rsidR="00E42E9F" w:rsidRPr="00BD2C65">
        <w:rPr>
          <w:shd w:val="clear" w:color="auto" w:fill="FFFFFF"/>
        </w:rPr>
        <w:t xml:space="preserve"> (ibid.)</w:t>
      </w:r>
      <w:r w:rsidR="00384636" w:rsidRPr="00BD2C65">
        <w:rPr>
          <w:shd w:val="clear" w:color="auto" w:fill="FFFFFF"/>
        </w:rPr>
        <w:t xml:space="preserve">. These techniques maybe used to marginalise or exclude these groups from mainstream society, and to reinforce social and cultural boundaries that keep them separate from the </w:t>
      </w:r>
      <w:r w:rsidR="00BA2220" w:rsidRPr="00BD2C65">
        <w:rPr>
          <w:shd w:val="clear" w:color="auto" w:fill="FFFFFF"/>
        </w:rPr>
        <w:t>dominant</w:t>
      </w:r>
      <w:r w:rsidR="00384636" w:rsidRPr="00BD2C65">
        <w:rPr>
          <w:shd w:val="clear" w:color="auto" w:fill="FFFFFF"/>
        </w:rPr>
        <w:t xml:space="preserve"> culture, therefore, </w:t>
      </w:r>
      <w:r w:rsidR="004942E0" w:rsidRPr="00BD2C65">
        <w:rPr>
          <w:shd w:val="clear" w:color="auto" w:fill="FFFFFF"/>
        </w:rPr>
        <w:t>biopolitical</w:t>
      </w:r>
      <w:r w:rsidR="00384636" w:rsidRPr="00BD2C65">
        <w:rPr>
          <w:shd w:val="clear" w:color="auto" w:fill="FFFFFF"/>
        </w:rPr>
        <w:t xml:space="preserve"> techniques can be seen as</w:t>
      </w:r>
      <w:r w:rsidR="00BA2220" w:rsidRPr="00BD2C65">
        <w:rPr>
          <w:shd w:val="clear" w:color="auto" w:fill="FFFFFF"/>
        </w:rPr>
        <w:t xml:space="preserve"> a</w:t>
      </w:r>
      <w:r w:rsidR="00384636" w:rsidRPr="00BD2C65">
        <w:rPr>
          <w:shd w:val="clear" w:color="auto" w:fill="FFFFFF"/>
        </w:rPr>
        <w:t xml:space="preserve"> form of </w:t>
      </w:r>
      <w:r w:rsidR="00BD3430" w:rsidRPr="00BD2C65">
        <w:rPr>
          <w:shd w:val="clear" w:color="auto" w:fill="FFFFFF"/>
        </w:rPr>
        <w:t>Othering</w:t>
      </w:r>
      <w:r w:rsidR="00384636" w:rsidRPr="00BD2C65">
        <w:rPr>
          <w:shd w:val="clear" w:color="auto" w:fill="FFFFFF"/>
        </w:rPr>
        <w:t xml:space="preserve">, as they work to create and reinforce social </w:t>
      </w:r>
      <w:r w:rsidR="004D5552" w:rsidRPr="00BD2C65">
        <w:rPr>
          <w:shd w:val="clear" w:color="auto" w:fill="FFFFFF"/>
        </w:rPr>
        <w:t>and cultural</w:t>
      </w:r>
      <w:r w:rsidR="00384636" w:rsidRPr="00BD2C65">
        <w:rPr>
          <w:shd w:val="clear" w:color="auto" w:fill="FFFFFF"/>
        </w:rPr>
        <w:t xml:space="preserve"> boundaries </w:t>
      </w:r>
      <w:r w:rsidR="00BA2220" w:rsidRPr="00BD2C65">
        <w:rPr>
          <w:shd w:val="clear" w:color="auto" w:fill="FFFFFF"/>
        </w:rPr>
        <w:t>are and</w:t>
      </w:r>
      <w:r w:rsidR="00384636" w:rsidRPr="00BD2C65">
        <w:rPr>
          <w:shd w:val="clear" w:color="auto" w:fill="FFFFFF"/>
        </w:rPr>
        <w:t xml:space="preserve"> often linked to regulation and control of population</w:t>
      </w:r>
      <w:r w:rsidR="00BA2220" w:rsidRPr="00BD2C65">
        <w:rPr>
          <w:shd w:val="clear" w:color="auto" w:fill="FFFFFF"/>
        </w:rPr>
        <w:t>s</w:t>
      </w:r>
      <w:r w:rsidR="00E42E9F" w:rsidRPr="00BD2C65">
        <w:rPr>
          <w:shd w:val="clear" w:color="auto" w:fill="FFFFFF"/>
        </w:rPr>
        <w:t xml:space="preserve"> (ibid.)</w:t>
      </w:r>
      <w:r w:rsidR="00384636" w:rsidRPr="00BD2C65">
        <w:rPr>
          <w:shd w:val="clear" w:color="auto" w:fill="FFFFFF"/>
        </w:rPr>
        <w:t>. The combination of these two concepts, in the authors opinion</w:t>
      </w:r>
      <w:r w:rsidR="00BA2220" w:rsidRPr="00BD2C65">
        <w:rPr>
          <w:shd w:val="clear" w:color="auto" w:fill="FFFFFF"/>
        </w:rPr>
        <w:t>,</w:t>
      </w:r>
      <w:r w:rsidR="00384636" w:rsidRPr="00BD2C65">
        <w:rPr>
          <w:shd w:val="clear" w:color="auto" w:fill="FFFFFF"/>
        </w:rPr>
        <w:t xml:space="preserve"> can provide a more nuanced understanding of how power is exercised over populations and how certain groups are marginalised or excluded through the use of biopolitical techniques</w:t>
      </w:r>
      <w:r w:rsidR="00A873F4" w:rsidRPr="00BD2C65">
        <w:rPr>
          <w:shd w:val="clear" w:color="auto" w:fill="FFFFFF"/>
        </w:rPr>
        <w:t xml:space="preserve"> in former </w:t>
      </w:r>
      <w:r w:rsidR="00BD3430" w:rsidRPr="00BD2C65">
        <w:rPr>
          <w:shd w:val="clear" w:color="auto" w:fill="FFFFFF"/>
        </w:rPr>
        <w:t>British Colonies</w:t>
      </w:r>
      <w:r w:rsidR="00384636" w:rsidRPr="00BD2C65">
        <w:rPr>
          <w:shd w:val="clear" w:color="auto" w:fill="FFFFFF"/>
        </w:rPr>
        <w:t xml:space="preserve">. </w:t>
      </w:r>
    </w:p>
    <w:p w14:paraId="77768F74" w14:textId="77777777" w:rsidR="00893132" w:rsidRDefault="00893132" w:rsidP="008C1506">
      <w:pPr>
        <w:spacing w:line="480" w:lineRule="auto"/>
        <w:jc w:val="both"/>
        <w:rPr>
          <w:shd w:val="clear" w:color="auto" w:fill="FFFFFF"/>
        </w:rPr>
      </w:pPr>
    </w:p>
    <w:p w14:paraId="7D4A57D9" w14:textId="77777777" w:rsidR="00893132" w:rsidRDefault="00893132" w:rsidP="008C1506">
      <w:pPr>
        <w:spacing w:line="480" w:lineRule="auto"/>
        <w:jc w:val="both"/>
        <w:rPr>
          <w:shd w:val="clear" w:color="auto" w:fill="FFFFFF"/>
        </w:rPr>
      </w:pPr>
    </w:p>
    <w:p w14:paraId="67C66164" w14:textId="77777777" w:rsidR="00893132" w:rsidRDefault="00893132" w:rsidP="008C1506">
      <w:pPr>
        <w:spacing w:line="480" w:lineRule="auto"/>
        <w:jc w:val="both"/>
        <w:rPr>
          <w:shd w:val="clear" w:color="auto" w:fill="FFFFFF"/>
        </w:rPr>
      </w:pPr>
    </w:p>
    <w:p w14:paraId="670536C3" w14:textId="77777777" w:rsidR="00893132" w:rsidRPr="00BA2220" w:rsidRDefault="00893132" w:rsidP="008C1506">
      <w:pPr>
        <w:spacing w:line="480" w:lineRule="auto"/>
        <w:jc w:val="both"/>
        <w:rPr>
          <w:shd w:val="clear" w:color="auto" w:fill="FFFFFF"/>
        </w:rPr>
      </w:pPr>
    </w:p>
    <w:p w14:paraId="4780B0A9" w14:textId="2DA084AF" w:rsidR="00EC0ACF" w:rsidRPr="00BA2220" w:rsidRDefault="001C7818" w:rsidP="008C1506">
      <w:pPr>
        <w:spacing w:line="480" w:lineRule="auto"/>
        <w:jc w:val="both"/>
        <w:rPr>
          <w:shd w:val="clear" w:color="auto" w:fill="FFFFFF"/>
        </w:rPr>
      </w:pPr>
      <w:r w:rsidRPr="00BA2220">
        <w:rPr>
          <w:shd w:val="clear" w:color="auto" w:fill="FFFFFF"/>
        </w:rPr>
        <w:lastRenderedPageBreak/>
        <w:t xml:space="preserve">This </w:t>
      </w:r>
      <w:r w:rsidR="0045569D" w:rsidRPr="00BA2220">
        <w:rPr>
          <w:shd w:val="clear" w:color="auto" w:fill="FFFFFF"/>
        </w:rPr>
        <w:t>understanding</w:t>
      </w:r>
      <w:r w:rsidRPr="00BA2220">
        <w:rPr>
          <w:shd w:val="clear" w:color="auto" w:fill="FFFFFF"/>
        </w:rPr>
        <w:t xml:space="preserve"> is illustrated</w:t>
      </w:r>
      <w:r w:rsidR="0045569D" w:rsidRPr="00BA2220">
        <w:rPr>
          <w:shd w:val="clear" w:color="auto" w:fill="FFFFFF"/>
        </w:rPr>
        <w:t xml:space="preserve"> in Figure 2: Power, </w:t>
      </w:r>
      <w:r w:rsidR="00BD3430" w:rsidRPr="00BA2220">
        <w:rPr>
          <w:shd w:val="clear" w:color="auto" w:fill="FFFFFF"/>
        </w:rPr>
        <w:t>Othering</w:t>
      </w:r>
      <w:r w:rsidR="00AD57BE" w:rsidRPr="00BA2220">
        <w:rPr>
          <w:shd w:val="clear" w:color="auto" w:fill="FFFFFF"/>
        </w:rPr>
        <w:t>,</w:t>
      </w:r>
      <w:r w:rsidR="0045569D" w:rsidRPr="00BA2220">
        <w:rPr>
          <w:shd w:val="clear" w:color="auto" w:fill="FFFFFF"/>
        </w:rPr>
        <w:t xml:space="preserve"> and Intersectionality. </w:t>
      </w:r>
    </w:p>
    <w:p w14:paraId="0512E151" w14:textId="405AA270" w:rsidR="00AF6B38" w:rsidRPr="00BA2220" w:rsidRDefault="00AF6B38" w:rsidP="008C1506">
      <w:pPr>
        <w:spacing w:line="480" w:lineRule="auto"/>
        <w:jc w:val="both"/>
        <w:rPr>
          <w:shd w:val="clear" w:color="auto" w:fill="FFFFFF"/>
        </w:rPr>
      </w:pPr>
    </w:p>
    <w:p w14:paraId="70167D7F" w14:textId="77777777" w:rsidR="00AF6B38" w:rsidRPr="00AF6B38" w:rsidRDefault="00AF6B38" w:rsidP="008C1506">
      <w:pPr>
        <w:spacing w:line="480" w:lineRule="auto"/>
        <w:jc w:val="both"/>
      </w:pPr>
    </w:p>
    <w:p w14:paraId="188279A3" w14:textId="0284C6E5" w:rsidR="0059069D" w:rsidRDefault="00000000" w:rsidP="008C1506">
      <w:pPr>
        <w:spacing w:line="480" w:lineRule="auto"/>
        <w:jc w:val="both"/>
        <w:rPr>
          <w:color w:val="333333"/>
          <w:shd w:val="clear" w:color="auto" w:fill="FFFFFF"/>
        </w:rPr>
      </w:pPr>
      <w:r>
        <w:rPr>
          <w:color w:val="333333"/>
          <w:shd w:val="clear" w:color="auto" w:fill="FFFFFF"/>
        </w:rPr>
      </w:r>
      <w:r>
        <w:rPr>
          <w:color w:val="333333"/>
          <w:shd w:val="clear" w:color="auto" w:fill="FFFFFF"/>
        </w:rPr>
        <w:pict w14:anchorId="603F00BE">
          <v:group id="_x0000_s2109" editas="venn" style="width:410.2pt;height:318.7pt;mso-position-horizontal-relative:char;mso-position-vertical-relative:line" coordorigin="1261,-569" coordsize="9388,9388">
            <o:lock v:ext="edit" aspectratio="t"/>
            <o:diagram v:ext="edit" dgmstyle="0" dgmscalex="59566" dgmscaley="46281" dgmfontsize="8" constrainbounds="1635,0,10275,8445" autolayout="f">
              <o:relationtable v:ext="edit">
                <o:rel v:ext="edit" idsrc="#_s2110" iddest="#_s2110"/>
                <o:rel v:ext="edit" idsrc="#_s2111" iddest="#_s2110"/>
                <o:rel v:ext="edit" idsrc="#_s2112" iddest="#_s2112"/>
                <o:rel v:ext="edit" idsrc="#_s2113" iddest="#_s2112"/>
                <o:rel v:ext="edit" idsrc="#_s2114" iddest="#_s2114"/>
                <o:rel v:ext="edit" idsrc="#_s2115" iddest="#_s2114"/>
              </o:relationtable>
            </o:diagram>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108" type="#_x0000_t75" style="position:absolute;left:1261;top:-569;width:9388;height:9388" o:preferrelative="f">
              <v:fill o:detectmouseclick="t"/>
              <v:path o:extrusionok="t" o:connecttype="none"/>
              <o:lock v:ext="edit" text="t"/>
            </v:shape>
            <v:oval id="_s2110" o:spid="_x0000_s2110" style="position:absolute;left:4449;top:2786;width:3240;height:3240;v-text-anchor:middle" o:dgmnodekind="0" fillcolor="#339" strokecolor="#339" strokeweight=".1297mm">
              <v:fill opacity=".5"/>
              <o:lock v:ext="edit" text="t"/>
            </v:oval>
            <v:rect id="_s2111" o:spid="_x0000_s2111" style="position:absolute;left:5346;top:1211;width:1220;height:810;v-text-anchor:middle" o:dgmnodekind="5" filled="f" stroked="f">
              <v:textbox style="mso-next-textbox:#_s2111" inset="0,0,0,0">
                <w:txbxContent>
                  <w:p w14:paraId="61869DEE" w14:textId="1E5D3008" w:rsidR="0059069D" w:rsidRPr="00F647CA" w:rsidRDefault="003B7E87" w:rsidP="0059069D">
                    <w:pPr>
                      <w:jc w:val="center"/>
                      <w:rPr>
                        <w:sz w:val="16"/>
                      </w:rPr>
                    </w:pPr>
                    <w:r w:rsidRPr="00F647CA">
                      <w:rPr>
                        <w:sz w:val="16"/>
                      </w:rPr>
                      <w:t xml:space="preserve">Foucauldian Interpretation of </w:t>
                    </w:r>
                    <w:r w:rsidR="0059069D" w:rsidRPr="00F647CA">
                      <w:rPr>
                        <w:sz w:val="16"/>
                      </w:rPr>
                      <w:t>Power</w:t>
                    </w:r>
                  </w:p>
                </w:txbxContent>
              </v:textbox>
            </v:rect>
            <v:oval id="_s2112" o:spid="_x0000_s2112" style="position:absolute;left:3032;top:430;width:5856;height:5708;v-text-anchor:middle" o:dgmnodekind="0" fillcolor="#099" strokecolor="#099" strokeweight=".1297mm">
              <v:fill opacity=".5"/>
              <o:lock v:ext="edit" text="t"/>
            </v:oval>
            <v:rect id="_s2113" o:spid="_x0000_s2113" style="position:absolute;left:3211;top:2988;width:1219;height:810;v-text-anchor:middle" o:dgmnodekind="5" filled="f" stroked="f">
              <v:textbox style="mso-next-textbox:#_s2113" inset="0,0,0,0">
                <w:txbxContent>
                  <w:p w14:paraId="48EFFD5E" w14:textId="77777777" w:rsidR="0059069D" w:rsidRPr="00F647CA" w:rsidRDefault="0059069D" w:rsidP="0059069D">
                    <w:pPr>
                      <w:jc w:val="center"/>
                      <w:rPr>
                        <w:sz w:val="16"/>
                      </w:rPr>
                    </w:pPr>
                    <w:r w:rsidRPr="00F647CA">
                      <w:rPr>
                        <w:sz w:val="16"/>
                      </w:rPr>
                      <w:t>Intersectionality</w:t>
                    </w:r>
                  </w:p>
                </w:txbxContent>
              </v:textbox>
            </v:rect>
            <v:oval id="_s2114" o:spid="_x0000_s2114" style="position:absolute;left:4354;top:654;width:3240;height:3240;v-text-anchor:middle" o:dgmnodekind="0" fillcolor="#9c0" strokecolor="#9c0" strokeweight=".1297mm">
              <v:fill opacity=".5"/>
              <o:lock v:ext="edit" text="t"/>
            </v:oval>
            <v:rect id="_s2115" o:spid="_x0000_s2115" style="position:absolute;left:5418;top:4697;width:1220;height:810;v-text-anchor:middle" o:dgmnodekind="5" filled="f" stroked="f">
              <v:textbox style="mso-next-textbox:#_s2115" inset="0,0,0,0">
                <w:txbxContent>
                  <w:p w14:paraId="26AC8A9B" w14:textId="00E9BFD2" w:rsidR="0059069D" w:rsidRPr="00F647CA" w:rsidRDefault="0059069D" w:rsidP="0059069D">
                    <w:pPr>
                      <w:jc w:val="center"/>
                      <w:rPr>
                        <w:sz w:val="16"/>
                      </w:rPr>
                    </w:pPr>
                    <w:r w:rsidRPr="00F647CA">
                      <w:rPr>
                        <w:sz w:val="16"/>
                      </w:rPr>
                      <w:t>Other</w:t>
                    </w:r>
                    <w:r w:rsidR="00EC14CB" w:rsidRPr="00F647CA">
                      <w:rPr>
                        <w:sz w:val="16"/>
                      </w:rPr>
                      <w:t>ing</w:t>
                    </w:r>
                    <w:r w:rsidR="003B7E87" w:rsidRPr="00F647CA">
                      <w:rPr>
                        <w:sz w:val="16"/>
                      </w:rPr>
                      <w:t xml:space="preserve"> as defined by De Beauv</w:t>
                    </w:r>
                    <w:r w:rsidR="00CE0B21" w:rsidRPr="00F647CA">
                      <w:rPr>
                        <w:sz w:val="16"/>
                      </w:rPr>
                      <w:t>oir</w:t>
                    </w:r>
                    <w:r w:rsidR="001F5E1F" w:rsidRPr="00F647CA">
                      <w:rPr>
                        <w:sz w:val="16"/>
                      </w:rPr>
                      <w:t>/Fanon</w:t>
                    </w:r>
                  </w:p>
                </w:txbxContent>
              </v:textbox>
            </v:rect>
            <v:shapetype id="_x0000_t202" coordsize="21600,21600" o:spt="202" path="m,l,21600r21600,l21600,xe">
              <v:stroke joinstyle="miter"/>
              <v:path gradientshapeok="t" o:connecttype="rect"/>
            </v:shapetype>
            <v:shape id="Text Box 2" o:spid="_x0000_s2117" type="#_x0000_t202" style="position:absolute;left:4967;top:2928;width:2169;height:673;visibility:visible;mso-width-percent:400;mso-height-percent:200;mso-wrap-distance-top:3.6pt;mso-wrap-distance-bottom:3.6pt;mso-width-percent:400;mso-height-percent:20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">
              <v:textbox style="mso-next-textbox:#Text Box 2">
                <w:txbxContent>
                  <w:p w14:paraId="02615C74" w14:textId="77777777" w:rsidR="0059069D" w:rsidRPr="0059069D" w:rsidRDefault="0059069D">
                    <w:pPr>
                      <w:rPr>
                        <w:sz w:val="18"/>
                        <w:szCs w:val="18"/>
                      </w:rPr>
                    </w:pPr>
                    <w:r w:rsidRPr="0059069D">
                      <w:rPr>
                        <w:sz w:val="18"/>
                        <w:szCs w:val="18"/>
                      </w:rPr>
                      <w:t>Oppressed Group</w:t>
                    </w:r>
                  </w:p>
                </w:txbxContent>
              </v:textbox>
            </v:shape>
            <w10:wrap type="none"/>
            <w10:anchorlock/>
          </v:group>
        </w:pict>
      </w:r>
    </w:p>
    <w:p w14:paraId="61F3ED88" w14:textId="1523849D" w:rsidR="003B419F" w:rsidRPr="003B419F" w:rsidRDefault="00EC0ACF" w:rsidP="008C1506">
      <w:pPr>
        <w:spacing w:line="480" w:lineRule="auto"/>
        <w:jc w:val="both"/>
        <w:rPr>
          <w:color w:val="333333"/>
          <w:shd w:val="clear" w:color="auto" w:fill="FFFFFF"/>
        </w:rPr>
      </w:pPr>
      <w:r w:rsidRPr="00EC0ACF">
        <w:rPr>
          <w:color w:val="333333"/>
          <w:shd w:val="clear" w:color="auto" w:fill="FFFFFF"/>
        </w:rPr>
        <w:t xml:space="preserve"> Figure 2</w:t>
      </w:r>
      <w:r w:rsidR="00B435A3">
        <w:rPr>
          <w:color w:val="333333"/>
          <w:shd w:val="clear" w:color="auto" w:fill="FFFFFF"/>
        </w:rPr>
        <w:t xml:space="preserve">: Power, </w:t>
      </w:r>
      <w:r w:rsidR="00BD3430">
        <w:rPr>
          <w:color w:val="333333"/>
          <w:shd w:val="clear" w:color="auto" w:fill="FFFFFF"/>
        </w:rPr>
        <w:t>Othering</w:t>
      </w:r>
      <w:r w:rsidR="00B435A3">
        <w:rPr>
          <w:color w:val="333333"/>
          <w:shd w:val="clear" w:color="auto" w:fill="FFFFFF"/>
        </w:rPr>
        <w:t xml:space="preserve"> and Intersectionality</w:t>
      </w:r>
      <w:r w:rsidR="00C67629">
        <w:rPr>
          <w:color w:val="333333"/>
          <w:shd w:val="clear" w:color="auto" w:fill="FFFFFF"/>
        </w:rPr>
        <w:t>, Jake Furby (2023)</w:t>
      </w:r>
    </w:p>
    <w:p w14:paraId="344B7E45" w14:textId="77777777" w:rsidR="003B419F" w:rsidRPr="00C847AC" w:rsidRDefault="003B419F" w:rsidP="008C1506">
      <w:pPr>
        <w:spacing w:line="480" w:lineRule="auto"/>
        <w:jc w:val="both"/>
        <w:rPr>
          <w:color w:val="333333"/>
          <w:shd w:val="clear" w:color="auto" w:fill="FFFFFF"/>
        </w:rPr>
      </w:pPr>
    </w:p>
    <w:p w14:paraId="679DE1B6" w14:textId="5621CB53" w:rsidR="004C3274" w:rsidRPr="00BD2C65" w:rsidRDefault="00C47F1E" w:rsidP="008C1506">
      <w:pPr>
        <w:spacing w:line="480" w:lineRule="auto"/>
        <w:jc w:val="both"/>
        <w:rPr>
          <w:color w:val="FF0000"/>
        </w:rPr>
      </w:pPr>
      <w:r w:rsidRPr="00BD2C65">
        <w:t>To conclude this section</w:t>
      </w:r>
      <w:r w:rsidR="00AF6B38" w:rsidRPr="00BD2C65">
        <w:t xml:space="preserve">, the author has explored using intersectionality as a framework to </w:t>
      </w:r>
      <w:r w:rsidR="00EB6048" w:rsidRPr="00BD2C65">
        <w:t>sy</w:t>
      </w:r>
      <w:r w:rsidR="00A668FB" w:rsidRPr="00BD2C65">
        <w:t>n</w:t>
      </w:r>
      <w:r w:rsidR="00EB6048" w:rsidRPr="00BD2C65">
        <w:t>thesise</w:t>
      </w:r>
      <w:r w:rsidR="00AF6B38" w:rsidRPr="00BD2C65">
        <w:t xml:space="preserve"> biopolitics and </w:t>
      </w:r>
      <w:r w:rsidR="00BD3430" w:rsidRPr="00BD2C65">
        <w:t>Othering</w:t>
      </w:r>
      <w:r w:rsidR="00AF6B38" w:rsidRPr="00BD2C65">
        <w:t xml:space="preserve"> </w:t>
      </w:r>
      <w:r w:rsidR="00BA2220" w:rsidRPr="00BD2C65">
        <w:t>in order to</w:t>
      </w:r>
      <w:r w:rsidR="00AF6B38" w:rsidRPr="00BD2C65">
        <w:t xml:space="preserve"> understand the impact oppression has on marginalised groups</w:t>
      </w:r>
      <w:r w:rsidR="00EB6048" w:rsidRPr="00BD2C65">
        <w:t xml:space="preserve"> in former British </w:t>
      </w:r>
      <w:r w:rsidR="00BA2220" w:rsidRPr="00BD2C65">
        <w:t>Colonies</w:t>
      </w:r>
      <w:r w:rsidR="00AF6B38" w:rsidRPr="00BD2C65">
        <w:t xml:space="preserve">. The integration of </w:t>
      </w:r>
      <w:r w:rsidR="00BD3430" w:rsidRPr="00BD2C65">
        <w:t>Othering</w:t>
      </w:r>
      <w:r w:rsidR="00F11500" w:rsidRPr="00BD2C65">
        <w:t xml:space="preserve">, </w:t>
      </w:r>
      <w:r w:rsidR="00BA2220" w:rsidRPr="00BD2C65">
        <w:t>Queer Theory</w:t>
      </w:r>
      <w:r w:rsidR="00AF6B38" w:rsidRPr="00BD2C65">
        <w:t xml:space="preserve"> and </w:t>
      </w:r>
      <w:r w:rsidR="00BA2220" w:rsidRPr="00BD2C65">
        <w:t>Decoloniality</w:t>
      </w:r>
      <w:r w:rsidR="00AF6B38" w:rsidRPr="00BD2C65">
        <w:t xml:space="preserve">, as proposed by the author, is a valuable </w:t>
      </w:r>
      <w:r w:rsidR="00BA2220" w:rsidRPr="00BD2C65">
        <w:t>route</w:t>
      </w:r>
      <w:r w:rsidR="00AF6B38" w:rsidRPr="00BD2C65">
        <w:t xml:space="preserve"> to understand</w:t>
      </w:r>
      <w:r w:rsidR="00BA2220" w:rsidRPr="00BD2C65">
        <w:t xml:space="preserve">ing </w:t>
      </w:r>
      <w:r w:rsidR="00AF6B38" w:rsidRPr="00BD2C65">
        <w:t xml:space="preserve">the complexities of power dynamics, </w:t>
      </w:r>
      <w:r w:rsidR="00BD3430" w:rsidRPr="00BD2C65">
        <w:t>Othering</w:t>
      </w:r>
      <w:r w:rsidR="00AD57BE" w:rsidRPr="00BD2C65">
        <w:t>,</w:t>
      </w:r>
      <w:r w:rsidR="00AF6B38" w:rsidRPr="00BD2C65">
        <w:t xml:space="preserve"> and intersectionality. By incorporating Foucauldian analysis</w:t>
      </w:r>
      <w:r w:rsidR="00F11500" w:rsidRPr="00BD2C65">
        <w:t xml:space="preserve"> within this model</w:t>
      </w:r>
      <w:r w:rsidR="00AF6B38" w:rsidRPr="00BD2C65">
        <w:t xml:space="preserve">, the author </w:t>
      </w:r>
      <w:r w:rsidR="007D6A98" w:rsidRPr="00BD2C65">
        <w:t xml:space="preserve">expanded upon the role of power in shaping societal norms and reinforcing oppression, which is a crucial aspect of understanding how marginalised groups are affected by these dynamics. </w:t>
      </w:r>
      <w:r w:rsidR="007D6A98" w:rsidRPr="00BD2C65">
        <w:lastRenderedPageBreak/>
        <w:t>Using intersectionality as a framework, the author has brought together</w:t>
      </w:r>
      <w:r w:rsidR="00F11500" w:rsidRPr="00BD2C65">
        <w:t xml:space="preserve"> these</w:t>
      </w:r>
      <w:r w:rsidR="007D6A98" w:rsidRPr="00BD2C65">
        <w:t xml:space="preserve"> </w:t>
      </w:r>
      <w:r w:rsidR="006369B9" w:rsidRPr="00BD2C65">
        <w:t>perspectives,</w:t>
      </w:r>
      <w:r w:rsidR="007D6A98" w:rsidRPr="00BD2C65">
        <w:t xml:space="preserve"> and</w:t>
      </w:r>
      <w:r w:rsidR="00131267" w:rsidRPr="00BD2C65">
        <w:t xml:space="preserve"> this</w:t>
      </w:r>
      <w:r w:rsidR="007D6A98" w:rsidRPr="00BD2C65">
        <w:t xml:space="preserve"> </w:t>
      </w:r>
      <w:r w:rsidR="00F11500" w:rsidRPr="00BD2C65">
        <w:t xml:space="preserve">has </w:t>
      </w:r>
      <w:r w:rsidR="007D6A98" w:rsidRPr="00BD2C65">
        <w:t>hel</w:t>
      </w:r>
      <w:r w:rsidR="00F11500" w:rsidRPr="00BD2C65">
        <w:t>ped</w:t>
      </w:r>
      <w:r w:rsidR="007D6A98" w:rsidRPr="00BD2C65">
        <w:t xml:space="preserve"> the author to explore the relationship between the self, the other and power, in a comprehensive way. The author’s approach can lead to a deeper understanding of these dynamics</w:t>
      </w:r>
      <w:r w:rsidR="00220D53" w:rsidRPr="00BD2C65">
        <w:t>: how they</w:t>
      </w:r>
      <w:r w:rsidR="007D6A98" w:rsidRPr="00BD2C65">
        <w:t xml:space="preserve"> are interconnected</w:t>
      </w:r>
      <w:r w:rsidR="00220D53" w:rsidRPr="00BD2C65">
        <w:t xml:space="preserve"> </w:t>
      </w:r>
      <w:r w:rsidR="007D6A98" w:rsidRPr="00BD2C65">
        <w:t xml:space="preserve">and how they contribute to the experiences of marginalised people. </w:t>
      </w:r>
      <w:r w:rsidR="00BA2220" w:rsidRPr="00BD2C65">
        <w:t>The</w:t>
      </w:r>
      <w:r w:rsidR="007D6A98" w:rsidRPr="00BD2C65">
        <w:t xml:space="preserve"> integration of </w:t>
      </w:r>
      <w:r w:rsidR="00220D53" w:rsidRPr="00BD2C65">
        <w:t>these theories</w:t>
      </w:r>
      <w:r w:rsidR="007D6A98" w:rsidRPr="00BD2C65">
        <w:t xml:space="preserve"> could create space for debating the complexities of being human, and challenge binary debates that often </w:t>
      </w:r>
      <w:r w:rsidR="00220D53" w:rsidRPr="00BD2C65">
        <w:t>perpetuate</w:t>
      </w:r>
      <w:r w:rsidR="007D6A98" w:rsidRPr="00BD2C65">
        <w:t xml:space="preserve"> oppressive systems. Overall</w:t>
      </w:r>
      <w:r w:rsidR="00EB6048" w:rsidRPr="00BD2C65">
        <w:t>,</w:t>
      </w:r>
      <w:r w:rsidR="007D6A98" w:rsidRPr="00BD2C65">
        <w:t xml:space="preserve"> this approach can contribute to the ongoing work of deconstructing and challenging power dynamics, which have been inherited by the British Colonial system, and promote equality and social justice</w:t>
      </w:r>
      <w:r w:rsidR="00EB6048" w:rsidRPr="00BD2C65">
        <w:t xml:space="preserve"> across former British </w:t>
      </w:r>
      <w:r w:rsidR="00BA2220" w:rsidRPr="00BD2C65">
        <w:t>Colonies</w:t>
      </w:r>
      <w:r w:rsidR="00EB6048" w:rsidRPr="00BD2C65">
        <w:t>.</w:t>
      </w:r>
    </w:p>
    <w:p w14:paraId="3551B2E9" w14:textId="77777777" w:rsidR="00C47F1E" w:rsidRDefault="00C47F1E" w:rsidP="00D41096">
      <w:pPr>
        <w:spacing w:line="360" w:lineRule="auto"/>
        <w:jc w:val="both"/>
      </w:pPr>
    </w:p>
    <w:p w14:paraId="2EE90305" w14:textId="5646FBED" w:rsidR="004C3274" w:rsidRPr="003739F1" w:rsidRDefault="005A5CA3" w:rsidP="00173B7D">
      <w:pPr>
        <w:numPr>
          <w:ilvl w:val="1"/>
          <w:numId w:val="1"/>
        </w:numPr>
        <w:spacing w:line="480" w:lineRule="auto"/>
        <w:outlineLvl w:val="1"/>
        <w:rPr>
          <w:b/>
        </w:rPr>
      </w:pPr>
      <w:bookmarkStart w:id="24" w:name="_Toc145927546"/>
      <w:r>
        <w:rPr>
          <w:b/>
        </w:rPr>
        <w:t>Discussion</w:t>
      </w:r>
      <w:r w:rsidR="004C3274" w:rsidRPr="003739F1">
        <w:rPr>
          <w:b/>
        </w:rPr>
        <w:t xml:space="preserve"> </w:t>
      </w:r>
      <w:r w:rsidR="004C3274">
        <w:rPr>
          <w:b/>
        </w:rPr>
        <w:t>3</w:t>
      </w:r>
      <w:r w:rsidR="004C3274" w:rsidRPr="003739F1">
        <w:rPr>
          <w:b/>
        </w:rPr>
        <w:t>:</w:t>
      </w:r>
      <w:r w:rsidR="004C3274">
        <w:rPr>
          <w:b/>
        </w:rPr>
        <w:t xml:space="preserve"> </w:t>
      </w:r>
      <w:r w:rsidR="004C3274">
        <w:rPr>
          <w:b/>
          <w:bCs/>
        </w:rPr>
        <w:t xml:space="preserve">Morality </w:t>
      </w:r>
      <w:r w:rsidR="005B1CA2">
        <w:rPr>
          <w:b/>
          <w:bCs/>
        </w:rPr>
        <w:t>a nuanced debate</w:t>
      </w:r>
      <w:bookmarkEnd w:id="24"/>
    </w:p>
    <w:p w14:paraId="6935A09F" w14:textId="7D985BDF" w:rsidR="00F91998" w:rsidRDefault="00F91998" w:rsidP="008C1506">
      <w:pPr>
        <w:spacing w:line="480" w:lineRule="auto"/>
        <w:jc w:val="both"/>
      </w:pPr>
      <w:bookmarkStart w:id="25" w:name="_Hlk127394215"/>
      <w:r>
        <w:t xml:space="preserve">As discussed in </w:t>
      </w:r>
      <w:r w:rsidR="00BA2220">
        <w:t>the</w:t>
      </w:r>
      <w:r>
        <w:t xml:space="preserve"> thesis’s Literature Review </w:t>
      </w:r>
      <w:r w:rsidRPr="00DD0C07">
        <w:rPr>
          <w:b/>
          <w:bCs/>
        </w:rPr>
        <w:t xml:space="preserve">Theme </w:t>
      </w:r>
      <w:r>
        <w:rPr>
          <w:b/>
          <w:bCs/>
        </w:rPr>
        <w:t xml:space="preserve">3: Morality, </w:t>
      </w:r>
      <w:r>
        <w:t>this chapter explores the author</w:t>
      </w:r>
      <w:r w:rsidR="00BA2220">
        <w:t>’</w:t>
      </w:r>
      <w:r>
        <w:t xml:space="preserve">s understanding of how Morality impacted on former British </w:t>
      </w:r>
      <w:r w:rsidR="00BA2220">
        <w:t>c</w:t>
      </w:r>
      <w:r>
        <w:t>olonial subjects</w:t>
      </w:r>
      <w:r w:rsidR="005B1CA2">
        <w:t xml:space="preserve">’ sexuality and gender identity and how </w:t>
      </w:r>
      <w:r w:rsidR="00BA2220">
        <w:t xml:space="preserve">it impacts to </w:t>
      </w:r>
      <w:r w:rsidR="005B1CA2">
        <w:t xml:space="preserve">this </w:t>
      </w:r>
      <w:r w:rsidR="00693048">
        <w:t>day.</w:t>
      </w:r>
      <w:r w:rsidR="005B1CA2">
        <w:t xml:space="preserve"> </w:t>
      </w:r>
    </w:p>
    <w:p w14:paraId="7DA6E45C" w14:textId="77777777" w:rsidR="00F91998" w:rsidRDefault="00F91998" w:rsidP="008C1506">
      <w:pPr>
        <w:spacing w:line="480" w:lineRule="auto"/>
        <w:jc w:val="both"/>
      </w:pPr>
    </w:p>
    <w:p w14:paraId="153D8FF3" w14:textId="5D8FF80B" w:rsidR="00A973A7" w:rsidRDefault="00B06BAB" w:rsidP="008C1506">
      <w:pPr>
        <w:spacing w:line="480" w:lineRule="auto"/>
        <w:jc w:val="both"/>
      </w:pPr>
      <w:r>
        <w:t xml:space="preserve">The author understands that </w:t>
      </w:r>
      <w:r w:rsidRPr="004D36A1">
        <w:t xml:space="preserve">Britain </w:t>
      </w:r>
      <w:r w:rsidR="00CB3AC3" w:rsidRPr="004D36A1">
        <w:t>predominately</w:t>
      </w:r>
      <w:r w:rsidRPr="004D36A1">
        <w:t xml:space="preserve"> </w:t>
      </w:r>
      <w:r w:rsidR="000A2954">
        <w:t xml:space="preserve">has </w:t>
      </w:r>
      <w:r w:rsidRPr="004D36A1">
        <w:t xml:space="preserve">a </w:t>
      </w:r>
      <w:r w:rsidR="000A2954">
        <w:t xml:space="preserve">history of being a </w:t>
      </w:r>
      <w:r w:rsidRPr="004D36A1">
        <w:t>Christian country</w:t>
      </w:r>
      <w:r w:rsidR="000A2954">
        <w:t xml:space="preserve"> with </w:t>
      </w:r>
      <w:r>
        <w:t xml:space="preserve">a strict idea of gender and sexual orientation </w:t>
      </w:r>
      <w:r w:rsidR="00E65A03">
        <w:t xml:space="preserve">based on a </w:t>
      </w:r>
      <w:r w:rsidR="00205046">
        <w:t xml:space="preserve">binary </w:t>
      </w:r>
      <w:r w:rsidR="00E65A03">
        <w:t>essentialist view</w:t>
      </w:r>
      <w:r w:rsidR="002F6239">
        <w:t>,</w:t>
      </w:r>
      <w:r w:rsidR="001E365D">
        <w:t xml:space="preserve"> </w:t>
      </w:r>
      <w:r>
        <w:t>informed by the Judeo-Christian moral code</w:t>
      </w:r>
      <w:r w:rsidR="00E42E9F">
        <w:t xml:space="preserve"> (Runkel, 1998)</w:t>
      </w:r>
      <w:r>
        <w:t xml:space="preserve">. </w:t>
      </w:r>
      <w:r w:rsidR="000A2954">
        <w:t>Although attitudes are changing, the cultural legacy of this impact is ongoing (</w:t>
      </w:r>
      <w:r w:rsidR="000A2954">
        <w:rPr>
          <w:color w:val="000000"/>
        </w:rPr>
        <w:t xml:space="preserve">Puar, 2013; Schotten 2016; Slootmaeckers, Touquet and Vermeersch, 2016). </w:t>
      </w:r>
    </w:p>
    <w:p w14:paraId="17A1E901" w14:textId="77777777" w:rsidR="00A973A7" w:rsidRDefault="00A973A7" w:rsidP="008C1506">
      <w:pPr>
        <w:spacing w:line="480" w:lineRule="auto"/>
        <w:jc w:val="both"/>
      </w:pPr>
    </w:p>
    <w:p w14:paraId="08EC1E66" w14:textId="45EA77AE" w:rsidR="00A36676" w:rsidRDefault="00A973A7" w:rsidP="008C1506">
      <w:pPr>
        <w:spacing w:line="480" w:lineRule="auto"/>
        <w:jc w:val="both"/>
      </w:pPr>
      <w:r w:rsidRPr="00522E21">
        <w:t xml:space="preserve">In Christianity, the </w:t>
      </w:r>
      <w:r w:rsidR="00EA7A8F" w:rsidRPr="00522E21">
        <w:t xml:space="preserve">historical and </w:t>
      </w:r>
      <w:r w:rsidRPr="00522E21">
        <w:t xml:space="preserve">traditional interpretation </w:t>
      </w:r>
      <w:r w:rsidR="007B35C8" w:rsidRPr="00522E21">
        <w:t>from the</w:t>
      </w:r>
      <w:r w:rsidRPr="00522E21">
        <w:t xml:space="preserve"> Bible </w:t>
      </w:r>
      <w:r w:rsidR="007B35C8" w:rsidRPr="00522E21">
        <w:t>about</w:t>
      </w:r>
      <w:r w:rsidRPr="00522E21">
        <w:t xml:space="preserve"> homosexuality is</w:t>
      </w:r>
      <w:r w:rsidR="007B35C8" w:rsidRPr="00522E21">
        <w:t xml:space="preserve"> that it is</w:t>
      </w:r>
      <w:r w:rsidRPr="00522E21">
        <w:t xml:space="preserve"> a sin, and some Christian denominations have taken this to mean that </w:t>
      </w:r>
      <w:r w:rsidR="00BB2A73" w:rsidRPr="00522E21">
        <w:t>LGBTQIA+</w:t>
      </w:r>
      <w:r w:rsidRPr="00522E21">
        <w:t xml:space="preserve"> </w:t>
      </w:r>
      <w:r w:rsidR="000A2954">
        <w:t xml:space="preserve">individuals </w:t>
      </w:r>
      <w:r w:rsidRPr="00522E21">
        <w:t>are inherently immoral or disordered</w:t>
      </w:r>
      <w:r w:rsidR="00E42E9F" w:rsidRPr="00522E21">
        <w:t xml:space="preserve"> (ibid</w:t>
      </w:r>
      <w:r w:rsidR="003C4A68">
        <w:t>; Human Rights Watch, 2008</w:t>
      </w:r>
      <w:r w:rsidR="00E42E9F" w:rsidRPr="00522E21">
        <w:t>)</w:t>
      </w:r>
      <w:r w:rsidRPr="00522E21">
        <w:t xml:space="preserve">. This has led to a long history of discrimination against </w:t>
      </w:r>
      <w:r w:rsidR="00BB2A73" w:rsidRPr="00522E21">
        <w:lastRenderedPageBreak/>
        <w:t xml:space="preserve">LGBTQIA+ </w:t>
      </w:r>
      <w:r w:rsidR="000A2954">
        <w:t>people</w:t>
      </w:r>
      <w:r w:rsidRPr="00522E21">
        <w:t xml:space="preserve"> in Christian societies, as well as persecution and violence in some cases</w:t>
      </w:r>
      <w:r w:rsidR="00EA7A8F" w:rsidRPr="00522E21">
        <w:t xml:space="preserve">, </w:t>
      </w:r>
      <w:r w:rsidR="000A2954">
        <w:t>as in</w:t>
      </w:r>
      <w:r w:rsidR="00EA7A8F" w:rsidRPr="00522E21">
        <w:t xml:space="preserve"> Britain</w:t>
      </w:r>
      <w:r w:rsidR="00E42E9F" w:rsidRPr="00522E21">
        <w:t xml:space="preserve"> (</w:t>
      </w:r>
      <w:r w:rsidR="003C4A68">
        <w:t>Runkel, 1998</w:t>
      </w:r>
      <w:r w:rsidR="00E81A90">
        <w:t>)</w:t>
      </w:r>
    </w:p>
    <w:p w14:paraId="26FF3336" w14:textId="77777777" w:rsidR="00442C48" w:rsidRDefault="00442C48" w:rsidP="008C1506">
      <w:pPr>
        <w:spacing w:line="480" w:lineRule="auto"/>
        <w:jc w:val="both"/>
      </w:pPr>
    </w:p>
    <w:p w14:paraId="3B8D2DCF" w14:textId="77DDE591" w:rsidR="00A973A7" w:rsidRDefault="00A973A7" w:rsidP="008C1506">
      <w:pPr>
        <w:spacing w:line="480" w:lineRule="auto"/>
        <w:jc w:val="both"/>
        <w:rPr>
          <w:color w:val="000000"/>
        </w:rPr>
      </w:pPr>
      <w:r w:rsidRPr="00522E21">
        <w:t xml:space="preserve">However, in recent years many Christian denominations have become more accepting of </w:t>
      </w:r>
      <w:r w:rsidR="00BB2A73" w:rsidRPr="00522E21">
        <w:t xml:space="preserve">LGBTQIA+ </w:t>
      </w:r>
      <w:r w:rsidRPr="00522E21">
        <w:t xml:space="preserve">individuals and </w:t>
      </w:r>
      <w:r w:rsidR="00497A15" w:rsidRPr="00522E21">
        <w:t>relationships and</w:t>
      </w:r>
      <w:r w:rsidRPr="00522E21">
        <w:t xml:space="preserve"> have begun to ordain openly gay or transgender clergy and perform </w:t>
      </w:r>
      <w:r w:rsidRPr="00522E21">
        <w:rPr>
          <w:color w:val="000000"/>
        </w:rPr>
        <w:t>same-sex marriages</w:t>
      </w:r>
      <w:r w:rsidR="00EA7A8F" w:rsidRPr="00522E21">
        <w:rPr>
          <w:color w:val="000000"/>
        </w:rPr>
        <w:t xml:space="preserve">, including </w:t>
      </w:r>
      <w:r w:rsidR="00046BF2" w:rsidRPr="00522E21">
        <w:rPr>
          <w:color w:val="000000"/>
        </w:rPr>
        <w:t xml:space="preserve">in </w:t>
      </w:r>
      <w:r w:rsidR="00EA7A8F" w:rsidRPr="00522E21">
        <w:rPr>
          <w:color w:val="000000"/>
        </w:rPr>
        <w:t>Britain</w:t>
      </w:r>
      <w:r w:rsidR="00E42E9F" w:rsidRPr="00522E21">
        <w:rPr>
          <w:color w:val="000000"/>
        </w:rPr>
        <w:t xml:space="preserve"> (</w:t>
      </w:r>
      <w:r w:rsidR="00FC643C" w:rsidRPr="00522E21">
        <w:rPr>
          <w:color w:val="000000"/>
        </w:rPr>
        <w:t>Coley</w:t>
      </w:r>
      <w:r w:rsidR="00933CFE" w:rsidRPr="00522E21">
        <w:rPr>
          <w:color w:val="000000"/>
        </w:rPr>
        <w:t>, 2016</w:t>
      </w:r>
      <w:r w:rsidR="00E42E9F" w:rsidRPr="00522E21">
        <w:rPr>
          <w:color w:val="000000"/>
        </w:rPr>
        <w:t>)</w:t>
      </w:r>
      <w:r w:rsidRPr="00522E21">
        <w:rPr>
          <w:color w:val="000000"/>
        </w:rPr>
        <w:t>.</w:t>
      </w:r>
      <w:r w:rsidR="00046BF2">
        <w:rPr>
          <w:color w:val="000000"/>
        </w:rPr>
        <w:t xml:space="preserve"> This illustrates that</w:t>
      </w:r>
      <w:r w:rsidR="000A2954">
        <w:rPr>
          <w:color w:val="000000"/>
        </w:rPr>
        <w:t xml:space="preserve"> some</w:t>
      </w:r>
      <w:r w:rsidR="00046BF2">
        <w:rPr>
          <w:color w:val="000000"/>
        </w:rPr>
        <w:t xml:space="preserve"> </w:t>
      </w:r>
      <w:r w:rsidR="00122312">
        <w:rPr>
          <w:color w:val="000000"/>
        </w:rPr>
        <w:t xml:space="preserve">Christian denominations </w:t>
      </w:r>
      <w:r w:rsidR="000A2954">
        <w:rPr>
          <w:color w:val="000000"/>
        </w:rPr>
        <w:t>response to</w:t>
      </w:r>
      <w:r w:rsidR="00497A15">
        <w:rPr>
          <w:color w:val="000000"/>
        </w:rPr>
        <w:t xml:space="preserve"> homosexuality is</w:t>
      </w:r>
      <w:r w:rsidR="000E6021">
        <w:rPr>
          <w:color w:val="000000"/>
        </w:rPr>
        <w:t xml:space="preserve"> </w:t>
      </w:r>
      <w:r w:rsidR="00497A15">
        <w:rPr>
          <w:color w:val="000000"/>
        </w:rPr>
        <w:t xml:space="preserve">not </w:t>
      </w:r>
      <w:r w:rsidR="000E6021">
        <w:rPr>
          <w:color w:val="000000"/>
        </w:rPr>
        <w:t>uniform</w:t>
      </w:r>
      <w:r w:rsidR="00122312">
        <w:rPr>
          <w:color w:val="000000"/>
        </w:rPr>
        <w:t>,</w:t>
      </w:r>
      <w:r w:rsidR="000E6021">
        <w:rPr>
          <w:color w:val="000000"/>
        </w:rPr>
        <w:t xml:space="preserve"> and there is variation in how different religious communities interpret and apply religious teachings</w:t>
      </w:r>
      <w:r w:rsidR="000E6021" w:rsidRPr="000E6021">
        <w:rPr>
          <w:color w:val="000000"/>
        </w:rPr>
        <w:t xml:space="preserve"> </w:t>
      </w:r>
      <w:r w:rsidR="00C571F6">
        <w:rPr>
          <w:color w:val="000000"/>
        </w:rPr>
        <w:t>to</w:t>
      </w:r>
      <w:r w:rsidR="000E6021">
        <w:rPr>
          <w:color w:val="000000"/>
        </w:rPr>
        <w:t xml:space="preserve"> sexuality and gender </w:t>
      </w:r>
      <w:r w:rsidR="000E6021" w:rsidRPr="005F3B9E">
        <w:rPr>
          <w:color w:val="000000"/>
        </w:rPr>
        <w:t>(</w:t>
      </w:r>
      <w:r w:rsidR="000E6021" w:rsidRPr="005F3B9E">
        <w:rPr>
          <w:rStyle w:val="authors"/>
          <w:color w:val="000000"/>
          <w:shd w:val="clear" w:color="auto" w:fill="FFFFFF"/>
        </w:rPr>
        <w:t>Endsjø</w:t>
      </w:r>
      <w:r w:rsidR="000E6021" w:rsidRPr="005F3B9E">
        <w:rPr>
          <w:color w:val="000000"/>
          <w:shd w:val="clear" w:color="auto" w:fill="FFFFFF"/>
        </w:rPr>
        <w:t>, 2020</w:t>
      </w:r>
      <w:r w:rsidR="000E6021" w:rsidRPr="005F3B9E">
        <w:rPr>
          <w:color w:val="000000"/>
        </w:rPr>
        <w:t>).</w:t>
      </w:r>
      <w:r w:rsidR="000E6021">
        <w:rPr>
          <w:color w:val="000000"/>
        </w:rPr>
        <w:t xml:space="preserve"> </w:t>
      </w:r>
    </w:p>
    <w:p w14:paraId="7D7F7888" w14:textId="77777777" w:rsidR="00A973A7" w:rsidRDefault="00A973A7" w:rsidP="008C1506">
      <w:pPr>
        <w:spacing w:line="480" w:lineRule="auto"/>
        <w:jc w:val="both"/>
      </w:pPr>
    </w:p>
    <w:p w14:paraId="3A6EEF0E" w14:textId="3AC653FD" w:rsidR="00F15C3E" w:rsidRDefault="00DE36AD" w:rsidP="008C1506">
      <w:pPr>
        <w:spacing w:line="480" w:lineRule="auto"/>
        <w:jc w:val="both"/>
      </w:pPr>
      <w:r>
        <w:t>Moreover, the</w:t>
      </w:r>
      <w:r w:rsidR="00A71CD2">
        <w:t xml:space="preserve"> </w:t>
      </w:r>
      <w:r w:rsidR="00A973A7">
        <w:t>Judeo-Christian moral</w:t>
      </w:r>
      <w:r w:rsidR="00B06BAB">
        <w:t xml:space="preserve"> code</w:t>
      </w:r>
      <w:r w:rsidR="00A973A7">
        <w:t>,</w:t>
      </w:r>
      <w:r w:rsidR="00A71CD2">
        <w:t xml:space="preserve"> </w:t>
      </w:r>
      <w:r w:rsidR="003F33BE">
        <w:t xml:space="preserve">and particularly the Anglican </w:t>
      </w:r>
      <w:r w:rsidR="0018161B">
        <w:t>Church’s, interpretation</w:t>
      </w:r>
      <w:r w:rsidR="003F33BE">
        <w:t xml:space="preserve"> of Christian values, have</w:t>
      </w:r>
      <w:r w:rsidR="00B06BAB">
        <w:t xml:space="preserve"> had </w:t>
      </w:r>
      <w:r w:rsidR="006A305D">
        <w:t>a</w:t>
      </w:r>
      <w:r w:rsidR="00B06BAB">
        <w:t xml:space="preserve"> significant influence on views of gender and sexual orientation</w:t>
      </w:r>
      <w:r w:rsidR="003F33BE">
        <w:t xml:space="preserve"> </w:t>
      </w:r>
      <w:r w:rsidR="00E42E9F">
        <w:t>(</w:t>
      </w:r>
      <w:r w:rsidR="00CA7FBF">
        <w:t>Andrews, 2009</w:t>
      </w:r>
      <w:r w:rsidR="00E42E9F">
        <w:t>)</w:t>
      </w:r>
      <w:r w:rsidR="00B06BAB">
        <w:t xml:space="preserve">. This code has shaped </w:t>
      </w:r>
      <w:r w:rsidR="003F33BE">
        <w:t xml:space="preserve">oppressive </w:t>
      </w:r>
      <w:r w:rsidR="00B06BAB">
        <w:t xml:space="preserve">laws, </w:t>
      </w:r>
      <w:r w:rsidR="003F33BE">
        <w:t>against</w:t>
      </w:r>
      <w:r w:rsidR="00B06BAB">
        <w:t xml:space="preserve"> LGBTQIA+ people for centuries</w:t>
      </w:r>
      <w:r w:rsidR="00E42E9F">
        <w:t xml:space="preserve"> (</w:t>
      </w:r>
      <w:r w:rsidR="00CA7FBF">
        <w:t>ibid.</w:t>
      </w:r>
      <w:r w:rsidR="00E42E9F">
        <w:t>)</w:t>
      </w:r>
      <w:r w:rsidR="00B06BAB">
        <w:t>.</w:t>
      </w:r>
      <w:r w:rsidR="003F33BE">
        <w:t xml:space="preserve"> I</w:t>
      </w:r>
      <w:r w:rsidR="00B06BAB">
        <w:t xml:space="preserve">t has </w:t>
      </w:r>
      <w:r w:rsidR="003F33BE">
        <w:t xml:space="preserve">affected </w:t>
      </w:r>
      <w:r w:rsidR="00B06BAB">
        <w:t xml:space="preserve">societies across the world, including former </w:t>
      </w:r>
      <w:r w:rsidR="00BA2220">
        <w:t xml:space="preserve">British </w:t>
      </w:r>
      <w:r w:rsidR="003F33BE">
        <w:t>c</w:t>
      </w:r>
      <w:r w:rsidR="00BA2220">
        <w:t xml:space="preserve">olonies </w:t>
      </w:r>
      <w:r w:rsidR="00E42E9F">
        <w:t>(</w:t>
      </w:r>
      <w:r w:rsidR="00CA7FBF">
        <w:t>Picq and Tikuna, 2019; Peatrik, 2021</w:t>
      </w:r>
      <w:r w:rsidR="00E42E9F">
        <w:t>)</w:t>
      </w:r>
      <w:r w:rsidR="00B06BAB">
        <w:t xml:space="preserve">. </w:t>
      </w:r>
      <w:r w:rsidR="00A973A7">
        <w:t xml:space="preserve"> </w:t>
      </w:r>
      <w:r w:rsidR="005B1CA2" w:rsidRPr="005B1CA2">
        <w:t xml:space="preserve">The relationship between Christian </w:t>
      </w:r>
      <w:r w:rsidR="005B1CA2">
        <w:rPr>
          <w:color w:val="000000"/>
        </w:rPr>
        <w:t xml:space="preserve">morality and </w:t>
      </w:r>
      <w:r w:rsidR="00BB2A73">
        <w:rPr>
          <w:color w:val="000000"/>
        </w:rPr>
        <w:t xml:space="preserve">LGBTQIA+ </w:t>
      </w:r>
      <w:r w:rsidR="005B1CA2">
        <w:rPr>
          <w:color w:val="000000"/>
        </w:rPr>
        <w:t>rights is not just a matter of beliefs and attitudes, but also of power and privilege</w:t>
      </w:r>
      <w:r w:rsidR="00E42E9F">
        <w:rPr>
          <w:color w:val="000000"/>
        </w:rPr>
        <w:t xml:space="preserve"> (</w:t>
      </w:r>
      <w:r w:rsidR="00D3405D" w:rsidRPr="00B444F6">
        <w:rPr>
          <w:color w:val="000000"/>
        </w:rPr>
        <w:t>Todd et al, 2020</w:t>
      </w:r>
      <w:r w:rsidR="00E42E9F">
        <w:rPr>
          <w:color w:val="000000"/>
        </w:rPr>
        <w:t>)</w:t>
      </w:r>
      <w:r w:rsidR="005B1CA2">
        <w:rPr>
          <w:color w:val="000000"/>
        </w:rPr>
        <w:t>. Those who hold power in society, including</w:t>
      </w:r>
      <w:r w:rsidR="005B1CA2" w:rsidRPr="005B1CA2">
        <w:t xml:space="preserve"> religious leaders, may use their influence to maintain the status quo, while those who are marginali</w:t>
      </w:r>
      <w:r w:rsidR="003F33BE">
        <w:t>s</w:t>
      </w:r>
      <w:r w:rsidR="005B1CA2" w:rsidRPr="005B1CA2">
        <w:t>ed and oppressed may struggle to be hea</w:t>
      </w:r>
      <w:r w:rsidR="003F33BE">
        <w:t xml:space="preserve">rd </w:t>
      </w:r>
      <w:r w:rsidR="00E42E9F">
        <w:t>(</w:t>
      </w:r>
      <w:r w:rsidR="00CA7FBF">
        <w:t>Butler, 1999</w:t>
      </w:r>
      <w:r w:rsidR="001E6AC8">
        <w:t xml:space="preserve">; </w:t>
      </w:r>
      <w:r w:rsidR="001E6AC8" w:rsidRPr="00B444F6">
        <w:rPr>
          <w:color w:val="000000"/>
        </w:rPr>
        <w:t>Todd et al, 2020</w:t>
      </w:r>
      <w:r w:rsidR="00E42E9F">
        <w:t>)</w:t>
      </w:r>
      <w:r w:rsidR="005B1CA2" w:rsidRPr="005B1CA2">
        <w:t>.</w:t>
      </w:r>
      <w:r>
        <w:t xml:space="preserve"> Christian morality has had a significant impact on the treatment of LGBTQIA+ rights in former </w:t>
      </w:r>
      <w:r w:rsidR="00BD3430">
        <w:t xml:space="preserve">British </w:t>
      </w:r>
      <w:r w:rsidR="003F33BE">
        <w:t>c</w:t>
      </w:r>
      <w:r w:rsidR="00BD3430">
        <w:t>olonies</w:t>
      </w:r>
      <w:r w:rsidR="003F33BE">
        <w:t>.</w:t>
      </w:r>
      <w:r>
        <w:t xml:space="preserve"> </w:t>
      </w:r>
      <w:r w:rsidR="003F33BE">
        <w:t>They have</w:t>
      </w:r>
      <w:r>
        <w:t xml:space="preserve"> often had inherited anti-sodomy laws and other discriminatory policies </w:t>
      </w:r>
      <w:r w:rsidR="003F33BE">
        <w:t>in</w:t>
      </w:r>
      <w:r>
        <w:t xml:space="preserve"> the colonial past (Mooney, 2020; Jindra, 2021; Kling, 2020).</w:t>
      </w:r>
      <w:r w:rsidR="00CE2755">
        <w:t xml:space="preserve"> </w:t>
      </w:r>
      <w:r w:rsidR="000802E8">
        <w:t xml:space="preserve">Additionally, </w:t>
      </w:r>
      <w:r w:rsidR="006A305D">
        <w:t>the</w:t>
      </w:r>
      <w:r w:rsidR="000802E8" w:rsidRPr="00322C31">
        <w:t xml:space="preserve"> </w:t>
      </w:r>
      <w:r w:rsidR="000802E8">
        <w:t xml:space="preserve">colonisers used this </w:t>
      </w:r>
      <w:r w:rsidR="000802E8" w:rsidRPr="00322C31">
        <w:t xml:space="preserve">moral code to justify </w:t>
      </w:r>
      <w:r w:rsidR="000802E8">
        <w:t xml:space="preserve">the subjugation of </w:t>
      </w:r>
      <w:r w:rsidR="00CA2FC7">
        <w:t>I</w:t>
      </w:r>
      <w:r w:rsidR="00BE4F57">
        <w:t xml:space="preserve">ndigenous </w:t>
      </w:r>
      <w:r w:rsidR="00CA2FC7">
        <w:t>P</w:t>
      </w:r>
      <w:r w:rsidR="000802E8">
        <w:t>eoples</w:t>
      </w:r>
      <w:r w:rsidR="000802E8" w:rsidRPr="00322C31">
        <w:t xml:space="preserve">, </w:t>
      </w:r>
      <w:r w:rsidR="003F33BE">
        <w:t xml:space="preserve">claiming to </w:t>
      </w:r>
      <w:r w:rsidR="000802E8" w:rsidRPr="00322C31">
        <w:t>believe that they were saving them from sin and immoral practices by converting them</w:t>
      </w:r>
      <w:r w:rsidR="00F15C3E">
        <w:t xml:space="preserve"> to Christianity. This </w:t>
      </w:r>
      <w:r w:rsidR="00F15C3E">
        <w:lastRenderedPageBreak/>
        <w:t xml:space="preserve">involved introducing a binary essentialist understanding of gender and sexuality. Whether the colonisers really believed they were working towards salvation of the indigenous people or not. the social and economic oppression people continued unabated </w:t>
      </w:r>
      <w:r w:rsidR="000802E8">
        <w:t>(ibid.)</w:t>
      </w:r>
      <w:r w:rsidR="003F33BE">
        <w:t xml:space="preserve">. </w:t>
      </w:r>
    </w:p>
    <w:p w14:paraId="3CD26C67" w14:textId="77777777" w:rsidR="00F15C3E" w:rsidRDefault="00F15C3E" w:rsidP="008C1506">
      <w:pPr>
        <w:spacing w:line="480" w:lineRule="auto"/>
        <w:jc w:val="both"/>
      </w:pPr>
    </w:p>
    <w:p w14:paraId="0A3BDA2F" w14:textId="22F608BE" w:rsidR="005B1CA2" w:rsidRDefault="003F33BE" w:rsidP="008C1506">
      <w:pPr>
        <w:spacing w:line="480" w:lineRule="auto"/>
        <w:jc w:val="both"/>
        <w:rPr>
          <w:color w:val="000000"/>
        </w:rPr>
      </w:pPr>
      <w:r>
        <w:t>T</w:t>
      </w:r>
      <w:r w:rsidR="000802E8">
        <w:t>h</w:t>
      </w:r>
      <w:r w:rsidR="00F15C3E">
        <w:t xml:space="preserve">e </w:t>
      </w:r>
      <w:r w:rsidR="001F2D67">
        <w:t>debate about the impact of Christian morality on former British colonies is complex and nuanced</w:t>
      </w:r>
      <w:r w:rsidR="00F15C3E">
        <w:t>;</w:t>
      </w:r>
      <w:r w:rsidR="001F2D67">
        <w:t xml:space="preserve"> for </w:t>
      </w:r>
      <w:r w:rsidR="0018161B">
        <w:t>example,</w:t>
      </w:r>
      <w:r w:rsidR="001F2D67">
        <w:t xml:space="preserve"> Canada, Australia and America have </w:t>
      </w:r>
      <w:r w:rsidR="001F2D67">
        <w:rPr>
          <w:color w:val="000000"/>
        </w:rPr>
        <w:t xml:space="preserve">relatively progressive LGBTQIA+ attitudes and legislation </w:t>
      </w:r>
      <w:r w:rsidR="001F2D67" w:rsidRPr="00B10042">
        <w:rPr>
          <w:color w:val="000000"/>
        </w:rPr>
        <w:t>(Ross et al, 2021)</w:t>
      </w:r>
      <w:r w:rsidR="00F15C3E">
        <w:rPr>
          <w:color w:val="000000"/>
        </w:rPr>
        <w:t>, all those these</w:t>
      </w:r>
      <w:r w:rsidR="001F2D67">
        <w:rPr>
          <w:color w:val="000000"/>
        </w:rPr>
        <w:t xml:space="preserve"> countries are often seen</w:t>
      </w:r>
      <w:r w:rsidR="00F15C3E">
        <w:rPr>
          <w:color w:val="000000"/>
        </w:rPr>
        <w:t xml:space="preserve"> by former colonies </w:t>
      </w:r>
      <w:r w:rsidR="001F2D67">
        <w:rPr>
          <w:color w:val="000000"/>
        </w:rPr>
        <w:t xml:space="preserve">as being part of the westernised, global north elite where LGBTQIA+ rights have become a sign of what a westernised modern society is (Puar, 2013). This illustrates the </w:t>
      </w:r>
      <w:r w:rsidR="00F15C3E">
        <w:rPr>
          <w:color w:val="000000"/>
        </w:rPr>
        <w:t>complexities of</w:t>
      </w:r>
      <w:r w:rsidR="001F2D67">
        <w:rPr>
          <w:color w:val="000000"/>
        </w:rPr>
        <w:t xml:space="preserve"> decolonisation and its relationship with modern cultural </w:t>
      </w:r>
      <w:r w:rsidR="00564B4D">
        <w:rPr>
          <w:color w:val="000000"/>
        </w:rPr>
        <w:t>imperialism</w:t>
      </w:r>
      <w:r w:rsidR="001F2D67">
        <w:rPr>
          <w:color w:val="000000"/>
        </w:rPr>
        <w:t xml:space="preserve">. </w:t>
      </w:r>
      <w:r w:rsidR="005B1CA2">
        <w:rPr>
          <w:color w:val="000000"/>
        </w:rPr>
        <w:t xml:space="preserve">On the other hand, different </w:t>
      </w:r>
      <w:r w:rsidR="0097030E">
        <w:rPr>
          <w:color w:val="000000"/>
        </w:rPr>
        <w:t xml:space="preserve">former </w:t>
      </w:r>
      <w:r w:rsidR="00BA2220">
        <w:rPr>
          <w:color w:val="000000"/>
        </w:rPr>
        <w:t xml:space="preserve">British </w:t>
      </w:r>
      <w:r w:rsidR="00F15C3E">
        <w:rPr>
          <w:color w:val="000000"/>
        </w:rPr>
        <w:t>c</w:t>
      </w:r>
      <w:r w:rsidR="00BA2220">
        <w:rPr>
          <w:color w:val="000000"/>
        </w:rPr>
        <w:t xml:space="preserve">olonies </w:t>
      </w:r>
      <w:r w:rsidR="005B1CA2">
        <w:rPr>
          <w:color w:val="000000"/>
        </w:rPr>
        <w:t xml:space="preserve">in Africa </w:t>
      </w:r>
      <w:r w:rsidR="0097030E">
        <w:rPr>
          <w:color w:val="000000"/>
        </w:rPr>
        <w:t>h</w:t>
      </w:r>
      <w:r w:rsidR="005B1CA2">
        <w:rPr>
          <w:color w:val="000000"/>
        </w:rPr>
        <w:t>ave varying opinions on LGBTQIA+ people</w:t>
      </w:r>
      <w:r w:rsidR="00E42E9F">
        <w:rPr>
          <w:color w:val="000000"/>
        </w:rPr>
        <w:t xml:space="preserve"> </w:t>
      </w:r>
      <w:r w:rsidR="00E42E9F" w:rsidRPr="00A0722A">
        <w:rPr>
          <w:color w:val="000000"/>
        </w:rPr>
        <w:t>(</w:t>
      </w:r>
      <w:r w:rsidR="00D3405D" w:rsidRPr="00A0722A">
        <w:rPr>
          <w:color w:val="000000"/>
        </w:rPr>
        <w:t>Izugbara et al, 2020</w:t>
      </w:r>
      <w:r w:rsidR="00E42E9F" w:rsidRPr="00A0722A">
        <w:rPr>
          <w:color w:val="000000"/>
        </w:rPr>
        <w:t>)</w:t>
      </w:r>
      <w:r w:rsidR="005B1CA2" w:rsidRPr="00A0722A">
        <w:rPr>
          <w:color w:val="000000"/>
        </w:rPr>
        <w:t>. For</w:t>
      </w:r>
      <w:r w:rsidR="005B1CA2">
        <w:rPr>
          <w:color w:val="000000"/>
        </w:rPr>
        <w:t xml:space="preserve"> example, Uganda and Nigeria, have strengthened anti-</w:t>
      </w:r>
      <w:r w:rsidR="00BB2A73">
        <w:rPr>
          <w:color w:val="000000"/>
        </w:rPr>
        <w:t xml:space="preserve">LGBTQIA+ </w:t>
      </w:r>
      <w:r w:rsidR="005B1CA2">
        <w:rPr>
          <w:color w:val="000000"/>
        </w:rPr>
        <w:t>laws based on</w:t>
      </w:r>
      <w:r w:rsidR="00ED59BE">
        <w:rPr>
          <w:color w:val="000000"/>
        </w:rPr>
        <w:t xml:space="preserve"> a </w:t>
      </w:r>
      <w:r w:rsidR="0047434D">
        <w:rPr>
          <w:color w:val="000000"/>
        </w:rPr>
        <w:t>narrow-based</w:t>
      </w:r>
      <w:r w:rsidR="00ED59BE">
        <w:rPr>
          <w:color w:val="000000"/>
        </w:rPr>
        <w:t xml:space="preserve"> interpretation</w:t>
      </w:r>
      <w:r w:rsidR="005B1CA2">
        <w:rPr>
          <w:color w:val="000000"/>
        </w:rPr>
        <w:t xml:space="preserve"> </w:t>
      </w:r>
      <w:r w:rsidR="0047434D">
        <w:rPr>
          <w:color w:val="000000"/>
        </w:rPr>
        <w:t xml:space="preserve">of </w:t>
      </w:r>
      <w:r w:rsidR="005B1CA2">
        <w:rPr>
          <w:color w:val="000000"/>
        </w:rPr>
        <w:t>Christian moral</w:t>
      </w:r>
      <w:r w:rsidR="00ED59BE">
        <w:rPr>
          <w:color w:val="000000"/>
        </w:rPr>
        <w:t>ity</w:t>
      </w:r>
      <w:r w:rsidR="00461786">
        <w:rPr>
          <w:color w:val="000000"/>
        </w:rPr>
        <w:t>. In Uganda, a proposed Anti-Homosexuality Bill in 2009 would have imposed the death penalty for some homosexual acts, and the bill's supporters cited biblical passages to justify their position (</w:t>
      </w:r>
      <w:r w:rsidR="00461786" w:rsidRPr="00522E21">
        <w:rPr>
          <w:color w:val="000000"/>
        </w:rPr>
        <w:t>Wahab, 2016</w:t>
      </w:r>
      <w:r w:rsidR="00ED59BE">
        <w:rPr>
          <w:color w:val="000000"/>
        </w:rPr>
        <w:t xml:space="preserve">); that bill, after some hesitation, has since been passed into law (BBC, 2023). </w:t>
      </w:r>
      <w:r w:rsidR="00461786">
        <w:rPr>
          <w:color w:val="000000"/>
        </w:rPr>
        <w:t xml:space="preserve"> </w:t>
      </w:r>
      <w:r w:rsidR="00ED59BE">
        <w:rPr>
          <w:color w:val="000000"/>
        </w:rPr>
        <w:t>In</w:t>
      </w:r>
      <w:r w:rsidR="00461786">
        <w:rPr>
          <w:color w:val="000000"/>
        </w:rPr>
        <w:t xml:space="preserve"> Nigeria a law passed in 2014</w:t>
      </w:r>
      <w:r w:rsidR="00461786" w:rsidRPr="008D0FB0">
        <w:t xml:space="preserve"> </w:t>
      </w:r>
      <w:r w:rsidR="00461786">
        <w:rPr>
          <w:color w:val="000000"/>
        </w:rPr>
        <w:t xml:space="preserve">criminalized same-sex </w:t>
      </w:r>
      <w:r w:rsidR="00461786" w:rsidRPr="00CB7866">
        <w:rPr>
          <w:color w:val="000000"/>
        </w:rPr>
        <w:t xml:space="preserve">relationships and imposed prison sentences of up to 14 years (Amusan, Saka and Muinat, 2019).  </w:t>
      </w:r>
      <w:r w:rsidR="00ED59BE" w:rsidRPr="00CB7866">
        <w:rPr>
          <w:color w:val="000000"/>
        </w:rPr>
        <w:t>In contrast</w:t>
      </w:r>
      <w:r w:rsidR="00693048" w:rsidRPr="00CB7866">
        <w:rPr>
          <w:color w:val="000000"/>
        </w:rPr>
        <w:t>, South</w:t>
      </w:r>
      <w:r w:rsidR="005B1CA2" w:rsidRPr="00CB7866">
        <w:rPr>
          <w:color w:val="000000"/>
        </w:rPr>
        <w:t xml:space="preserve"> Africa and Mozambique have enshrined </w:t>
      </w:r>
      <w:r w:rsidR="00BB2A73" w:rsidRPr="00CB7866">
        <w:rPr>
          <w:color w:val="000000"/>
        </w:rPr>
        <w:t xml:space="preserve">LGBTQIA+ </w:t>
      </w:r>
      <w:r w:rsidR="005B1CA2" w:rsidRPr="00CB7866">
        <w:rPr>
          <w:color w:val="000000"/>
        </w:rPr>
        <w:t xml:space="preserve">rights in their constitutions and are more accepting of </w:t>
      </w:r>
      <w:r w:rsidR="00BB2A73" w:rsidRPr="00CB7866">
        <w:rPr>
          <w:color w:val="000000"/>
        </w:rPr>
        <w:t xml:space="preserve">LGBTQIA+ </w:t>
      </w:r>
      <w:r w:rsidR="005B1CA2" w:rsidRPr="00CB7866">
        <w:rPr>
          <w:color w:val="000000"/>
        </w:rPr>
        <w:t>individuals</w:t>
      </w:r>
      <w:r w:rsidR="00E42E9F" w:rsidRPr="00CB7866">
        <w:rPr>
          <w:color w:val="000000"/>
        </w:rPr>
        <w:t xml:space="preserve"> (</w:t>
      </w:r>
      <w:r w:rsidR="00D3405D" w:rsidRPr="00CB7866">
        <w:rPr>
          <w:color w:val="000000"/>
        </w:rPr>
        <w:t>ibid.</w:t>
      </w:r>
      <w:r w:rsidR="00E42E9F" w:rsidRPr="00CB7866">
        <w:rPr>
          <w:color w:val="000000"/>
        </w:rPr>
        <w:t>)</w:t>
      </w:r>
      <w:r w:rsidR="00461786" w:rsidRPr="00CB7866">
        <w:rPr>
          <w:color w:val="000000"/>
        </w:rPr>
        <w:t xml:space="preserve">. South Africa </w:t>
      </w:r>
      <w:r w:rsidR="00884260">
        <w:rPr>
          <w:color w:val="000000"/>
        </w:rPr>
        <w:t xml:space="preserve">holds the distinction of being the pioneer country to incorporate safeguards for LGBTQIA+ people in its constitution, </w:t>
      </w:r>
      <w:r w:rsidR="00693048">
        <w:rPr>
          <w:color w:val="000000"/>
        </w:rPr>
        <w:t>and</w:t>
      </w:r>
      <w:r w:rsidR="00884260">
        <w:rPr>
          <w:color w:val="000000"/>
        </w:rPr>
        <w:t xml:space="preserve"> acknowledges same sex marriage</w:t>
      </w:r>
      <w:r w:rsidR="00461786" w:rsidRPr="00CB7866">
        <w:rPr>
          <w:color w:val="000000"/>
        </w:rPr>
        <w:t xml:space="preserve"> (Izugbara </w:t>
      </w:r>
      <w:r w:rsidR="00461786" w:rsidRPr="00CB7866">
        <w:rPr>
          <w:color w:val="000000"/>
        </w:rPr>
        <w:lastRenderedPageBreak/>
        <w:t>et al, 2020)</w:t>
      </w:r>
      <w:r w:rsidR="00ED59BE">
        <w:rPr>
          <w:color w:val="000000"/>
        </w:rPr>
        <w:t>;</w:t>
      </w:r>
      <w:r w:rsidR="00461786" w:rsidRPr="00CB7866">
        <w:rPr>
          <w:color w:val="000000"/>
        </w:rPr>
        <w:t xml:space="preserve"> and Mozambique repealed its colonial-era sodomy law in 2015 and has taken steps to protect LGBTQIA+ individuals from discrimination and violence (ibid.).</w:t>
      </w:r>
    </w:p>
    <w:p w14:paraId="51E67110" w14:textId="77777777" w:rsidR="005F6429" w:rsidRDefault="005F6429" w:rsidP="008C1506">
      <w:pPr>
        <w:spacing w:line="480" w:lineRule="auto"/>
        <w:jc w:val="both"/>
        <w:rPr>
          <w:color w:val="000000"/>
        </w:rPr>
      </w:pPr>
    </w:p>
    <w:p w14:paraId="0958CBAA" w14:textId="3B8E5AAE" w:rsidR="00CA1DE8" w:rsidRDefault="00CA1DE8" w:rsidP="008C1506">
      <w:pPr>
        <w:spacing w:line="480" w:lineRule="auto"/>
        <w:jc w:val="both"/>
        <w:rPr>
          <w:color w:val="000000"/>
        </w:rPr>
      </w:pPr>
      <w:r>
        <w:rPr>
          <w:color w:val="000000"/>
        </w:rPr>
        <w:t xml:space="preserve">The author is interested in exploring why this is the case. In countries such as Uganda and Nigeria, conservative Christian groups have often been at the forefront of campaigns against </w:t>
      </w:r>
      <w:r w:rsidR="00BB2A73" w:rsidRPr="00CB7866">
        <w:rPr>
          <w:color w:val="000000"/>
        </w:rPr>
        <w:t xml:space="preserve">LGBTQIA+ </w:t>
      </w:r>
      <w:r w:rsidR="00693048" w:rsidRPr="00CB7866">
        <w:rPr>
          <w:color w:val="000000"/>
        </w:rPr>
        <w:t>rights and</w:t>
      </w:r>
      <w:r w:rsidRPr="00CB7866">
        <w:rPr>
          <w:color w:val="000000"/>
        </w:rPr>
        <w:t xml:space="preserve"> have used biblical language and symbolism to bolster their arguments</w:t>
      </w:r>
      <w:r w:rsidR="00E42E9F" w:rsidRPr="00CB7866">
        <w:rPr>
          <w:color w:val="000000"/>
        </w:rPr>
        <w:t xml:space="preserve"> (</w:t>
      </w:r>
      <w:r w:rsidR="00D3405D" w:rsidRPr="00CB7866">
        <w:rPr>
          <w:color w:val="000000"/>
        </w:rPr>
        <w:t>Wahab, 201</w:t>
      </w:r>
      <w:r w:rsidR="007B3905" w:rsidRPr="00CB7866">
        <w:rPr>
          <w:color w:val="000000"/>
        </w:rPr>
        <w:t>6</w:t>
      </w:r>
      <w:r w:rsidR="00D3405D" w:rsidRPr="00CB7866">
        <w:rPr>
          <w:color w:val="000000"/>
        </w:rPr>
        <w:t>; Amusan, Saka and Muinat, 2019</w:t>
      </w:r>
      <w:r w:rsidR="00E42E9F" w:rsidRPr="00CB7866">
        <w:rPr>
          <w:color w:val="000000"/>
        </w:rPr>
        <w:t>)</w:t>
      </w:r>
      <w:r w:rsidRPr="00CB7866">
        <w:rPr>
          <w:color w:val="000000"/>
        </w:rPr>
        <w:t>. Additionally, the</w:t>
      </w:r>
      <w:r w:rsidR="00ED59BE">
        <w:rPr>
          <w:color w:val="000000"/>
        </w:rPr>
        <w:t xml:space="preserve"> economic, political and cultural </w:t>
      </w:r>
      <w:r w:rsidRPr="00CB7866">
        <w:rPr>
          <w:color w:val="000000"/>
        </w:rPr>
        <w:t>legacy of colonialism</w:t>
      </w:r>
      <w:r>
        <w:rPr>
          <w:color w:val="000000"/>
        </w:rPr>
        <w:t xml:space="preserve"> and imperialism </w:t>
      </w:r>
      <w:r w:rsidR="00ED59BE">
        <w:rPr>
          <w:color w:val="000000"/>
        </w:rPr>
        <w:t>had</w:t>
      </w:r>
      <w:r>
        <w:rPr>
          <w:color w:val="000000"/>
        </w:rPr>
        <w:t xml:space="preserve"> a significant impact on attitudes towards </w:t>
      </w:r>
      <w:r w:rsidR="00BB2A73">
        <w:rPr>
          <w:color w:val="000000"/>
        </w:rPr>
        <w:t xml:space="preserve">LGBTQIA+ </w:t>
      </w:r>
      <w:r>
        <w:rPr>
          <w:color w:val="000000"/>
        </w:rPr>
        <w:t xml:space="preserve">rights in former </w:t>
      </w:r>
      <w:r w:rsidR="00BA2220">
        <w:rPr>
          <w:color w:val="000000"/>
        </w:rPr>
        <w:t xml:space="preserve">British </w:t>
      </w:r>
      <w:r w:rsidR="00D25DAF">
        <w:rPr>
          <w:color w:val="000000"/>
        </w:rPr>
        <w:t>C</w:t>
      </w:r>
      <w:r w:rsidR="00BA2220">
        <w:rPr>
          <w:color w:val="000000"/>
        </w:rPr>
        <w:t xml:space="preserve">olonies </w:t>
      </w:r>
      <w:r w:rsidR="00E42E9F" w:rsidRPr="005C128D">
        <w:t>(</w:t>
      </w:r>
      <w:r w:rsidR="00D3405D" w:rsidRPr="005C128D">
        <w:t>Han and O’Mahoney, 2014</w:t>
      </w:r>
      <w:r w:rsidR="00E42E9F" w:rsidRPr="005C128D">
        <w:t>)</w:t>
      </w:r>
      <w:r w:rsidRPr="005C128D">
        <w:t>.</w:t>
      </w:r>
      <w:r>
        <w:rPr>
          <w:color w:val="000000"/>
        </w:rPr>
        <w:t xml:space="preserve"> </w:t>
      </w:r>
      <w:r w:rsidR="004953F2">
        <w:rPr>
          <w:color w:val="000000"/>
        </w:rPr>
        <w:t>Although</w:t>
      </w:r>
      <w:r>
        <w:rPr>
          <w:color w:val="000000"/>
        </w:rPr>
        <w:t>, both Uganda and Niger</w:t>
      </w:r>
      <w:r w:rsidR="00473960">
        <w:rPr>
          <w:color w:val="000000"/>
        </w:rPr>
        <w:t>ia</w:t>
      </w:r>
      <w:r>
        <w:rPr>
          <w:color w:val="000000"/>
        </w:rPr>
        <w:t xml:space="preserve"> were subject to repressive colonial laws that criminali</w:t>
      </w:r>
      <w:r w:rsidR="00473960">
        <w:rPr>
          <w:color w:val="000000"/>
        </w:rPr>
        <w:t>s</w:t>
      </w:r>
      <w:r>
        <w:rPr>
          <w:color w:val="000000"/>
        </w:rPr>
        <w:t>ed same-sex relationships</w:t>
      </w:r>
      <w:r w:rsidR="00E42E9F">
        <w:rPr>
          <w:color w:val="000000"/>
        </w:rPr>
        <w:t xml:space="preserve"> (</w:t>
      </w:r>
      <w:r w:rsidR="00D3405D">
        <w:rPr>
          <w:color w:val="000000"/>
        </w:rPr>
        <w:t>ibid.</w:t>
      </w:r>
      <w:r w:rsidR="00E42E9F">
        <w:rPr>
          <w:color w:val="000000"/>
        </w:rPr>
        <w:t>)</w:t>
      </w:r>
      <w:r>
        <w:rPr>
          <w:color w:val="000000"/>
        </w:rPr>
        <w:t xml:space="preserve">, there are also many Christians in these countries who support </w:t>
      </w:r>
      <w:r w:rsidR="00BB2A73">
        <w:rPr>
          <w:color w:val="000000"/>
        </w:rPr>
        <w:t xml:space="preserve">LGBTQIA+ </w:t>
      </w:r>
      <w:r>
        <w:rPr>
          <w:color w:val="000000"/>
        </w:rPr>
        <w:t>rights, and who argue that their faith compels them to stand up for the marginali</w:t>
      </w:r>
      <w:r w:rsidR="004953F2">
        <w:rPr>
          <w:color w:val="000000"/>
        </w:rPr>
        <w:t>s</w:t>
      </w:r>
      <w:r>
        <w:rPr>
          <w:color w:val="000000"/>
        </w:rPr>
        <w:t>ed and oppressed</w:t>
      </w:r>
      <w:r w:rsidR="00E42E9F">
        <w:rPr>
          <w:color w:val="000000"/>
        </w:rPr>
        <w:t xml:space="preserve"> (</w:t>
      </w:r>
      <w:r w:rsidR="00D3405D">
        <w:rPr>
          <w:color w:val="000000"/>
        </w:rPr>
        <w:t>Izugbara et al, 2020</w:t>
      </w:r>
      <w:r w:rsidR="00E42E9F">
        <w:rPr>
          <w:color w:val="000000"/>
        </w:rPr>
        <w:t>)</w:t>
      </w:r>
      <w:r w:rsidR="004953F2">
        <w:rPr>
          <w:color w:val="000000"/>
        </w:rPr>
        <w:t>.</w:t>
      </w:r>
    </w:p>
    <w:p w14:paraId="7DDC3895" w14:textId="77777777" w:rsidR="00CA1DE8" w:rsidRDefault="00CA1DE8" w:rsidP="008C1506">
      <w:pPr>
        <w:spacing w:line="480" w:lineRule="auto"/>
        <w:jc w:val="both"/>
        <w:rPr>
          <w:color w:val="000000"/>
        </w:rPr>
      </w:pPr>
    </w:p>
    <w:p w14:paraId="587024E6" w14:textId="6A82F787" w:rsidR="004953F2" w:rsidRDefault="00CA1DE8" w:rsidP="008C1506">
      <w:pPr>
        <w:spacing w:line="480" w:lineRule="auto"/>
        <w:jc w:val="both"/>
        <w:rPr>
          <w:color w:val="000000"/>
        </w:rPr>
      </w:pPr>
      <w:r>
        <w:rPr>
          <w:color w:val="000000"/>
        </w:rPr>
        <w:t xml:space="preserve">In South Africa the relationship between Christianity and </w:t>
      </w:r>
      <w:r w:rsidR="00BB2A73">
        <w:rPr>
          <w:color w:val="000000"/>
        </w:rPr>
        <w:t xml:space="preserve">LGBTQIA+ </w:t>
      </w:r>
      <w:r>
        <w:rPr>
          <w:color w:val="000000"/>
        </w:rPr>
        <w:t xml:space="preserve">rights </w:t>
      </w:r>
      <w:r w:rsidR="00D25DAF">
        <w:rPr>
          <w:color w:val="000000"/>
        </w:rPr>
        <w:t>is</w:t>
      </w:r>
      <w:r>
        <w:rPr>
          <w:color w:val="000000"/>
        </w:rPr>
        <w:t xml:space="preserve"> somewhat different. While many Christians in these countries still hold conservative views on sexuality and gender, the influence of Christian morality on public policy has been tempered by other factors such as the legacy of </w:t>
      </w:r>
      <w:r w:rsidR="00284461">
        <w:rPr>
          <w:color w:val="000000"/>
        </w:rPr>
        <w:t>anti-</w:t>
      </w:r>
      <w:r>
        <w:rPr>
          <w:color w:val="000000"/>
        </w:rPr>
        <w:t>colonialism</w:t>
      </w:r>
      <w:r w:rsidR="004953F2">
        <w:rPr>
          <w:color w:val="000000"/>
        </w:rPr>
        <w:t xml:space="preserve">, the </w:t>
      </w:r>
      <w:r w:rsidR="00284461">
        <w:rPr>
          <w:color w:val="000000"/>
        </w:rPr>
        <w:t>anti-apartheid</w:t>
      </w:r>
      <w:r w:rsidR="004953F2">
        <w:rPr>
          <w:color w:val="000000"/>
        </w:rPr>
        <w:t xml:space="preserve"> struggle and its acceptance of</w:t>
      </w:r>
      <w:r>
        <w:rPr>
          <w:color w:val="000000"/>
        </w:rPr>
        <w:t xml:space="preserve"> international human rights norms</w:t>
      </w:r>
      <w:r w:rsidR="00E42E9F">
        <w:rPr>
          <w:color w:val="000000"/>
        </w:rPr>
        <w:t xml:space="preserve"> (</w:t>
      </w:r>
      <w:r w:rsidR="00D3405D">
        <w:rPr>
          <w:color w:val="000000"/>
        </w:rPr>
        <w:t>Izugbara et al, 2020</w:t>
      </w:r>
      <w:r w:rsidR="00E42E9F">
        <w:rPr>
          <w:color w:val="000000"/>
        </w:rPr>
        <w:t>)</w:t>
      </w:r>
      <w:r>
        <w:rPr>
          <w:color w:val="000000"/>
        </w:rPr>
        <w:t xml:space="preserve">. </w:t>
      </w:r>
    </w:p>
    <w:p w14:paraId="1C7BF11E" w14:textId="77777777" w:rsidR="004953F2" w:rsidRDefault="004953F2" w:rsidP="008C1506">
      <w:pPr>
        <w:spacing w:line="480" w:lineRule="auto"/>
        <w:jc w:val="both"/>
        <w:rPr>
          <w:color w:val="000000"/>
        </w:rPr>
      </w:pPr>
    </w:p>
    <w:p w14:paraId="2902A777" w14:textId="2E95BCD8" w:rsidR="00E42E9F" w:rsidRDefault="004953F2" w:rsidP="008C1506">
      <w:pPr>
        <w:spacing w:line="480" w:lineRule="auto"/>
        <w:jc w:val="both"/>
        <w:rPr>
          <w:color w:val="000000"/>
        </w:rPr>
      </w:pPr>
      <w:r>
        <w:rPr>
          <w:color w:val="000000"/>
        </w:rPr>
        <w:t>Also, in</w:t>
      </w:r>
      <w:r w:rsidR="00CA1DE8">
        <w:rPr>
          <w:color w:val="000000"/>
        </w:rPr>
        <w:t xml:space="preserve"> South Africa the constitutional protections for </w:t>
      </w:r>
      <w:r w:rsidR="00BB2A73">
        <w:rPr>
          <w:color w:val="000000"/>
        </w:rPr>
        <w:t xml:space="preserve">LGBTQIA+ </w:t>
      </w:r>
      <w:r w:rsidR="00CA1DE8">
        <w:rPr>
          <w:color w:val="000000"/>
        </w:rPr>
        <w:t>individuals were introduced as part of a broader process of post-apartheid reform and reconciliation</w:t>
      </w:r>
      <w:r>
        <w:rPr>
          <w:color w:val="000000"/>
        </w:rPr>
        <w:t xml:space="preserve">. </w:t>
      </w:r>
      <w:r w:rsidR="0018161B">
        <w:rPr>
          <w:color w:val="000000"/>
        </w:rPr>
        <w:t>Therefore,</w:t>
      </w:r>
      <w:r w:rsidR="00CA1DE8">
        <w:rPr>
          <w:color w:val="000000"/>
        </w:rPr>
        <w:t xml:space="preserve"> </w:t>
      </w:r>
      <w:r>
        <w:rPr>
          <w:color w:val="000000"/>
        </w:rPr>
        <w:t>the new</w:t>
      </w:r>
      <w:r w:rsidR="00CA1DE8">
        <w:rPr>
          <w:color w:val="000000"/>
        </w:rPr>
        <w:t xml:space="preserve"> political structure</w:t>
      </w:r>
      <w:r w:rsidR="0060608D">
        <w:rPr>
          <w:color w:val="000000"/>
        </w:rPr>
        <w:t xml:space="preserve"> based on the socially liberal agenda </w:t>
      </w:r>
      <w:r w:rsidR="00E5038C">
        <w:rPr>
          <w:color w:val="000000"/>
        </w:rPr>
        <w:t>influenced</w:t>
      </w:r>
      <w:r w:rsidR="0060608D">
        <w:rPr>
          <w:color w:val="000000"/>
        </w:rPr>
        <w:t xml:space="preserve"> the development of the </w:t>
      </w:r>
      <w:r w:rsidR="00CA1DE8">
        <w:rPr>
          <w:color w:val="000000"/>
        </w:rPr>
        <w:t>LGBTQIA+ rights</w:t>
      </w:r>
      <w:r w:rsidR="00E42E9F">
        <w:rPr>
          <w:color w:val="000000"/>
        </w:rPr>
        <w:t xml:space="preserve"> (</w:t>
      </w:r>
      <w:r w:rsidR="00D3405D">
        <w:rPr>
          <w:color w:val="000000"/>
        </w:rPr>
        <w:t>ibid.</w:t>
      </w:r>
      <w:r w:rsidR="00E42E9F">
        <w:rPr>
          <w:color w:val="000000"/>
        </w:rPr>
        <w:t>)</w:t>
      </w:r>
      <w:r w:rsidR="00CA1DE8">
        <w:rPr>
          <w:color w:val="000000"/>
        </w:rPr>
        <w:t xml:space="preserve">. </w:t>
      </w:r>
    </w:p>
    <w:p w14:paraId="594344DD" w14:textId="77777777" w:rsidR="00CA1DE8" w:rsidRDefault="00CA1DE8" w:rsidP="008C1506">
      <w:pPr>
        <w:spacing w:line="480" w:lineRule="auto"/>
        <w:jc w:val="both"/>
      </w:pPr>
    </w:p>
    <w:p w14:paraId="39281B09" w14:textId="3901A804" w:rsidR="00E42E9F" w:rsidRDefault="00E42E9F" w:rsidP="008C1506">
      <w:pPr>
        <w:spacing w:line="480" w:lineRule="auto"/>
        <w:jc w:val="both"/>
        <w:rPr>
          <w:color w:val="000000"/>
        </w:rPr>
      </w:pPr>
      <w:r>
        <w:t xml:space="preserve">The </w:t>
      </w:r>
      <w:r w:rsidR="00CA1DE8">
        <w:t xml:space="preserve">author is also conscious that </w:t>
      </w:r>
      <w:r w:rsidR="00082D95">
        <w:t xml:space="preserve">Christianity is not the only religion that has influenced attitudes towards LGBTQIA+ people. Other religions such as Islam, </w:t>
      </w:r>
      <w:r w:rsidR="00082D95">
        <w:rPr>
          <w:color w:val="000000"/>
        </w:rPr>
        <w:t>Hinduism, and traditional African religions have</w:t>
      </w:r>
      <w:r w:rsidR="0060608D">
        <w:rPr>
          <w:color w:val="000000"/>
        </w:rPr>
        <w:t xml:space="preserve"> also</w:t>
      </w:r>
      <w:r w:rsidR="00082D95">
        <w:rPr>
          <w:color w:val="000000"/>
        </w:rPr>
        <w:t xml:space="preserve"> shaped and informed LGBTQIA+ </w:t>
      </w:r>
      <w:r w:rsidR="00082D95" w:rsidRPr="00CB7866">
        <w:rPr>
          <w:color w:val="000000"/>
        </w:rPr>
        <w:t>rights</w:t>
      </w:r>
      <w:r w:rsidRPr="00CB7866">
        <w:rPr>
          <w:color w:val="000000"/>
        </w:rPr>
        <w:t xml:space="preserve"> (</w:t>
      </w:r>
      <w:r w:rsidR="008F1275" w:rsidRPr="00CB7866">
        <w:rPr>
          <w:color w:val="000000"/>
        </w:rPr>
        <w:t>Dreier, Long, Winkler, 2019</w:t>
      </w:r>
      <w:r w:rsidRPr="00CB7866">
        <w:rPr>
          <w:color w:val="000000"/>
        </w:rPr>
        <w:t>)</w:t>
      </w:r>
      <w:r w:rsidR="00082D95" w:rsidRPr="00CB7866">
        <w:rPr>
          <w:color w:val="000000"/>
        </w:rPr>
        <w:t>.</w:t>
      </w:r>
      <w:r w:rsidR="00082D95">
        <w:rPr>
          <w:color w:val="000000"/>
        </w:rPr>
        <w:t xml:space="preserve"> </w:t>
      </w:r>
    </w:p>
    <w:p w14:paraId="40BA8845" w14:textId="77777777" w:rsidR="00416FD5" w:rsidRDefault="00416FD5" w:rsidP="008C1506">
      <w:pPr>
        <w:spacing w:line="480" w:lineRule="auto"/>
        <w:jc w:val="both"/>
        <w:rPr>
          <w:color w:val="000000"/>
        </w:rPr>
      </w:pPr>
    </w:p>
    <w:p w14:paraId="3C373482" w14:textId="01AD166E" w:rsidR="00416FD5" w:rsidRDefault="00A973A7" w:rsidP="008C1506">
      <w:pPr>
        <w:spacing w:line="480" w:lineRule="auto"/>
        <w:jc w:val="both"/>
        <w:rPr>
          <w:color w:val="000000"/>
        </w:rPr>
      </w:pPr>
      <w:r>
        <w:rPr>
          <w:color w:val="000000"/>
        </w:rPr>
        <w:t>To conclude this discussion</w:t>
      </w:r>
      <w:r w:rsidR="0060608D">
        <w:rPr>
          <w:color w:val="000000"/>
        </w:rPr>
        <w:t xml:space="preserve">, </w:t>
      </w:r>
      <w:r w:rsidR="00CA1DE8">
        <w:rPr>
          <w:color w:val="000000"/>
        </w:rPr>
        <w:t>is important to note that the Judeo-</w:t>
      </w:r>
      <w:r w:rsidR="005C0767">
        <w:rPr>
          <w:color w:val="000000"/>
        </w:rPr>
        <w:t>Christian</w:t>
      </w:r>
      <w:r w:rsidR="00CA1DE8">
        <w:rPr>
          <w:color w:val="000000"/>
        </w:rPr>
        <w:t xml:space="preserve"> moral</w:t>
      </w:r>
      <w:r w:rsidR="00CA1DE8" w:rsidRPr="00322C31">
        <w:t xml:space="preserve"> code has changed and evolved over time, and the views held by different </w:t>
      </w:r>
      <w:r w:rsidR="0060608D">
        <w:t xml:space="preserve">formerly colonies </w:t>
      </w:r>
      <w:r w:rsidR="00CA1DE8" w:rsidRPr="00322C31">
        <w:t xml:space="preserve">societies have changed as well. </w:t>
      </w:r>
      <w:r w:rsidR="0060608D">
        <w:t>Today</w:t>
      </w:r>
      <w:r w:rsidR="00416FD5" w:rsidRPr="00337338">
        <w:t xml:space="preserve">, a significant number of individuals and groups </w:t>
      </w:r>
      <w:r w:rsidR="0060608D">
        <w:t xml:space="preserve">in former </w:t>
      </w:r>
      <w:r w:rsidR="00E5038C">
        <w:t>British Colonies</w:t>
      </w:r>
      <w:r w:rsidR="0060608D" w:rsidRPr="00337338">
        <w:t xml:space="preserve"> </w:t>
      </w:r>
      <w:r w:rsidR="00416FD5" w:rsidRPr="00337338">
        <w:t>are actively striving to foster impartiality and inclusivi</w:t>
      </w:r>
      <w:r w:rsidR="0060608D">
        <w:t>ty</w:t>
      </w:r>
      <w:r w:rsidR="00416FD5" w:rsidRPr="00337338">
        <w:t xml:space="preserve"> irrespective of their sexual orientation </w:t>
      </w:r>
      <w:r w:rsidR="0060608D">
        <w:t xml:space="preserve">and </w:t>
      </w:r>
      <w:r w:rsidR="00416FD5" w:rsidRPr="00337338">
        <w:t>gender identity.</w:t>
      </w:r>
    </w:p>
    <w:p w14:paraId="2CE634F2" w14:textId="77777777" w:rsidR="00416FD5" w:rsidRPr="00337338" w:rsidRDefault="00416FD5" w:rsidP="008C1506">
      <w:pPr>
        <w:spacing w:line="480" w:lineRule="auto"/>
      </w:pPr>
    </w:p>
    <w:p w14:paraId="43F93F98" w14:textId="55782BB7" w:rsidR="00082D95" w:rsidRDefault="00CA1DE8" w:rsidP="008C1506">
      <w:pPr>
        <w:spacing w:line="480" w:lineRule="auto"/>
        <w:jc w:val="both"/>
      </w:pPr>
      <w:r w:rsidRPr="00322C31">
        <w:t>Nevertheless, the legacy of the Judeo-Christian moral code continues to shape attitudes towards LGBTQIA+ individuals</w:t>
      </w:r>
      <w:r w:rsidR="0060608D">
        <w:t xml:space="preserve"> </w:t>
      </w:r>
      <w:r>
        <w:t xml:space="preserve">in former British </w:t>
      </w:r>
      <w:r w:rsidR="0060608D">
        <w:t>colonies</w:t>
      </w:r>
      <w:r>
        <w:t xml:space="preserve">, and many communities still face significant challenges to this day.  </w:t>
      </w:r>
      <w:bookmarkEnd w:id="25"/>
    </w:p>
    <w:p w14:paraId="3C25B2FB" w14:textId="3F87489B" w:rsidR="004C3274" w:rsidRDefault="00082D95" w:rsidP="00D41096">
      <w:pPr>
        <w:spacing w:line="360" w:lineRule="auto"/>
        <w:jc w:val="both"/>
      </w:pPr>
      <w:r>
        <w:t xml:space="preserve">  </w:t>
      </w:r>
    </w:p>
    <w:p w14:paraId="0D500AB3" w14:textId="543B1B8A" w:rsidR="004C3274" w:rsidRPr="003739F1" w:rsidRDefault="005A5CA3" w:rsidP="00173B7D">
      <w:pPr>
        <w:numPr>
          <w:ilvl w:val="1"/>
          <w:numId w:val="1"/>
        </w:numPr>
        <w:spacing w:line="480" w:lineRule="auto"/>
        <w:outlineLvl w:val="1"/>
        <w:rPr>
          <w:b/>
        </w:rPr>
      </w:pPr>
      <w:bookmarkStart w:id="26" w:name="_Toc145927547"/>
      <w:r>
        <w:rPr>
          <w:b/>
        </w:rPr>
        <w:t>Discussion</w:t>
      </w:r>
      <w:r w:rsidR="004C3274" w:rsidRPr="003739F1">
        <w:rPr>
          <w:b/>
        </w:rPr>
        <w:t xml:space="preserve"> </w:t>
      </w:r>
      <w:r w:rsidR="004C3274">
        <w:rPr>
          <w:b/>
        </w:rPr>
        <w:t>4</w:t>
      </w:r>
      <w:r w:rsidR="004C3274" w:rsidRPr="003739F1">
        <w:rPr>
          <w:b/>
        </w:rPr>
        <w:t>:</w:t>
      </w:r>
      <w:r w:rsidR="004C3274">
        <w:rPr>
          <w:b/>
        </w:rPr>
        <w:t xml:space="preserve"> </w:t>
      </w:r>
      <w:r w:rsidR="009A30AB">
        <w:rPr>
          <w:b/>
        </w:rPr>
        <w:t>Modern day:</w:t>
      </w:r>
      <w:r w:rsidR="000B449A">
        <w:rPr>
          <w:b/>
        </w:rPr>
        <w:t xml:space="preserve"> C</w:t>
      </w:r>
      <w:r w:rsidR="008F1275">
        <w:rPr>
          <w:b/>
          <w:bCs/>
        </w:rPr>
        <w:t xml:space="preserve">ultural </w:t>
      </w:r>
      <w:r w:rsidR="005C0767">
        <w:rPr>
          <w:b/>
          <w:bCs/>
        </w:rPr>
        <w:t>Imperialism</w:t>
      </w:r>
      <w:r w:rsidR="007D69C0">
        <w:rPr>
          <w:b/>
          <w:bCs/>
        </w:rPr>
        <w:t xml:space="preserve"> and </w:t>
      </w:r>
      <w:r w:rsidR="00CB71B2">
        <w:rPr>
          <w:b/>
          <w:bCs/>
        </w:rPr>
        <w:t>Homonationalism</w:t>
      </w:r>
      <w:bookmarkEnd w:id="26"/>
      <w:r w:rsidR="00A974BD">
        <w:rPr>
          <w:b/>
          <w:bCs/>
        </w:rPr>
        <w:t xml:space="preserve"> </w:t>
      </w:r>
    </w:p>
    <w:p w14:paraId="59BC8415" w14:textId="30B342A0" w:rsidR="004D0025" w:rsidRDefault="00E8044E" w:rsidP="008C1506">
      <w:pPr>
        <w:spacing w:line="480" w:lineRule="auto"/>
        <w:jc w:val="both"/>
      </w:pPr>
      <w:r w:rsidRPr="00ED7BEB">
        <w:t xml:space="preserve">So </w:t>
      </w:r>
      <w:r w:rsidR="00BC0316" w:rsidRPr="00ED7BEB">
        <w:t>far,</w:t>
      </w:r>
      <w:r w:rsidRPr="00ED7BEB">
        <w:t xml:space="preserve"> the</w:t>
      </w:r>
      <w:r w:rsidR="00F955CE">
        <w:t xml:space="preserve"> author’s</w:t>
      </w:r>
      <w:r w:rsidRPr="00ED7BEB">
        <w:t xml:space="preserve"> </w:t>
      </w:r>
      <w:r w:rsidR="00312030">
        <w:t>discourse</w:t>
      </w:r>
      <w:r w:rsidRPr="00ED7BEB">
        <w:t xml:space="preserve"> </w:t>
      </w:r>
      <w:r w:rsidR="00115E76">
        <w:t>has</w:t>
      </w:r>
      <w:r w:rsidRPr="00ED7BEB">
        <w:t xml:space="preserve"> </w:t>
      </w:r>
      <w:r w:rsidR="00115E76">
        <w:t>primarily focused</w:t>
      </w:r>
      <w:r w:rsidR="00B76A4B">
        <w:t xml:space="preserve"> on</w:t>
      </w:r>
      <w:r w:rsidR="0060608D">
        <w:t xml:space="preserve"> </w:t>
      </w:r>
      <w:r w:rsidR="00115E76">
        <w:t>examining the impact of</w:t>
      </w:r>
      <w:r w:rsidRPr="00ED7BEB">
        <w:t xml:space="preserve"> </w:t>
      </w:r>
      <w:r w:rsidR="005C0767" w:rsidRPr="00ED7BEB">
        <w:t>biopolitics</w:t>
      </w:r>
      <w:r w:rsidRPr="00ED7BEB">
        <w:t xml:space="preserve"> </w:t>
      </w:r>
      <w:r w:rsidR="00396DEF">
        <w:t xml:space="preserve">and </w:t>
      </w:r>
      <w:r w:rsidR="00827713">
        <w:t xml:space="preserve">how it </w:t>
      </w:r>
      <w:r w:rsidRPr="00ED7BEB">
        <w:t>affected LGBT</w:t>
      </w:r>
      <w:r w:rsidR="00BB2A73">
        <w:t>Q</w:t>
      </w:r>
      <w:r w:rsidRPr="00ED7BEB">
        <w:t xml:space="preserve">IA+ </w:t>
      </w:r>
      <w:r w:rsidR="00115E76">
        <w:t>people</w:t>
      </w:r>
      <w:r w:rsidRPr="00ED7BEB">
        <w:t xml:space="preserve"> in former colon</w:t>
      </w:r>
      <w:r w:rsidR="0060608D">
        <w:t xml:space="preserve">ies; </w:t>
      </w:r>
      <w:r w:rsidR="00FE3408">
        <w:t xml:space="preserve">a </w:t>
      </w:r>
      <w:r w:rsidR="00827713">
        <w:t>discussion of</w:t>
      </w:r>
      <w:r w:rsidR="0060608D">
        <w:t xml:space="preserve"> combining</w:t>
      </w:r>
      <w:r w:rsidR="003657FD">
        <w:t xml:space="preserve"> Foucauldian </w:t>
      </w:r>
      <w:r w:rsidR="00306B0A">
        <w:t>framing of power</w:t>
      </w:r>
      <w:r w:rsidR="00827713">
        <w:t xml:space="preserve"> with the concept of </w:t>
      </w:r>
      <w:r w:rsidR="00BD3430">
        <w:t>Othering</w:t>
      </w:r>
      <w:r w:rsidR="0060608D">
        <w:t>;</w:t>
      </w:r>
      <w:r w:rsidR="00306B0A">
        <w:t xml:space="preserve"> and using intersectionality as a paradigm</w:t>
      </w:r>
      <w:r w:rsidR="0060608D">
        <w:t xml:space="preserve"> that</w:t>
      </w:r>
      <w:r w:rsidR="00306B0A">
        <w:t xml:space="preserve"> </w:t>
      </w:r>
      <w:r w:rsidR="00D05AF6" w:rsidRPr="00ED7BEB">
        <w:t>can help to deconstruct oppressive systems</w:t>
      </w:r>
      <w:r w:rsidR="0060608D">
        <w:t>. The</w:t>
      </w:r>
      <w:r w:rsidR="00FE3408">
        <w:t xml:space="preserve"> </w:t>
      </w:r>
      <w:r w:rsidR="004D0025">
        <w:t>author</w:t>
      </w:r>
      <w:r w:rsidR="00F50EDF">
        <w:t xml:space="preserve"> </w:t>
      </w:r>
      <w:r w:rsidR="0060608D">
        <w:t xml:space="preserve">has </w:t>
      </w:r>
      <w:r w:rsidR="00E44724">
        <w:t>also</w:t>
      </w:r>
      <w:r w:rsidR="0060608D">
        <w:t xml:space="preserve"> discussed</w:t>
      </w:r>
      <w:r w:rsidR="00D05AF6" w:rsidRPr="00ED7BEB">
        <w:t xml:space="preserve"> how </w:t>
      </w:r>
      <w:r w:rsidR="00FE3408">
        <w:t xml:space="preserve">Christian </w:t>
      </w:r>
      <w:r w:rsidR="0060608D">
        <w:t>m</w:t>
      </w:r>
      <w:r w:rsidR="00FE3408">
        <w:t>orality</w:t>
      </w:r>
      <w:r w:rsidR="00D05AF6" w:rsidRPr="00ED7BEB">
        <w:t xml:space="preserve"> was </w:t>
      </w:r>
      <w:r w:rsidR="0060608D">
        <w:t>used</w:t>
      </w:r>
      <w:r w:rsidR="00D05AF6" w:rsidRPr="00ED7BEB">
        <w:t xml:space="preserve"> to justify the </w:t>
      </w:r>
      <w:r w:rsidR="00947B61" w:rsidRPr="00ED7BEB">
        <w:t>oppression of non-</w:t>
      </w:r>
      <w:r w:rsidR="006A1417" w:rsidRPr="00ED7BEB">
        <w:t>heteropatriarchal</w:t>
      </w:r>
      <w:r w:rsidR="00947B61" w:rsidRPr="00ED7BEB">
        <w:t xml:space="preserve"> </w:t>
      </w:r>
      <w:r w:rsidR="00450B20" w:rsidRPr="00ED7BEB">
        <w:t xml:space="preserve">peoples in former British </w:t>
      </w:r>
      <w:r w:rsidR="00FE4734">
        <w:t>C</w:t>
      </w:r>
      <w:r w:rsidR="0060608D">
        <w:t>olonies</w:t>
      </w:r>
      <w:r w:rsidR="00450B20" w:rsidRPr="00ED7BEB">
        <w:t xml:space="preserve">. </w:t>
      </w:r>
    </w:p>
    <w:p w14:paraId="7050FC78" w14:textId="77777777" w:rsidR="004D0025" w:rsidRDefault="004D0025" w:rsidP="008C1506">
      <w:pPr>
        <w:spacing w:line="480" w:lineRule="auto"/>
        <w:jc w:val="both"/>
      </w:pPr>
    </w:p>
    <w:p w14:paraId="151D5963" w14:textId="557CD23D" w:rsidR="00BC0316" w:rsidRDefault="00E44724" w:rsidP="008C1506">
      <w:pPr>
        <w:spacing w:line="480" w:lineRule="auto"/>
        <w:jc w:val="both"/>
      </w:pPr>
      <w:r>
        <w:t xml:space="preserve">In this final </w:t>
      </w:r>
      <w:r w:rsidR="00853F1E">
        <w:t xml:space="preserve">discussion, </w:t>
      </w:r>
      <w:r w:rsidR="004D0025">
        <w:t>the author will</w:t>
      </w:r>
      <w:r w:rsidR="00853F1E">
        <w:t xml:space="preserve"> investigate the contemporary implications of </w:t>
      </w:r>
      <w:r w:rsidR="00A54192">
        <w:t>this oppression</w:t>
      </w:r>
      <w:r>
        <w:t>,</w:t>
      </w:r>
      <w:r w:rsidR="00A54192">
        <w:t xml:space="preserve"> how it has presented through cultural imperialism</w:t>
      </w:r>
      <w:r w:rsidR="004D0025">
        <w:t xml:space="preserve"> and </w:t>
      </w:r>
      <w:r w:rsidR="0018161B">
        <w:t>Homonationalism</w:t>
      </w:r>
      <w:r w:rsidR="00504166">
        <w:t>,</w:t>
      </w:r>
      <w:r w:rsidR="00A54192">
        <w:t xml:space="preserve"> </w:t>
      </w:r>
      <w:r w:rsidR="004A1A44">
        <w:lastRenderedPageBreak/>
        <w:t>and how these factors have shaped LGBTQIA+ people</w:t>
      </w:r>
      <w:r>
        <w:t xml:space="preserve">s’ </w:t>
      </w:r>
      <w:r w:rsidR="001660FC">
        <w:t xml:space="preserve">experiences in former </w:t>
      </w:r>
      <w:r w:rsidR="00BA2220">
        <w:t xml:space="preserve">British </w:t>
      </w:r>
      <w:r>
        <w:t>c</w:t>
      </w:r>
      <w:r w:rsidR="00BA2220">
        <w:t xml:space="preserve">olonies </w:t>
      </w:r>
      <w:r>
        <w:t>today</w:t>
      </w:r>
      <w:r w:rsidR="004D0025">
        <w:t>.</w:t>
      </w:r>
    </w:p>
    <w:p w14:paraId="45013A4C" w14:textId="77777777" w:rsidR="00504166" w:rsidRDefault="00504166" w:rsidP="008C1506">
      <w:pPr>
        <w:spacing w:line="480" w:lineRule="auto"/>
        <w:jc w:val="both"/>
      </w:pPr>
    </w:p>
    <w:p w14:paraId="31E0E3DC" w14:textId="3B8B5806" w:rsidR="001B2374" w:rsidRDefault="00DB387D" w:rsidP="008C1506">
      <w:pPr>
        <w:spacing w:line="480" w:lineRule="auto"/>
        <w:jc w:val="both"/>
      </w:pPr>
      <w:r>
        <w:t>As discussed</w:t>
      </w:r>
      <w:r w:rsidR="00F13699">
        <w:t xml:space="preserve">, </w:t>
      </w:r>
      <w:r w:rsidR="00564B4D">
        <w:t>British</w:t>
      </w:r>
      <w:r w:rsidR="00134E10">
        <w:t xml:space="preserve"> valu</w:t>
      </w:r>
      <w:r w:rsidR="00BE2054">
        <w:t>e</w:t>
      </w:r>
      <w:r w:rsidR="0065459C">
        <w:t xml:space="preserve">s related to gender and sexuality are often based on </w:t>
      </w:r>
      <w:r w:rsidR="0065459C" w:rsidRPr="006A305D">
        <w:t>binary essentialist understanding of gender and sexual orientation, which can</w:t>
      </w:r>
      <w:r w:rsidR="0065459C">
        <w:t xml:space="preserve"> limi</w:t>
      </w:r>
      <w:r w:rsidR="005C0767">
        <w:t>t</w:t>
      </w:r>
      <w:r w:rsidR="0065459C">
        <w:t xml:space="preserve"> the ways in which individuals</w:t>
      </w:r>
      <w:r w:rsidR="00134E10">
        <w:t xml:space="preserve"> are expected to </w:t>
      </w:r>
      <w:r w:rsidR="0065459C">
        <w:t>express and understand their identities</w:t>
      </w:r>
      <w:r w:rsidR="001660FC">
        <w:t xml:space="preserve"> </w:t>
      </w:r>
      <w:r w:rsidR="000B449A">
        <w:t>(Rifkin, 2011</w:t>
      </w:r>
      <w:r w:rsidR="001660FC">
        <w:t>)</w:t>
      </w:r>
      <w:r w:rsidR="0065459C">
        <w:t xml:space="preserve">. </w:t>
      </w:r>
      <w:r w:rsidR="00DE4A55">
        <w:t xml:space="preserve">However, </w:t>
      </w:r>
      <w:r w:rsidR="001B2374">
        <w:t xml:space="preserve">the author is aware that </w:t>
      </w:r>
      <w:r w:rsidR="00DE4A55">
        <w:t xml:space="preserve">many individuals do not fit neatly into these binary categories </w:t>
      </w:r>
      <w:bookmarkStart w:id="27" w:name="_Hlk134354322"/>
      <w:r w:rsidR="00DE4A55">
        <w:t>(</w:t>
      </w:r>
      <w:r w:rsidR="00394EFF" w:rsidRPr="00394EFF">
        <w:rPr>
          <w:color w:val="000000"/>
        </w:rPr>
        <w:t>Puar, 2013; Schotten 2016; Slootmaeckers, Touquet and Vermeersch, 2016)</w:t>
      </w:r>
      <w:bookmarkEnd w:id="27"/>
      <w:r w:rsidR="00E44724">
        <w:rPr>
          <w:color w:val="000000"/>
        </w:rPr>
        <w:t>.</w:t>
      </w:r>
    </w:p>
    <w:p w14:paraId="54F89E48" w14:textId="77777777" w:rsidR="001B2374" w:rsidRDefault="001B2374" w:rsidP="008C1506">
      <w:pPr>
        <w:spacing w:line="480" w:lineRule="auto"/>
        <w:jc w:val="both"/>
      </w:pPr>
    </w:p>
    <w:p w14:paraId="014BA8CA" w14:textId="7DA7E112" w:rsidR="0065459C" w:rsidRDefault="00E44724" w:rsidP="008C1506">
      <w:pPr>
        <w:spacing w:line="480" w:lineRule="auto"/>
        <w:jc w:val="both"/>
      </w:pPr>
      <w:r>
        <w:t>The</w:t>
      </w:r>
      <w:r w:rsidR="00771BD4">
        <w:t xml:space="preserve"> author believes </w:t>
      </w:r>
      <w:r>
        <w:t>that the imposition of</w:t>
      </w:r>
      <w:r w:rsidR="00DE4A55">
        <w:t xml:space="preserve"> </w:t>
      </w:r>
      <w:r w:rsidR="004A2D35">
        <w:t>British</w:t>
      </w:r>
      <w:r w:rsidR="00DE4A55">
        <w:t xml:space="preserve"> values related to gender and sexuality</w:t>
      </w:r>
      <w:r w:rsidR="00E31610">
        <w:t>,</w:t>
      </w:r>
      <w:r w:rsidR="00DE4A55">
        <w:t xml:space="preserve"> on other cultures, can result in the marginalisation and exclusion of individuals who do not </w:t>
      </w:r>
      <w:r>
        <w:t>conform to</w:t>
      </w:r>
      <w:r w:rsidR="00DE4A55">
        <w:t xml:space="preserve"> these binary categories</w:t>
      </w:r>
      <w:r w:rsidR="00E31610">
        <w:t xml:space="preserve"> (</w:t>
      </w:r>
      <w:r w:rsidR="00284821">
        <w:t>Puar,</w:t>
      </w:r>
      <w:r w:rsidR="00041B2D">
        <w:t xml:space="preserve"> 2013</w:t>
      </w:r>
      <w:r w:rsidR="00C50A6C">
        <w:t xml:space="preserve">; </w:t>
      </w:r>
      <w:r w:rsidR="001D5941" w:rsidRPr="00F55F45">
        <w:rPr>
          <w:color w:val="333333"/>
          <w:shd w:val="clear" w:color="auto" w:fill="FBFBFB"/>
        </w:rPr>
        <w:t>Bacchetta,</w:t>
      </w:r>
      <w:r w:rsidR="006A305D">
        <w:rPr>
          <w:color w:val="333333"/>
          <w:shd w:val="clear" w:color="auto" w:fill="FBFBFB"/>
        </w:rPr>
        <w:t xml:space="preserve"> </w:t>
      </w:r>
      <w:r w:rsidR="001D5941" w:rsidRPr="00F55F45">
        <w:rPr>
          <w:color w:val="333333"/>
          <w:shd w:val="clear" w:color="auto" w:fill="FBFBFB"/>
        </w:rPr>
        <w:t xml:space="preserve">El-Tayeb, and Haritaworn, </w:t>
      </w:r>
      <w:r w:rsidR="00F058C9">
        <w:rPr>
          <w:color w:val="333333"/>
          <w:shd w:val="clear" w:color="auto" w:fill="FBFBFB"/>
        </w:rPr>
        <w:t>2018</w:t>
      </w:r>
      <w:r w:rsidR="0075341A">
        <w:rPr>
          <w:color w:val="333333"/>
          <w:shd w:val="clear" w:color="auto" w:fill="FBFBFB"/>
        </w:rPr>
        <w:t>;</w:t>
      </w:r>
      <w:r w:rsidR="00E41165">
        <w:t xml:space="preserve"> </w:t>
      </w:r>
      <w:r w:rsidR="00E41165" w:rsidRPr="00A3165A">
        <w:t>Richardson, 2017</w:t>
      </w:r>
      <w:r w:rsidR="00E31610">
        <w:t>)</w:t>
      </w:r>
      <w:r w:rsidR="00DE4A55">
        <w:t xml:space="preserve">. Furthermore, the imposition of </w:t>
      </w:r>
      <w:r w:rsidR="004A2D35">
        <w:t xml:space="preserve">British </w:t>
      </w:r>
      <w:r w:rsidR="00DE4A55">
        <w:t xml:space="preserve">cultural norms related to gender and sexuality can result in the erasure and </w:t>
      </w:r>
      <w:r w:rsidR="005C0767">
        <w:t>marginalisation</w:t>
      </w:r>
      <w:r w:rsidR="00DE4A55">
        <w:t xml:space="preserve"> of </w:t>
      </w:r>
      <w:r>
        <w:t xml:space="preserve">some </w:t>
      </w:r>
      <w:r w:rsidR="00DE4A55">
        <w:t>traditional beliefs and practices relating to gender and sexuality</w:t>
      </w:r>
      <w:r w:rsidR="0046591E">
        <w:t xml:space="preserve"> (</w:t>
      </w:r>
      <w:r w:rsidR="00041B2D">
        <w:t>ibid.</w:t>
      </w:r>
      <w:r w:rsidR="0046591E">
        <w:t>)</w:t>
      </w:r>
      <w:r w:rsidR="00DE4A55">
        <w:t>. This</w:t>
      </w:r>
      <w:r>
        <w:t xml:space="preserve"> is effectively a continuation </w:t>
      </w:r>
      <w:r w:rsidR="00FE4734">
        <w:t>of post</w:t>
      </w:r>
      <w:r>
        <w:t xml:space="preserve">-colonial </w:t>
      </w:r>
      <w:r w:rsidR="00DE4A55">
        <w:t>oppression and marginalisation</w:t>
      </w:r>
      <w:r w:rsidR="0046591E">
        <w:t xml:space="preserve"> </w:t>
      </w:r>
      <w:r>
        <w:t xml:space="preserve">arising from the application of colonial laws to bolster post-colonial political elites </w:t>
      </w:r>
      <w:r w:rsidR="0046591E">
        <w:t>(</w:t>
      </w:r>
      <w:r w:rsidR="00324C38">
        <w:t>ibid.</w:t>
      </w:r>
      <w:r w:rsidR="0046591E">
        <w:t>)</w:t>
      </w:r>
      <w:r w:rsidR="00DE4A55">
        <w:t xml:space="preserve">. </w:t>
      </w:r>
    </w:p>
    <w:p w14:paraId="557198B7" w14:textId="77777777" w:rsidR="0065459C" w:rsidRDefault="0065459C" w:rsidP="008C1506">
      <w:pPr>
        <w:spacing w:line="480" w:lineRule="auto"/>
        <w:jc w:val="both"/>
      </w:pPr>
    </w:p>
    <w:p w14:paraId="459F357E" w14:textId="0AB5D044" w:rsidR="00405271" w:rsidRPr="001F4C77" w:rsidRDefault="004A2D35" w:rsidP="008C1506">
      <w:pPr>
        <w:spacing w:line="480" w:lineRule="auto"/>
        <w:jc w:val="both"/>
      </w:pPr>
      <w:r w:rsidRPr="001F4C77">
        <w:t>British values</w:t>
      </w:r>
      <w:r w:rsidR="0065459C" w:rsidRPr="001F4C77">
        <w:t xml:space="preserve"> including those related to gender and sexuality are often promoted and disseminated globally through</w:t>
      </w:r>
      <w:r w:rsidR="0046591E" w:rsidRPr="001F4C77">
        <w:t xml:space="preserve"> political </w:t>
      </w:r>
      <w:r w:rsidR="00D036F0">
        <w:t>influence</w:t>
      </w:r>
      <w:r w:rsidR="0046591E" w:rsidRPr="001F4C77">
        <w:t>,</w:t>
      </w:r>
      <w:r w:rsidR="0065459C" w:rsidRPr="001F4C77">
        <w:t xml:space="preserve"> media and popular culture </w:t>
      </w:r>
      <w:r w:rsidR="0065459C" w:rsidRPr="006A305D">
        <w:t>(</w:t>
      </w:r>
      <w:bookmarkStart w:id="28" w:name="_Hlk134354300"/>
      <w:r w:rsidR="006006D4" w:rsidRPr="006A305D">
        <w:t>Milestone and Meyer, 2021;</w:t>
      </w:r>
      <w:r w:rsidR="00D246A2" w:rsidRPr="006A305D">
        <w:t xml:space="preserve"> Edens</w:t>
      </w:r>
      <w:r w:rsidR="00FE4734">
        <w:t>ø</w:t>
      </w:r>
      <w:r w:rsidR="00D246A2" w:rsidRPr="006A305D">
        <w:t>r</w:t>
      </w:r>
      <w:r w:rsidRPr="006A305D">
        <w:t>,</w:t>
      </w:r>
      <w:r w:rsidR="00D246A2" w:rsidRPr="006A305D">
        <w:t xml:space="preserve"> 2020</w:t>
      </w:r>
      <w:bookmarkEnd w:id="28"/>
      <w:r w:rsidR="0065459C" w:rsidRPr="006A305D">
        <w:t>)</w:t>
      </w:r>
      <w:r w:rsidR="00D036F0">
        <w:t>. S</w:t>
      </w:r>
      <w:r w:rsidR="00872B99" w:rsidRPr="001F4C77">
        <w:t xml:space="preserve">ome people </w:t>
      </w:r>
      <w:r w:rsidR="00D036F0">
        <w:t>interpret</w:t>
      </w:r>
      <w:r w:rsidR="00872B99" w:rsidRPr="001F4C77">
        <w:t xml:space="preserve"> this as cultural </w:t>
      </w:r>
      <w:r w:rsidRPr="001F4C77">
        <w:t>imperialism</w:t>
      </w:r>
      <w:r w:rsidR="00CE582F">
        <w:t xml:space="preserve"> (ibid.).</w:t>
      </w:r>
      <w:r w:rsidR="0065459C" w:rsidRPr="001F4C77">
        <w:t xml:space="preserve"> While this can help to raise awareness of LGBTQIA+ issues and promote acceptance in some contexts, it can also </w:t>
      </w:r>
      <w:r w:rsidR="00D036F0">
        <w:t xml:space="preserve">be considered as an </w:t>
      </w:r>
      <w:r w:rsidR="0065459C" w:rsidRPr="001F4C77">
        <w:t xml:space="preserve">imposition of </w:t>
      </w:r>
      <w:r w:rsidR="00286802" w:rsidRPr="001F4C77">
        <w:t xml:space="preserve">British </w:t>
      </w:r>
      <w:r w:rsidR="0065459C" w:rsidRPr="001F4C77">
        <w:t>norms on cultures</w:t>
      </w:r>
      <w:r w:rsidR="00CE582F">
        <w:t xml:space="preserve"> (ibid.). </w:t>
      </w:r>
    </w:p>
    <w:p w14:paraId="67D74400" w14:textId="77777777" w:rsidR="00405271" w:rsidRPr="00C35D90" w:rsidRDefault="00405271" w:rsidP="008C1506">
      <w:pPr>
        <w:spacing w:line="480" w:lineRule="auto"/>
        <w:jc w:val="both"/>
        <w:rPr>
          <w:highlight w:val="yellow"/>
        </w:rPr>
      </w:pPr>
    </w:p>
    <w:p w14:paraId="7E59A6B4" w14:textId="053F14FB" w:rsidR="0016735B" w:rsidRDefault="0065459C" w:rsidP="008C1506">
      <w:pPr>
        <w:spacing w:line="480" w:lineRule="auto"/>
        <w:jc w:val="both"/>
      </w:pPr>
      <w:r w:rsidRPr="00B10042">
        <w:t xml:space="preserve">On the other hand, </w:t>
      </w:r>
      <w:r w:rsidR="00D036F0">
        <w:t>this perceived cultural</w:t>
      </w:r>
      <w:r w:rsidRPr="00B10042">
        <w:t xml:space="preserve"> imperialism can also have a negative</w:t>
      </w:r>
      <w:r w:rsidR="00DB7799" w:rsidRPr="00B10042">
        <w:t xml:space="preserve"> </w:t>
      </w:r>
      <w:r w:rsidRPr="00B10042">
        <w:t>impact on the lives of LGBQTIA+ people</w:t>
      </w:r>
      <w:r w:rsidR="00CE582F">
        <w:t xml:space="preserve"> (ibid.)</w:t>
      </w:r>
      <w:r w:rsidRPr="00B10042">
        <w:t>. For example, in some countries</w:t>
      </w:r>
      <w:r w:rsidR="00D036F0">
        <w:t xml:space="preserve"> </w:t>
      </w:r>
      <w:r w:rsidR="00286802" w:rsidRPr="00B10042">
        <w:t xml:space="preserve">British </w:t>
      </w:r>
      <w:r w:rsidRPr="00B10042">
        <w:t>effo</w:t>
      </w:r>
      <w:r w:rsidR="00405271" w:rsidRPr="00B10042">
        <w:t>r</w:t>
      </w:r>
      <w:r w:rsidRPr="00B10042">
        <w:t xml:space="preserve">ts to promote LGBTQIA+ rights may be seen as a form of cultural imperialism </w:t>
      </w:r>
      <w:r w:rsidR="00D036F0">
        <w:t xml:space="preserve">has been seen as threats to </w:t>
      </w:r>
      <w:r w:rsidRPr="00B10042">
        <w:t>traditional cultural values and practices</w:t>
      </w:r>
      <w:r w:rsidR="004E08A7" w:rsidRPr="00B10042">
        <w:t xml:space="preserve"> (ibid.)</w:t>
      </w:r>
      <w:r w:rsidRPr="00B10042">
        <w:t xml:space="preserve">. This can result in </w:t>
      </w:r>
      <w:r w:rsidR="00D036F0">
        <w:t xml:space="preserve">a </w:t>
      </w:r>
      <w:r w:rsidRPr="00B10042">
        <w:t>backlash against LGBTQIA+ individuals</w:t>
      </w:r>
      <w:r w:rsidR="00D036F0">
        <w:t xml:space="preserve"> and organisations.</w:t>
      </w:r>
    </w:p>
    <w:p w14:paraId="27A14C2C" w14:textId="77777777" w:rsidR="0016735B" w:rsidRDefault="0016735B" w:rsidP="008C1506">
      <w:pPr>
        <w:spacing w:line="480" w:lineRule="auto"/>
        <w:jc w:val="both"/>
      </w:pPr>
    </w:p>
    <w:p w14:paraId="3C9541E1" w14:textId="6041873B" w:rsidR="00CC65C7" w:rsidRPr="00985C4D" w:rsidRDefault="00FC783C" w:rsidP="008C1506">
      <w:pPr>
        <w:spacing w:line="480" w:lineRule="auto"/>
        <w:jc w:val="both"/>
      </w:pPr>
      <w:r w:rsidRPr="00985C4D">
        <w:t xml:space="preserve">In Uganda homosexuality is </w:t>
      </w:r>
      <w:r w:rsidR="006A305D" w:rsidRPr="00985C4D">
        <w:t>illegal,</w:t>
      </w:r>
      <w:r w:rsidRPr="00985C4D">
        <w:t xml:space="preserve"> and </w:t>
      </w:r>
      <w:r w:rsidR="003F7E7D" w:rsidRPr="00985C4D">
        <w:t>legislators</w:t>
      </w:r>
      <w:r w:rsidRPr="00985C4D">
        <w:t xml:space="preserve"> have </w:t>
      </w:r>
      <w:r w:rsidR="00D036F0">
        <w:t>introduced</w:t>
      </w:r>
      <w:r w:rsidRPr="00985C4D">
        <w:t xml:space="preserve"> the death penalty for </w:t>
      </w:r>
      <w:r w:rsidR="00D036F0">
        <w:t>certain homosexual acts</w:t>
      </w:r>
      <w:r w:rsidRPr="00617EC3">
        <w:t xml:space="preserve"> (</w:t>
      </w:r>
      <w:r w:rsidR="002278F4" w:rsidRPr="001F4C77">
        <w:t>Kuloba</w:t>
      </w:r>
      <w:r w:rsidR="003F7E7D" w:rsidRPr="001F4C77">
        <w:t>, 2016</w:t>
      </w:r>
      <w:r w:rsidR="00D036F0">
        <w:t>; BBC, 2023</w:t>
      </w:r>
      <w:r w:rsidRPr="001F4C77">
        <w:t>).</w:t>
      </w:r>
      <w:r w:rsidRPr="00617EC3">
        <w:t xml:space="preserve"> One</w:t>
      </w:r>
      <w:r w:rsidRPr="00985C4D">
        <w:t xml:space="preserve"> of the </w:t>
      </w:r>
      <w:r w:rsidR="009F4BC4" w:rsidRPr="00985C4D">
        <w:t>reasons</w:t>
      </w:r>
      <w:r w:rsidRPr="00985C4D">
        <w:t xml:space="preserve"> for this is that homosexuality is seen as un</w:t>
      </w:r>
      <w:r w:rsidR="00B24A26" w:rsidRPr="00985C4D">
        <w:t>A</w:t>
      </w:r>
      <w:r w:rsidRPr="00985C4D">
        <w:t>frican</w:t>
      </w:r>
      <w:r w:rsidR="00B24A26" w:rsidRPr="00985C4D">
        <w:t xml:space="preserve"> (</w:t>
      </w:r>
      <w:r w:rsidR="003F7E7D" w:rsidRPr="00985C4D">
        <w:t xml:space="preserve">ibid.). </w:t>
      </w:r>
      <w:r w:rsidR="00CC707B">
        <w:t>Kuloba</w:t>
      </w:r>
      <w:r w:rsidR="00F96AAC" w:rsidRPr="00985C4D">
        <w:t xml:space="preserve"> (2016) argues that to understand why Uganda has homophobic laws,</w:t>
      </w:r>
      <w:r w:rsidR="003F7E7D" w:rsidRPr="00985C4D">
        <w:t xml:space="preserve"> we need to</w:t>
      </w:r>
      <w:r w:rsidR="00F96AAC" w:rsidRPr="00985C4D">
        <w:t xml:space="preserve"> examine the impact British colonialisation had on the country</w:t>
      </w:r>
      <w:r w:rsidR="00764F89" w:rsidRPr="00985C4D">
        <w:t xml:space="preserve">. </w:t>
      </w:r>
      <w:r w:rsidR="00CC707B">
        <w:t>Kuloba</w:t>
      </w:r>
      <w:r w:rsidR="00764F89" w:rsidRPr="00985C4D">
        <w:t xml:space="preserve"> (2016) </w:t>
      </w:r>
      <w:r w:rsidR="00E83AFA">
        <w:t xml:space="preserve">elaborates further </w:t>
      </w:r>
      <w:r w:rsidR="0028749D">
        <w:t xml:space="preserve">on the fusion </w:t>
      </w:r>
      <w:r w:rsidR="0018161B">
        <w:t xml:space="preserve">of </w:t>
      </w:r>
      <w:r w:rsidR="0018161B" w:rsidRPr="00985C4D">
        <w:t>pre</w:t>
      </w:r>
      <w:r w:rsidR="009103C0" w:rsidRPr="00985C4D">
        <w:t xml:space="preserve">-colonial </w:t>
      </w:r>
      <w:r w:rsidR="00AA08D1" w:rsidRPr="00985C4D">
        <w:t>and European values</w:t>
      </w:r>
      <w:r w:rsidR="00331E8D">
        <w:t xml:space="preserve"> in Uganda</w:t>
      </w:r>
      <w:r w:rsidR="00AB62E1">
        <w:t xml:space="preserve"> which they argue</w:t>
      </w:r>
      <w:r w:rsidR="00F17250" w:rsidRPr="00985C4D">
        <w:t xml:space="preserve"> produced a new cultural space</w:t>
      </w:r>
      <w:r w:rsidR="00331E8D">
        <w:t>.</w:t>
      </w:r>
      <w:r w:rsidR="007B1026" w:rsidRPr="00985C4D">
        <w:t xml:space="preserve"> </w:t>
      </w:r>
      <w:r w:rsidR="0028749D">
        <w:t xml:space="preserve">Kuloba (2016) </w:t>
      </w:r>
      <w:r w:rsidR="00AB62E1">
        <w:t>further claims</w:t>
      </w:r>
      <w:r w:rsidR="007B1026" w:rsidRPr="00985C4D">
        <w:t xml:space="preserve"> that Africa i</w:t>
      </w:r>
      <w:r w:rsidR="002549DB" w:rsidRPr="00985C4D">
        <w:t xml:space="preserve">n </w:t>
      </w:r>
      <w:r w:rsidR="0016735B" w:rsidRPr="00985C4D">
        <w:t>the post-colonial era is a hybrid offspring</w:t>
      </w:r>
      <w:r w:rsidR="00BC06CA" w:rsidRPr="00985C4D">
        <w:t xml:space="preserve">, </w:t>
      </w:r>
      <w:r w:rsidR="00D036F0">
        <w:t>which</w:t>
      </w:r>
      <w:r w:rsidR="0016735B" w:rsidRPr="00985C4D">
        <w:t xml:space="preserve"> consciously and sometimes unconsciousl</w:t>
      </w:r>
      <w:r w:rsidR="00331E8D">
        <w:t>y demonstrates an awareness of this</w:t>
      </w:r>
      <w:r w:rsidR="0016735B" w:rsidRPr="00985C4D">
        <w:t xml:space="preserve"> hybridity</w:t>
      </w:r>
      <w:r w:rsidR="00331E8D">
        <w:t xml:space="preserve"> in </w:t>
      </w:r>
      <w:r w:rsidR="0021711F">
        <w:t>forming a</w:t>
      </w:r>
      <w:r w:rsidR="00331E8D">
        <w:t xml:space="preserve"> national identity arising from multifaceted and sometimes conflicting historical experiences and </w:t>
      </w:r>
      <w:r w:rsidR="0021673B">
        <w:t>contradictions</w:t>
      </w:r>
      <w:r w:rsidR="00331E8D">
        <w:t xml:space="preserve">. </w:t>
      </w:r>
    </w:p>
    <w:p w14:paraId="7492E73B" w14:textId="597246D3" w:rsidR="00CC65C7" w:rsidRPr="00985C4D" w:rsidRDefault="002549DB" w:rsidP="008C1506">
      <w:pPr>
        <w:spacing w:line="480" w:lineRule="auto"/>
        <w:jc w:val="both"/>
      </w:pPr>
      <w:r w:rsidRPr="00985C4D">
        <w:br/>
      </w:r>
      <w:r w:rsidR="0021673B">
        <w:t>In the case of Uganda, t</w:t>
      </w:r>
      <w:r w:rsidR="00ED05BF">
        <w:t>he emergence of this</w:t>
      </w:r>
      <w:r w:rsidRPr="00985C4D">
        <w:t xml:space="preserve"> new hybrid </w:t>
      </w:r>
      <w:r w:rsidR="001F4C77" w:rsidRPr="00985C4D">
        <w:t>spac</w:t>
      </w:r>
      <w:r w:rsidR="0021673B">
        <w:t>e</w:t>
      </w:r>
      <w:r w:rsidR="00ED05BF">
        <w:t xml:space="preserve"> established </w:t>
      </w:r>
      <w:r w:rsidR="006C2AFC">
        <w:t xml:space="preserve">westernised </w:t>
      </w:r>
      <w:r w:rsidR="0018161B">
        <w:t>heteronormativity</w:t>
      </w:r>
      <w:r w:rsidR="006C2AFC">
        <w:t xml:space="preserve"> and </w:t>
      </w:r>
      <w:r w:rsidRPr="00985C4D">
        <w:t>patriarchy as the natural</w:t>
      </w:r>
      <w:r w:rsidR="001F4C77">
        <w:t xml:space="preserve"> </w:t>
      </w:r>
      <w:r w:rsidR="00ED05BF">
        <w:t>order</w:t>
      </w:r>
      <w:r w:rsidR="0021673B">
        <w:t>.</w:t>
      </w:r>
      <w:r w:rsidRPr="00985C4D">
        <w:t xml:space="preserve"> </w:t>
      </w:r>
      <w:r w:rsidR="006C2AFC" w:rsidRPr="00985C4D">
        <w:t>Christianity</w:t>
      </w:r>
      <w:r w:rsidR="006C2AFC">
        <w:t xml:space="preserve"> and</w:t>
      </w:r>
      <w:r w:rsidR="0021673B">
        <w:t xml:space="preserve"> the Bible were</w:t>
      </w:r>
      <w:r w:rsidR="00CC65C7" w:rsidRPr="00985C4D">
        <w:t xml:space="preserve"> </w:t>
      </w:r>
      <w:r w:rsidR="0021673B">
        <w:t>adopted</w:t>
      </w:r>
      <w:r w:rsidR="00CC65C7" w:rsidRPr="00985C4D">
        <w:t xml:space="preserve"> as national values </w:t>
      </w:r>
      <w:r w:rsidR="004A5923">
        <w:t>rather than foreign ones</w:t>
      </w:r>
      <w:r w:rsidRPr="00985C4D">
        <w:t xml:space="preserve"> (ibid.)</w:t>
      </w:r>
      <w:r w:rsidR="00CC65C7" w:rsidRPr="00985C4D">
        <w:t xml:space="preserve">. </w:t>
      </w:r>
      <w:r w:rsidR="004A5923">
        <w:t xml:space="preserve">As a result, the concepts of sin </w:t>
      </w:r>
      <w:r w:rsidR="003977EB">
        <w:t xml:space="preserve">and punishment underwent a redefinition and were </w:t>
      </w:r>
      <w:r w:rsidR="006A305D">
        <w:t>internalised</w:t>
      </w:r>
      <w:r w:rsidR="003977EB">
        <w:t xml:space="preserve"> from new perspectives</w:t>
      </w:r>
      <w:r w:rsidR="004A5923">
        <w:t xml:space="preserve"> </w:t>
      </w:r>
      <w:r w:rsidR="00E46014" w:rsidRPr="00985C4D">
        <w:t>(ibid.)</w:t>
      </w:r>
      <w:r w:rsidR="00CC65C7" w:rsidRPr="00985C4D">
        <w:t xml:space="preserve">. </w:t>
      </w:r>
      <w:r w:rsidR="0048618D" w:rsidRPr="00985C4D">
        <w:t xml:space="preserve">According to </w:t>
      </w:r>
      <w:r w:rsidR="00CC707B">
        <w:t>Kuloba</w:t>
      </w:r>
      <w:r w:rsidR="0048618D" w:rsidRPr="00985C4D">
        <w:t xml:space="preserve"> (2016) </w:t>
      </w:r>
      <w:r w:rsidR="00CC65C7" w:rsidRPr="00985C4D">
        <w:t xml:space="preserve">Africans embraced hybridity as their identity and culture. Hybridity established boundaries for citizenship and Africanness, with its citizens adhering to certain rules, regulations, beliefs, </w:t>
      </w:r>
      <w:r w:rsidR="000A315D" w:rsidRPr="00985C4D">
        <w:t xml:space="preserve">and </w:t>
      </w:r>
      <w:r w:rsidR="00693048" w:rsidRPr="00985C4D">
        <w:t>values.</w:t>
      </w:r>
    </w:p>
    <w:p w14:paraId="03A1A73F" w14:textId="77777777" w:rsidR="00CC65C7" w:rsidRPr="00985C4D" w:rsidRDefault="00CC65C7" w:rsidP="008C1506">
      <w:pPr>
        <w:spacing w:line="480" w:lineRule="auto"/>
        <w:jc w:val="both"/>
      </w:pPr>
    </w:p>
    <w:p w14:paraId="0F7563E3" w14:textId="10D3C3AE" w:rsidR="00A147A3" w:rsidRDefault="0048618D" w:rsidP="00A147A3">
      <w:pPr>
        <w:spacing w:line="480" w:lineRule="auto"/>
        <w:jc w:val="both"/>
      </w:pPr>
      <w:r w:rsidRPr="00985C4D">
        <w:t>Pressure</w:t>
      </w:r>
      <w:r w:rsidR="00CC65C7" w:rsidRPr="00985C4D">
        <w:t xml:space="preserve"> from </w:t>
      </w:r>
      <w:r w:rsidR="00745F0B">
        <w:t>Britain, Europe</w:t>
      </w:r>
      <w:r w:rsidR="00745F0B" w:rsidRPr="00985C4D">
        <w:t xml:space="preserve"> </w:t>
      </w:r>
      <w:r w:rsidR="00CC65C7" w:rsidRPr="00985C4D">
        <w:t xml:space="preserve">and America to drop antigay legislations in Uganda and respect homosexuality as a human right </w:t>
      </w:r>
      <w:r w:rsidR="0021673B">
        <w:t>is</w:t>
      </w:r>
      <w:r w:rsidR="00CC65C7" w:rsidRPr="00985C4D">
        <w:t xml:space="preserve"> viewed as</w:t>
      </w:r>
      <w:r w:rsidR="0021673B">
        <w:t xml:space="preserve"> a</w:t>
      </w:r>
      <w:r w:rsidR="00CC65C7" w:rsidRPr="00985C4D">
        <w:t xml:space="preserve"> pervasive insult to Africans</w:t>
      </w:r>
      <w:r w:rsidR="00493B5F">
        <w:t xml:space="preserve"> and </w:t>
      </w:r>
      <w:r w:rsidR="00BD5B5F">
        <w:t>for some represent a new attempt at colonisation</w:t>
      </w:r>
      <w:r w:rsidR="0021673B">
        <w:t>. F</w:t>
      </w:r>
      <w:r w:rsidR="00BD5B5F">
        <w:t>urthermore</w:t>
      </w:r>
      <w:r w:rsidR="0021673B">
        <w:t>,</w:t>
      </w:r>
      <w:r w:rsidR="00BD5B5F">
        <w:t xml:space="preserve"> some see</w:t>
      </w:r>
      <w:r w:rsidR="00CC65C7" w:rsidRPr="00985C4D">
        <w:t xml:space="preserve"> </w:t>
      </w:r>
      <w:r w:rsidR="00BD5B5F">
        <w:t>this</w:t>
      </w:r>
      <w:r w:rsidR="0021673B">
        <w:t xml:space="preserve"> pro-LGBTQIA+</w:t>
      </w:r>
      <w:r w:rsidR="00BD5B5F">
        <w:t xml:space="preserve"> </w:t>
      </w:r>
      <w:r w:rsidR="0021673B">
        <w:t>advocacy</w:t>
      </w:r>
      <w:r w:rsidR="00BD5B5F">
        <w:t xml:space="preserve"> as anti-</w:t>
      </w:r>
      <w:r w:rsidR="00745F0B">
        <w:t>Christian</w:t>
      </w:r>
      <w:r w:rsidR="00BF75EB">
        <w:t xml:space="preserve"> (</w:t>
      </w:r>
      <w:r w:rsidR="00055C1A">
        <w:t>Kuloba,</w:t>
      </w:r>
      <w:r w:rsidR="00617EC3">
        <w:t xml:space="preserve"> </w:t>
      </w:r>
      <w:r w:rsidR="00055C1A">
        <w:t>2016</w:t>
      </w:r>
      <w:r w:rsidR="00BF75EB">
        <w:t>)</w:t>
      </w:r>
      <w:r w:rsidR="00CC65C7" w:rsidRPr="00985C4D">
        <w:t xml:space="preserve">. </w:t>
      </w:r>
      <w:r w:rsidR="00BD5B5F">
        <w:t>LGBTQIA+</w:t>
      </w:r>
      <w:r w:rsidR="00CC65C7" w:rsidRPr="00985C4D">
        <w:t xml:space="preserve"> activism is seen as an attack on what is perceived natural</w:t>
      </w:r>
      <w:r w:rsidR="0021673B">
        <w:t>;</w:t>
      </w:r>
      <w:r w:rsidR="00784167">
        <w:t xml:space="preserve"> </w:t>
      </w:r>
      <w:r w:rsidR="0021673B">
        <w:t>it</w:t>
      </w:r>
      <w:r w:rsidR="00CC65C7" w:rsidRPr="00985C4D">
        <w:t xml:space="preserve"> is feared to be </w:t>
      </w:r>
      <w:r w:rsidR="0021673B">
        <w:t>influencing young</w:t>
      </w:r>
      <w:r w:rsidR="00CC65C7" w:rsidRPr="00985C4D">
        <w:t xml:space="preserve"> African men to behave like women</w:t>
      </w:r>
      <w:r w:rsidR="00BF75EB">
        <w:t xml:space="preserve"> (</w:t>
      </w:r>
      <w:r w:rsidR="00055C1A">
        <w:t>ibid</w:t>
      </w:r>
      <w:r w:rsidR="0021673B">
        <w:rPr>
          <w:i/>
          <w:iCs/>
        </w:rPr>
        <w:t>.</w:t>
      </w:r>
      <w:r w:rsidR="0021673B">
        <w:t>)</w:t>
      </w:r>
      <w:r w:rsidR="00CC65C7" w:rsidRPr="00BC03B2">
        <w:rPr>
          <w:i/>
          <w:iCs/>
        </w:rPr>
        <w:t xml:space="preserve">. </w:t>
      </w:r>
      <w:r w:rsidR="00051207" w:rsidRPr="00BC03B2">
        <w:rPr>
          <w:i/>
          <w:iCs/>
        </w:rPr>
        <w:t xml:space="preserve"> </w:t>
      </w:r>
      <w:r w:rsidR="006C2AFC" w:rsidRPr="006C2AFC">
        <w:t>‘</w:t>
      </w:r>
      <w:r w:rsidR="00CC65C7" w:rsidRPr="006C2AFC">
        <w:t>Same-sex relationships are deemed fruitless, femini</w:t>
      </w:r>
      <w:r w:rsidR="003A4919" w:rsidRPr="006C2AFC">
        <w:t>s</w:t>
      </w:r>
      <w:r w:rsidR="00CC65C7" w:rsidRPr="006C2AFC">
        <w:t>ing the citizenry without empowering women to perform men's sexual duties of fathering children</w:t>
      </w:r>
      <w:r w:rsidR="006C2AFC" w:rsidRPr="006C2AFC">
        <w:t>’</w:t>
      </w:r>
      <w:r w:rsidR="00BF75EB">
        <w:t xml:space="preserve"> (</w:t>
      </w:r>
      <w:r w:rsidR="00055C1A">
        <w:t>ibid.</w:t>
      </w:r>
      <w:r w:rsidR="00BC03B2">
        <w:t>, p.</w:t>
      </w:r>
      <w:r w:rsidR="00D86ADF">
        <w:t>26-27</w:t>
      </w:r>
      <w:r w:rsidR="00BF75EB">
        <w:t>)</w:t>
      </w:r>
      <w:r w:rsidR="00CC65C7" w:rsidRPr="00985C4D">
        <w:t>. This is</w:t>
      </w:r>
      <w:r w:rsidR="00051207" w:rsidRPr="00985C4D">
        <w:t xml:space="preserve"> seen as</w:t>
      </w:r>
      <w:r w:rsidR="00CC65C7" w:rsidRPr="00985C4D">
        <w:t xml:space="preserve"> dangerous to the nation and </w:t>
      </w:r>
      <w:r w:rsidR="006C2AFC" w:rsidRPr="006C2AFC">
        <w:t>‘</w:t>
      </w:r>
      <w:r w:rsidR="00CC65C7" w:rsidRPr="006C2AFC">
        <w:t>reduces men to feminine sexual status</w:t>
      </w:r>
      <w:r w:rsidR="006C2AFC" w:rsidRPr="006C2AFC">
        <w:t>’</w:t>
      </w:r>
      <w:r w:rsidR="00BF75EB" w:rsidRPr="006C2AFC">
        <w:t xml:space="preserve"> </w:t>
      </w:r>
      <w:r w:rsidR="00BF75EB" w:rsidRPr="006C2AFC">
        <w:rPr>
          <w:i/>
          <w:iCs/>
        </w:rPr>
        <w:t>(</w:t>
      </w:r>
      <w:r w:rsidR="00055C1A">
        <w:t>ibid.</w:t>
      </w:r>
      <w:r w:rsidR="0041268F">
        <w:t>, p.27</w:t>
      </w:r>
      <w:r w:rsidR="00BF75EB">
        <w:t>)</w:t>
      </w:r>
      <w:r w:rsidR="00CC65C7" w:rsidRPr="00985C4D">
        <w:t>. Anti</w:t>
      </w:r>
      <w:r w:rsidR="0021673B">
        <w:t>-</w:t>
      </w:r>
      <w:r w:rsidR="00784167">
        <w:t xml:space="preserve">LGBTQIA+ </w:t>
      </w:r>
      <w:r w:rsidR="00CC65C7" w:rsidRPr="00985C4D">
        <w:t>legislation</w:t>
      </w:r>
      <w:r w:rsidR="001C411D" w:rsidRPr="00985C4D">
        <w:t>, therefore,</w:t>
      </w:r>
      <w:r w:rsidR="00CC65C7" w:rsidRPr="00985C4D">
        <w:t xml:space="preserve"> is viewed as guarding cultural and religious imperatives, rather than damaging Uganda's </w:t>
      </w:r>
      <w:r w:rsidR="001C411D" w:rsidRPr="00985C4D">
        <w:t>i</w:t>
      </w:r>
      <w:r w:rsidR="00CC65C7" w:rsidRPr="00985C4D">
        <w:t>nternational reputation</w:t>
      </w:r>
      <w:r w:rsidR="00BF75EB">
        <w:t xml:space="preserve"> (</w:t>
      </w:r>
      <w:r w:rsidR="00055C1A">
        <w:t>ibid.</w:t>
      </w:r>
      <w:r w:rsidR="00BF75EB">
        <w:t>)</w:t>
      </w:r>
      <w:r w:rsidR="00E10593">
        <w:t>.</w:t>
      </w:r>
      <w:r w:rsidR="003F0859">
        <w:t xml:space="preserve"> In </w:t>
      </w:r>
      <w:r w:rsidR="006A305D">
        <w:t xml:space="preserve">summary, </w:t>
      </w:r>
      <w:r w:rsidR="006A305D" w:rsidRPr="00985C4D">
        <w:t>the</w:t>
      </w:r>
      <w:r w:rsidR="003F0859">
        <w:t xml:space="preserve"> </w:t>
      </w:r>
      <w:r w:rsidR="007027F2">
        <w:t xml:space="preserve">author </w:t>
      </w:r>
      <w:r w:rsidR="003F0859">
        <w:t xml:space="preserve">states that homosexuality is viewed as an </w:t>
      </w:r>
      <w:r w:rsidR="00A5762D">
        <w:t>individual</w:t>
      </w:r>
      <w:r w:rsidR="003F0859">
        <w:t xml:space="preserve"> entitl</w:t>
      </w:r>
      <w:r w:rsidR="00A5762D">
        <w:t xml:space="preserve">ement in Europe and America, whereas in Africa it presents a dilemma in the context of hybridity where patriarchal structures hold sway as the primary political power. </w:t>
      </w:r>
      <w:r w:rsidR="0018161B">
        <w:t>Also,</w:t>
      </w:r>
      <w:r w:rsidR="00981B7D">
        <w:t xml:space="preserve"> the </w:t>
      </w:r>
      <w:r w:rsidR="006C2AFC">
        <w:t>identification</w:t>
      </w:r>
      <w:r w:rsidR="00981B7D">
        <w:t xml:space="preserve"> and the oppression, the Other, the enemy within, can be politically useful. </w:t>
      </w:r>
    </w:p>
    <w:p w14:paraId="17414672" w14:textId="72FF3174" w:rsidR="00A147A3" w:rsidRPr="007D69C0" w:rsidRDefault="00882973" w:rsidP="007D69C0">
      <w:pPr>
        <w:spacing w:line="480" w:lineRule="auto"/>
        <w:ind w:firstLine="720"/>
        <w:jc w:val="both"/>
        <w:rPr>
          <w:b/>
          <w:bCs/>
        </w:rPr>
      </w:pPr>
      <w:r>
        <w:rPr>
          <w:b/>
          <w:bCs/>
        </w:rPr>
        <w:t xml:space="preserve">Homonationalism </w:t>
      </w:r>
    </w:p>
    <w:p w14:paraId="2E301C5C" w14:textId="61D904C6" w:rsidR="00623287" w:rsidRDefault="00EA4134" w:rsidP="007D69C0">
      <w:pPr>
        <w:spacing w:line="480" w:lineRule="auto"/>
        <w:jc w:val="both"/>
      </w:pPr>
      <w:r>
        <w:t xml:space="preserve">The author is also </w:t>
      </w:r>
      <w:r w:rsidR="00882973">
        <w:t>wishes to e</w:t>
      </w:r>
      <w:r w:rsidR="00981B7D">
        <w:t>x</w:t>
      </w:r>
      <w:r w:rsidR="00882973">
        <w:t>plore</w:t>
      </w:r>
      <w:r>
        <w:t xml:space="preserve"> </w:t>
      </w:r>
      <w:r w:rsidR="00882973">
        <w:t>Homonationalism</w:t>
      </w:r>
      <w:r>
        <w:t xml:space="preserve">. </w:t>
      </w:r>
      <w:r w:rsidR="00882973">
        <w:t>Homonationalism</w:t>
      </w:r>
      <w:r w:rsidR="00A147A3" w:rsidRPr="00FF3163">
        <w:t xml:space="preserve"> is a term used to describe the convergence between nationalist and LGBTQ</w:t>
      </w:r>
      <w:r w:rsidR="002745E3">
        <w:t>IA</w:t>
      </w:r>
      <w:r w:rsidR="00A147A3" w:rsidRPr="00FF3163">
        <w:t>+ movements, or the use of LGBTQ</w:t>
      </w:r>
      <w:r w:rsidR="002745E3">
        <w:t>IA</w:t>
      </w:r>
      <w:r w:rsidR="00A147A3" w:rsidRPr="00FF3163">
        <w:t>+ rights to justify and promote nationalist and anti-immigrant agendas</w:t>
      </w:r>
      <w:r w:rsidR="00C31101">
        <w:t xml:space="preserve"> (Puar, 20</w:t>
      </w:r>
      <w:r w:rsidR="00E2235D">
        <w:t>13</w:t>
      </w:r>
      <w:r w:rsidR="00C31101">
        <w:t>; Schotten, 2013</w:t>
      </w:r>
      <w:r w:rsidR="006E6226">
        <w:t>; Morgensen, 2010</w:t>
      </w:r>
      <w:r w:rsidR="00E71258">
        <w:t>; Browne and Nash, 2017</w:t>
      </w:r>
      <w:r w:rsidR="00C31101">
        <w:t>)</w:t>
      </w:r>
      <w:r w:rsidR="00A147A3" w:rsidRPr="00FF3163">
        <w:t>. It refers to the ways in which some LGBTQ</w:t>
      </w:r>
      <w:r w:rsidR="00981B7D">
        <w:t>IA</w:t>
      </w:r>
      <w:r w:rsidR="00A147A3" w:rsidRPr="00FF3163">
        <w:t>+ people, particularly in the West, have aligned themselves with nationalist and anti-immigrant movements and governments, often at the expense of other marginali</w:t>
      </w:r>
      <w:r w:rsidR="00847082">
        <w:t>s</w:t>
      </w:r>
      <w:r w:rsidR="00A147A3" w:rsidRPr="00FF3163">
        <w:t>ed communities, including those within the LGBTQ</w:t>
      </w:r>
      <w:r w:rsidR="002745E3">
        <w:t>IA</w:t>
      </w:r>
      <w:r w:rsidR="00A147A3" w:rsidRPr="00FF3163">
        <w:t>+ community who are also marginali</w:t>
      </w:r>
      <w:r w:rsidR="00847082">
        <w:t>s</w:t>
      </w:r>
      <w:r w:rsidR="00A147A3" w:rsidRPr="00FF3163">
        <w:t>ed</w:t>
      </w:r>
      <w:r w:rsidR="00847082">
        <w:t xml:space="preserve"> (ibid.</w:t>
      </w:r>
      <w:r w:rsidR="00981B7D">
        <w:t xml:space="preserve">). </w:t>
      </w:r>
    </w:p>
    <w:p w14:paraId="112C3443" w14:textId="77777777" w:rsidR="00623287" w:rsidRDefault="00623287" w:rsidP="007D69C0">
      <w:pPr>
        <w:spacing w:line="480" w:lineRule="auto"/>
        <w:jc w:val="both"/>
      </w:pPr>
    </w:p>
    <w:p w14:paraId="37F3F87A" w14:textId="43D39AFF" w:rsidR="007D69C0" w:rsidRDefault="00623287" w:rsidP="007D69C0">
      <w:pPr>
        <w:spacing w:line="480" w:lineRule="auto"/>
        <w:jc w:val="both"/>
      </w:pPr>
      <w:r>
        <w:t xml:space="preserve">The </w:t>
      </w:r>
      <w:r w:rsidR="006A305D">
        <w:t>West</w:t>
      </w:r>
      <w:r>
        <w:t xml:space="preserve">, </w:t>
      </w:r>
      <w:r w:rsidR="007C3B9B">
        <w:t xml:space="preserve">which </w:t>
      </w:r>
      <w:r w:rsidR="00707803">
        <w:t>includes</w:t>
      </w:r>
      <w:r>
        <w:t xml:space="preserve"> Britain,</w:t>
      </w:r>
      <w:r w:rsidR="00A147A3" w:rsidRPr="00FF3163">
        <w:t xml:space="preserve"> has </w:t>
      </w:r>
      <w:r w:rsidR="00981B7D">
        <w:t>sometimes been accused of</w:t>
      </w:r>
      <w:r w:rsidR="00A147A3" w:rsidRPr="00FF3163">
        <w:t xml:space="preserve"> portraying LGBTQ</w:t>
      </w:r>
      <w:r w:rsidR="002745E3">
        <w:t>IA</w:t>
      </w:r>
      <w:r w:rsidR="00A147A3" w:rsidRPr="00FF3163">
        <w:t xml:space="preserve">+ people as "enlightened" or "modern" compared </w:t>
      </w:r>
      <w:r w:rsidR="007C3B9B">
        <w:t>to</w:t>
      </w:r>
      <w:r w:rsidR="00707803">
        <w:t xml:space="preserve"> how some immigrant communities are seen as </w:t>
      </w:r>
      <w:r w:rsidR="0018161B">
        <w:t>conservative and</w:t>
      </w:r>
      <w:r w:rsidR="00707803">
        <w:t xml:space="preserve"> hold traditional values </w:t>
      </w:r>
      <w:r w:rsidR="00F510D3">
        <w:t xml:space="preserve">(Puar, </w:t>
      </w:r>
      <w:r w:rsidR="00E2235D">
        <w:t>2013</w:t>
      </w:r>
      <w:r w:rsidR="00F510D3">
        <w:t>; Schotten, 2013)</w:t>
      </w:r>
      <w:r w:rsidR="00A147A3" w:rsidRPr="00FF3163">
        <w:t>.</w:t>
      </w:r>
      <w:r w:rsidR="00A147A3">
        <w:t xml:space="preserve"> </w:t>
      </w:r>
      <w:r w:rsidR="00BD6B6C">
        <w:t xml:space="preserve"> Furthermore Puar (</w:t>
      </w:r>
      <w:r w:rsidR="00E2235D">
        <w:t>2013</w:t>
      </w:r>
      <w:r w:rsidR="00BD6B6C">
        <w:t xml:space="preserve">) argues that </w:t>
      </w:r>
      <w:r w:rsidR="00CB71B2">
        <w:t>Homonationalism</w:t>
      </w:r>
      <w:r w:rsidR="00A147A3" w:rsidRPr="00FF3163">
        <w:t xml:space="preserve"> reinforces oppressive power structures, as it relies on the exclusion and marginali</w:t>
      </w:r>
      <w:r w:rsidR="00981B7D">
        <w:t>s</w:t>
      </w:r>
      <w:r w:rsidR="00A147A3" w:rsidRPr="00FF3163">
        <w:t xml:space="preserve">ation of certain groups </w:t>
      </w:r>
      <w:r w:rsidR="00693048" w:rsidRPr="00FF3163">
        <w:t>to</w:t>
      </w:r>
      <w:r w:rsidR="00A147A3" w:rsidRPr="00FF3163">
        <w:t xml:space="preserve"> advance the interests of others.</w:t>
      </w:r>
      <w:r w:rsidR="00BD6B6C">
        <w:t xml:space="preserve"> Puar (</w:t>
      </w:r>
      <w:r w:rsidR="00E2235D">
        <w:t>2013</w:t>
      </w:r>
      <w:r w:rsidR="00BD6B6C">
        <w:t xml:space="preserve">) </w:t>
      </w:r>
      <w:r w:rsidR="00A147A3" w:rsidRPr="00FF3163">
        <w:t>also point</w:t>
      </w:r>
      <w:r w:rsidR="00981B7D">
        <w:t>s</w:t>
      </w:r>
      <w:r w:rsidR="00A147A3" w:rsidRPr="00FF3163">
        <w:t xml:space="preserve"> out that LGBTQ</w:t>
      </w:r>
      <w:r w:rsidR="002745E3">
        <w:t>IA</w:t>
      </w:r>
      <w:r w:rsidR="00A147A3" w:rsidRPr="00FF3163">
        <w:t>+ rights should not be used as a justification for policies that harm other marginali</w:t>
      </w:r>
      <w:r w:rsidR="00981B7D">
        <w:t>s</w:t>
      </w:r>
      <w:r w:rsidR="00A147A3" w:rsidRPr="00FF3163">
        <w:t>ed communities or for upholding the status quo of oppressive systems.</w:t>
      </w:r>
    </w:p>
    <w:p w14:paraId="2970046E" w14:textId="77777777" w:rsidR="007D69C0" w:rsidRDefault="007D69C0" w:rsidP="007D69C0">
      <w:pPr>
        <w:spacing w:line="480" w:lineRule="auto"/>
        <w:jc w:val="both"/>
      </w:pPr>
    </w:p>
    <w:p w14:paraId="39771F2D" w14:textId="29F3CB9A" w:rsidR="00025C31" w:rsidRDefault="00531973" w:rsidP="007D69C0">
      <w:pPr>
        <w:spacing w:line="480" w:lineRule="auto"/>
        <w:jc w:val="both"/>
      </w:pPr>
      <w:r>
        <w:t xml:space="preserve">An </w:t>
      </w:r>
      <w:r w:rsidR="00A147A3" w:rsidRPr="00FF3163">
        <w:t>example</w:t>
      </w:r>
      <w:r>
        <w:t xml:space="preserve"> of </w:t>
      </w:r>
      <w:r w:rsidR="00CB71B2">
        <w:t>Homonationalism</w:t>
      </w:r>
      <w:r>
        <w:t xml:space="preserve"> can come from</w:t>
      </w:r>
      <w:r w:rsidR="00A147A3" w:rsidRPr="00FF3163">
        <w:t xml:space="preserve"> </w:t>
      </w:r>
      <w:r w:rsidR="00693048">
        <w:t>Britain</w:t>
      </w:r>
      <w:r w:rsidR="00693048" w:rsidRPr="00FF3163">
        <w:t xml:space="preserve">, </w:t>
      </w:r>
      <w:r w:rsidR="00693048">
        <w:t>where</w:t>
      </w:r>
      <w:r>
        <w:t xml:space="preserve"> </w:t>
      </w:r>
      <w:r w:rsidR="00A147A3" w:rsidRPr="00FF3163">
        <w:t>some politicians have used LGBTQ</w:t>
      </w:r>
      <w:r w:rsidR="002745E3">
        <w:t>IA</w:t>
      </w:r>
      <w:r w:rsidR="00A147A3" w:rsidRPr="00FF3163">
        <w:t xml:space="preserve">+ issues </w:t>
      </w:r>
      <w:r w:rsidR="00693048" w:rsidRPr="00FF3163">
        <w:t>to</w:t>
      </w:r>
      <w:r w:rsidR="00A147A3" w:rsidRPr="00FF3163">
        <w:t xml:space="preserve"> critici</w:t>
      </w:r>
      <w:r w:rsidR="00981B7D">
        <w:t>s</w:t>
      </w:r>
      <w:r w:rsidR="00A147A3" w:rsidRPr="00FF3163">
        <w:t xml:space="preserve">e immigrant communities, arguing that they are more homophobic or transphobic than </w:t>
      </w:r>
      <w:r w:rsidR="00981B7D">
        <w:t xml:space="preserve">the home community </w:t>
      </w:r>
      <w:r w:rsidR="00B916D6">
        <w:t>(ibid.)</w:t>
      </w:r>
      <w:r w:rsidR="00A147A3" w:rsidRPr="00FF3163">
        <w:t xml:space="preserve">. </w:t>
      </w:r>
    </w:p>
    <w:p w14:paraId="1AE2DB5B" w14:textId="77777777" w:rsidR="00025C31" w:rsidRDefault="00025C31" w:rsidP="007D69C0">
      <w:pPr>
        <w:spacing w:line="480" w:lineRule="auto"/>
        <w:jc w:val="both"/>
      </w:pPr>
    </w:p>
    <w:p w14:paraId="4C0F0B31" w14:textId="02DB3E5E" w:rsidR="007D69C0" w:rsidRDefault="00A147A3" w:rsidP="007D69C0">
      <w:pPr>
        <w:spacing w:line="480" w:lineRule="auto"/>
        <w:jc w:val="both"/>
      </w:pPr>
      <w:r w:rsidRPr="00FF3163">
        <w:t>This has often involved</w:t>
      </w:r>
      <w:r w:rsidR="00025C31">
        <w:t xml:space="preserve"> the UK Government</w:t>
      </w:r>
      <w:r w:rsidRPr="00FF3163">
        <w:t xml:space="preserve"> presenting LGBTQ</w:t>
      </w:r>
      <w:r w:rsidR="002745E3">
        <w:t>IA</w:t>
      </w:r>
      <w:r w:rsidRPr="00FF3163">
        <w:t xml:space="preserve">+ rights as a sign of </w:t>
      </w:r>
      <w:r w:rsidR="006C62EC">
        <w:t>Western</w:t>
      </w:r>
      <w:r w:rsidRPr="00FF3163">
        <w:t xml:space="preserve"> exceptionalism and using </w:t>
      </w:r>
      <w:r w:rsidR="00981B7D">
        <w:t>these rights,</w:t>
      </w:r>
      <w:r w:rsidR="00025C31">
        <w:t xml:space="preserve"> </w:t>
      </w:r>
      <w:r w:rsidRPr="00FF3163">
        <w:t>to justify policies such as bans on immigration or travel from certain countries</w:t>
      </w:r>
      <w:r w:rsidR="00025C31">
        <w:t xml:space="preserve"> </w:t>
      </w:r>
      <w:r w:rsidR="00B916D6">
        <w:t>(ibid., Schotten, 2013)</w:t>
      </w:r>
      <w:r w:rsidRPr="00FF3163">
        <w:t>.</w:t>
      </w:r>
    </w:p>
    <w:p w14:paraId="79AFA9BD" w14:textId="77777777" w:rsidR="007D69C0" w:rsidRDefault="007D69C0" w:rsidP="007D69C0">
      <w:pPr>
        <w:spacing w:line="480" w:lineRule="auto"/>
        <w:jc w:val="both"/>
      </w:pPr>
    </w:p>
    <w:p w14:paraId="6919FDA7" w14:textId="52D49349" w:rsidR="007D69C0" w:rsidRDefault="00A147A3" w:rsidP="007D69C0">
      <w:pPr>
        <w:spacing w:line="480" w:lineRule="auto"/>
        <w:jc w:val="both"/>
      </w:pPr>
      <w:r w:rsidRPr="00FF3163">
        <w:t xml:space="preserve">Another way that </w:t>
      </w:r>
      <w:r w:rsidR="00CB71B2">
        <w:t>Homonationalism</w:t>
      </w:r>
      <w:r w:rsidRPr="00FF3163">
        <w:t xml:space="preserve"> operates is through the </w:t>
      </w:r>
      <w:r w:rsidR="00F74FD8" w:rsidRPr="00FF3163">
        <w:t>marginali</w:t>
      </w:r>
      <w:r w:rsidR="00F74FD8">
        <w:t>s</w:t>
      </w:r>
      <w:r w:rsidR="00F74FD8" w:rsidRPr="00FF3163">
        <w:t>ation</w:t>
      </w:r>
      <w:r w:rsidRPr="00FF3163">
        <w:t xml:space="preserve"> of certain groups within the LGBTQ</w:t>
      </w:r>
      <w:r w:rsidR="002745E3">
        <w:t>IA</w:t>
      </w:r>
      <w:r w:rsidRPr="00FF3163">
        <w:t xml:space="preserve">+ community </w:t>
      </w:r>
      <w:r w:rsidRPr="00786B80">
        <w:t>itself</w:t>
      </w:r>
      <w:r w:rsidR="007444C5" w:rsidRPr="00786B80">
        <w:t xml:space="preserve"> (Lockhart, 2022)</w:t>
      </w:r>
      <w:r w:rsidRPr="00786B80">
        <w:t>. For example</w:t>
      </w:r>
      <w:r w:rsidRPr="00FF3163">
        <w:t>, some LGBTQ</w:t>
      </w:r>
      <w:r w:rsidR="002745E3">
        <w:t>IA</w:t>
      </w:r>
      <w:r w:rsidRPr="00FF3163">
        <w:t>+ people who have aligned themselves with nationalist or conservative movements have been accused of ignoring or downplaying issues that affect LGBTQ</w:t>
      </w:r>
      <w:r w:rsidR="002745E3">
        <w:t>IA</w:t>
      </w:r>
      <w:r w:rsidRPr="00FF3163">
        <w:t>+ people of colo</w:t>
      </w:r>
      <w:r w:rsidR="002745E3">
        <w:t>u</w:t>
      </w:r>
      <w:r w:rsidRPr="00FF3163">
        <w:t>r, trans and gender-nonconforming people, and other marginali</w:t>
      </w:r>
      <w:r w:rsidR="00F74FD8">
        <w:t>s</w:t>
      </w:r>
      <w:r w:rsidRPr="00FF3163">
        <w:t>ed groups within the LGBTQ</w:t>
      </w:r>
      <w:r w:rsidR="002745E3">
        <w:t>IA</w:t>
      </w:r>
      <w:r w:rsidRPr="00FF3163">
        <w:t>+ community</w:t>
      </w:r>
      <w:r w:rsidR="00513E40">
        <w:t xml:space="preserve"> (ibid</w:t>
      </w:r>
      <w:r w:rsidR="00752656">
        <w:t>.)</w:t>
      </w:r>
      <w:r w:rsidRPr="00FF3163">
        <w:t xml:space="preserve">. This can include supporting policies that harm those groups, such as laws that restrict access to </w:t>
      </w:r>
      <w:r w:rsidRPr="00FF3163">
        <w:lastRenderedPageBreak/>
        <w:t>healthcare, education, or housing, or that criminali</w:t>
      </w:r>
      <w:r w:rsidR="004A2DCF">
        <w:t>s</w:t>
      </w:r>
      <w:r w:rsidRPr="00FF3163">
        <w:t>e certain behavio</w:t>
      </w:r>
      <w:r w:rsidR="004A2DCF">
        <w:t>u</w:t>
      </w:r>
      <w:r w:rsidRPr="00FF3163">
        <w:t>rs or identities</w:t>
      </w:r>
      <w:r w:rsidR="004A2DCF">
        <w:t xml:space="preserve"> (ibid.)</w:t>
      </w:r>
      <w:r w:rsidRPr="00FF3163">
        <w:t>.</w:t>
      </w:r>
    </w:p>
    <w:p w14:paraId="214A5A93" w14:textId="2CC9D12D" w:rsidR="007D69C0" w:rsidRDefault="007D69C0" w:rsidP="007D69C0">
      <w:pPr>
        <w:spacing w:line="480" w:lineRule="auto"/>
        <w:jc w:val="both"/>
      </w:pPr>
    </w:p>
    <w:p w14:paraId="14087497" w14:textId="71255231" w:rsidR="007D69C0" w:rsidRDefault="00CB71B2" w:rsidP="007D69C0">
      <w:pPr>
        <w:spacing w:line="480" w:lineRule="auto"/>
        <w:jc w:val="both"/>
      </w:pPr>
      <w:r>
        <w:t>Homonationalism</w:t>
      </w:r>
      <w:r w:rsidR="00A147A3" w:rsidRPr="00FF3163">
        <w:t xml:space="preserve"> has been linked to the legacy of colonialism and imperialism, particularly in former </w:t>
      </w:r>
      <w:r w:rsidR="00BD3430">
        <w:t>British Colonies</w:t>
      </w:r>
      <w:r w:rsidR="00A147A3" w:rsidRPr="00FF3163">
        <w:t>, in different ways</w:t>
      </w:r>
      <w:r w:rsidR="00B00C22">
        <w:t xml:space="preserve"> (Mogensen, 2010, Aldrich, 2008</w:t>
      </w:r>
      <w:r w:rsidR="00025C31">
        <w:t xml:space="preserve">). </w:t>
      </w:r>
    </w:p>
    <w:p w14:paraId="3C93C52F" w14:textId="77777777" w:rsidR="007D69C0" w:rsidRDefault="007D69C0" w:rsidP="007D69C0">
      <w:pPr>
        <w:spacing w:line="480" w:lineRule="auto"/>
        <w:jc w:val="both"/>
      </w:pPr>
    </w:p>
    <w:p w14:paraId="456DEC1C" w14:textId="28239BD2" w:rsidR="007D69C0" w:rsidRDefault="00A147A3" w:rsidP="007D69C0">
      <w:pPr>
        <w:spacing w:line="480" w:lineRule="auto"/>
        <w:jc w:val="both"/>
      </w:pPr>
      <w:r w:rsidRPr="00FF3163">
        <w:t xml:space="preserve">One way in which this link has been explored is through the concept of </w:t>
      </w:r>
      <w:r w:rsidRPr="00712031">
        <w:t>"pinkwashing."</w:t>
      </w:r>
      <w:r w:rsidR="0039593A" w:rsidRPr="00712031">
        <w:t xml:space="preserve"> (</w:t>
      </w:r>
      <w:r w:rsidR="00D96D38" w:rsidRPr="001F4C77">
        <w:t>Black</w:t>
      </w:r>
      <w:r w:rsidR="007B5149" w:rsidRPr="001F4C77">
        <w:t xml:space="preserve">mer, 2019; </w:t>
      </w:r>
      <w:r w:rsidR="000A3813" w:rsidRPr="001F4C77">
        <w:t xml:space="preserve">Ritchie, 2014; </w:t>
      </w:r>
      <w:r w:rsidR="005639EC" w:rsidRPr="001F4C77">
        <w:t xml:space="preserve">Wahab, </w:t>
      </w:r>
      <w:r w:rsidR="00333338" w:rsidRPr="001F4C77">
        <w:t>2021</w:t>
      </w:r>
      <w:r w:rsidR="0039593A" w:rsidRPr="001F4C77">
        <w:t>)</w:t>
      </w:r>
      <w:r w:rsidR="0039593A" w:rsidRPr="00712031">
        <w:t>.</w:t>
      </w:r>
      <w:r w:rsidRPr="00712031">
        <w:t xml:space="preserve"> Pinkwashing </w:t>
      </w:r>
      <w:r w:rsidR="007553C6">
        <w:t xml:space="preserve">is defined as nations using </w:t>
      </w:r>
      <w:r w:rsidRPr="00712031">
        <w:t>LGBTQ</w:t>
      </w:r>
      <w:r w:rsidR="007553C6">
        <w:t>IA</w:t>
      </w:r>
      <w:r w:rsidRPr="00712031">
        <w:t xml:space="preserve">+ rights as </w:t>
      </w:r>
      <w:r w:rsidR="007553C6">
        <w:t xml:space="preserve">a </w:t>
      </w:r>
      <w:r w:rsidR="004734F3">
        <w:t>smokescreen to j</w:t>
      </w:r>
      <w:r w:rsidRPr="00712031">
        <w:t>ustify other forms of oppression, particularly in the context of Israeli treatment of Palestinians</w:t>
      </w:r>
      <w:r w:rsidR="00163890" w:rsidRPr="00712031">
        <w:t xml:space="preserve"> (Blackmer, 2019</w:t>
      </w:r>
      <w:r w:rsidR="005E14B5">
        <w:t>; Puar,</w:t>
      </w:r>
      <w:r w:rsidR="007553C6">
        <w:t xml:space="preserve"> 2006</w:t>
      </w:r>
      <w:r w:rsidR="00163890" w:rsidRPr="00712031">
        <w:t>)</w:t>
      </w:r>
      <w:r w:rsidRPr="00712031">
        <w:t>. The term was first used to describe the ways in which the Israeli government and its supporters use the country's relatively progressive LGBTQ</w:t>
      </w:r>
      <w:r w:rsidR="00025C31">
        <w:t>IA</w:t>
      </w:r>
      <w:r w:rsidRPr="00712031">
        <w:t xml:space="preserve">+ policies </w:t>
      </w:r>
      <w:r w:rsidR="00693048" w:rsidRPr="00712031">
        <w:t>to</w:t>
      </w:r>
      <w:r w:rsidRPr="00712031">
        <w:t xml:space="preserve"> present Israel as a modern and democratic state, and to deflect criticism of its treatment of Palestinians</w:t>
      </w:r>
      <w:r w:rsidR="00163890" w:rsidRPr="00712031">
        <w:t xml:space="preserve"> (ibid.)</w:t>
      </w:r>
      <w:r w:rsidRPr="00712031">
        <w:t>.</w:t>
      </w:r>
      <w:r w:rsidR="00CF7941" w:rsidRPr="00712031">
        <w:t xml:space="preserve"> </w:t>
      </w:r>
      <w:r w:rsidRPr="00712031">
        <w:t xml:space="preserve">However, the concept of pinkwashing has also been applied to other contexts, including former </w:t>
      </w:r>
      <w:r w:rsidR="00BD3430">
        <w:t xml:space="preserve">British </w:t>
      </w:r>
      <w:r w:rsidR="007B63C8">
        <w:t>C</w:t>
      </w:r>
      <w:r w:rsidR="00025C31">
        <w:t>o</w:t>
      </w:r>
      <w:r w:rsidR="00BD3430">
        <w:t>lonies</w:t>
      </w:r>
      <w:r w:rsidRPr="00712031">
        <w:t>, where governments and political movements have used LGBTQ</w:t>
      </w:r>
      <w:r w:rsidR="00025C31">
        <w:t>IA</w:t>
      </w:r>
      <w:r w:rsidRPr="00712031">
        <w:t xml:space="preserve">+ rights </w:t>
      </w:r>
      <w:r w:rsidR="00693048" w:rsidRPr="00712031">
        <w:t>to</w:t>
      </w:r>
      <w:r w:rsidRPr="00712031">
        <w:t xml:space="preserve"> present themselves as more modern or progressive than their colonial predecessors</w:t>
      </w:r>
      <w:r w:rsidR="00F674A6" w:rsidRPr="00712031">
        <w:t xml:space="preserve"> (</w:t>
      </w:r>
      <w:r w:rsidR="00F674A6" w:rsidRPr="001F4C77">
        <w:t xml:space="preserve">Wahab, </w:t>
      </w:r>
      <w:r w:rsidR="00333338" w:rsidRPr="00712031">
        <w:t>2021</w:t>
      </w:r>
      <w:r w:rsidR="00F674A6" w:rsidRPr="00712031">
        <w:t>)</w:t>
      </w:r>
      <w:r w:rsidRPr="00712031">
        <w:t>. This can</w:t>
      </w:r>
      <w:r w:rsidRPr="00FF3163">
        <w:t xml:space="preserve"> involve portraying LGBTQ</w:t>
      </w:r>
      <w:r w:rsidR="00025C31">
        <w:t>IA</w:t>
      </w:r>
      <w:r w:rsidRPr="00FF3163">
        <w:t>+ issues as a Western</w:t>
      </w:r>
      <w:r w:rsidR="007B63C8">
        <w:t xml:space="preserve"> </w:t>
      </w:r>
      <w:r w:rsidRPr="00FF3163">
        <w:t xml:space="preserve">or modern </w:t>
      </w:r>
      <w:r w:rsidR="00693048" w:rsidRPr="00FF3163">
        <w:t>phenomenon and</w:t>
      </w:r>
      <w:r w:rsidRPr="00FF3163">
        <w:t xml:space="preserve"> using them to distance themselves from traditional or indigenous cultures</w:t>
      </w:r>
      <w:r w:rsidR="00D26B2F">
        <w:t xml:space="preserve"> (ibid.)</w:t>
      </w:r>
      <w:r w:rsidRPr="00FF3163">
        <w:t>. It can also involve presenting LGBTQ</w:t>
      </w:r>
      <w:r w:rsidR="00025C31">
        <w:t>IA</w:t>
      </w:r>
      <w:r w:rsidRPr="00FF3163">
        <w:t xml:space="preserve">+ rights </w:t>
      </w:r>
      <w:r w:rsidR="00693048" w:rsidRPr="00FF3163">
        <w:t>to</w:t>
      </w:r>
      <w:r w:rsidRPr="00FF3163">
        <w:t xml:space="preserve"> attract investment or tourism from the West, or to compete with other countries in the region</w:t>
      </w:r>
      <w:r w:rsidR="00D26B2F">
        <w:t xml:space="preserve"> (ibid.).</w:t>
      </w:r>
    </w:p>
    <w:p w14:paraId="51D74A11" w14:textId="77777777" w:rsidR="007D69C0" w:rsidRDefault="007D69C0" w:rsidP="007D69C0">
      <w:pPr>
        <w:spacing w:line="480" w:lineRule="auto"/>
        <w:jc w:val="both"/>
      </w:pPr>
    </w:p>
    <w:p w14:paraId="4E84653E" w14:textId="31A66AD3" w:rsidR="00BF09BC" w:rsidRPr="001F4C77" w:rsidRDefault="00A147A3" w:rsidP="007D69C0">
      <w:pPr>
        <w:spacing w:line="480" w:lineRule="auto"/>
        <w:jc w:val="both"/>
      </w:pPr>
      <w:r w:rsidRPr="001F4C77">
        <w:t xml:space="preserve">In addition to the concept of pinkwashing, </w:t>
      </w:r>
      <w:r w:rsidR="00CB71B2">
        <w:t>Homonationalism</w:t>
      </w:r>
      <w:r w:rsidRPr="001F4C77">
        <w:t xml:space="preserve"> in former </w:t>
      </w:r>
      <w:r w:rsidR="00BA2220">
        <w:t xml:space="preserve">British Colonies </w:t>
      </w:r>
      <w:r w:rsidRPr="001F4C77">
        <w:t>can also be understood in the context of colonial-era laws that criminali</w:t>
      </w:r>
      <w:r w:rsidR="00025C31">
        <w:t>s</w:t>
      </w:r>
      <w:r w:rsidRPr="001F4C77">
        <w:t xml:space="preserve">ed </w:t>
      </w:r>
      <w:r w:rsidRPr="001F4C77">
        <w:lastRenderedPageBreak/>
        <w:t>homosexuality and other forms of non-normative sexual and gender expression</w:t>
      </w:r>
      <w:r w:rsidR="00B74F19" w:rsidRPr="001F4C77">
        <w:t xml:space="preserve"> </w:t>
      </w:r>
      <w:r w:rsidR="00BF09BC" w:rsidRPr="00617EC3">
        <w:t>(Han and O’Mahoney</w:t>
      </w:r>
      <w:r w:rsidR="00025C31">
        <w:t>,</w:t>
      </w:r>
      <w:r w:rsidR="00BF09BC" w:rsidRPr="00617EC3">
        <w:t xml:space="preserve"> 2014; Aldrich, 2008</w:t>
      </w:r>
      <w:r w:rsidR="00B74F19" w:rsidRPr="001F4C77">
        <w:t>)</w:t>
      </w:r>
      <w:r w:rsidRPr="001F4C77">
        <w:t>. Many of these laws were enacted by colonial powers such as Britain and were used to impose Western norms and values on colonized societies, often with devastating consequences for LGBTQ</w:t>
      </w:r>
      <w:r w:rsidR="00025C31">
        <w:t>IA</w:t>
      </w:r>
      <w:r w:rsidRPr="001F4C77">
        <w:t>+ people in those societies</w:t>
      </w:r>
      <w:r w:rsidR="00B74F19" w:rsidRPr="001F4C77">
        <w:t xml:space="preserve"> (ibid</w:t>
      </w:r>
      <w:r w:rsidR="00BF09BC" w:rsidRPr="001F4C77">
        <w:t>)</w:t>
      </w:r>
      <w:r w:rsidRPr="001F4C77">
        <w:t>.</w:t>
      </w:r>
      <w:r w:rsidR="00B74F19" w:rsidRPr="001F4C77">
        <w:t xml:space="preserve"> </w:t>
      </w:r>
    </w:p>
    <w:p w14:paraId="79643514" w14:textId="77777777" w:rsidR="00BF09BC" w:rsidRDefault="00BF09BC" w:rsidP="007D69C0">
      <w:pPr>
        <w:spacing w:line="480" w:lineRule="auto"/>
        <w:jc w:val="both"/>
        <w:rPr>
          <w:highlight w:val="yellow"/>
        </w:rPr>
      </w:pPr>
    </w:p>
    <w:p w14:paraId="6FE3A21C" w14:textId="182CBFF5" w:rsidR="007D69C0" w:rsidRPr="001F4C77" w:rsidRDefault="00B74F19" w:rsidP="007D69C0">
      <w:pPr>
        <w:spacing w:line="480" w:lineRule="auto"/>
        <w:jc w:val="both"/>
      </w:pPr>
      <w:r w:rsidRPr="001F4C77">
        <w:t xml:space="preserve">In some </w:t>
      </w:r>
      <w:r w:rsidR="00A147A3" w:rsidRPr="001F4C77">
        <w:t xml:space="preserve">former </w:t>
      </w:r>
      <w:r w:rsidR="00BD3430">
        <w:t>British Colonies</w:t>
      </w:r>
      <w:r w:rsidR="00A147A3" w:rsidRPr="001F4C77">
        <w:t>, LGBTQ</w:t>
      </w:r>
      <w:r w:rsidR="00025C31">
        <w:t>IA</w:t>
      </w:r>
      <w:r w:rsidR="00A147A3" w:rsidRPr="001F4C77">
        <w:t>+ rights have been used to promote nationalist or conservative agendas that are hostile to immigrants, refugees, and other marginalized groups</w:t>
      </w:r>
      <w:r w:rsidRPr="001F4C77">
        <w:t xml:space="preserve"> (</w:t>
      </w:r>
      <w:r w:rsidR="00003B3A" w:rsidRPr="001F4C77">
        <w:t xml:space="preserve">Wahab, </w:t>
      </w:r>
      <w:r w:rsidR="00522E21">
        <w:t>2021</w:t>
      </w:r>
      <w:r w:rsidRPr="001F4C77">
        <w:t>)</w:t>
      </w:r>
      <w:r w:rsidR="00A147A3" w:rsidRPr="001F4C77">
        <w:t>. This can involve presenting LGBTQ</w:t>
      </w:r>
      <w:r w:rsidR="00025C31">
        <w:t>IA</w:t>
      </w:r>
      <w:r w:rsidR="00A147A3" w:rsidRPr="001F4C77">
        <w:t>+ people as more deserving of rights and protections than those who are seen as less modern or less Western</w:t>
      </w:r>
      <w:r w:rsidR="007B63C8">
        <w:t xml:space="preserve"> </w:t>
      </w:r>
      <w:r w:rsidRPr="001F4C77">
        <w:t>(</w:t>
      </w:r>
      <w:r w:rsidR="00003B3A" w:rsidRPr="001F4C77">
        <w:t>ibid.</w:t>
      </w:r>
      <w:r w:rsidRPr="001F4C77">
        <w:t>).</w:t>
      </w:r>
      <w:r w:rsidR="00A147A3" w:rsidRPr="001F4C77">
        <w:t xml:space="preserve"> It can also involve ignoring or downplaying issues that affect LGBTQ</w:t>
      </w:r>
      <w:r w:rsidR="00025C31">
        <w:t>IA</w:t>
      </w:r>
      <w:r w:rsidR="00A147A3" w:rsidRPr="001F4C77">
        <w:t>+ people of colo</w:t>
      </w:r>
      <w:r w:rsidRPr="001F4C77">
        <w:t>u</w:t>
      </w:r>
      <w:r w:rsidR="00A147A3" w:rsidRPr="001F4C77">
        <w:t>r, trans and gender-nonconforming people, and other marginali</w:t>
      </w:r>
      <w:r w:rsidR="00025C31">
        <w:t>s</w:t>
      </w:r>
      <w:r w:rsidR="00A147A3" w:rsidRPr="001F4C77">
        <w:t>ed groups within the LGBTQ</w:t>
      </w:r>
      <w:r w:rsidR="00025C31">
        <w:t>IA</w:t>
      </w:r>
      <w:r w:rsidR="00A147A3" w:rsidRPr="001F4C77">
        <w:t>+ communit</w:t>
      </w:r>
      <w:r w:rsidR="00003B3A" w:rsidRPr="001F4C77">
        <w:t>y</w:t>
      </w:r>
      <w:r w:rsidRPr="001F4C77">
        <w:t xml:space="preserve"> (</w:t>
      </w:r>
      <w:r w:rsidR="00003B3A" w:rsidRPr="001F4C77">
        <w:t>ibid.</w:t>
      </w:r>
      <w:r w:rsidRPr="001F4C77">
        <w:t>).</w:t>
      </w:r>
    </w:p>
    <w:p w14:paraId="420108BB" w14:textId="77777777" w:rsidR="007D69C0" w:rsidRPr="001F4C77" w:rsidRDefault="007D69C0" w:rsidP="007D69C0">
      <w:pPr>
        <w:spacing w:line="480" w:lineRule="auto"/>
        <w:jc w:val="both"/>
      </w:pPr>
    </w:p>
    <w:p w14:paraId="79D0E0BC" w14:textId="5B6BC5E2" w:rsidR="007D69C0" w:rsidRPr="001F4C77" w:rsidRDefault="00A147A3" w:rsidP="007D69C0">
      <w:pPr>
        <w:spacing w:line="480" w:lineRule="auto"/>
        <w:jc w:val="both"/>
      </w:pPr>
      <w:r w:rsidRPr="001F4C77">
        <w:t xml:space="preserve">Critics of </w:t>
      </w:r>
      <w:r w:rsidR="00CB71B2">
        <w:t>Homonationalism</w:t>
      </w:r>
      <w:r w:rsidRPr="001F4C77">
        <w:t xml:space="preserve"> in former </w:t>
      </w:r>
      <w:r w:rsidR="00BA2220">
        <w:t xml:space="preserve">British </w:t>
      </w:r>
      <w:r w:rsidR="007B63C8">
        <w:t>C</w:t>
      </w:r>
      <w:r w:rsidR="00BA2220">
        <w:t xml:space="preserve">olonies </w:t>
      </w:r>
      <w:r w:rsidRPr="001F4C77">
        <w:t>argue that this approach to LGBTQ</w:t>
      </w:r>
      <w:r w:rsidR="00025C31">
        <w:t>IA</w:t>
      </w:r>
      <w:r w:rsidRPr="001F4C77">
        <w:t>+ politics is ultimately counterproductive</w:t>
      </w:r>
      <w:r w:rsidR="00025C31">
        <w:t xml:space="preserve"> </w:t>
      </w:r>
      <w:r w:rsidRPr="001F4C77">
        <w:t>as it reinforces colonial power structures and undermines the potential for solidarity across different communities</w:t>
      </w:r>
      <w:r w:rsidR="00D35492" w:rsidRPr="001F4C77">
        <w:t xml:space="preserve"> </w:t>
      </w:r>
      <w:r w:rsidR="00003B3A" w:rsidRPr="00617EC3">
        <w:t xml:space="preserve">(Puar, </w:t>
      </w:r>
      <w:r w:rsidR="00E2235D" w:rsidRPr="00617EC3">
        <w:t>2013</w:t>
      </w:r>
      <w:r w:rsidR="00003B3A" w:rsidRPr="00617EC3">
        <w:t>; Schotten, 2013</w:t>
      </w:r>
      <w:r w:rsidR="00F955CE" w:rsidRPr="00617EC3">
        <w:t>;</w:t>
      </w:r>
      <w:r w:rsidR="00BF6F13">
        <w:t xml:space="preserve"> </w:t>
      </w:r>
      <w:r w:rsidR="00003B3A" w:rsidRPr="001F4C77">
        <w:t xml:space="preserve">Blackmer, 2019; Ritchie, 2014; Wahab, </w:t>
      </w:r>
      <w:r w:rsidR="00522E21">
        <w:t>2021</w:t>
      </w:r>
      <w:r w:rsidR="00D35492" w:rsidRPr="001F4C77">
        <w:t>)</w:t>
      </w:r>
      <w:r w:rsidRPr="001F4C77">
        <w:t>. They also point out that LGBTQ</w:t>
      </w:r>
      <w:r w:rsidR="00025C31">
        <w:t>IA</w:t>
      </w:r>
      <w:r w:rsidRPr="001F4C77">
        <w:t xml:space="preserve">+ rights cannot be fully </w:t>
      </w:r>
      <w:r w:rsidR="00025C31" w:rsidRPr="001F4C77">
        <w:t>reali</w:t>
      </w:r>
      <w:r w:rsidR="00025C31">
        <w:t>sed</w:t>
      </w:r>
      <w:r w:rsidRPr="001F4C77">
        <w:t xml:space="preserve"> without addressing other forms of oppression and inequality, and that using them </w:t>
      </w:r>
      <w:r w:rsidR="00693048" w:rsidRPr="001F4C77">
        <w:t>to</w:t>
      </w:r>
      <w:r w:rsidRPr="001F4C77">
        <w:t xml:space="preserve"> justify or distract from other forms of oppression is ultimately self-defeating</w:t>
      </w:r>
      <w:r w:rsidR="00D35492" w:rsidRPr="001F4C77">
        <w:t xml:space="preserve"> (</w:t>
      </w:r>
      <w:r w:rsidR="00F955CE" w:rsidRPr="001F4C77">
        <w:t>ibid.</w:t>
      </w:r>
      <w:r w:rsidR="00D35492" w:rsidRPr="001F4C77">
        <w:t>)</w:t>
      </w:r>
      <w:r w:rsidRPr="001F4C77">
        <w:t>. Instead, they advocate for a more intersectional approach to LGBTQ</w:t>
      </w:r>
      <w:r w:rsidR="00025C31">
        <w:t>IA</w:t>
      </w:r>
      <w:r w:rsidRPr="001F4C77">
        <w:t>+ politics that recogni</w:t>
      </w:r>
      <w:r w:rsidR="00025C31">
        <w:t>s</w:t>
      </w:r>
      <w:r w:rsidRPr="001F4C77">
        <w:t xml:space="preserve">es the interconnectedness of different forms of oppression and works to address </w:t>
      </w:r>
      <w:r w:rsidR="00025C31">
        <w:t xml:space="preserve">them </w:t>
      </w:r>
      <w:r w:rsidR="00D35492" w:rsidRPr="001F4C77">
        <w:t>(</w:t>
      </w:r>
      <w:r w:rsidR="00F955CE" w:rsidRPr="001F4C77">
        <w:t>ibid.</w:t>
      </w:r>
      <w:r w:rsidR="00D35492" w:rsidRPr="001F4C77">
        <w:t>)</w:t>
      </w:r>
      <w:r w:rsidRPr="001F4C77">
        <w:t>.</w:t>
      </w:r>
    </w:p>
    <w:p w14:paraId="0E36B0AF" w14:textId="77777777" w:rsidR="007D69C0" w:rsidRPr="001F4C77" w:rsidRDefault="007D69C0" w:rsidP="007D69C0">
      <w:pPr>
        <w:spacing w:line="480" w:lineRule="auto"/>
        <w:jc w:val="both"/>
      </w:pPr>
    </w:p>
    <w:p w14:paraId="2A5A6B40" w14:textId="372EEDB3" w:rsidR="007D69C0" w:rsidRPr="00617EC3" w:rsidRDefault="00A147A3" w:rsidP="007D69C0">
      <w:pPr>
        <w:spacing w:line="480" w:lineRule="auto"/>
        <w:jc w:val="both"/>
      </w:pPr>
      <w:r w:rsidRPr="001F4C77">
        <w:lastRenderedPageBreak/>
        <w:t>The idea of an intersectional approach to LGBTQ</w:t>
      </w:r>
      <w:r w:rsidR="00025C31">
        <w:t>IA</w:t>
      </w:r>
      <w:r w:rsidRPr="001F4C77">
        <w:t>+ politics is based on the recognition that different forms of oppression and marginali</w:t>
      </w:r>
      <w:r w:rsidR="00025C31">
        <w:t>s</w:t>
      </w:r>
      <w:r w:rsidRPr="001F4C77">
        <w:t xml:space="preserve">ation are interconnected and cannot be understood or addressed in isolation </w:t>
      </w:r>
      <w:r w:rsidR="00F955CE" w:rsidRPr="00617EC3">
        <w:t xml:space="preserve">(Puar, </w:t>
      </w:r>
      <w:r w:rsidR="00E26052" w:rsidRPr="00617EC3">
        <w:t>2013</w:t>
      </w:r>
      <w:r w:rsidR="00F955CE" w:rsidRPr="00617EC3">
        <w:t>; Schotten, 2013</w:t>
      </w:r>
      <w:r w:rsidR="00D35492" w:rsidRPr="001F4C77">
        <w:t>)</w:t>
      </w:r>
      <w:r w:rsidRPr="001F4C77">
        <w:t>. This approach emphasi</w:t>
      </w:r>
      <w:r w:rsidR="00025C31">
        <w:t>s</w:t>
      </w:r>
      <w:r w:rsidRPr="001F4C77">
        <w:t>es the importance of addressing not only homophobia and transphobia, but also racism, sexism, ableism, and other forms of oppression that affect LGBTQ</w:t>
      </w:r>
      <w:r w:rsidR="00025C31">
        <w:t>IA</w:t>
      </w:r>
      <w:r w:rsidRPr="001F4C77">
        <w:t>+ people in different ways</w:t>
      </w:r>
      <w:r w:rsidR="00D35492" w:rsidRPr="001F4C77">
        <w:t xml:space="preserve"> </w:t>
      </w:r>
      <w:r w:rsidR="00F955CE" w:rsidRPr="00617EC3">
        <w:t xml:space="preserve">(Puar, </w:t>
      </w:r>
      <w:r w:rsidR="00E26052" w:rsidRPr="00617EC3">
        <w:t>2013</w:t>
      </w:r>
      <w:r w:rsidR="00F955CE" w:rsidRPr="00617EC3">
        <w:t>; Schotten, 2013</w:t>
      </w:r>
      <w:r w:rsidR="005E14B5">
        <w:t>)</w:t>
      </w:r>
      <w:r w:rsidRPr="001F4C77">
        <w:t>.</w:t>
      </w:r>
    </w:p>
    <w:p w14:paraId="6D4A6DEC" w14:textId="77777777" w:rsidR="007D69C0" w:rsidRPr="001F4C77" w:rsidRDefault="007D69C0" w:rsidP="007D69C0">
      <w:pPr>
        <w:spacing w:line="480" w:lineRule="auto"/>
        <w:jc w:val="both"/>
      </w:pPr>
    </w:p>
    <w:p w14:paraId="0B8469DF" w14:textId="2BCA2A60" w:rsidR="00617EC3" w:rsidRDefault="00A147A3" w:rsidP="00617EC3">
      <w:pPr>
        <w:spacing w:line="480" w:lineRule="auto"/>
        <w:jc w:val="both"/>
      </w:pPr>
      <w:r w:rsidRPr="001F4C77">
        <w:t xml:space="preserve">In the context of </w:t>
      </w:r>
      <w:r w:rsidR="00CB71B2">
        <w:t>Homonationalism</w:t>
      </w:r>
      <w:r w:rsidRPr="001F4C77">
        <w:t>, an intersectional approach to LGBTQ</w:t>
      </w:r>
      <w:r w:rsidR="00025C31">
        <w:t>IA</w:t>
      </w:r>
      <w:r w:rsidRPr="001F4C77">
        <w:t>+ politics would require acknowledging the ways in which LGBTQ</w:t>
      </w:r>
      <w:r w:rsidR="00025C31">
        <w:t>IA</w:t>
      </w:r>
      <w:r w:rsidRPr="001F4C77">
        <w:t>+ rights have been co-opted by nationalist or conservative agendas and used to marginalize other groups</w:t>
      </w:r>
      <w:r w:rsidR="005C432E" w:rsidRPr="001F4C77">
        <w:t xml:space="preserve"> </w:t>
      </w:r>
      <w:r w:rsidR="00F955CE" w:rsidRPr="00617EC3">
        <w:t>(Puar, 20</w:t>
      </w:r>
      <w:r w:rsidR="00E26052" w:rsidRPr="00617EC3">
        <w:t>13</w:t>
      </w:r>
      <w:r w:rsidR="00F955CE" w:rsidRPr="00617EC3">
        <w:t>; Schotten, 2013</w:t>
      </w:r>
      <w:r w:rsidR="005C432E" w:rsidRPr="001F4C77">
        <w:t>)</w:t>
      </w:r>
      <w:r w:rsidRPr="001F4C77">
        <w:t>. It would also require recogni</w:t>
      </w:r>
      <w:r w:rsidR="00025C31">
        <w:t>s</w:t>
      </w:r>
      <w:r w:rsidRPr="001F4C77">
        <w:t>ing and addressing the ways in which colonialism and imperialism have contributed to the marginalization of LGBTQ</w:t>
      </w:r>
      <w:r w:rsidR="00025C31">
        <w:t>IA</w:t>
      </w:r>
      <w:r w:rsidRPr="001F4C77">
        <w:t xml:space="preserve">+ people in former </w:t>
      </w:r>
      <w:r w:rsidR="00BD3430">
        <w:t xml:space="preserve">British </w:t>
      </w:r>
      <w:r w:rsidR="00025C31">
        <w:t>c</w:t>
      </w:r>
      <w:r w:rsidR="00BD3430">
        <w:t>olonies</w:t>
      </w:r>
      <w:r w:rsidRPr="001F4C77">
        <w:t>, and the ongoing legacies of these systems of oppression</w:t>
      </w:r>
      <w:r w:rsidR="005C432E" w:rsidRPr="001F4C77">
        <w:t xml:space="preserve"> (</w:t>
      </w:r>
      <w:r w:rsidR="00F955CE" w:rsidRPr="001F4C77">
        <w:t>ibid.</w:t>
      </w:r>
      <w:r w:rsidR="005C432E" w:rsidRPr="001F4C77">
        <w:t xml:space="preserve">). </w:t>
      </w:r>
      <w:r w:rsidRPr="001F4C77">
        <w:t>By doing so, it could help to build a more inclusive and equitable LGBTQ</w:t>
      </w:r>
      <w:r w:rsidR="00025C31">
        <w:t>IA</w:t>
      </w:r>
      <w:r w:rsidRPr="001F4C77">
        <w:t xml:space="preserve">+ movement that addresses the root causes of oppression and works to create a more just and </w:t>
      </w:r>
      <w:r w:rsidR="00025C31">
        <w:t>equal</w:t>
      </w:r>
      <w:r w:rsidRPr="001F4C77">
        <w:t xml:space="preserve"> world</w:t>
      </w:r>
      <w:r w:rsidR="00025C31">
        <w:t xml:space="preserve">. </w:t>
      </w:r>
    </w:p>
    <w:p w14:paraId="2C8BF8D5" w14:textId="77777777" w:rsidR="00617EC3" w:rsidRDefault="00617EC3" w:rsidP="00617EC3">
      <w:pPr>
        <w:spacing w:line="480" w:lineRule="auto"/>
        <w:jc w:val="both"/>
      </w:pPr>
    </w:p>
    <w:p w14:paraId="7BFDC9DA" w14:textId="5D3DD484" w:rsidR="00450B20" w:rsidRPr="00ED7BEB" w:rsidRDefault="00DE4A55" w:rsidP="00F647CA">
      <w:pPr>
        <w:spacing w:line="480" w:lineRule="auto"/>
        <w:jc w:val="both"/>
      </w:pPr>
      <w:r w:rsidRPr="00985C4D">
        <w:t>To conclude this section</w:t>
      </w:r>
      <w:r w:rsidR="00476DA8">
        <w:t xml:space="preserve">, </w:t>
      </w:r>
      <w:r w:rsidR="006752C6">
        <w:t>the author</w:t>
      </w:r>
      <w:r w:rsidR="00476DA8">
        <w:t xml:space="preserve"> has explored the impact of British colonialism on LGBTQIA+ people in former </w:t>
      </w:r>
      <w:r w:rsidR="00BD3430">
        <w:t xml:space="preserve">British </w:t>
      </w:r>
      <w:r w:rsidR="004443FA">
        <w:t>C</w:t>
      </w:r>
      <w:r w:rsidR="00BD3430">
        <w:t>olonies</w:t>
      </w:r>
      <w:r w:rsidR="00476DA8">
        <w:t xml:space="preserve">, </w:t>
      </w:r>
      <w:r w:rsidR="00025C31">
        <w:t>commenting</w:t>
      </w:r>
      <w:r w:rsidR="00476DA8">
        <w:t xml:space="preserve"> on the use of </w:t>
      </w:r>
      <w:r w:rsidR="00275168">
        <w:t xml:space="preserve">cultural </w:t>
      </w:r>
      <w:r w:rsidR="006A305D">
        <w:t>imperialism</w:t>
      </w:r>
      <w:r w:rsidR="00275168">
        <w:t xml:space="preserve"> and how this has affected the lives of LGBTQIA+ people</w:t>
      </w:r>
      <w:r w:rsidR="00363D59">
        <w:t xml:space="preserve"> who may have been considered a </w:t>
      </w:r>
      <w:r w:rsidR="002E0CF9">
        <w:t xml:space="preserve">threat to traditional cultural values. </w:t>
      </w:r>
      <w:r w:rsidR="00363D59">
        <w:t>This</w:t>
      </w:r>
      <w:r w:rsidR="002E0CF9">
        <w:t xml:space="preserve"> has been </w:t>
      </w:r>
      <w:r w:rsidR="00363D59">
        <w:t xml:space="preserve">demonstrated </w:t>
      </w:r>
      <w:r w:rsidR="004443FA">
        <w:t>in Uganda</w:t>
      </w:r>
      <w:r w:rsidR="002E0CF9">
        <w:t xml:space="preserve">, where pressure from Britain and other western countries </w:t>
      </w:r>
      <w:r w:rsidR="005A75E1">
        <w:t>to accept LGBTQIA+ rights is</w:t>
      </w:r>
      <w:r w:rsidR="00363D59">
        <w:t xml:space="preserve"> indeed</w:t>
      </w:r>
      <w:r w:rsidR="005A75E1">
        <w:t xml:space="preserve"> viewed as a form of cultural</w:t>
      </w:r>
      <w:r w:rsidR="00363D59">
        <w:t xml:space="preserve"> and political</w:t>
      </w:r>
      <w:r w:rsidR="005A75E1">
        <w:t xml:space="preserve"> </w:t>
      </w:r>
      <w:r w:rsidR="006A305D">
        <w:t>imperialism</w:t>
      </w:r>
      <w:r w:rsidR="005A75E1">
        <w:t xml:space="preserve">. Furthermore, the discussion has highlighted the issue of </w:t>
      </w:r>
      <w:r w:rsidR="00CB71B2">
        <w:t>Homonationalism</w:t>
      </w:r>
      <w:r w:rsidR="0063701A">
        <w:t xml:space="preserve">, where some LGBTQIA+ people in Britain </w:t>
      </w:r>
      <w:r w:rsidR="00363D59">
        <w:t>have</w:t>
      </w:r>
      <w:r w:rsidR="0063701A">
        <w:t xml:space="preserve"> </w:t>
      </w:r>
      <w:r w:rsidR="00BB5335">
        <w:t xml:space="preserve">aligned themselves with nationalist and anti-immigrant </w:t>
      </w:r>
      <w:r w:rsidR="00BB5335">
        <w:lastRenderedPageBreak/>
        <w:t xml:space="preserve">movements, often at the expense of other marginalised groups. </w:t>
      </w:r>
      <w:r w:rsidR="006752C6">
        <w:t xml:space="preserve">Therefore, the author argues that it is important to acknowledge the intersectional nature of oppression and work towards promoting equality and justice for all marginalised communities. </w:t>
      </w:r>
    </w:p>
    <w:p w14:paraId="55A2A52B" w14:textId="77777777" w:rsidR="003739F1" w:rsidRPr="003739F1" w:rsidRDefault="003739F1" w:rsidP="00173B7D">
      <w:pPr>
        <w:numPr>
          <w:ilvl w:val="1"/>
          <w:numId w:val="1"/>
        </w:numPr>
        <w:spacing w:line="480" w:lineRule="auto"/>
        <w:outlineLvl w:val="1"/>
        <w:rPr>
          <w:b/>
        </w:rPr>
      </w:pPr>
      <w:bookmarkStart w:id="29" w:name="_Toc145927548"/>
      <w:r w:rsidRPr="003739F1">
        <w:rPr>
          <w:b/>
        </w:rPr>
        <w:t>Conclusion</w:t>
      </w:r>
      <w:bookmarkEnd w:id="29"/>
    </w:p>
    <w:p w14:paraId="19AB02EF" w14:textId="5EB66839" w:rsidR="00E85F2B" w:rsidRPr="00E85F2B" w:rsidRDefault="00363D59" w:rsidP="005701C3">
      <w:pPr>
        <w:spacing w:line="480" w:lineRule="auto"/>
        <w:jc w:val="both"/>
        <w:rPr>
          <w:b/>
        </w:rPr>
      </w:pPr>
      <w:r>
        <w:rPr>
          <w:rFonts w:cs="Calibri"/>
        </w:rPr>
        <w:t xml:space="preserve">In this chapter four </w:t>
      </w:r>
      <w:r w:rsidR="008D1C0E">
        <w:rPr>
          <w:rFonts w:cs="Calibri"/>
        </w:rPr>
        <w:t>discussion points</w:t>
      </w:r>
      <w:r>
        <w:rPr>
          <w:rFonts w:cs="Calibri"/>
        </w:rPr>
        <w:t xml:space="preserve"> have been addressed</w:t>
      </w:r>
      <w:r w:rsidR="008D1C0E">
        <w:rPr>
          <w:rFonts w:cs="Calibri"/>
        </w:rPr>
        <w:t>:</w:t>
      </w:r>
      <w:r w:rsidR="006035F0">
        <w:rPr>
          <w:rFonts w:cs="Calibri"/>
        </w:rPr>
        <w:t xml:space="preserve"> Power and Biopolitics</w:t>
      </w:r>
      <w:r>
        <w:rPr>
          <w:rFonts w:cs="Calibri"/>
        </w:rPr>
        <w:t>;</w:t>
      </w:r>
      <w:r w:rsidR="006035F0">
        <w:rPr>
          <w:rFonts w:cs="Calibri"/>
        </w:rPr>
        <w:t xml:space="preserve"> </w:t>
      </w:r>
      <w:r w:rsidR="00BD3430">
        <w:rPr>
          <w:rFonts w:cs="Calibri"/>
        </w:rPr>
        <w:t>Othering</w:t>
      </w:r>
      <w:r w:rsidR="006035F0">
        <w:rPr>
          <w:rFonts w:cs="Calibri"/>
        </w:rPr>
        <w:t xml:space="preserve">: a frame to </w:t>
      </w:r>
      <w:r w:rsidR="006A305D">
        <w:rPr>
          <w:rFonts w:cs="Calibri"/>
        </w:rPr>
        <w:t>synthesise</w:t>
      </w:r>
      <w:r w:rsidR="006035F0">
        <w:rPr>
          <w:rFonts w:cs="Calibri"/>
        </w:rPr>
        <w:t xml:space="preserve"> </w:t>
      </w:r>
      <w:r>
        <w:rPr>
          <w:rFonts w:cs="Calibri"/>
        </w:rPr>
        <w:t>D</w:t>
      </w:r>
      <w:r w:rsidR="006035F0">
        <w:rPr>
          <w:rFonts w:cs="Calibri"/>
        </w:rPr>
        <w:t xml:space="preserve">ecolonising and </w:t>
      </w:r>
      <w:r w:rsidR="00BA2220">
        <w:rPr>
          <w:rFonts w:cs="Calibri"/>
        </w:rPr>
        <w:t>Queer Theories</w:t>
      </w:r>
      <w:r>
        <w:rPr>
          <w:rFonts w:cs="Calibri"/>
        </w:rPr>
        <w:t>;</w:t>
      </w:r>
      <w:r w:rsidR="006035F0">
        <w:rPr>
          <w:rFonts w:cs="Calibri"/>
        </w:rPr>
        <w:t xml:space="preserve"> </w:t>
      </w:r>
      <w:r w:rsidR="0018161B">
        <w:rPr>
          <w:rFonts w:cs="Calibri"/>
        </w:rPr>
        <w:t>Morality a</w:t>
      </w:r>
      <w:r w:rsidR="006035F0">
        <w:rPr>
          <w:rFonts w:cs="Calibri"/>
        </w:rPr>
        <w:t xml:space="preserve"> </w:t>
      </w:r>
      <w:r w:rsidR="006A305D">
        <w:rPr>
          <w:rFonts w:cs="Calibri"/>
        </w:rPr>
        <w:t>nuanced</w:t>
      </w:r>
      <w:r w:rsidR="006035F0">
        <w:rPr>
          <w:rFonts w:cs="Calibri"/>
        </w:rPr>
        <w:t xml:space="preserve"> debate</w:t>
      </w:r>
      <w:r>
        <w:rPr>
          <w:rFonts w:cs="Calibri"/>
        </w:rPr>
        <w:t>;</w:t>
      </w:r>
      <w:r w:rsidR="006035F0">
        <w:rPr>
          <w:rFonts w:cs="Calibri"/>
        </w:rPr>
        <w:t xml:space="preserve"> and Modern day: Cultural Imperialism and </w:t>
      </w:r>
      <w:r w:rsidR="00CB71B2">
        <w:rPr>
          <w:rFonts w:cs="Calibri"/>
        </w:rPr>
        <w:t>Homonationalism</w:t>
      </w:r>
      <w:r w:rsidR="006035F0">
        <w:rPr>
          <w:rFonts w:cs="Calibri"/>
        </w:rPr>
        <w:t xml:space="preserve">. </w:t>
      </w:r>
      <w:r w:rsidR="00F32D42">
        <w:rPr>
          <w:rFonts w:cs="Calibri"/>
        </w:rPr>
        <w:t>The</w:t>
      </w:r>
      <w:r>
        <w:rPr>
          <w:rFonts w:cs="Calibri"/>
        </w:rPr>
        <w:t>se</w:t>
      </w:r>
      <w:r w:rsidR="00F32D42">
        <w:rPr>
          <w:rFonts w:cs="Calibri"/>
        </w:rPr>
        <w:t xml:space="preserve"> discussion</w:t>
      </w:r>
      <w:r w:rsidR="00693048">
        <w:rPr>
          <w:rFonts w:cs="Calibri"/>
        </w:rPr>
        <w:t>s</w:t>
      </w:r>
      <w:r w:rsidR="00F32D42">
        <w:rPr>
          <w:rFonts w:cs="Calibri"/>
        </w:rPr>
        <w:t xml:space="preserve"> presented highlight the complex of and ongoing impact of British </w:t>
      </w:r>
      <w:r>
        <w:rPr>
          <w:rFonts w:cs="Calibri"/>
        </w:rPr>
        <w:t>c</w:t>
      </w:r>
      <w:r w:rsidR="0011030E">
        <w:rPr>
          <w:rFonts w:cs="Calibri"/>
        </w:rPr>
        <w:t>olonialism</w:t>
      </w:r>
      <w:r w:rsidR="00F32D42">
        <w:rPr>
          <w:rFonts w:cs="Calibri"/>
        </w:rPr>
        <w:t xml:space="preserve"> on gender identity and sexuality of individuals in former </w:t>
      </w:r>
      <w:r w:rsidR="00BD3430">
        <w:rPr>
          <w:rFonts w:cs="Calibri"/>
        </w:rPr>
        <w:t xml:space="preserve">British </w:t>
      </w:r>
      <w:r w:rsidR="00141DB8">
        <w:rPr>
          <w:rFonts w:cs="Calibri"/>
        </w:rPr>
        <w:t>C</w:t>
      </w:r>
      <w:r w:rsidR="00BD3430">
        <w:rPr>
          <w:rFonts w:cs="Calibri"/>
        </w:rPr>
        <w:t>olonies</w:t>
      </w:r>
      <w:r w:rsidR="00693048">
        <w:rPr>
          <w:rFonts w:cs="Calibri"/>
        </w:rPr>
        <w:t>.</w:t>
      </w:r>
      <w:r w:rsidR="00F32D42">
        <w:rPr>
          <w:rFonts w:cs="Calibri"/>
        </w:rPr>
        <w:t xml:space="preserve">  The author of this thesis explored ways in which power mediated through </w:t>
      </w:r>
      <w:r>
        <w:rPr>
          <w:rFonts w:cs="Calibri"/>
        </w:rPr>
        <w:t>b</w:t>
      </w:r>
      <w:r w:rsidR="0011030E">
        <w:rPr>
          <w:rFonts w:cs="Calibri"/>
        </w:rPr>
        <w:t>iopolitics</w:t>
      </w:r>
      <w:r w:rsidR="00F32D42">
        <w:rPr>
          <w:rFonts w:cs="Calibri"/>
        </w:rPr>
        <w:t xml:space="preserve"> </w:t>
      </w:r>
      <w:r>
        <w:rPr>
          <w:rFonts w:cs="Calibri"/>
        </w:rPr>
        <w:t>was</w:t>
      </w:r>
      <w:r w:rsidR="00F32D42">
        <w:rPr>
          <w:rFonts w:cs="Calibri"/>
        </w:rPr>
        <w:t xml:space="preserve"> used to regulate and control LGBTQIA+ people and how this has created a lasting legacy of discrimination and marginalisation. Additionally, the author explored the need for an intersectional analysis on how race, power, sexual orientation and gender identity intersect. The discussion also </w:t>
      </w:r>
      <w:r w:rsidR="00693048">
        <w:rPr>
          <w:rFonts w:cs="Calibri"/>
        </w:rPr>
        <w:t>emphasise</w:t>
      </w:r>
      <w:r>
        <w:rPr>
          <w:rFonts w:cs="Calibri"/>
        </w:rPr>
        <w:t>d</w:t>
      </w:r>
      <w:r w:rsidR="00F32D42">
        <w:rPr>
          <w:rFonts w:cs="Calibri"/>
        </w:rPr>
        <w:t xml:space="preserve"> the importance of understanding the role of morality, culture and religion in shaping current </w:t>
      </w:r>
      <w:r w:rsidR="0011030E">
        <w:rPr>
          <w:rFonts w:cs="Calibri"/>
        </w:rPr>
        <w:t>attitudes</w:t>
      </w:r>
      <w:r w:rsidR="00F32D42">
        <w:rPr>
          <w:rFonts w:cs="Calibri"/>
        </w:rPr>
        <w:t xml:space="preserve"> towards</w:t>
      </w:r>
      <w:r>
        <w:rPr>
          <w:rFonts w:cs="Calibri"/>
        </w:rPr>
        <w:t>,</w:t>
      </w:r>
      <w:r w:rsidR="00F32D42">
        <w:rPr>
          <w:rFonts w:cs="Calibri"/>
        </w:rPr>
        <w:t xml:space="preserve"> and ongoing challenges for</w:t>
      </w:r>
      <w:r>
        <w:rPr>
          <w:rFonts w:cs="Calibri"/>
        </w:rPr>
        <w:t>,</w:t>
      </w:r>
      <w:r w:rsidR="00F32D42">
        <w:rPr>
          <w:rFonts w:cs="Calibri"/>
        </w:rPr>
        <w:t xml:space="preserve"> LGBTQIA+ people in former </w:t>
      </w:r>
      <w:r w:rsidR="00BD3430">
        <w:rPr>
          <w:rFonts w:cs="Calibri"/>
        </w:rPr>
        <w:t xml:space="preserve">British </w:t>
      </w:r>
      <w:r w:rsidR="00141DB8">
        <w:rPr>
          <w:rFonts w:cs="Calibri"/>
        </w:rPr>
        <w:t>C</w:t>
      </w:r>
      <w:r w:rsidR="00BD3430">
        <w:rPr>
          <w:rFonts w:cs="Calibri"/>
        </w:rPr>
        <w:t>olonies</w:t>
      </w:r>
      <w:r>
        <w:rPr>
          <w:rFonts w:cs="Calibri"/>
        </w:rPr>
        <w:t xml:space="preserve">. This is in the context of an effort to </w:t>
      </w:r>
      <w:r w:rsidR="00F32D42">
        <w:rPr>
          <w:rFonts w:cs="Calibri"/>
        </w:rPr>
        <w:t>understand their legacy without be</w:t>
      </w:r>
      <w:r>
        <w:rPr>
          <w:rFonts w:cs="Calibri"/>
        </w:rPr>
        <w:t>coming</w:t>
      </w:r>
      <w:r w:rsidR="00F32D42">
        <w:rPr>
          <w:rFonts w:cs="Calibri"/>
        </w:rPr>
        <w:t xml:space="preserve"> subjected to a new form of cultural imperialism in the form of </w:t>
      </w:r>
      <w:r w:rsidR="00CB71B2">
        <w:rPr>
          <w:rFonts w:cs="Calibri"/>
        </w:rPr>
        <w:t>Homonationalism</w:t>
      </w:r>
      <w:r w:rsidR="00F32D42">
        <w:rPr>
          <w:rFonts w:cs="Calibri"/>
        </w:rPr>
        <w:t>. Overall, the discussions</w:t>
      </w:r>
      <w:r>
        <w:rPr>
          <w:rFonts w:cs="Calibri"/>
        </w:rPr>
        <w:t xml:space="preserve"> </w:t>
      </w:r>
      <w:r w:rsidR="00F32D42">
        <w:rPr>
          <w:rFonts w:cs="Calibri"/>
        </w:rPr>
        <w:t>present</w:t>
      </w:r>
      <w:r>
        <w:rPr>
          <w:rFonts w:cs="Calibri"/>
        </w:rPr>
        <w:t>ed</w:t>
      </w:r>
      <w:r w:rsidR="00F32D42">
        <w:rPr>
          <w:rFonts w:cs="Calibri"/>
        </w:rPr>
        <w:t xml:space="preserve"> insights into the ongoing struggle for LGBTQIA+ rights</w:t>
      </w:r>
      <w:r w:rsidR="00E85F2B">
        <w:rPr>
          <w:rFonts w:cs="Calibri"/>
        </w:rPr>
        <w:t xml:space="preserve"> and the ongoing impact of colonialism on gender </w:t>
      </w:r>
      <w:r w:rsidR="0011030E">
        <w:rPr>
          <w:rFonts w:cs="Calibri"/>
        </w:rPr>
        <w:t>identity</w:t>
      </w:r>
      <w:r w:rsidR="00E85F2B">
        <w:rPr>
          <w:rFonts w:cs="Calibri"/>
        </w:rPr>
        <w:t xml:space="preserve"> and sexuality.</w:t>
      </w:r>
      <w:r w:rsidR="00F32D42">
        <w:rPr>
          <w:rFonts w:cs="Calibri"/>
        </w:rPr>
        <w:t xml:space="preserve"> </w:t>
      </w:r>
      <w:r w:rsidR="005E060A">
        <w:rPr>
          <w:b/>
        </w:rPr>
        <w:br w:type="page"/>
      </w:r>
      <w:r w:rsidR="00BA7FED">
        <w:rPr>
          <w:b/>
        </w:rPr>
        <w:lastRenderedPageBreak/>
        <w:t xml:space="preserve">CONCLUSION </w:t>
      </w:r>
      <w:r w:rsidR="001C49A5">
        <w:rPr>
          <w:b/>
        </w:rPr>
        <w:t xml:space="preserve">AND RECOMMENDATIONS </w:t>
      </w:r>
    </w:p>
    <w:p w14:paraId="4E4C42C9" w14:textId="66935FDC" w:rsidR="00E85F2B" w:rsidRDefault="00B33D1C" w:rsidP="00DF56D6">
      <w:pPr>
        <w:spacing w:line="480" w:lineRule="auto"/>
        <w:jc w:val="both"/>
        <w:rPr>
          <w:rFonts w:cs="Calibri"/>
        </w:rPr>
      </w:pPr>
      <w:r>
        <w:rPr>
          <w:rFonts w:cs="Calibri"/>
        </w:rPr>
        <w:t>This chapter</w:t>
      </w:r>
      <w:r w:rsidR="00E85F2B">
        <w:rPr>
          <w:rFonts w:cs="Calibri"/>
        </w:rPr>
        <w:t xml:space="preserve"> will summarise the study, identify key findings and discuss the implications of the </w:t>
      </w:r>
      <w:r w:rsidR="0013788F">
        <w:rPr>
          <w:rFonts w:cs="Calibri"/>
        </w:rPr>
        <w:t>research</w:t>
      </w:r>
      <w:r w:rsidR="00E85F2B">
        <w:rPr>
          <w:rFonts w:cs="Calibri"/>
        </w:rPr>
        <w:t xml:space="preserve">. </w:t>
      </w:r>
    </w:p>
    <w:p w14:paraId="5921F0FC" w14:textId="77777777" w:rsidR="00917AEA" w:rsidRDefault="00917AEA" w:rsidP="00DF56D6">
      <w:pPr>
        <w:spacing w:line="480" w:lineRule="auto"/>
        <w:jc w:val="both"/>
        <w:rPr>
          <w:rFonts w:cs="Calibri"/>
        </w:rPr>
      </w:pPr>
    </w:p>
    <w:p w14:paraId="53A8907D" w14:textId="1B08011B" w:rsidR="00E85F2B" w:rsidRDefault="00B33D1C" w:rsidP="00DF56D6">
      <w:pPr>
        <w:spacing w:line="480" w:lineRule="auto"/>
        <w:jc w:val="both"/>
        <w:rPr>
          <w:rFonts w:cs="Calibri"/>
        </w:rPr>
      </w:pPr>
      <w:r>
        <w:rPr>
          <w:rFonts w:cs="Calibri"/>
        </w:rPr>
        <w:t xml:space="preserve">To </w:t>
      </w:r>
      <w:r w:rsidR="00693048">
        <w:rPr>
          <w:rFonts w:cs="Calibri"/>
        </w:rPr>
        <w:t>conclude this</w:t>
      </w:r>
      <w:r>
        <w:rPr>
          <w:rFonts w:cs="Calibri"/>
        </w:rPr>
        <w:t xml:space="preserve"> </w:t>
      </w:r>
      <w:r w:rsidR="00E85F2B">
        <w:rPr>
          <w:rFonts w:cs="Calibri"/>
        </w:rPr>
        <w:t>dissertation</w:t>
      </w:r>
      <w:r w:rsidR="0013788F">
        <w:rPr>
          <w:rFonts w:cs="Calibri"/>
        </w:rPr>
        <w:t>,</w:t>
      </w:r>
      <w:r w:rsidR="00E85F2B">
        <w:rPr>
          <w:rFonts w:cs="Calibri"/>
        </w:rPr>
        <w:t xml:space="preserve"> has </w:t>
      </w:r>
      <w:r>
        <w:rPr>
          <w:rFonts w:cs="Calibri"/>
        </w:rPr>
        <w:t xml:space="preserve">critically </w:t>
      </w:r>
      <w:r w:rsidR="00E85F2B">
        <w:rPr>
          <w:rFonts w:cs="Calibri"/>
        </w:rPr>
        <w:t>examined the</w:t>
      </w:r>
      <w:r>
        <w:rPr>
          <w:rFonts w:cs="Calibri"/>
        </w:rPr>
        <w:t xml:space="preserve"> complex and multifaceted </w:t>
      </w:r>
      <w:r w:rsidR="0013788F">
        <w:rPr>
          <w:rFonts w:cs="Calibri"/>
        </w:rPr>
        <w:t>impact</w:t>
      </w:r>
      <w:r>
        <w:rPr>
          <w:rFonts w:cs="Calibri"/>
        </w:rPr>
        <w:t xml:space="preserve"> </w:t>
      </w:r>
      <w:r w:rsidR="00E85F2B">
        <w:rPr>
          <w:rFonts w:cs="Calibri"/>
        </w:rPr>
        <w:t xml:space="preserve">British </w:t>
      </w:r>
      <w:r w:rsidR="0013788F">
        <w:rPr>
          <w:rFonts w:cs="Calibri"/>
        </w:rPr>
        <w:t>c</w:t>
      </w:r>
      <w:r w:rsidR="00E85F2B">
        <w:rPr>
          <w:rFonts w:cs="Calibri"/>
        </w:rPr>
        <w:t xml:space="preserve">olonialism has had </w:t>
      </w:r>
      <w:r w:rsidR="00285A7B">
        <w:rPr>
          <w:rFonts w:cs="Calibri"/>
        </w:rPr>
        <w:t>on LGBTQIA+ rights</w:t>
      </w:r>
      <w:r>
        <w:rPr>
          <w:rFonts w:cs="Calibri"/>
        </w:rPr>
        <w:t xml:space="preserve"> and attitudes</w:t>
      </w:r>
      <w:r w:rsidR="00855498">
        <w:rPr>
          <w:rFonts w:cs="Calibri"/>
        </w:rPr>
        <w:t>.</w:t>
      </w:r>
      <w:r w:rsidR="00285A7B">
        <w:rPr>
          <w:rFonts w:cs="Calibri"/>
        </w:rPr>
        <w:t xml:space="preserve"> </w:t>
      </w:r>
      <w:r>
        <w:rPr>
          <w:rFonts w:cs="Calibri"/>
        </w:rPr>
        <w:t xml:space="preserve">By exploring the historical and contemporary sources and using key sociological theories, this paper has shed light on the ways in which the British Empire controlled </w:t>
      </w:r>
      <w:r w:rsidR="000B6F17">
        <w:rPr>
          <w:rFonts w:cs="Calibri"/>
        </w:rPr>
        <w:t>I</w:t>
      </w:r>
      <w:r w:rsidR="0011030E">
        <w:rPr>
          <w:rFonts w:cs="Calibri"/>
        </w:rPr>
        <w:t>ndigenous</w:t>
      </w:r>
      <w:r>
        <w:rPr>
          <w:rFonts w:cs="Calibri"/>
        </w:rPr>
        <w:t xml:space="preserve"> </w:t>
      </w:r>
      <w:r w:rsidR="000B6F17">
        <w:rPr>
          <w:rFonts w:cs="Calibri"/>
        </w:rPr>
        <w:t>P</w:t>
      </w:r>
      <w:r>
        <w:rPr>
          <w:rFonts w:cs="Calibri"/>
        </w:rPr>
        <w:t>eopl</w:t>
      </w:r>
      <w:r w:rsidR="0013788F">
        <w:rPr>
          <w:rFonts w:cs="Calibri"/>
        </w:rPr>
        <w:t xml:space="preserve">es’ </w:t>
      </w:r>
      <w:r w:rsidR="000B6F17">
        <w:rPr>
          <w:rFonts w:cs="Calibri"/>
        </w:rPr>
        <w:t>s</w:t>
      </w:r>
      <w:r>
        <w:rPr>
          <w:rFonts w:cs="Calibri"/>
        </w:rPr>
        <w:t>exual orientation and gender identity and how this legacy continues to impact</w:t>
      </w:r>
      <w:r w:rsidR="0013788F">
        <w:rPr>
          <w:rFonts w:cs="Calibri"/>
        </w:rPr>
        <w:t>.</w:t>
      </w:r>
    </w:p>
    <w:p w14:paraId="42C102EC" w14:textId="77777777" w:rsidR="004937AA" w:rsidRDefault="004937AA" w:rsidP="00DF56D6">
      <w:pPr>
        <w:spacing w:line="480" w:lineRule="auto"/>
        <w:jc w:val="both"/>
        <w:rPr>
          <w:rFonts w:cs="Calibri"/>
        </w:rPr>
      </w:pPr>
    </w:p>
    <w:p w14:paraId="2AE4D207" w14:textId="3E3C3E7C" w:rsidR="00917AEA" w:rsidRDefault="00285A7B" w:rsidP="00DF56D6">
      <w:pPr>
        <w:spacing w:line="480" w:lineRule="auto"/>
        <w:jc w:val="both"/>
        <w:rPr>
          <w:rFonts w:cs="Calibri"/>
        </w:rPr>
      </w:pPr>
      <w:r>
        <w:rPr>
          <w:rFonts w:cs="Calibri"/>
        </w:rPr>
        <w:t>The study found</w:t>
      </w:r>
      <w:r w:rsidR="00B33D1C">
        <w:rPr>
          <w:rFonts w:cs="Calibri"/>
        </w:rPr>
        <w:t xml:space="preserve"> that</w:t>
      </w:r>
      <w:r w:rsidR="004937AA">
        <w:rPr>
          <w:rFonts w:cs="Calibri"/>
        </w:rPr>
        <w:t xml:space="preserve"> </w:t>
      </w:r>
      <w:r w:rsidR="005701C3">
        <w:rPr>
          <w:rFonts w:cs="Calibri"/>
        </w:rPr>
        <w:t>s</w:t>
      </w:r>
      <w:r w:rsidR="004937AA">
        <w:rPr>
          <w:rFonts w:cs="Calibri"/>
        </w:rPr>
        <w:t xml:space="preserve">exuality and </w:t>
      </w:r>
      <w:r w:rsidR="005701C3">
        <w:rPr>
          <w:rFonts w:cs="Calibri"/>
        </w:rPr>
        <w:t>g</w:t>
      </w:r>
      <w:r w:rsidR="004937AA">
        <w:rPr>
          <w:rFonts w:cs="Calibri"/>
        </w:rPr>
        <w:t xml:space="preserve">ender </w:t>
      </w:r>
      <w:r w:rsidR="005701C3">
        <w:rPr>
          <w:rFonts w:cs="Calibri"/>
        </w:rPr>
        <w:t>i</w:t>
      </w:r>
      <w:r w:rsidR="004937AA">
        <w:rPr>
          <w:rFonts w:cs="Calibri"/>
        </w:rPr>
        <w:t xml:space="preserve">dentity are </w:t>
      </w:r>
      <w:r w:rsidR="002478D3">
        <w:rPr>
          <w:rFonts w:cs="Calibri"/>
        </w:rPr>
        <w:t xml:space="preserve">intricate </w:t>
      </w:r>
      <w:r w:rsidR="0013788F">
        <w:rPr>
          <w:rFonts w:cs="Calibri"/>
        </w:rPr>
        <w:t>factors</w:t>
      </w:r>
      <w:r w:rsidR="002478D3">
        <w:rPr>
          <w:rFonts w:cs="Calibri"/>
        </w:rPr>
        <w:t xml:space="preserve"> that </w:t>
      </w:r>
      <w:r w:rsidR="004937AA">
        <w:rPr>
          <w:rFonts w:cs="Calibri"/>
        </w:rPr>
        <w:t xml:space="preserve">British </w:t>
      </w:r>
      <w:r w:rsidR="0013788F">
        <w:rPr>
          <w:rFonts w:cs="Calibri"/>
        </w:rPr>
        <w:t>c</w:t>
      </w:r>
      <w:r w:rsidR="004937AA">
        <w:rPr>
          <w:rFonts w:cs="Calibri"/>
        </w:rPr>
        <w:t xml:space="preserve">olonisers </w:t>
      </w:r>
      <w:r w:rsidR="00B53746">
        <w:rPr>
          <w:rFonts w:cs="Calibri"/>
        </w:rPr>
        <w:t>manipulated through</w:t>
      </w:r>
      <w:r w:rsidR="004937AA">
        <w:rPr>
          <w:rFonts w:cs="Calibri"/>
        </w:rPr>
        <w:t xml:space="preserve"> </w:t>
      </w:r>
      <w:r w:rsidR="00663D12">
        <w:rPr>
          <w:rFonts w:cs="Calibri"/>
        </w:rPr>
        <w:t xml:space="preserve">utilising </w:t>
      </w:r>
      <w:r w:rsidR="0013788F">
        <w:rPr>
          <w:rFonts w:cs="Calibri"/>
        </w:rPr>
        <w:t>b</w:t>
      </w:r>
      <w:r w:rsidR="004937AA">
        <w:rPr>
          <w:rFonts w:cs="Calibri"/>
        </w:rPr>
        <w:t>iopowe</w:t>
      </w:r>
      <w:r w:rsidR="0013788F">
        <w:rPr>
          <w:rFonts w:cs="Calibri"/>
        </w:rPr>
        <w:t>r</w:t>
      </w:r>
      <w:r w:rsidR="00917AEA">
        <w:rPr>
          <w:rFonts w:cs="Calibri"/>
        </w:rPr>
        <w:t xml:space="preserve"> </w:t>
      </w:r>
      <w:r w:rsidR="00663D12">
        <w:rPr>
          <w:rFonts w:cs="Calibri"/>
        </w:rPr>
        <w:t xml:space="preserve">to create </w:t>
      </w:r>
      <w:r w:rsidR="00917AEA">
        <w:rPr>
          <w:rFonts w:cs="Calibri"/>
        </w:rPr>
        <w:t>authority</w:t>
      </w:r>
      <w:r w:rsidR="00663D12">
        <w:rPr>
          <w:rFonts w:cs="Calibri"/>
        </w:rPr>
        <w:t>,</w:t>
      </w:r>
      <w:r w:rsidR="00917AEA">
        <w:rPr>
          <w:rFonts w:cs="Calibri"/>
        </w:rPr>
        <w:t xml:space="preserve"> regulat</w:t>
      </w:r>
      <w:r w:rsidR="00663D12">
        <w:rPr>
          <w:rFonts w:cs="Calibri"/>
        </w:rPr>
        <w:t>ion</w:t>
      </w:r>
      <w:r w:rsidR="0013788F">
        <w:rPr>
          <w:rFonts w:cs="Calibri"/>
        </w:rPr>
        <w:t>,</w:t>
      </w:r>
      <w:r w:rsidR="00917AEA">
        <w:rPr>
          <w:rFonts w:cs="Calibri"/>
        </w:rPr>
        <w:t xml:space="preserve"> and control</w:t>
      </w:r>
      <w:r w:rsidR="00663D12">
        <w:rPr>
          <w:rFonts w:cs="Calibri"/>
        </w:rPr>
        <w:t xml:space="preserve"> of</w:t>
      </w:r>
      <w:r w:rsidR="00917AEA">
        <w:rPr>
          <w:rFonts w:cs="Calibri"/>
        </w:rPr>
        <w:t xml:space="preserve"> LGBTQIA+ people</w:t>
      </w:r>
      <w:r w:rsidR="0013788F">
        <w:rPr>
          <w:rFonts w:cs="Calibri"/>
        </w:rPr>
        <w:t xml:space="preserve">. </w:t>
      </w:r>
      <w:r w:rsidR="00917AEA">
        <w:rPr>
          <w:rFonts w:cs="Calibri"/>
        </w:rPr>
        <w:t xml:space="preserve">This has had a </w:t>
      </w:r>
      <w:r w:rsidR="00AF47BB">
        <w:rPr>
          <w:rFonts w:cs="Calibri"/>
        </w:rPr>
        <w:t>long-lasting</w:t>
      </w:r>
      <w:r w:rsidR="00917AEA">
        <w:rPr>
          <w:rFonts w:cs="Calibri"/>
        </w:rPr>
        <w:t xml:space="preserve"> impact on LGBTQIA+ people in former </w:t>
      </w:r>
      <w:r w:rsidR="00BD3430">
        <w:rPr>
          <w:rFonts w:cs="Calibri"/>
        </w:rPr>
        <w:t xml:space="preserve">British </w:t>
      </w:r>
      <w:r w:rsidR="0013788F">
        <w:rPr>
          <w:rFonts w:cs="Calibri"/>
        </w:rPr>
        <w:t>c</w:t>
      </w:r>
      <w:r w:rsidR="00BD3430">
        <w:rPr>
          <w:rFonts w:cs="Calibri"/>
        </w:rPr>
        <w:t>olonies</w:t>
      </w:r>
      <w:r w:rsidR="00917AEA">
        <w:rPr>
          <w:rFonts w:cs="Calibri"/>
        </w:rPr>
        <w:t xml:space="preserve">. </w:t>
      </w:r>
      <w:r w:rsidR="0013788F">
        <w:rPr>
          <w:rFonts w:cs="Calibri"/>
        </w:rPr>
        <w:t>Consequently,</w:t>
      </w:r>
      <w:r w:rsidR="00917AEA">
        <w:rPr>
          <w:rFonts w:cs="Calibri"/>
        </w:rPr>
        <w:t xml:space="preserve"> some former </w:t>
      </w:r>
      <w:r w:rsidR="00BA2220">
        <w:rPr>
          <w:rFonts w:cs="Calibri"/>
        </w:rPr>
        <w:t xml:space="preserve">British </w:t>
      </w:r>
      <w:r w:rsidR="0013788F">
        <w:rPr>
          <w:rFonts w:cs="Calibri"/>
        </w:rPr>
        <w:t>c</w:t>
      </w:r>
      <w:r w:rsidR="00BA2220">
        <w:rPr>
          <w:rFonts w:cs="Calibri"/>
        </w:rPr>
        <w:t xml:space="preserve">olonies </w:t>
      </w:r>
      <w:r w:rsidR="00663D12">
        <w:rPr>
          <w:rFonts w:cs="Calibri"/>
        </w:rPr>
        <w:t xml:space="preserve">have </w:t>
      </w:r>
      <w:r w:rsidR="00917AEA">
        <w:rPr>
          <w:rFonts w:cs="Calibri"/>
        </w:rPr>
        <w:t>increas</w:t>
      </w:r>
      <w:r w:rsidR="00663D12">
        <w:rPr>
          <w:rFonts w:cs="Calibri"/>
        </w:rPr>
        <w:t>ed their</w:t>
      </w:r>
      <w:r w:rsidR="00917AEA">
        <w:rPr>
          <w:rFonts w:cs="Calibri"/>
        </w:rPr>
        <w:t xml:space="preserve"> anti-LGBTQIA+ </w:t>
      </w:r>
      <w:r w:rsidR="0011030E">
        <w:rPr>
          <w:rFonts w:cs="Calibri"/>
        </w:rPr>
        <w:t>legislation</w:t>
      </w:r>
      <w:r w:rsidR="00917AEA">
        <w:rPr>
          <w:rFonts w:cs="Calibri"/>
        </w:rPr>
        <w:t xml:space="preserve"> </w:t>
      </w:r>
      <w:r w:rsidR="0013788F">
        <w:rPr>
          <w:rFonts w:cs="Calibri"/>
        </w:rPr>
        <w:t>by imposing</w:t>
      </w:r>
      <w:r w:rsidR="00172E7A">
        <w:rPr>
          <w:rFonts w:cs="Calibri"/>
        </w:rPr>
        <w:t xml:space="preserve"> l</w:t>
      </w:r>
      <w:r w:rsidR="00917AEA">
        <w:rPr>
          <w:rFonts w:cs="Calibri"/>
        </w:rPr>
        <w:t xml:space="preserve">ong prison </w:t>
      </w:r>
      <w:r w:rsidR="00AF47BB">
        <w:rPr>
          <w:rFonts w:cs="Calibri"/>
        </w:rPr>
        <w:t>sentences</w:t>
      </w:r>
      <w:r w:rsidR="00917AEA">
        <w:rPr>
          <w:rFonts w:cs="Calibri"/>
        </w:rPr>
        <w:t xml:space="preserve"> and introducing the death penalty </w:t>
      </w:r>
      <w:r w:rsidR="0013788F">
        <w:rPr>
          <w:rFonts w:cs="Calibri"/>
        </w:rPr>
        <w:t xml:space="preserve">for certain sexual acts </w:t>
      </w:r>
      <w:r w:rsidR="00917AEA">
        <w:rPr>
          <w:rFonts w:cs="Calibri"/>
        </w:rPr>
        <w:t>(</w:t>
      </w:r>
      <w:r w:rsidR="00AF47BB">
        <w:rPr>
          <w:rFonts w:cs="Calibri"/>
        </w:rPr>
        <w:t>BBC, 2023</w:t>
      </w:r>
      <w:r w:rsidR="00917AEA">
        <w:rPr>
          <w:rFonts w:cs="Calibri"/>
        </w:rPr>
        <w:t>).</w:t>
      </w:r>
    </w:p>
    <w:p w14:paraId="6D611320" w14:textId="77777777" w:rsidR="00917AEA" w:rsidRDefault="00917AEA" w:rsidP="00DF56D6">
      <w:pPr>
        <w:spacing w:line="480" w:lineRule="auto"/>
        <w:jc w:val="both"/>
        <w:rPr>
          <w:rFonts w:cs="Calibri"/>
        </w:rPr>
      </w:pPr>
    </w:p>
    <w:p w14:paraId="4A615D23" w14:textId="1625117E" w:rsidR="00285A7B" w:rsidRDefault="009D2F70" w:rsidP="00DF56D6">
      <w:pPr>
        <w:spacing w:line="480" w:lineRule="auto"/>
        <w:jc w:val="both"/>
        <w:rPr>
          <w:rFonts w:cs="Calibri"/>
        </w:rPr>
      </w:pPr>
      <w:r>
        <w:rPr>
          <w:rFonts w:cs="Calibri"/>
        </w:rPr>
        <w:t>Mor</w:t>
      </w:r>
      <w:r w:rsidR="00254D88">
        <w:rPr>
          <w:rFonts w:cs="Calibri"/>
        </w:rPr>
        <w:t>e</w:t>
      </w:r>
      <w:r>
        <w:rPr>
          <w:rFonts w:cs="Calibri"/>
        </w:rPr>
        <w:t>over</w:t>
      </w:r>
      <w:r w:rsidR="00B33D1C">
        <w:rPr>
          <w:rFonts w:cs="Calibri"/>
        </w:rPr>
        <w:t xml:space="preserve">, the </w:t>
      </w:r>
      <w:r w:rsidR="00917AEA">
        <w:rPr>
          <w:rFonts w:cs="Calibri"/>
        </w:rPr>
        <w:t xml:space="preserve">concept of </w:t>
      </w:r>
      <w:r w:rsidR="00BD3430">
        <w:rPr>
          <w:rFonts w:cs="Calibri"/>
        </w:rPr>
        <w:t>Othering</w:t>
      </w:r>
      <w:r w:rsidR="00917AEA">
        <w:rPr>
          <w:rFonts w:cs="Calibri"/>
        </w:rPr>
        <w:t xml:space="preserve"> </w:t>
      </w:r>
      <w:r w:rsidR="00254D88">
        <w:rPr>
          <w:rFonts w:cs="Calibri"/>
        </w:rPr>
        <w:t>offers</w:t>
      </w:r>
      <w:r w:rsidR="00917AEA">
        <w:rPr>
          <w:rFonts w:cs="Calibri"/>
        </w:rPr>
        <w:t xml:space="preserve"> a framework to </w:t>
      </w:r>
      <w:r w:rsidR="0011030E">
        <w:rPr>
          <w:rFonts w:cs="Calibri"/>
        </w:rPr>
        <w:t>synthesise</w:t>
      </w:r>
      <w:r w:rsidR="00917AEA">
        <w:rPr>
          <w:rFonts w:cs="Calibri"/>
        </w:rPr>
        <w:t xml:space="preserve"> </w:t>
      </w:r>
      <w:r w:rsidR="00254D88">
        <w:rPr>
          <w:rFonts w:cs="Calibri"/>
        </w:rPr>
        <w:t xml:space="preserve">and integrate </w:t>
      </w:r>
      <w:r w:rsidR="0013788F">
        <w:rPr>
          <w:rFonts w:cs="Calibri"/>
        </w:rPr>
        <w:t>D</w:t>
      </w:r>
      <w:r w:rsidR="00917AEA">
        <w:rPr>
          <w:rFonts w:cs="Calibri"/>
        </w:rPr>
        <w:t xml:space="preserve">ecolonising and </w:t>
      </w:r>
      <w:r w:rsidR="00BA2220">
        <w:rPr>
          <w:rFonts w:cs="Calibri"/>
        </w:rPr>
        <w:t>Queer Theories</w:t>
      </w:r>
      <w:r w:rsidR="00917AEA">
        <w:rPr>
          <w:rFonts w:cs="Calibri"/>
        </w:rPr>
        <w:t xml:space="preserve">, enabling a </w:t>
      </w:r>
      <w:r w:rsidR="00254D88">
        <w:rPr>
          <w:rFonts w:cs="Calibri"/>
        </w:rPr>
        <w:t xml:space="preserve">comprehensive and </w:t>
      </w:r>
      <w:r w:rsidR="00917AEA">
        <w:rPr>
          <w:rFonts w:cs="Calibri"/>
        </w:rPr>
        <w:t xml:space="preserve">nuanced understanding of the </w:t>
      </w:r>
      <w:r w:rsidR="0011030E">
        <w:rPr>
          <w:rFonts w:cs="Calibri"/>
        </w:rPr>
        <w:t>intersectionality</w:t>
      </w:r>
      <w:r w:rsidR="00917AEA">
        <w:rPr>
          <w:rFonts w:cs="Calibri"/>
        </w:rPr>
        <w:t xml:space="preserve"> of race, gender, sexuality and power. </w:t>
      </w:r>
      <w:r w:rsidR="005C20E0">
        <w:rPr>
          <w:rFonts w:cs="Calibri"/>
        </w:rPr>
        <w:t>This approach</w:t>
      </w:r>
      <w:r w:rsidR="00917AEA">
        <w:rPr>
          <w:rFonts w:cs="Calibri"/>
        </w:rPr>
        <w:t xml:space="preserve"> highlights the need for more inclusive approaches that consider LGBTQIA+ people in a colonial context. </w:t>
      </w:r>
    </w:p>
    <w:p w14:paraId="3C1AF17D" w14:textId="77777777" w:rsidR="00917AEA" w:rsidRDefault="00917AEA" w:rsidP="00DF56D6">
      <w:pPr>
        <w:spacing w:line="480" w:lineRule="auto"/>
        <w:jc w:val="both"/>
        <w:rPr>
          <w:rFonts w:cs="Calibri"/>
        </w:rPr>
      </w:pPr>
    </w:p>
    <w:p w14:paraId="78CBF777" w14:textId="48412289" w:rsidR="00917AEA" w:rsidRDefault="005C20E0" w:rsidP="00DF56D6">
      <w:pPr>
        <w:spacing w:line="480" w:lineRule="auto"/>
        <w:jc w:val="both"/>
        <w:rPr>
          <w:rFonts w:cs="Calibri"/>
        </w:rPr>
      </w:pPr>
      <w:r>
        <w:rPr>
          <w:rFonts w:cs="Calibri"/>
        </w:rPr>
        <w:t>Furthermore</w:t>
      </w:r>
      <w:r w:rsidR="00B33D1C">
        <w:rPr>
          <w:rFonts w:cs="Calibri"/>
        </w:rPr>
        <w:t>,</w:t>
      </w:r>
      <w:r w:rsidR="00917AEA">
        <w:rPr>
          <w:rFonts w:cs="Calibri"/>
        </w:rPr>
        <w:t xml:space="preserve"> </w:t>
      </w:r>
      <w:r w:rsidR="00B33D1C">
        <w:rPr>
          <w:rFonts w:cs="Calibri"/>
        </w:rPr>
        <w:t xml:space="preserve">the </w:t>
      </w:r>
      <w:r w:rsidR="00815301">
        <w:rPr>
          <w:rFonts w:cs="Calibri"/>
        </w:rPr>
        <w:t>discussion and discourse surrounding</w:t>
      </w:r>
      <w:r w:rsidR="00917AEA">
        <w:rPr>
          <w:rFonts w:cs="Calibri"/>
        </w:rPr>
        <w:t xml:space="preserve"> </w:t>
      </w:r>
      <w:r w:rsidR="0011030E">
        <w:rPr>
          <w:rFonts w:cs="Calibri"/>
        </w:rPr>
        <w:t>Morality</w:t>
      </w:r>
      <w:r w:rsidR="00917AEA">
        <w:rPr>
          <w:rFonts w:cs="Calibri"/>
        </w:rPr>
        <w:t xml:space="preserve"> </w:t>
      </w:r>
      <w:r w:rsidR="0011030E">
        <w:rPr>
          <w:rFonts w:cs="Calibri"/>
        </w:rPr>
        <w:t>emphasise</w:t>
      </w:r>
      <w:r w:rsidR="0013788F">
        <w:rPr>
          <w:rFonts w:cs="Calibri"/>
        </w:rPr>
        <w:t>d</w:t>
      </w:r>
      <w:r w:rsidR="00917AEA">
        <w:rPr>
          <w:rFonts w:cs="Calibri"/>
        </w:rPr>
        <w:t xml:space="preserve"> the need for an understanding of how culture and religion</w:t>
      </w:r>
      <w:r w:rsidR="007F0769">
        <w:rPr>
          <w:rFonts w:cs="Calibri"/>
        </w:rPr>
        <w:t xml:space="preserve"> form,</w:t>
      </w:r>
      <w:r w:rsidR="00917AEA">
        <w:rPr>
          <w:rFonts w:cs="Calibri"/>
        </w:rPr>
        <w:t xml:space="preserve"> </w:t>
      </w:r>
      <w:r>
        <w:rPr>
          <w:rFonts w:cs="Calibri"/>
        </w:rPr>
        <w:t>shape</w:t>
      </w:r>
      <w:r w:rsidR="0013788F">
        <w:rPr>
          <w:rFonts w:cs="Calibri"/>
        </w:rPr>
        <w:t>,</w:t>
      </w:r>
      <w:r>
        <w:rPr>
          <w:rFonts w:cs="Calibri"/>
        </w:rPr>
        <w:t xml:space="preserve"> </w:t>
      </w:r>
      <w:r w:rsidR="007F0769">
        <w:rPr>
          <w:rFonts w:cs="Calibri"/>
        </w:rPr>
        <w:t xml:space="preserve">and influence </w:t>
      </w:r>
      <w:r>
        <w:rPr>
          <w:rFonts w:cs="Calibri"/>
        </w:rPr>
        <w:t>attitudes</w:t>
      </w:r>
      <w:r w:rsidR="00917AEA">
        <w:rPr>
          <w:rFonts w:cs="Calibri"/>
        </w:rPr>
        <w:t xml:space="preserve"> to </w:t>
      </w:r>
      <w:r w:rsidR="00917AEA">
        <w:rPr>
          <w:rFonts w:cs="Calibri"/>
        </w:rPr>
        <w:lastRenderedPageBreak/>
        <w:t xml:space="preserve">LGBTQIA+ people. This </w:t>
      </w:r>
      <w:r w:rsidR="007F0769">
        <w:rPr>
          <w:rFonts w:cs="Calibri"/>
        </w:rPr>
        <w:t>study also illustrated</w:t>
      </w:r>
      <w:r w:rsidR="00917AEA">
        <w:rPr>
          <w:rFonts w:cs="Calibri"/>
        </w:rPr>
        <w:t xml:space="preserve"> the importance of engaging with local LGBTQIA+ communities, organisations</w:t>
      </w:r>
      <w:r w:rsidR="0013788F">
        <w:rPr>
          <w:rFonts w:cs="Calibri"/>
        </w:rPr>
        <w:t>,</w:t>
      </w:r>
      <w:r w:rsidR="00917AEA">
        <w:rPr>
          <w:rFonts w:cs="Calibri"/>
        </w:rPr>
        <w:t xml:space="preserve"> and advocacy groups </w:t>
      </w:r>
      <w:r w:rsidR="0013788F">
        <w:rPr>
          <w:rFonts w:cs="Calibri"/>
        </w:rPr>
        <w:t xml:space="preserve">in former British colonies </w:t>
      </w:r>
      <w:r w:rsidR="00917AEA">
        <w:rPr>
          <w:rFonts w:cs="Calibri"/>
        </w:rPr>
        <w:t xml:space="preserve">to </w:t>
      </w:r>
      <w:r w:rsidR="00D459E8">
        <w:rPr>
          <w:rFonts w:cs="Calibri"/>
        </w:rPr>
        <w:t>safeguard</w:t>
      </w:r>
      <w:r w:rsidR="00917AEA">
        <w:rPr>
          <w:rFonts w:cs="Calibri"/>
        </w:rPr>
        <w:t xml:space="preserve"> their rights </w:t>
      </w:r>
      <w:r w:rsidR="000B6F17">
        <w:rPr>
          <w:rFonts w:cs="Calibri"/>
        </w:rPr>
        <w:t>and affirm</w:t>
      </w:r>
      <w:r w:rsidR="00D459E8">
        <w:rPr>
          <w:rFonts w:cs="Calibri"/>
        </w:rPr>
        <w:t xml:space="preserve"> their </w:t>
      </w:r>
      <w:r w:rsidR="00917AEA">
        <w:rPr>
          <w:rFonts w:cs="Calibri"/>
        </w:rPr>
        <w:t xml:space="preserve">identities, </w:t>
      </w:r>
      <w:r w:rsidR="00D459E8">
        <w:rPr>
          <w:rFonts w:cs="Calibri"/>
        </w:rPr>
        <w:t>while being cautious not to</w:t>
      </w:r>
      <w:r w:rsidR="00917AEA">
        <w:rPr>
          <w:rFonts w:cs="Calibri"/>
        </w:rPr>
        <w:t xml:space="preserve"> </w:t>
      </w:r>
      <w:r w:rsidR="00D459E8">
        <w:rPr>
          <w:rFonts w:cs="Calibri"/>
        </w:rPr>
        <w:t>impose</w:t>
      </w:r>
      <w:r w:rsidR="00917AEA">
        <w:rPr>
          <w:rFonts w:cs="Calibri"/>
        </w:rPr>
        <w:t xml:space="preserve"> new forms of cultural imperialism based on western values</w:t>
      </w:r>
      <w:r>
        <w:rPr>
          <w:rFonts w:cs="Calibri"/>
        </w:rPr>
        <w:t>.</w:t>
      </w:r>
      <w:r w:rsidR="00951E3A">
        <w:rPr>
          <w:rFonts w:cs="Calibri"/>
        </w:rPr>
        <w:t xml:space="preserve"> This approach </w:t>
      </w:r>
      <w:r w:rsidR="006C5C25">
        <w:rPr>
          <w:rFonts w:cs="Calibri"/>
        </w:rPr>
        <w:t>encourages a respectful and empathetic engagement that promote acceptance and inclusivity.</w:t>
      </w:r>
    </w:p>
    <w:p w14:paraId="5AE14880" w14:textId="77777777" w:rsidR="00917AEA" w:rsidRDefault="00917AEA" w:rsidP="00DF56D6">
      <w:pPr>
        <w:spacing w:line="480" w:lineRule="auto"/>
        <w:jc w:val="both"/>
        <w:rPr>
          <w:rFonts w:cs="Calibri"/>
        </w:rPr>
      </w:pPr>
    </w:p>
    <w:p w14:paraId="0BAC3B8F" w14:textId="12B64682" w:rsidR="00285A7B" w:rsidRDefault="0024064C" w:rsidP="00DF56D6">
      <w:pPr>
        <w:spacing w:line="480" w:lineRule="auto"/>
        <w:jc w:val="both"/>
        <w:rPr>
          <w:rFonts w:cs="Calibri"/>
        </w:rPr>
      </w:pPr>
      <w:r>
        <w:rPr>
          <w:rFonts w:cs="Calibri"/>
        </w:rPr>
        <w:t>Lastly</w:t>
      </w:r>
      <w:r w:rsidR="00B33D1C">
        <w:rPr>
          <w:rFonts w:cs="Calibri"/>
        </w:rPr>
        <w:t>,</w:t>
      </w:r>
      <w:r w:rsidR="00917AEA">
        <w:rPr>
          <w:rFonts w:cs="Calibri"/>
        </w:rPr>
        <w:t xml:space="preserve"> </w:t>
      </w:r>
      <w:r>
        <w:rPr>
          <w:rFonts w:cs="Calibri"/>
        </w:rPr>
        <w:t>a</w:t>
      </w:r>
      <w:r w:rsidR="00917AEA">
        <w:rPr>
          <w:rFonts w:cs="Calibri"/>
        </w:rPr>
        <w:t xml:space="preserve"> </w:t>
      </w:r>
      <w:r w:rsidR="0011030E">
        <w:rPr>
          <w:rFonts w:cs="Calibri"/>
        </w:rPr>
        <w:t>significant</w:t>
      </w:r>
      <w:r w:rsidR="00917AEA">
        <w:rPr>
          <w:rFonts w:cs="Calibri"/>
        </w:rPr>
        <w:t xml:space="preserve"> finding</w:t>
      </w:r>
      <w:r>
        <w:rPr>
          <w:rFonts w:cs="Calibri"/>
        </w:rPr>
        <w:t xml:space="preserve"> from the study </w:t>
      </w:r>
      <w:r w:rsidR="0013788F">
        <w:rPr>
          <w:rFonts w:cs="Calibri"/>
        </w:rPr>
        <w:t>revolves</w:t>
      </w:r>
      <w:r>
        <w:rPr>
          <w:rFonts w:cs="Calibri"/>
        </w:rPr>
        <w:t xml:space="preserve"> around modern-day </w:t>
      </w:r>
      <w:r w:rsidR="0013788F">
        <w:rPr>
          <w:rFonts w:cs="Calibri"/>
        </w:rPr>
        <w:t>cultural</w:t>
      </w:r>
      <w:r>
        <w:rPr>
          <w:rFonts w:cs="Calibri"/>
        </w:rPr>
        <w:t xml:space="preserve"> imperialism and </w:t>
      </w:r>
      <w:r w:rsidR="00CB71B2">
        <w:rPr>
          <w:rFonts w:cs="Calibri"/>
        </w:rPr>
        <w:t>Homonationalism</w:t>
      </w:r>
      <w:r w:rsidR="0013788F">
        <w:rPr>
          <w:rFonts w:cs="Calibri"/>
        </w:rPr>
        <w:t>. T</w:t>
      </w:r>
      <w:r w:rsidR="0006797A">
        <w:rPr>
          <w:rFonts w:cs="Calibri"/>
        </w:rPr>
        <w:t xml:space="preserve">his </w:t>
      </w:r>
      <w:r w:rsidR="00917AEA">
        <w:rPr>
          <w:rFonts w:cs="Calibri"/>
        </w:rPr>
        <w:t xml:space="preserve">highlights the need for a greater dialogue and collaboration between LGBTQIA+ movements, </w:t>
      </w:r>
      <w:r w:rsidR="00BA2220">
        <w:rPr>
          <w:rFonts w:cs="Calibri"/>
        </w:rPr>
        <w:t>Decoloniality</w:t>
      </w:r>
      <w:r w:rsidR="0013788F">
        <w:rPr>
          <w:rFonts w:cs="Calibri"/>
        </w:rPr>
        <w:t>,</w:t>
      </w:r>
      <w:r w:rsidR="00917AEA">
        <w:rPr>
          <w:rFonts w:cs="Calibri"/>
        </w:rPr>
        <w:t xml:space="preserve"> and anti-racism work. It shows how these issues are interrelated and how they can work together to challenge oppression in all forms.</w:t>
      </w:r>
      <w:r w:rsidR="0006797A">
        <w:rPr>
          <w:rFonts w:cs="Calibri"/>
        </w:rPr>
        <w:t xml:space="preserve"> By </w:t>
      </w:r>
      <w:r w:rsidR="00316389">
        <w:rPr>
          <w:rFonts w:cs="Calibri"/>
        </w:rPr>
        <w:t>recognising</w:t>
      </w:r>
      <w:r w:rsidR="0006797A">
        <w:rPr>
          <w:rFonts w:cs="Calibri"/>
        </w:rPr>
        <w:t xml:space="preserve"> </w:t>
      </w:r>
      <w:r w:rsidR="0013788F">
        <w:rPr>
          <w:rFonts w:cs="Calibri"/>
        </w:rPr>
        <w:t>the</w:t>
      </w:r>
      <w:r w:rsidR="0006797A">
        <w:rPr>
          <w:rFonts w:cs="Calibri"/>
        </w:rPr>
        <w:t xml:space="preserve"> intersectionality of these issues, </w:t>
      </w:r>
      <w:r w:rsidR="0013788F">
        <w:rPr>
          <w:rFonts w:cs="Calibri"/>
        </w:rPr>
        <w:t xml:space="preserve">the author suggests that </w:t>
      </w:r>
      <w:r w:rsidR="0006797A">
        <w:rPr>
          <w:rFonts w:cs="Calibri"/>
        </w:rPr>
        <w:t xml:space="preserve">they </w:t>
      </w:r>
      <w:r w:rsidR="0013788F">
        <w:rPr>
          <w:rFonts w:cs="Calibri"/>
        </w:rPr>
        <w:t xml:space="preserve">could </w:t>
      </w:r>
      <w:r w:rsidR="0006797A">
        <w:rPr>
          <w:rFonts w:cs="Calibri"/>
        </w:rPr>
        <w:t>effectively unite to confront oppression in various manifestations</w:t>
      </w:r>
      <w:r w:rsidR="0013788F">
        <w:rPr>
          <w:rFonts w:cs="Calibri"/>
        </w:rPr>
        <w:t xml:space="preserve">, </w:t>
      </w:r>
      <w:r w:rsidR="00A94239">
        <w:rPr>
          <w:rFonts w:cs="Calibri"/>
        </w:rPr>
        <w:t xml:space="preserve">empower the collective struggle for justice and equality, </w:t>
      </w:r>
      <w:r w:rsidR="0013788F">
        <w:rPr>
          <w:rFonts w:cs="Calibri"/>
        </w:rPr>
        <w:t xml:space="preserve">and </w:t>
      </w:r>
      <w:r w:rsidR="00A94239">
        <w:rPr>
          <w:rFonts w:cs="Calibri"/>
        </w:rPr>
        <w:t>promot</w:t>
      </w:r>
      <w:r w:rsidR="0013788F">
        <w:rPr>
          <w:rFonts w:cs="Calibri"/>
        </w:rPr>
        <w:t xml:space="preserve">e </w:t>
      </w:r>
      <w:r w:rsidR="00A94239">
        <w:rPr>
          <w:rFonts w:cs="Calibri"/>
        </w:rPr>
        <w:t>a more inclusive and harmonious soc</w:t>
      </w:r>
      <w:r w:rsidR="00DA5BA0">
        <w:rPr>
          <w:rFonts w:cs="Calibri"/>
        </w:rPr>
        <w:t>iet</w:t>
      </w:r>
      <w:r w:rsidR="0013788F">
        <w:rPr>
          <w:rFonts w:cs="Calibri"/>
        </w:rPr>
        <w:t>y.</w:t>
      </w:r>
    </w:p>
    <w:p w14:paraId="2B3BF3C8" w14:textId="77777777" w:rsidR="00B33D1C" w:rsidRDefault="00B33D1C" w:rsidP="00DF56D6">
      <w:pPr>
        <w:spacing w:line="480" w:lineRule="auto"/>
        <w:jc w:val="both"/>
        <w:rPr>
          <w:rFonts w:cs="Calibri"/>
        </w:rPr>
      </w:pPr>
    </w:p>
    <w:p w14:paraId="704052DA" w14:textId="6759BEB7" w:rsidR="00917AEA" w:rsidRDefault="00B33D1C" w:rsidP="00DF56D6">
      <w:pPr>
        <w:spacing w:line="480" w:lineRule="auto"/>
        <w:jc w:val="both"/>
        <w:rPr>
          <w:rFonts w:cs="Calibri"/>
        </w:rPr>
      </w:pPr>
      <w:r>
        <w:rPr>
          <w:rFonts w:cs="Calibri"/>
        </w:rPr>
        <w:t>This study</w:t>
      </w:r>
      <w:r w:rsidR="00DA5BA0">
        <w:rPr>
          <w:rFonts w:cs="Calibri"/>
        </w:rPr>
        <w:t xml:space="preserve"> has addressed </w:t>
      </w:r>
      <w:r>
        <w:rPr>
          <w:rFonts w:cs="Calibri"/>
        </w:rPr>
        <w:t xml:space="preserve">a gap in the research by exploring the intersectional impact of </w:t>
      </w:r>
      <w:r w:rsidR="0011030E">
        <w:rPr>
          <w:rFonts w:cs="Calibri"/>
        </w:rPr>
        <w:t>colonialism</w:t>
      </w:r>
      <w:r>
        <w:rPr>
          <w:rFonts w:cs="Calibri"/>
        </w:rPr>
        <w:t xml:space="preserve"> on LGBTQIA+ people in former </w:t>
      </w:r>
      <w:r w:rsidR="00BD3430">
        <w:rPr>
          <w:rFonts w:cs="Calibri"/>
        </w:rPr>
        <w:t xml:space="preserve">British </w:t>
      </w:r>
      <w:r w:rsidR="00DA5BA0">
        <w:rPr>
          <w:rFonts w:cs="Calibri"/>
        </w:rPr>
        <w:t>c</w:t>
      </w:r>
      <w:r w:rsidR="00BD3430">
        <w:rPr>
          <w:rFonts w:cs="Calibri"/>
        </w:rPr>
        <w:t>olonies</w:t>
      </w:r>
      <w:r>
        <w:rPr>
          <w:rFonts w:cs="Calibri"/>
        </w:rPr>
        <w:t xml:space="preserve">. By doing so, it has added new insights and perspectives to existing literature </w:t>
      </w:r>
      <w:r w:rsidR="00C47A5B">
        <w:rPr>
          <w:rFonts w:cs="Calibri"/>
        </w:rPr>
        <w:t>on colonialism</w:t>
      </w:r>
      <w:r>
        <w:rPr>
          <w:rFonts w:cs="Calibri"/>
        </w:rPr>
        <w:t xml:space="preserve"> and its effects on marginalised groups. The study has also used an array of cornerstone sociological concepts</w:t>
      </w:r>
      <w:r w:rsidR="00DA5BA0">
        <w:rPr>
          <w:rFonts w:cs="Calibri"/>
        </w:rPr>
        <w:t xml:space="preserve"> from</w:t>
      </w:r>
      <w:r>
        <w:rPr>
          <w:rFonts w:cs="Calibri"/>
        </w:rPr>
        <w:t xml:space="preserve"> historical</w:t>
      </w:r>
      <w:r w:rsidR="00DA5BA0">
        <w:rPr>
          <w:rFonts w:cs="Calibri"/>
        </w:rPr>
        <w:t xml:space="preserve"> </w:t>
      </w:r>
      <w:r>
        <w:rPr>
          <w:rFonts w:cs="Calibri"/>
        </w:rPr>
        <w:t>and contemporary source</w:t>
      </w:r>
      <w:r w:rsidR="00DA5BA0">
        <w:rPr>
          <w:rFonts w:cs="Calibri"/>
        </w:rPr>
        <w:t>s</w:t>
      </w:r>
      <w:r>
        <w:rPr>
          <w:rFonts w:cs="Calibri"/>
        </w:rPr>
        <w:t xml:space="preserve">. </w:t>
      </w:r>
      <w:r w:rsidR="0011030E">
        <w:rPr>
          <w:rFonts w:cs="Calibri"/>
        </w:rPr>
        <w:t>Overall,</w:t>
      </w:r>
      <w:r>
        <w:rPr>
          <w:rFonts w:cs="Calibri"/>
        </w:rPr>
        <w:t xml:space="preserve"> the strength of this </w:t>
      </w:r>
      <w:r w:rsidR="0018161B">
        <w:rPr>
          <w:rFonts w:cs="Calibri"/>
        </w:rPr>
        <w:t>thesis lies</w:t>
      </w:r>
      <w:r w:rsidR="00DA5BA0">
        <w:rPr>
          <w:rFonts w:cs="Calibri"/>
        </w:rPr>
        <w:t xml:space="preserve"> in its</w:t>
      </w:r>
      <w:r>
        <w:rPr>
          <w:rFonts w:cs="Calibri"/>
        </w:rPr>
        <w:t xml:space="preserve"> comprehensive critical analysis of a complex and multifaceted </w:t>
      </w:r>
      <w:r w:rsidR="00C47A5B">
        <w:rPr>
          <w:rFonts w:cs="Calibri"/>
        </w:rPr>
        <w:t>subject</w:t>
      </w:r>
      <w:r>
        <w:rPr>
          <w:rFonts w:cs="Calibri"/>
        </w:rPr>
        <w:t>.</w:t>
      </w:r>
    </w:p>
    <w:p w14:paraId="6CD01D72" w14:textId="77777777" w:rsidR="00040A7F" w:rsidRDefault="00040A7F" w:rsidP="00DF56D6">
      <w:pPr>
        <w:spacing w:line="480" w:lineRule="auto"/>
        <w:jc w:val="both"/>
        <w:rPr>
          <w:rFonts w:cs="Calibri"/>
        </w:rPr>
      </w:pPr>
    </w:p>
    <w:p w14:paraId="1D419456" w14:textId="3D3DD301" w:rsidR="00B33D1C" w:rsidRDefault="00B33D1C" w:rsidP="00DF56D6">
      <w:pPr>
        <w:spacing w:line="480" w:lineRule="auto"/>
        <w:jc w:val="both"/>
        <w:rPr>
          <w:rFonts w:cs="Calibri"/>
        </w:rPr>
      </w:pPr>
      <w:r>
        <w:rPr>
          <w:rFonts w:cs="Calibri"/>
        </w:rPr>
        <w:t xml:space="preserve">This </w:t>
      </w:r>
      <w:r w:rsidR="00285A7B">
        <w:rPr>
          <w:rFonts w:cs="Calibri"/>
        </w:rPr>
        <w:t xml:space="preserve">study </w:t>
      </w:r>
      <w:r w:rsidR="00DA5BA0">
        <w:rPr>
          <w:rFonts w:cs="Calibri"/>
        </w:rPr>
        <w:t>has restricted its scope to</w:t>
      </w:r>
      <w:r>
        <w:rPr>
          <w:rFonts w:cs="Calibri"/>
        </w:rPr>
        <w:t xml:space="preserve"> former </w:t>
      </w:r>
      <w:r w:rsidR="00BD3430">
        <w:rPr>
          <w:rFonts w:cs="Calibri"/>
        </w:rPr>
        <w:t xml:space="preserve">British </w:t>
      </w:r>
      <w:r w:rsidR="00C47A5B">
        <w:rPr>
          <w:rFonts w:cs="Calibri"/>
        </w:rPr>
        <w:t>C</w:t>
      </w:r>
      <w:r w:rsidR="00BD3430">
        <w:rPr>
          <w:rFonts w:cs="Calibri"/>
        </w:rPr>
        <w:t>olonies</w:t>
      </w:r>
      <w:r w:rsidR="00DA5BA0">
        <w:rPr>
          <w:rFonts w:cs="Calibri"/>
        </w:rPr>
        <w:t>. T</w:t>
      </w:r>
      <w:r>
        <w:rPr>
          <w:rFonts w:cs="Calibri"/>
        </w:rPr>
        <w:t xml:space="preserve">his </w:t>
      </w:r>
      <w:r w:rsidR="00DA5BA0">
        <w:rPr>
          <w:rFonts w:cs="Calibri"/>
        </w:rPr>
        <w:t xml:space="preserve">focus and its conclusion </w:t>
      </w:r>
      <w:r>
        <w:rPr>
          <w:rFonts w:cs="Calibri"/>
        </w:rPr>
        <w:t xml:space="preserve">may not be </w:t>
      </w:r>
      <w:r w:rsidR="00DA5BA0">
        <w:rPr>
          <w:rFonts w:cs="Calibri"/>
        </w:rPr>
        <w:t>applicable to the experiences of</w:t>
      </w:r>
      <w:r>
        <w:rPr>
          <w:rFonts w:cs="Calibri"/>
        </w:rPr>
        <w:t xml:space="preserve"> LGBTQIA+ people</w:t>
      </w:r>
      <w:r w:rsidR="00DA5BA0">
        <w:rPr>
          <w:rFonts w:cs="Calibri"/>
        </w:rPr>
        <w:t xml:space="preserve"> in</w:t>
      </w:r>
      <w:r>
        <w:rPr>
          <w:rFonts w:cs="Calibri"/>
        </w:rPr>
        <w:t xml:space="preserve"> </w:t>
      </w:r>
      <w:r w:rsidR="00DA5BA0">
        <w:rPr>
          <w:rFonts w:cs="Calibri"/>
        </w:rPr>
        <w:t xml:space="preserve">other </w:t>
      </w:r>
      <w:r w:rsidR="00DA5BA0">
        <w:rPr>
          <w:rFonts w:cs="Calibri"/>
        </w:rPr>
        <w:lastRenderedPageBreak/>
        <w:t>parts of the world</w:t>
      </w:r>
      <w:r>
        <w:rPr>
          <w:rFonts w:cs="Calibri"/>
        </w:rPr>
        <w:t>. Additionally, the study focuses on</w:t>
      </w:r>
      <w:r w:rsidR="00693048">
        <w:rPr>
          <w:rFonts w:cs="Calibri"/>
        </w:rPr>
        <w:t xml:space="preserve"> race,</w:t>
      </w:r>
      <w:r>
        <w:rPr>
          <w:rFonts w:cs="Calibri"/>
        </w:rPr>
        <w:t xml:space="preserve"> sexuality and gender identity and not </w:t>
      </w:r>
      <w:r w:rsidR="00693048">
        <w:rPr>
          <w:rFonts w:cs="Calibri"/>
        </w:rPr>
        <w:t xml:space="preserve">on </w:t>
      </w:r>
      <w:r>
        <w:rPr>
          <w:rFonts w:cs="Calibri"/>
        </w:rPr>
        <w:t>other forms of oppression such as ableism</w:t>
      </w:r>
      <w:r w:rsidR="00DA5BA0">
        <w:rPr>
          <w:rFonts w:cs="Calibri"/>
        </w:rPr>
        <w:t xml:space="preserve"> and class</w:t>
      </w:r>
      <w:r>
        <w:rPr>
          <w:rFonts w:cs="Calibri"/>
        </w:rPr>
        <w:t xml:space="preserve">. </w:t>
      </w:r>
      <w:r w:rsidR="00DA5BA0">
        <w:rPr>
          <w:rFonts w:cs="Calibri"/>
        </w:rPr>
        <w:t xml:space="preserve">However, some concepts have a more generally applicability, particularly Othering and the use of difference – race, sexuality, gender identity and economic power – to marginalised groups for the political advantage of the dominant group in power. </w:t>
      </w:r>
    </w:p>
    <w:p w14:paraId="1A0EED49" w14:textId="77777777" w:rsidR="00B33D1C" w:rsidRDefault="00B33D1C" w:rsidP="00DF56D6">
      <w:pPr>
        <w:spacing w:line="480" w:lineRule="auto"/>
        <w:jc w:val="both"/>
        <w:rPr>
          <w:rFonts w:cs="Calibri"/>
        </w:rPr>
      </w:pPr>
    </w:p>
    <w:p w14:paraId="4116784D" w14:textId="57D64151" w:rsidR="00285A7B" w:rsidRDefault="00316389" w:rsidP="00DF56D6">
      <w:pPr>
        <w:spacing w:line="480" w:lineRule="auto"/>
        <w:jc w:val="both"/>
        <w:rPr>
          <w:rFonts w:cs="Calibri"/>
        </w:rPr>
      </w:pPr>
      <w:r>
        <w:rPr>
          <w:rFonts w:cs="Calibri"/>
        </w:rPr>
        <w:t>Moreover</w:t>
      </w:r>
      <w:r w:rsidR="00B33D1C">
        <w:rPr>
          <w:rFonts w:cs="Calibri"/>
        </w:rPr>
        <w:t>, the study has not engaged in collecting primary data</w:t>
      </w:r>
      <w:r w:rsidR="007B10D7">
        <w:rPr>
          <w:rFonts w:cs="Calibri"/>
        </w:rPr>
        <w:t>,</w:t>
      </w:r>
      <w:r w:rsidR="00B33D1C">
        <w:rPr>
          <w:rFonts w:cs="Calibri"/>
        </w:rPr>
        <w:t xml:space="preserve"> </w:t>
      </w:r>
      <w:r w:rsidR="007B10D7">
        <w:rPr>
          <w:rFonts w:cs="Calibri"/>
        </w:rPr>
        <w:t>relying instead</w:t>
      </w:r>
      <w:r w:rsidR="00B33D1C">
        <w:rPr>
          <w:rFonts w:cs="Calibri"/>
        </w:rPr>
        <w:t xml:space="preserve"> on secondary data which </w:t>
      </w:r>
      <w:r w:rsidR="00C47A5B">
        <w:rPr>
          <w:rFonts w:cs="Calibri"/>
        </w:rPr>
        <w:t>can</w:t>
      </w:r>
      <w:r w:rsidR="007B10D7">
        <w:rPr>
          <w:rFonts w:cs="Calibri"/>
        </w:rPr>
        <w:t xml:space="preserve"> be</w:t>
      </w:r>
      <w:r w:rsidR="00B33D1C">
        <w:rPr>
          <w:rFonts w:cs="Calibri"/>
        </w:rPr>
        <w:t xml:space="preserve"> biased</w:t>
      </w:r>
      <w:r w:rsidR="007B10D7">
        <w:rPr>
          <w:rFonts w:cs="Calibri"/>
        </w:rPr>
        <w:t xml:space="preserve"> and selective, omitting important perspectives and experiences </w:t>
      </w:r>
      <w:r w:rsidR="00B33D1C">
        <w:rPr>
          <w:rFonts w:cs="Calibri"/>
        </w:rPr>
        <w:t xml:space="preserve">from LGBTQIA+ people themselves. </w:t>
      </w:r>
      <w:r w:rsidR="00C66DDD">
        <w:rPr>
          <w:rFonts w:cs="Calibri"/>
        </w:rPr>
        <w:t>Additionally</w:t>
      </w:r>
      <w:r w:rsidR="00B33D1C">
        <w:rPr>
          <w:rFonts w:cs="Calibri"/>
        </w:rPr>
        <w:t xml:space="preserve">, nearly all historical sources have been written from a </w:t>
      </w:r>
      <w:r w:rsidR="00693048">
        <w:rPr>
          <w:rFonts w:cs="Calibri"/>
        </w:rPr>
        <w:t>western perspectiv</w:t>
      </w:r>
      <w:r w:rsidR="007B10D7">
        <w:rPr>
          <w:rFonts w:cs="Calibri"/>
        </w:rPr>
        <w:t xml:space="preserve">e. In </w:t>
      </w:r>
      <w:r w:rsidR="00C47A5B">
        <w:rPr>
          <w:rFonts w:cs="Calibri"/>
        </w:rPr>
        <w:t xml:space="preserve">particularly </w:t>
      </w:r>
      <w:r w:rsidR="00B33D1C">
        <w:rPr>
          <w:rFonts w:cs="Calibri"/>
        </w:rPr>
        <w:t xml:space="preserve">there </w:t>
      </w:r>
      <w:r w:rsidR="007B10D7">
        <w:rPr>
          <w:rFonts w:cs="Calibri"/>
        </w:rPr>
        <w:t>is comparatively little research</w:t>
      </w:r>
      <w:r w:rsidR="00B33D1C">
        <w:rPr>
          <w:rFonts w:cs="Calibri"/>
        </w:rPr>
        <w:t xml:space="preserve"> on LGBTQIA+ people </w:t>
      </w:r>
      <w:r w:rsidR="007B10D7">
        <w:rPr>
          <w:rFonts w:cs="Calibri"/>
        </w:rPr>
        <w:t>carried out</w:t>
      </w:r>
      <w:r w:rsidR="00B33D1C">
        <w:rPr>
          <w:rFonts w:cs="Calibri"/>
        </w:rPr>
        <w:t xml:space="preserve"> by </w:t>
      </w:r>
      <w:r w:rsidR="007B10D7">
        <w:rPr>
          <w:rFonts w:cs="Calibri"/>
        </w:rPr>
        <w:t>writers</w:t>
      </w:r>
      <w:r w:rsidR="00B33D1C">
        <w:rPr>
          <w:rFonts w:cs="Calibri"/>
        </w:rPr>
        <w:t xml:space="preserve"> from former </w:t>
      </w:r>
      <w:r w:rsidR="00BD3430">
        <w:rPr>
          <w:rFonts w:cs="Calibri"/>
        </w:rPr>
        <w:t xml:space="preserve">British </w:t>
      </w:r>
      <w:r w:rsidR="00C47A5B">
        <w:rPr>
          <w:rFonts w:cs="Calibri"/>
        </w:rPr>
        <w:t>C</w:t>
      </w:r>
      <w:r w:rsidR="00BD3430">
        <w:rPr>
          <w:rFonts w:cs="Calibri"/>
        </w:rPr>
        <w:t>olonies</w:t>
      </w:r>
      <w:r w:rsidR="00B33D1C">
        <w:rPr>
          <w:rFonts w:cs="Calibri"/>
        </w:rPr>
        <w:t>.</w:t>
      </w:r>
    </w:p>
    <w:p w14:paraId="1783EBC9" w14:textId="77777777" w:rsidR="00B33D1C" w:rsidRDefault="00B33D1C" w:rsidP="00DF56D6">
      <w:pPr>
        <w:spacing w:line="480" w:lineRule="auto"/>
        <w:jc w:val="both"/>
        <w:rPr>
          <w:rFonts w:cs="Calibri"/>
        </w:rPr>
      </w:pPr>
    </w:p>
    <w:p w14:paraId="05E3DBB1" w14:textId="7E84D005" w:rsidR="00B33D1C" w:rsidRDefault="00B33D1C" w:rsidP="00DF56D6">
      <w:pPr>
        <w:spacing w:line="480" w:lineRule="auto"/>
        <w:jc w:val="both"/>
        <w:rPr>
          <w:rFonts w:cs="Calibri"/>
        </w:rPr>
      </w:pPr>
      <w:r>
        <w:rPr>
          <w:rFonts w:cs="Calibri"/>
        </w:rPr>
        <w:t>Finally, the author of this thesis is aware t</w:t>
      </w:r>
      <w:r w:rsidR="007B10D7">
        <w:rPr>
          <w:rFonts w:cs="Calibri"/>
        </w:rPr>
        <w:t>hat their</w:t>
      </w:r>
      <w:r>
        <w:rPr>
          <w:rFonts w:cs="Calibri"/>
        </w:rPr>
        <w:t xml:space="preserve"> westernised upbringing, as well as identifying as part of the LGBTQIA+ community</w:t>
      </w:r>
      <w:r w:rsidR="007B10D7">
        <w:rPr>
          <w:rFonts w:cs="Calibri"/>
        </w:rPr>
        <w:t xml:space="preserve">, </w:t>
      </w:r>
      <w:r>
        <w:rPr>
          <w:rFonts w:cs="Calibri"/>
        </w:rPr>
        <w:t xml:space="preserve">and having heritage from former </w:t>
      </w:r>
      <w:r w:rsidR="00BD3430">
        <w:rPr>
          <w:rFonts w:cs="Calibri"/>
        </w:rPr>
        <w:t xml:space="preserve">British </w:t>
      </w:r>
      <w:r w:rsidR="007B10D7">
        <w:rPr>
          <w:rFonts w:cs="Calibri"/>
        </w:rPr>
        <w:t>c</w:t>
      </w:r>
      <w:r w:rsidR="00BD3430">
        <w:rPr>
          <w:rFonts w:cs="Calibri"/>
        </w:rPr>
        <w:t>olonies</w:t>
      </w:r>
      <w:r>
        <w:rPr>
          <w:rFonts w:cs="Calibri"/>
        </w:rPr>
        <w:t>, could have influenced th</w:t>
      </w:r>
      <w:r w:rsidR="007B10D7">
        <w:rPr>
          <w:rFonts w:cs="Calibri"/>
        </w:rPr>
        <w:t>eir</w:t>
      </w:r>
      <w:r>
        <w:rPr>
          <w:rFonts w:cs="Calibri"/>
        </w:rPr>
        <w:t xml:space="preserve"> interpretation of the data. While efforts were made to reduce bias, for example </w:t>
      </w:r>
      <w:r w:rsidR="007B10D7">
        <w:rPr>
          <w:rFonts w:cs="Calibri"/>
        </w:rPr>
        <w:t xml:space="preserve">by </w:t>
      </w:r>
      <w:r>
        <w:rPr>
          <w:rFonts w:cs="Calibri"/>
        </w:rPr>
        <w:t xml:space="preserve">using the </w:t>
      </w:r>
      <w:r w:rsidR="0011030E">
        <w:rPr>
          <w:rFonts w:cs="Calibri"/>
        </w:rPr>
        <w:t>phenomenological</w:t>
      </w:r>
      <w:r>
        <w:rPr>
          <w:rFonts w:cs="Calibri"/>
        </w:rPr>
        <w:t xml:space="preserve"> technique of bracketing off one’s experience, the </w:t>
      </w:r>
      <w:r w:rsidR="007B10D7">
        <w:rPr>
          <w:rFonts w:cs="Calibri"/>
        </w:rPr>
        <w:t>researchers</w:t>
      </w:r>
      <w:r>
        <w:rPr>
          <w:rFonts w:cs="Calibri"/>
        </w:rPr>
        <w:t xml:space="preserve"> own positionality being interpretivist</w:t>
      </w:r>
      <w:r w:rsidR="007B10D7">
        <w:rPr>
          <w:rFonts w:cs="Calibri"/>
        </w:rPr>
        <w:t xml:space="preserve"> </w:t>
      </w:r>
      <w:r>
        <w:rPr>
          <w:rFonts w:cs="Calibri"/>
        </w:rPr>
        <w:t>may have influenced th</w:t>
      </w:r>
      <w:r w:rsidR="007B10D7">
        <w:rPr>
          <w:rFonts w:cs="Calibri"/>
        </w:rPr>
        <w:t>eir conclusions</w:t>
      </w:r>
      <w:r>
        <w:rPr>
          <w:rFonts w:cs="Calibri"/>
        </w:rPr>
        <w:t xml:space="preserve">. </w:t>
      </w:r>
    </w:p>
    <w:p w14:paraId="0E6D43E1" w14:textId="77777777" w:rsidR="007B10D7" w:rsidRDefault="007B10D7" w:rsidP="00DF56D6">
      <w:pPr>
        <w:spacing w:line="480" w:lineRule="auto"/>
        <w:jc w:val="both"/>
        <w:rPr>
          <w:rFonts w:cs="Calibri"/>
        </w:rPr>
      </w:pPr>
    </w:p>
    <w:p w14:paraId="5B7619BE" w14:textId="77777777" w:rsidR="007B10D7" w:rsidRDefault="007B10D7" w:rsidP="00DF56D6">
      <w:pPr>
        <w:spacing w:line="480" w:lineRule="auto"/>
        <w:jc w:val="both"/>
        <w:rPr>
          <w:rFonts w:cs="Calibri"/>
        </w:rPr>
      </w:pPr>
    </w:p>
    <w:p w14:paraId="4700879D" w14:textId="77777777" w:rsidR="007B10D7" w:rsidRDefault="007B10D7" w:rsidP="00DF56D6">
      <w:pPr>
        <w:spacing w:line="480" w:lineRule="auto"/>
        <w:jc w:val="both"/>
        <w:rPr>
          <w:rFonts w:cs="Calibri"/>
        </w:rPr>
      </w:pPr>
    </w:p>
    <w:p w14:paraId="3BB14B6A" w14:textId="77777777" w:rsidR="007B10D7" w:rsidRDefault="007B10D7" w:rsidP="00DF56D6">
      <w:pPr>
        <w:spacing w:line="480" w:lineRule="auto"/>
        <w:jc w:val="both"/>
        <w:rPr>
          <w:rFonts w:cs="Calibri"/>
        </w:rPr>
      </w:pPr>
    </w:p>
    <w:p w14:paraId="711F0A54" w14:textId="77777777" w:rsidR="007B10D7" w:rsidRDefault="007B10D7" w:rsidP="00DF56D6">
      <w:pPr>
        <w:spacing w:line="480" w:lineRule="auto"/>
        <w:jc w:val="both"/>
        <w:rPr>
          <w:rFonts w:cs="Calibri"/>
        </w:rPr>
      </w:pPr>
    </w:p>
    <w:p w14:paraId="143DF053" w14:textId="77777777" w:rsidR="00285A7B" w:rsidRDefault="00285A7B" w:rsidP="00DF56D6">
      <w:pPr>
        <w:spacing w:line="480" w:lineRule="auto"/>
        <w:jc w:val="both"/>
        <w:rPr>
          <w:rFonts w:cs="Calibri"/>
        </w:rPr>
      </w:pPr>
    </w:p>
    <w:p w14:paraId="423F1972" w14:textId="682E2B9E" w:rsidR="00C26D16" w:rsidRPr="00B33D1C" w:rsidRDefault="00E85F2B" w:rsidP="00DF56D6">
      <w:pPr>
        <w:spacing w:line="480" w:lineRule="auto"/>
        <w:jc w:val="both"/>
        <w:rPr>
          <w:rFonts w:cs="Calibri"/>
          <w:b/>
          <w:bCs/>
          <w:u w:val="single"/>
        </w:rPr>
      </w:pPr>
      <w:r w:rsidRPr="00B33D1C">
        <w:rPr>
          <w:rFonts w:cs="Calibri"/>
          <w:b/>
          <w:bCs/>
          <w:u w:val="single"/>
        </w:rPr>
        <w:lastRenderedPageBreak/>
        <w:t>RECOMMENDATIONS</w:t>
      </w:r>
    </w:p>
    <w:p w14:paraId="4FCDCA69" w14:textId="773A3598" w:rsidR="00E85F2B" w:rsidRDefault="00E85F2B" w:rsidP="00DF56D6">
      <w:pPr>
        <w:spacing w:line="480" w:lineRule="auto"/>
        <w:jc w:val="both"/>
        <w:rPr>
          <w:rFonts w:cs="Calibri"/>
        </w:rPr>
      </w:pPr>
      <w:r>
        <w:rPr>
          <w:rFonts w:cs="Calibri"/>
        </w:rPr>
        <w:t>The research has highlighted some key recommendations. There should be further research into the following areas:</w:t>
      </w:r>
    </w:p>
    <w:p w14:paraId="2BC178B2" w14:textId="5BFDA364" w:rsidR="00E85F2B" w:rsidRDefault="00E85F2B" w:rsidP="00E85F2B">
      <w:pPr>
        <w:numPr>
          <w:ilvl w:val="0"/>
          <w:numId w:val="36"/>
        </w:numPr>
        <w:spacing w:line="480" w:lineRule="auto"/>
        <w:jc w:val="both"/>
        <w:rPr>
          <w:rFonts w:cs="Calibri"/>
        </w:rPr>
      </w:pPr>
      <w:r>
        <w:rPr>
          <w:rFonts w:cs="Calibri"/>
        </w:rPr>
        <w:t xml:space="preserve">Acknowledge and address the ongoing impact of the British </w:t>
      </w:r>
      <w:r w:rsidR="007B10D7">
        <w:rPr>
          <w:rFonts w:cs="Calibri"/>
        </w:rPr>
        <w:t>c</w:t>
      </w:r>
      <w:r>
        <w:rPr>
          <w:rFonts w:cs="Calibri"/>
        </w:rPr>
        <w:t xml:space="preserve">olonialism on gender </w:t>
      </w:r>
      <w:r w:rsidR="00285A7B">
        <w:rPr>
          <w:rFonts w:cs="Calibri"/>
        </w:rPr>
        <w:t xml:space="preserve">identity and sexuality in former </w:t>
      </w:r>
      <w:r w:rsidR="00BD3430">
        <w:rPr>
          <w:rFonts w:cs="Calibri"/>
        </w:rPr>
        <w:t xml:space="preserve">British </w:t>
      </w:r>
      <w:r w:rsidR="007B10D7">
        <w:rPr>
          <w:rFonts w:cs="Calibri"/>
        </w:rPr>
        <w:t>c</w:t>
      </w:r>
      <w:r w:rsidR="00BD3430">
        <w:rPr>
          <w:rFonts w:cs="Calibri"/>
        </w:rPr>
        <w:t>olonies</w:t>
      </w:r>
      <w:r w:rsidR="00285A7B">
        <w:rPr>
          <w:rFonts w:cs="Calibri"/>
        </w:rPr>
        <w:t xml:space="preserve">. This could be done through changing educational policy in </w:t>
      </w:r>
      <w:r w:rsidR="007B10D7">
        <w:rPr>
          <w:rFonts w:cs="Calibri"/>
        </w:rPr>
        <w:t xml:space="preserve">UK </w:t>
      </w:r>
      <w:r w:rsidR="00285A7B">
        <w:rPr>
          <w:rFonts w:cs="Calibri"/>
        </w:rPr>
        <w:t>universities and schools.</w:t>
      </w:r>
    </w:p>
    <w:p w14:paraId="3EFCC72A" w14:textId="77777777" w:rsidR="002C6BD0" w:rsidRDefault="00285A7B" w:rsidP="002C6BD0">
      <w:pPr>
        <w:numPr>
          <w:ilvl w:val="0"/>
          <w:numId w:val="36"/>
        </w:numPr>
        <w:spacing w:line="480" w:lineRule="auto"/>
        <w:jc w:val="both"/>
        <w:rPr>
          <w:rFonts w:cs="Calibri"/>
        </w:rPr>
      </w:pPr>
      <w:r>
        <w:rPr>
          <w:rFonts w:cs="Calibri"/>
        </w:rPr>
        <w:t xml:space="preserve">Develop understanding of </w:t>
      </w:r>
      <w:r w:rsidR="007B10D7">
        <w:rPr>
          <w:rFonts w:cs="Calibri"/>
        </w:rPr>
        <w:t>the intersectional nature of</w:t>
      </w:r>
      <w:r>
        <w:rPr>
          <w:rFonts w:cs="Calibri"/>
        </w:rPr>
        <w:t xml:space="preserve"> power, </w:t>
      </w:r>
      <w:r w:rsidR="00BD3430">
        <w:rPr>
          <w:rFonts w:cs="Calibri"/>
        </w:rPr>
        <w:t>Othering</w:t>
      </w:r>
      <w:r>
        <w:rPr>
          <w:rFonts w:cs="Calibri"/>
        </w:rPr>
        <w:t>, race, sexuality</w:t>
      </w:r>
      <w:r w:rsidR="007B10D7">
        <w:rPr>
          <w:rFonts w:cs="Calibri"/>
        </w:rPr>
        <w:t>,</w:t>
      </w:r>
      <w:r>
        <w:rPr>
          <w:rFonts w:cs="Calibri"/>
        </w:rPr>
        <w:t xml:space="preserve"> and gender identity and </w:t>
      </w:r>
      <w:r w:rsidR="002C6BD0">
        <w:rPr>
          <w:rFonts w:cs="Calibri"/>
        </w:rPr>
        <w:t>the nature of the</w:t>
      </w:r>
      <w:r>
        <w:rPr>
          <w:rFonts w:cs="Calibri"/>
        </w:rPr>
        <w:t xml:space="preserve"> oppression</w:t>
      </w:r>
      <w:r w:rsidR="002C6BD0">
        <w:rPr>
          <w:rFonts w:cs="Calibri"/>
        </w:rPr>
        <w:t>s</w:t>
      </w:r>
      <w:r>
        <w:rPr>
          <w:rFonts w:cs="Calibri"/>
        </w:rPr>
        <w:t xml:space="preserve"> marginalised groups experience. </w:t>
      </w:r>
    </w:p>
    <w:p w14:paraId="4F418F5A" w14:textId="4D61620C" w:rsidR="00285A7B" w:rsidRPr="002C6BD0" w:rsidRDefault="002C6BD0" w:rsidP="002C6BD0">
      <w:pPr>
        <w:numPr>
          <w:ilvl w:val="0"/>
          <w:numId w:val="36"/>
        </w:numPr>
        <w:spacing w:line="480" w:lineRule="auto"/>
        <w:jc w:val="both"/>
        <w:rPr>
          <w:rFonts w:cs="Calibri"/>
        </w:rPr>
      </w:pPr>
      <w:r>
        <w:rPr>
          <w:rFonts w:cs="Calibri"/>
        </w:rPr>
        <w:t>Economic</w:t>
      </w:r>
      <w:r w:rsidRPr="002C6BD0">
        <w:rPr>
          <w:rFonts w:cs="Calibri"/>
        </w:rPr>
        <w:t xml:space="preserve">, </w:t>
      </w:r>
      <w:r>
        <w:rPr>
          <w:rFonts w:cs="Calibri"/>
        </w:rPr>
        <w:t>cultural,</w:t>
      </w:r>
      <w:r w:rsidRPr="002C6BD0">
        <w:rPr>
          <w:rFonts w:cs="Calibri"/>
        </w:rPr>
        <w:t xml:space="preserve"> and educational engagement</w:t>
      </w:r>
      <w:r w:rsidR="00285A7B" w:rsidRPr="002C6BD0">
        <w:rPr>
          <w:rFonts w:cs="Calibri"/>
        </w:rPr>
        <w:t xml:space="preserve"> with the local LGBTQIA+ people, communities and </w:t>
      </w:r>
      <w:r w:rsidR="0011030E" w:rsidRPr="002C6BD0">
        <w:rPr>
          <w:rFonts w:cs="Calibri"/>
        </w:rPr>
        <w:t>organisations</w:t>
      </w:r>
      <w:r w:rsidR="00285A7B" w:rsidRPr="002C6BD0">
        <w:rPr>
          <w:rFonts w:cs="Calibri"/>
        </w:rPr>
        <w:t xml:space="preserve"> in former </w:t>
      </w:r>
      <w:r w:rsidR="00BA2220" w:rsidRPr="002C6BD0">
        <w:rPr>
          <w:rFonts w:cs="Calibri"/>
        </w:rPr>
        <w:t xml:space="preserve">British </w:t>
      </w:r>
      <w:r w:rsidRPr="002C6BD0">
        <w:rPr>
          <w:rFonts w:cs="Calibri"/>
        </w:rPr>
        <w:t>c</w:t>
      </w:r>
      <w:r w:rsidR="00BA2220" w:rsidRPr="002C6BD0">
        <w:rPr>
          <w:rFonts w:cs="Calibri"/>
        </w:rPr>
        <w:t xml:space="preserve">olonies </w:t>
      </w:r>
      <w:r w:rsidR="00285A7B" w:rsidRPr="002C6BD0">
        <w:rPr>
          <w:rFonts w:cs="Calibri"/>
        </w:rPr>
        <w:t xml:space="preserve">to support them in claiming their </w:t>
      </w:r>
      <w:r w:rsidR="0011030E" w:rsidRPr="002C6BD0">
        <w:rPr>
          <w:rFonts w:cs="Calibri"/>
        </w:rPr>
        <w:t>rights</w:t>
      </w:r>
      <w:r w:rsidR="00285A7B" w:rsidRPr="002C6BD0">
        <w:rPr>
          <w:rFonts w:cs="Calibri"/>
        </w:rPr>
        <w:t xml:space="preserve"> and identities. This could include supporting the development of local advocacy groups, providing resources and training, and </w:t>
      </w:r>
      <w:r>
        <w:rPr>
          <w:rFonts w:cs="Calibri"/>
        </w:rPr>
        <w:t>arguing</w:t>
      </w:r>
      <w:r w:rsidR="00285A7B" w:rsidRPr="002C6BD0">
        <w:rPr>
          <w:rFonts w:cs="Calibri"/>
        </w:rPr>
        <w:t xml:space="preserve"> for policy change at local and national levels. </w:t>
      </w:r>
    </w:p>
    <w:p w14:paraId="2E01EB9E" w14:textId="4BEED206" w:rsidR="00285A7B" w:rsidRDefault="002C6BD0" w:rsidP="00E85F2B">
      <w:pPr>
        <w:numPr>
          <w:ilvl w:val="0"/>
          <w:numId w:val="36"/>
        </w:numPr>
        <w:spacing w:line="480" w:lineRule="auto"/>
        <w:jc w:val="both"/>
        <w:rPr>
          <w:rFonts w:cs="Calibri"/>
        </w:rPr>
      </w:pPr>
      <w:r>
        <w:rPr>
          <w:rFonts w:cs="Calibri"/>
        </w:rPr>
        <w:t>F</w:t>
      </w:r>
      <w:r w:rsidR="00285A7B">
        <w:rPr>
          <w:rFonts w:cs="Calibri"/>
        </w:rPr>
        <w:t>oster a dialogue and collaboration between</w:t>
      </w:r>
      <w:r>
        <w:rPr>
          <w:rFonts w:cs="Calibri"/>
        </w:rPr>
        <w:t xml:space="preserve"> organisations involved in</w:t>
      </w:r>
      <w:r w:rsidR="00285A7B">
        <w:rPr>
          <w:rFonts w:cs="Calibri"/>
        </w:rPr>
        <w:t xml:space="preserve"> LGBTQIA+ </w:t>
      </w:r>
      <w:r>
        <w:rPr>
          <w:rFonts w:cs="Calibri"/>
        </w:rPr>
        <w:t>rights</w:t>
      </w:r>
      <w:r w:rsidR="00285A7B">
        <w:rPr>
          <w:rFonts w:cs="Calibri"/>
        </w:rPr>
        <w:t xml:space="preserve">, </w:t>
      </w:r>
      <w:r w:rsidR="00BA2220">
        <w:rPr>
          <w:rFonts w:cs="Calibri"/>
        </w:rPr>
        <w:t>Decoloniality</w:t>
      </w:r>
      <w:r>
        <w:rPr>
          <w:rFonts w:cs="Calibri"/>
        </w:rPr>
        <w:t>,</w:t>
      </w:r>
      <w:r w:rsidR="00285A7B">
        <w:rPr>
          <w:rFonts w:cs="Calibri"/>
        </w:rPr>
        <w:t xml:space="preserve"> and anti-racism.</w:t>
      </w:r>
      <w:r w:rsidR="001C058A">
        <w:rPr>
          <w:rFonts w:cs="Calibri"/>
        </w:rPr>
        <w:t xml:space="preserve"> </w:t>
      </w:r>
    </w:p>
    <w:p w14:paraId="1816281C" w14:textId="77777777" w:rsidR="002C6BD0" w:rsidRDefault="002C6BD0" w:rsidP="002C6BD0">
      <w:pPr>
        <w:spacing w:line="480" w:lineRule="auto"/>
        <w:ind w:left="360"/>
        <w:jc w:val="both"/>
        <w:rPr>
          <w:rFonts w:cs="Calibri"/>
        </w:rPr>
      </w:pPr>
    </w:p>
    <w:p w14:paraId="32C5E334" w14:textId="01619437" w:rsidR="00285A7B" w:rsidRDefault="001C058A" w:rsidP="001C058A">
      <w:pPr>
        <w:spacing w:line="480" w:lineRule="auto"/>
        <w:jc w:val="both"/>
        <w:rPr>
          <w:rFonts w:cs="Calibri"/>
        </w:rPr>
      </w:pPr>
      <w:r>
        <w:rPr>
          <w:rFonts w:cs="Calibri"/>
        </w:rPr>
        <w:t xml:space="preserve">These recommendations would be useful for a </w:t>
      </w:r>
      <w:r w:rsidR="0011030E">
        <w:rPr>
          <w:rFonts w:cs="Calibri"/>
        </w:rPr>
        <w:t>variety</w:t>
      </w:r>
      <w:r>
        <w:rPr>
          <w:rFonts w:cs="Calibri"/>
        </w:rPr>
        <w:t xml:space="preserve"> of individuals and groups, including: </w:t>
      </w:r>
    </w:p>
    <w:p w14:paraId="1B3A6BC8" w14:textId="6B8A8840" w:rsidR="001C058A" w:rsidRDefault="00EA7207" w:rsidP="001C058A">
      <w:pPr>
        <w:numPr>
          <w:ilvl w:val="0"/>
          <w:numId w:val="38"/>
        </w:numPr>
        <w:spacing w:line="480" w:lineRule="auto"/>
        <w:jc w:val="both"/>
        <w:rPr>
          <w:rFonts w:cs="Calibri"/>
        </w:rPr>
      </w:pPr>
      <w:r>
        <w:rPr>
          <w:rFonts w:cs="Calibri"/>
        </w:rPr>
        <w:t>Writer</w:t>
      </w:r>
      <w:r w:rsidR="001C058A">
        <w:rPr>
          <w:rFonts w:cs="Calibri"/>
        </w:rPr>
        <w:t>s and academics interested in gender and sexuality studies, postcolonial studies</w:t>
      </w:r>
      <w:r w:rsidR="002C6BD0">
        <w:rPr>
          <w:rFonts w:cs="Calibri"/>
        </w:rPr>
        <w:t>,</w:t>
      </w:r>
      <w:r w:rsidR="001C058A">
        <w:rPr>
          <w:rFonts w:cs="Calibri"/>
        </w:rPr>
        <w:t xml:space="preserve"> and social justice issues.</w:t>
      </w:r>
    </w:p>
    <w:p w14:paraId="4F570279" w14:textId="0D79137F" w:rsidR="001C058A" w:rsidRDefault="001C058A" w:rsidP="001C058A">
      <w:pPr>
        <w:numPr>
          <w:ilvl w:val="0"/>
          <w:numId w:val="38"/>
        </w:numPr>
        <w:spacing w:line="480" w:lineRule="auto"/>
        <w:jc w:val="both"/>
        <w:rPr>
          <w:rFonts w:cs="Calibri"/>
        </w:rPr>
      </w:pPr>
      <w:r>
        <w:rPr>
          <w:rFonts w:cs="Calibri"/>
        </w:rPr>
        <w:t>Educators and policymakers who work in universities and schools, particularly those in former Britis</w:t>
      </w:r>
      <w:r w:rsidR="002C6BD0">
        <w:rPr>
          <w:rFonts w:cs="Calibri"/>
        </w:rPr>
        <w:t>h colonies.</w:t>
      </w:r>
    </w:p>
    <w:p w14:paraId="5EF38662" w14:textId="0AEA8F64" w:rsidR="001C058A" w:rsidRDefault="001C058A" w:rsidP="001C058A">
      <w:pPr>
        <w:numPr>
          <w:ilvl w:val="0"/>
          <w:numId w:val="38"/>
        </w:numPr>
        <w:spacing w:line="480" w:lineRule="auto"/>
        <w:jc w:val="both"/>
        <w:rPr>
          <w:rFonts w:cs="Calibri"/>
        </w:rPr>
      </w:pPr>
      <w:r>
        <w:rPr>
          <w:rFonts w:cs="Calibri"/>
        </w:rPr>
        <w:t xml:space="preserve">LGBTQIA+ people and communities in former British </w:t>
      </w:r>
      <w:r w:rsidR="002C6BD0">
        <w:rPr>
          <w:rFonts w:cs="Calibri"/>
        </w:rPr>
        <w:t>colonies</w:t>
      </w:r>
      <w:r>
        <w:rPr>
          <w:rFonts w:cs="Calibri"/>
        </w:rPr>
        <w:t xml:space="preserve"> who are seeking support and recognition for the</w:t>
      </w:r>
      <w:r w:rsidR="002C6BD0">
        <w:rPr>
          <w:rFonts w:cs="Calibri"/>
        </w:rPr>
        <w:t>ir</w:t>
      </w:r>
      <w:r>
        <w:rPr>
          <w:rFonts w:cs="Calibri"/>
        </w:rPr>
        <w:t xml:space="preserve"> identities and </w:t>
      </w:r>
      <w:r w:rsidR="00693048">
        <w:rPr>
          <w:rFonts w:cs="Calibri"/>
        </w:rPr>
        <w:t>experiences.</w:t>
      </w:r>
    </w:p>
    <w:p w14:paraId="5B79AF02" w14:textId="1D38870E" w:rsidR="001C058A" w:rsidRDefault="001C058A" w:rsidP="001C058A">
      <w:pPr>
        <w:numPr>
          <w:ilvl w:val="0"/>
          <w:numId w:val="38"/>
        </w:numPr>
        <w:spacing w:line="480" w:lineRule="auto"/>
        <w:jc w:val="both"/>
        <w:rPr>
          <w:rFonts w:cs="Calibri"/>
        </w:rPr>
      </w:pPr>
      <w:r>
        <w:rPr>
          <w:rFonts w:cs="Calibri"/>
        </w:rPr>
        <w:lastRenderedPageBreak/>
        <w:t>Allies and support</w:t>
      </w:r>
      <w:r w:rsidR="002C6BD0">
        <w:rPr>
          <w:rFonts w:cs="Calibri"/>
        </w:rPr>
        <w:t>ers</w:t>
      </w:r>
      <w:r>
        <w:rPr>
          <w:rFonts w:cs="Calibri"/>
        </w:rPr>
        <w:t xml:space="preserve"> of LGBTQIA+ rights and social justice who are interested in learning more about the impact of British </w:t>
      </w:r>
      <w:r w:rsidR="002C6BD0">
        <w:rPr>
          <w:rFonts w:cs="Calibri"/>
        </w:rPr>
        <w:t>c</w:t>
      </w:r>
      <w:r>
        <w:rPr>
          <w:rFonts w:cs="Calibri"/>
        </w:rPr>
        <w:t xml:space="preserve">olonialism on gender identity and </w:t>
      </w:r>
      <w:r w:rsidR="00693048">
        <w:rPr>
          <w:rFonts w:cs="Calibri"/>
        </w:rPr>
        <w:t>sexuality.</w:t>
      </w:r>
      <w:r>
        <w:rPr>
          <w:rFonts w:cs="Calibri"/>
        </w:rPr>
        <w:t xml:space="preserve"> </w:t>
      </w:r>
    </w:p>
    <w:p w14:paraId="48A323E2" w14:textId="77777777" w:rsidR="00316389" w:rsidRDefault="00316389" w:rsidP="00316389">
      <w:pPr>
        <w:spacing w:line="480" w:lineRule="auto"/>
        <w:ind w:left="720"/>
        <w:jc w:val="both"/>
        <w:rPr>
          <w:rFonts w:cs="Calibri"/>
        </w:rPr>
      </w:pPr>
    </w:p>
    <w:p w14:paraId="699C7D58" w14:textId="23FBFDAE" w:rsidR="00917AEA" w:rsidRPr="00DF56D6" w:rsidRDefault="00917AEA" w:rsidP="00917AEA">
      <w:pPr>
        <w:spacing w:line="480" w:lineRule="auto"/>
        <w:jc w:val="both"/>
        <w:rPr>
          <w:rFonts w:cs="Calibri"/>
        </w:rPr>
      </w:pPr>
      <w:r>
        <w:rPr>
          <w:rFonts w:cs="Calibri"/>
        </w:rPr>
        <w:t xml:space="preserve">Overall, this dissertation provides insights into the ongoing struggles </w:t>
      </w:r>
      <w:r w:rsidR="002C6BD0">
        <w:rPr>
          <w:rFonts w:cs="Calibri"/>
        </w:rPr>
        <w:t>for</w:t>
      </w:r>
      <w:r>
        <w:rPr>
          <w:rFonts w:cs="Calibri"/>
        </w:rPr>
        <w:t xml:space="preserve"> LGBTQIA+ rights and the ongoing impact of British colonialism on gender identity and sexuality. By working </w:t>
      </w:r>
      <w:r w:rsidR="0018161B">
        <w:rPr>
          <w:rFonts w:cs="Calibri"/>
        </w:rPr>
        <w:t>in an intersectional frame</w:t>
      </w:r>
      <w:r>
        <w:rPr>
          <w:rFonts w:cs="Calibri"/>
        </w:rPr>
        <w:t xml:space="preserve">, </w:t>
      </w:r>
      <w:r w:rsidR="002C6BD0">
        <w:rPr>
          <w:rFonts w:cs="Calibri"/>
        </w:rPr>
        <w:t>adopting</w:t>
      </w:r>
      <w:r>
        <w:rPr>
          <w:rFonts w:cs="Calibri"/>
        </w:rPr>
        <w:t xml:space="preserve"> </w:t>
      </w:r>
      <w:r w:rsidR="002C6BD0">
        <w:rPr>
          <w:rFonts w:cs="Calibri"/>
        </w:rPr>
        <w:t xml:space="preserve">an </w:t>
      </w:r>
      <w:r>
        <w:rPr>
          <w:rFonts w:cs="Calibri"/>
        </w:rPr>
        <w:t xml:space="preserve">inclusive and </w:t>
      </w:r>
      <w:r w:rsidR="0011030E">
        <w:rPr>
          <w:rFonts w:cs="Calibri"/>
        </w:rPr>
        <w:t>collaborative</w:t>
      </w:r>
      <w:r w:rsidR="002C6BD0">
        <w:rPr>
          <w:rFonts w:cs="Calibri"/>
        </w:rPr>
        <w:t xml:space="preserve"> approach</w:t>
      </w:r>
      <w:r>
        <w:rPr>
          <w:rFonts w:cs="Calibri"/>
        </w:rPr>
        <w:t xml:space="preserve"> we </w:t>
      </w:r>
      <w:r w:rsidR="00693048">
        <w:rPr>
          <w:rFonts w:cs="Calibri"/>
        </w:rPr>
        <w:t>can address</w:t>
      </w:r>
      <w:r>
        <w:rPr>
          <w:rFonts w:cs="Calibri"/>
        </w:rPr>
        <w:t xml:space="preserve"> these complex issues and promote equality and social justice for all.</w:t>
      </w:r>
    </w:p>
    <w:p w14:paraId="09BFFEF0" w14:textId="77777777" w:rsidR="0086022B" w:rsidRPr="00A71842" w:rsidRDefault="005E060A" w:rsidP="00B33D1C">
      <w:pPr>
        <w:numPr>
          <w:ilvl w:val="0"/>
          <w:numId w:val="1"/>
        </w:numPr>
        <w:spacing w:line="480" w:lineRule="auto"/>
        <w:outlineLvl w:val="0"/>
        <w:rPr>
          <w:b/>
        </w:rPr>
      </w:pPr>
      <w:r>
        <w:rPr>
          <w:b/>
        </w:rPr>
        <w:br w:type="page"/>
      </w:r>
      <w:bookmarkStart w:id="30" w:name="_Toc145927549"/>
      <w:bookmarkEnd w:id="5"/>
      <w:r w:rsidR="00BA7FED">
        <w:rPr>
          <w:b/>
        </w:rPr>
        <w:lastRenderedPageBreak/>
        <w:t>REFERENCES</w:t>
      </w:r>
      <w:bookmarkEnd w:id="30"/>
      <w:r w:rsidR="00BA7FED">
        <w:rPr>
          <w:b/>
        </w:rPr>
        <w:t xml:space="preserve"> </w:t>
      </w:r>
    </w:p>
    <w:p w14:paraId="77135237" w14:textId="77777777" w:rsidR="00BA27EE" w:rsidRDefault="00BA27EE" w:rsidP="00AC0EE8">
      <w:pPr>
        <w:spacing w:line="480" w:lineRule="auto"/>
        <w:ind w:hanging="720"/>
      </w:pPr>
      <w:r>
        <w:t xml:space="preserve">Aldrich, R. (2008) </w:t>
      </w:r>
      <w:r>
        <w:rPr>
          <w:i/>
          <w:iCs/>
        </w:rPr>
        <w:t>Colonialism and Homosexuality</w:t>
      </w:r>
      <w:r>
        <w:t xml:space="preserve">. Routledge, London. </w:t>
      </w:r>
    </w:p>
    <w:p w14:paraId="7DC0E469" w14:textId="6B36E9D5" w:rsidR="004265BB" w:rsidRDefault="00BA27EE" w:rsidP="004265BB">
      <w:pPr>
        <w:spacing w:line="480" w:lineRule="auto"/>
        <w:ind w:hanging="720"/>
      </w:pPr>
      <w:r>
        <w:t>Aljazeera. (2013</w:t>
      </w:r>
      <w:r w:rsidRPr="007F5CA5">
        <w:rPr>
          <w:i/>
          <w:iCs/>
        </w:rPr>
        <w:t>) Uganda MPs pass controversial anti-gay law</w:t>
      </w:r>
      <w:r>
        <w:t xml:space="preserve">. Available at: </w:t>
      </w:r>
      <w:hyperlink r:id="rId17" w:history="1">
        <w:r w:rsidRPr="00D35FAE">
          <w:rPr>
            <w:rStyle w:val="Hyperlink"/>
          </w:rPr>
          <w:t>https://www.aljazeera.com/news/2013/12/21/uganda-mps-pass-controversial-anti-gay-law/</w:t>
        </w:r>
      </w:hyperlink>
      <w:r w:rsidR="009E1349">
        <w:rPr>
          <w:rStyle w:val="Hyperlink"/>
        </w:rPr>
        <w:t>.</w:t>
      </w:r>
      <w:r>
        <w:t xml:space="preserve"> (Accessed</w:t>
      </w:r>
      <w:r w:rsidR="00B3524F">
        <w:t>:</w:t>
      </w:r>
      <w:r>
        <w:t xml:space="preserve"> </w:t>
      </w:r>
      <w:r w:rsidR="001B24BA">
        <w:t>7</w:t>
      </w:r>
      <w:r w:rsidR="001B24BA" w:rsidRPr="001B24BA">
        <w:rPr>
          <w:vertAlign w:val="superscript"/>
        </w:rPr>
        <w:t>th</w:t>
      </w:r>
      <w:r w:rsidR="001B24BA">
        <w:t xml:space="preserve"> October 2022</w:t>
      </w:r>
      <w:r>
        <w:t xml:space="preserve">). </w:t>
      </w:r>
    </w:p>
    <w:p w14:paraId="107A268B" w14:textId="344A95B9" w:rsidR="004265BB" w:rsidRDefault="004265BB" w:rsidP="004265BB">
      <w:pPr>
        <w:spacing w:line="480" w:lineRule="auto"/>
        <w:ind w:hanging="720"/>
      </w:pPr>
      <w:r>
        <w:t xml:space="preserve">Amusan, L., Saka, L. and Muinat, O.A. (2019) ‘Gay Rights and the Politics of Anti-homosexual Legislation in Africa: Insights from Uganda and Nigeria’, </w:t>
      </w:r>
      <w:r w:rsidRPr="004265BB">
        <w:rPr>
          <w:i/>
          <w:iCs/>
        </w:rPr>
        <w:t>Journal of African Union Studies</w:t>
      </w:r>
      <w:r>
        <w:t xml:space="preserve">, 8(2), pp. 45–66. Available at: </w:t>
      </w:r>
      <w:hyperlink r:id="rId18" w:history="1">
        <w:r w:rsidR="009E1349" w:rsidRPr="00FA0A6A">
          <w:rPr>
            <w:rStyle w:val="Hyperlink"/>
          </w:rPr>
          <w:t>https://doi.org/10.31920/2050-4306/2019/8n2a3</w:t>
        </w:r>
      </w:hyperlink>
      <w:r>
        <w:t>.</w:t>
      </w:r>
      <w:r w:rsidR="009E1349">
        <w:t xml:space="preserve"> </w:t>
      </w:r>
      <w:r w:rsidR="001B24BA">
        <w:t>(Accessed: 7</w:t>
      </w:r>
      <w:r w:rsidR="001B24BA" w:rsidRPr="001B24BA">
        <w:rPr>
          <w:vertAlign w:val="superscript"/>
        </w:rPr>
        <w:t>th</w:t>
      </w:r>
      <w:r w:rsidR="001B24BA">
        <w:t xml:space="preserve"> October 2022).</w:t>
      </w:r>
    </w:p>
    <w:p w14:paraId="0561EB1B" w14:textId="0A550701" w:rsidR="00BA27EE" w:rsidRPr="00014E8D" w:rsidRDefault="00BA27EE" w:rsidP="00EF641C">
      <w:pPr>
        <w:spacing w:line="480" w:lineRule="auto"/>
        <w:ind w:hanging="720"/>
      </w:pPr>
      <w:r w:rsidRPr="00014E8D">
        <w:t xml:space="preserve">Andrews, E.E. (2009) ‘Christian Missions and Colonial Empires Reconsidered: A Black Evangelist in West Africa, 1766–1816’, </w:t>
      </w:r>
      <w:r w:rsidRPr="005B466F">
        <w:rPr>
          <w:i/>
          <w:iCs/>
        </w:rPr>
        <w:t>A journal of church and state</w:t>
      </w:r>
      <w:r w:rsidRPr="00014E8D">
        <w:t xml:space="preserve">, 51(4), pp. 663–691. Available at: </w:t>
      </w:r>
      <w:hyperlink r:id="rId19" w:history="1">
        <w:r w:rsidRPr="00014E8D">
          <w:t>https://doi.org/10.1093/jcs/csp090</w:t>
        </w:r>
      </w:hyperlink>
      <w:r w:rsidRPr="00014E8D">
        <w:t>.</w:t>
      </w:r>
      <w:r w:rsidR="009E1349">
        <w:t xml:space="preserve"> (Accessed 29</w:t>
      </w:r>
      <w:r w:rsidR="001B24BA">
        <w:t xml:space="preserve">th December </w:t>
      </w:r>
      <w:r w:rsidR="009E1349">
        <w:t>2022).</w:t>
      </w:r>
    </w:p>
    <w:p w14:paraId="18851D03" w14:textId="3DCEAA09" w:rsidR="00BA27EE" w:rsidRDefault="00BA27EE" w:rsidP="00AC0EE8">
      <w:pPr>
        <w:pStyle w:val="NormalWeb"/>
        <w:shd w:val="clear" w:color="auto" w:fill="FFFFFF"/>
        <w:spacing w:before="0" w:beforeAutospacing="0" w:after="240" w:afterAutospacing="0" w:line="480" w:lineRule="auto"/>
        <w:ind w:hanging="720"/>
        <w:rPr>
          <w:color w:val="333333"/>
        </w:rPr>
      </w:pPr>
      <w:r w:rsidRPr="00D067DF">
        <w:rPr>
          <w:color w:val="333333"/>
        </w:rPr>
        <w:t xml:space="preserve">Asante, G. and Hanchey, J.N. (2021) ‘Decolonizing queer modernities: the case for queer (post)colonial studies in critical/cultural communication’, </w:t>
      </w:r>
      <w:r w:rsidRPr="00D067DF">
        <w:rPr>
          <w:i/>
          <w:iCs/>
          <w:color w:val="333333"/>
        </w:rPr>
        <w:t>Communication and critical/cultural studies</w:t>
      </w:r>
      <w:r w:rsidRPr="00D067DF">
        <w:rPr>
          <w:color w:val="333333"/>
        </w:rPr>
        <w:t xml:space="preserve">, 18(2), pp. 212–220. Available at: </w:t>
      </w:r>
      <w:hyperlink r:id="rId20" w:history="1">
        <w:r w:rsidRPr="00873E6C">
          <w:rPr>
            <w:rStyle w:val="Hyperlink"/>
          </w:rPr>
          <w:t>https://doi.org/10.1080/14791420.2021.1907849</w:t>
        </w:r>
      </w:hyperlink>
      <w:r w:rsidRPr="00D067DF">
        <w:rPr>
          <w:color w:val="333333"/>
        </w:rPr>
        <w:t>.</w:t>
      </w:r>
      <w:r w:rsidR="00371EB0">
        <w:t xml:space="preserve"> (Accessed 29th December 2022).</w:t>
      </w:r>
    </w:p>
    <w:p w14:paraId="45B6CA64" w14:textId="25B61233" w:rsidR="00BA27EE" w:rsidRDefault="00BA27EE" w:rsidP="00AC0EE8">
      <w:pPr>
        <w:pStyle w:val="NormalWeb"/>
        <w:shd w:val="clear" w:color="auto" w:fill="FFFFFF"/>
        <w:spacing w:before="0" w:beforeAutospacing="0" w:after="240" w:afterAutospacing="0" w:line="480" w:lineRule="auto"/>
        <w:ind w:hanging="720"/>
        <w:rPr>
          <w:color w:val="333333"/>
          <w:shd w:val="clear" w:color="auto" w:fill="FBFBFB"/>
        </w:rPr>
      </w:pPr>
      <w:r w:rsidRPr="00F55F45">
        <w:rPr>
          <w:color w:val="333333"/>
          <w:shd w:val="clear" w:color="auto" w:fill="FBFBFB"/>
        </w:rPr>
        <w:t xml:space="preserve">Bacchetta, P., El-Tayeb, F and Haritaworn, J.  (2018) ‘Queers of Colour and (De)Colonial Spaces in Europe’, in </w:t>
      </w:r>
      <w:r w:rsidRPr="00F55F45">
        <w:rPr>
          <w:i/>
          <w:iCs/>
          <w:color w:val="333333"/>
          <w:shd w:val="clear" w:color="auto" w:fill="FBFBFB"/>
        </w:rPr>
        <w:t xml:space="preserve">Global Raciality: Empire, PostColoniality and </w:t>
      </w:r>
      <w:r w:rsidR="00BA2220">
        <w:rPr>
          <w:i/>
          <w:iCs/>
          <w:color w:val="333333"/>
          <w:shd w:val="clear" w:color="auto" w:fill="FBFBFB"/>
        </w:rPr>
        <w:t>Decoloniality</w:t>
      </w:r>
      <w:r w:rsidRPr="00F55F45">
        <w:rPr>
          <w:color w:val="333333"/>
          <w:shd w:val="clear" w:color="auto" w:fill="FBFBFB"/>
        </w:rPr>
        <w:t xml:space="preserve">, ed. by Paola Bacchetta, Sunaina Maira, Howard Winant. London: Routledge, pp. 158-170. </w:t>
      </w:r>
    </w:p>
    <w:p w14:paraId="7A898793" w14:textId="777A2412" w:rsidR="00BA27EE" w:rsidRDefault="00BA27EE" w:rsidP="00AC0EE8">
      <w:pPr>
        <w:pStyle w:val="NormalWeb"/>
        <w:shd w:val="clear" w:color="auto" w:fill="FFFFFF"/>
        <w:spacing w:before="0" w:beforeAutospacing="0" w:after="240" w:afterAutospacing="0" w:line="480" w:lineRule="auto"/>
        <w:ind w:hanging="720"/>
      </w:pPr>
      <w:r>
        <w:t xml:space="preserve">Badenhorst, D. (2022) ‘Fanon, Hegel, and the Problem of Reciprocity’, </w:t>
      </w:r>
      <w:r w:rsidRPr="003902B8">
        <w:rPr>
          <w:i/>
          <w:iCs/>
        </w:rPr>
        <w:t>Hegel bulletin</w:t>
      </w:r>
      <w:r>
        <w:t xml:space="preserve">, pp. 1–24. Available at: </w:t>
      </w:r>
      <w:hyperlink r:id="rId21" w:history="1">
        <w:r w:rsidRPr="00642B5B">
          <w:rPr>
            <w:rStyle w:val="Hyperlink"/>
          </w:rPr>
          <w:t>https://doi.org/10.1017/hgl.2022.1</w:t>
        </w:r>
      </w:hyperlink>
      <w:r>
        <w:t>.</w:t>
      </w:r>
      <w:r w:rsidR="009E1349">
        <w:t xml:space="preserve"> (Accessed 6</w:t>
      </w:r>
      <w:r w:rsidR="00371EB0">
        <w:t xml:space="preserve">th May </w:t>
      </w:r>
      <w:r w:rsidR="009E1349">
        <w:t>2023).</w:t>
      </w:r>
    </w:p>
    <w:p w14:paraId="09231A07" w14:textId="31EDC5AE" w:rsidR="00BA27EE" w:rsidRDefault="00BA27EE" w:rsidP="00AC0EE8">
      <w:pPr>
        <w:pStyle w:val="NormalWeb"/>
        <w:shd w:val="clear" w:color="auto" w:fill="FFFFFF"/>
        <w:spacing w:before="0" w:beforeAutospacing="0" w:after="240" w:afterAutospacing="0" w:line="480" w:lineRule="auto"/>
        <w:ind w:hanging="720"/>
      </w:pPr>
      <w:r>
        <w:lastRenderedPageBreak/>
        <w:t xml:space="preserve">Bajerski, A. (2011) ‘The role of French, German and Spanish journals in scientific communication in international geography’, </w:t>
      </w:r>
      <w:r w:rsidRPr="007F5CA5">
        <w:rPr>
          <w:i/>
          <w:iCs/>
        </w:rPr>
        <w:t>Area (London 1969)</w:t>
      </w:r>
      <w:r>
        <w:t xml:space="preserve"> 43(3), pp. 305–313. Available at: </w:t>
      </w:r>
      <w:hyperlink r:id="rId22" w:history="1">
        <w:r w:rsidRPr="00873E6C">
          <w:rPr>
            <w:rStyle w:val="Hyperlink"/>
          </w:rPr>
          <w:t>https://doi.org/10.1111/j.1475-4762.2010.00989.x</w:t>
        </w:r>
      </w:hyperlink>
      <w:r>
        <w:t>.</w:t>
      </w:r>
      <w:r w:rsidR="009E1349">
        <w:t xml:space="preserve"> (Accessed </w:t>
      </w:r>
      <w:r w:rsidR="00EA510E">
        <w:t>6th May 2023</w:t>
      </w:r>
      <w:r w:rsidR="009E1349">
        <w:t>).</w:t>
      </w:r>
    </w:p>
    <w:p w14:paraId="22AA2954" w14:textId="2C3CF8A4" w:rsidR="00BA27EE" w:rsidRDefault="00BA27EE" w:rsidP="00AC0EE8">
      <w:pPr>
        <w:pStyle w:val="NormalWeb"/>
        <w:shd w:val="clear" w:color="auto" w:fill="FFFFFF"/>
        <w:spacing w:before="0" w:beforeAutospacing="0" w:after="240" w:afterAutospacing="0" w:line="480" w:lineRule="auto"/>
        <w:ind w:hanging="720"/>
      </w:pPr>
      <w:r w:rsidRPr="00014E8D">
        <w:t xml:space="preserve"> Bawa, S. (2019) ‘Christianity, tradition, and gender inequality in postcolonial Ghana’, </w:t>
      </w:r>
      <w:r w:rsidRPr="005B466F">
        <w:rPr>
          <w:i/>
          <w:iCs/>
        </w:rPr>
        <w:t>African geographical review</w:t>
      </w:r>
      <w:r w:rsidRPr="00014E8D">
        <w:t xml:space="preserve">, 38(1), pp. 54–66. Available at: </w:t>
      </w:r>
      <w:hyperlink r:id="rId23" w:history="1">
        <w:r w:rsidRPr="00014E8D">
          <w:t>https://doi.org/10.1080/19376812.2017.1286245</w:t>
        </w:r>
      </w:hyperlink>
      <w:r w:rsidRPr="00014E8D">
        <w:t>.</w:t>
      </w:r>
      <w:r w:rsidR="009E1349">
        <w:t xml:space="preserve"> </w:t>
      </w:r>
      <w:r w:rsidR="00EA510E">
        <w:t>(Accessed 6th May 2023).</w:t>
      </w:r>
    </w:p>
    <w:p w14:paraId="75004A7D" w14:textId="77777777" w:rsidR="00BA27EE" w:rsidRDefault="00BA27EE" w:rsidP="00AC0EE8">
      <w:pPr>
        <w:pStyle w:val="NormalWeb"/>
        <w:shd w:val="clear" w:color="auto" w:fill="FFFFFF"/>
        <w:spacing w:before="0" w:beforeAutospacing="0" w:after="240" w:afterAutospacing="0" w:line="480" w:lineRule="auto"/>
        <w:ind w:hanging="720"/>
      </w:pPr>
      <w:r w:rsidRPr="005972DF">
        <w:t>Bayly, C</w:t>
      </w:r>
      <w:r>
        <w:t>. (1999)</w:t>
      </w:r>
      <w:r w:rsidRPr="005972DF">
        <w:t xml:space="preserve"> The British and indigenous peoples, 1760—1860: power, perception and identity</w:t>
      </w:r>
      <w:r>
        <w:t>,</w:t>
      </w:r>
      <w:r w:rsidRPr="005972DF">
        <w:t xml:space="preserve"> in </w:t>
      </w:r>
      <w:r>
        <w:rPr>
          <w:i/>
          <w:iCs/>
        </w:rPr>
        <w:t xml:space="preserve">Empire and Others: British Encounters With Indigenous People 1600-185- </w:t>
      </w:r>
      <w:r w:rsidRPr="005972DF">
        <w:t>, ed</w:t>
      </w:r>
      <w:r>
        <w:t>ited by, Daunton, M and Halpern, R.</w:t>
      </w:r>
      <w:r w:rsidRPr="005972DF">
        <w:t xml:space="preserve"> </w:t>
      </w:r>
      <w:r>
        <w:t xml:space="preserve">Routledge, London. </w:t>
      </w:r>
    </w:p>
    <w:p w14:paraId="7A2C48F0" w14:textId="0FACE2CB" w:rsidR="00D227BC" w:rsidRDefault="00BA27EE" w:rsidP="00AC0EE8">
      <w:pPr>
        <w:spacing w:line="480" w:lineRule="auto"/>
        <w:ind w:hanging="720"/>
      </w:pPr>
      <w:r w:rsidRPr="00014E8D">
        <w:t xml:space="preserve">BBC. (2021) </w:t>
      </w:r>
      <w:r w:rsidRPr="00D3282A">
        <w:rPr>
          <w:i/>
          <w:iCs/>
        </w:rPr>
        <w:t>Homosexuality: The countries where it is illegal to be gay</w:t>
      </w:r>
      <w:r w:rsidRPr="00014E8D">
        <w:t xml:space="preserve">. BBC, London. Available at: </w:t>
      </w:r>
      <w:hyperlink r:id="rId24" w:history="1">
        <w:r w:rsidR="00F50093" w:rsidRPr="00F50093">
          <w:rPr>
            <w:rStyle w:val="Hyperlink"/>
          </w:rPr>
          <w:t>https://www.bbc.co.uk/news/world-43822234</w:t>
        </w:r>
      </w:hyperlink>
      <w:r w:rsidR="00F50093">
        <w:t xml:space="preserve"> (</w:t>
      </w:r>
      <w:r w:rsidRPr="00014E8D">
        <w:t>Accessed 7</w:t>
      </w:r>
      <w:r w:rsidR="00F50093">
        <w:t xml:space="preserve">th October </w:t>
      </w:r>
      <w:r w:rsidRPr="00014E8D">
        <w:t>2022</w:t>
      </w:r>
      <w:r w:rsidR="00F50093">
        <w:t>)</w:t>
      </w:r>
      <w:r w:rsidRPr="00014E8D">
        <w:t>.</w:t>
      </w:r>
    </w:p>
    <w:p w14:paraId="17F9C179" w14:textId="1047E207" w:rsidR="00D227BC" w:rsidRDefault="00F61881" w:rsidP="00D227BC">
      <w:pPr>
        <w:spacing w:line="480" w:lineRule="auto"/>
        <w:ind w:hanging="720"/>
      </w:pPr>
      <w:r>
        <w:t xml:space="preserve">BBC. (2023) </w:t>
      </w:r>
      <w:r w:rsidR="00E25447" w:rsidRPr="00D3282A">
        <w:rPr>
          <w:i/>
          <w:iCs/>
        </w:rPr>
        <w:t>Uganda’s</w:t>
      </w:r>
      <w:r w:rsidR="00E25447">
        <w:t xml:space="preserve"> </w:t>
      </w:r>
      <w:r w:rsidR="00E25447">
        <w:rPr>
          <w:i/>
          <w:iCs/>
        </w:rPr>
        <w:t xml:space="preserve">President </w:t>
      </w:r>
      <w:r w:rsidR="00501E6C">
        <w:rPr>
          <w:i/>
          <w:iCs/>
        </w:rPr>
        <w:t>Museveni approves tough new anti-gay law</w:t>
      </w:r>
      <w:r w:rsidR="00501E6C">
        <w:t xml:space="preserve">. BBC, London. Available at: </w:t>
      </w:r>
      <w:hyperlink r:id="rId25" w:history="1">
        <w:r w:rsidR="00FB600B" w:rsidRPr="00E81ACB">
          <w:rPr>
            <w:rStyle w:val="Hyperlink"/>
          </w:rPr>
          <w:t>https://www.bbc.co.uk/news/world-africa-65745850</w:t>
        </w:r>
      </w:hyperlink>
      <w:r w:rsidR="00FB600B">
        <w:t xml:space="preserve"> (Accessed 16</w:t>
      </w:r>
      <w:r w:rsidR="00F535D8">
        <w:t xml:space="preserve">th July </w:t>
      </w:r>
      <w:r w:rsidR="00FB600B">
        <w:t>2023).</w:t>
      </w:r>
    </w:p>
    <w:p w14:paraId="45931B71" w14:textId="426D5215" w:rsidR="002E1585" w:rsidRPr="00501E6C" w:rsidRDefault="002E1585" w:rsidP="002E1585">
      <w:pPr>
        <w:pStyle w:val="NormalWeb"/>
        <w:shd w:val="clear" w:color="auto" w:fill="FFFFFF"/>
        <w:spacing w:before="0" w:beforeAutospacing="0" w:after="240" w:afterAutospacing="0" w:line="480" w:lineRule="auto"/>
        <w:ind w:hanging="720"/>
      </w:pPr>
      <w:r>
        <w:t xml:space="preserve">Beauvoir, S, de. (2011) </w:t>
      </w:r>
      <w:r w:rsidRPr="00431967">
        <w:rPr>
          <w:i/>
          <w:iCs/>
        </w:rPr>
        <w:t>The second sex</w:t>
      </w:r>
      <w:r>
        <w:t xml:space="preserve">. New edition. Translated by C. Borde and S. Malovany-Chevallier. London: Vintage Classic. </w:t>
      </w:r>
    </w:p>
    <w:p w14:paraId="2736887C" w14:textId="1C24029E" w:rsidR="00BA27EE" w:rsidRDefault="00D227BC" w:rsidP="00D227BC">
      <w:pPr>
        <w:spacing w:line="480" w:lineRule="auto"/>
        <w:ind w:hanging="720"/>
      </w:pPr>
      <w:r>
        <w:t xml:space="preserve">Blackmer, C.E. (2019) ‘Pinkwashing’, </w:t>
      </w:r>
      <w:r w:rsidRPr="00D227BC">
        <w:rPr>
          <w:i/>
          <w:iCs/>
        </w:rPr>
        <w:t>Israel studies (Bloomington, Ind.)</w:t>
      </w:r>
      <w:r>
        <w:t xml:space="preserve">, 24(2), pp. 171–181. Available at: </w:t>
      </w:r>
      <w:hyperlink r:id="rId26" w:history="1">
        <w:r w:rsidR="009E1349" w:rsidRPr="00FA0A6A">
          <w:rPr>
            <w:rStyle w:val="Hyperlink"/>
          </w:rPr>
          <w:t>https://doi.org/10.2979/israelstudies.24.2.14</w:t>
        </w:r>
      </w:hyperlink>
      <w:r>
        <w:t>.</w:t>
      </w:r>
      <w:r w:rsidR="009E1349">
        <w:t xml:space="preserve"> (Accessed 6</w:t>
      </w:r>
      <w:r w:rsidR="00F535D8">
        <w:t xml:space="preserve">th May </w:t>
      </w:r>
      <w:r w:rsidR="009E1349">
        <w:t>2023).</w:t>
      </w:r>
    </w:p>
    <w:p w14:paraId="54BCA532" w14:textId="7C264879" w:rsidR="00C47A5B" w:rsidRDefault="00BA27EE" w:rsidP="00C47A5B">
      <w:pPr>
        <w:spacing w:line="480" w:lineRule="auto"/>
        <w:ind w:hanging="720"/>
      </w:pPr>
      <w:r>
        <w:t xml:space="preserve">Bogaerts, E. and Raben, R. (2012) </w:t>
      </w:r>
      <w:r w:rsidRPr="005B466F">
        <w:rPr>
          <w:i/>
          <w:iCs/>
        </w:rPr>
        <w:t>Beyond Empire and Nation; The Decolonization of African and Asian societies, 1930s-1960s</w:t>
      </w:r>
      <w:r>
        <w:t xml:space="preserve">. Leiden - Boston: Brill. Available at: </w:t>
      </w:r>
      <w:hyperlink r:id="rId27" w:history="1">
        <w:r w:rsidRPr="00D35FAE">
          <w:rPr>
            <w:rStyle w:val="Hyperlink"/>
          </w:rPr>
          <w:t>https://doi.org/10.26530/OAPEN_424255</w:t>
        </w:r>
      </w:hyperlink>
      <w:r>
        <w:t xml:space="preserve"> </w:t>
      </w:r>
      <w:r w:rsidR="00F535D8">
        <w:t>(</w:t>
      </w:r>
      <w:r>
        <w:t xml:space="preserve">Accessed </w:t>
      </w:r>
      <w:r w:rsidR="00F535D8">
        <w:t xml:space="preserve">7th October </w:t>
      </w:r>
      <w:r>
        <w:t>2022</w:t>
      </w:r>
      <w:r w:rsidR="00F535D8">
        <w:t>)</w:t>
      </w:r>
      <w:r>
        <w:t xml:space="preserve">. </w:t>
      </w:r>
    </w:p>
    <w:p w14:paraId="21A870D9" w14:textId="24510F17" w:rsidR="00BA27EE" w:rsidRDefault="00BA27EE" w:rsidP="00C47A5B">
      <w:pPr>
        <w:spacing w:line="480" w:lineRule="auto"/>
        <w:ind w:hanging="720"/>
      </w:pPr>
      <w:r>
        <w:lastRenderedPageBreak/>
        <w:t>Brendon, P.</w:t>
      </w:r>
      <w:r w:rsidRPr="00014E8D">
        <w:t> (2007) </w:t>
      </w:r>
      <w:r w:rsidRPr="004636BA">
        <w:rPr>
          <w:i/>
          <w:iCs/>
        </w:rPr>
        <w:t>The Decline and Fall of the British Empire</w:t>
      </w:r>
      <w:r w:rsidRPr="00014E8D">
        <w:t xml:space="preserve">, </w:t>
      </w:r>
      <w:r w:rsidRPr="004636BA">
        <w:rPr>
          <w:i/>
          <w:iCs/>
        </w:rPr>
        <w:t>1781–1997</w:t>
      </w:r>
      <w:r w:rsidRPr="00014E8D">
        <w:t>. Random House</w:t>
      </w:r>
      <w:r>
        <w:t>, London.</w:t>
      </w:r>
    </w:p>
    <w:p w14:paraId="55FE0860" w14:textId="7599F8B0" w:rsidR="00BA27EE" w:rsidRDefault="00BA27EE" w:rsidP="00AC0EE8">
      <w:pPr>
        <w:spacing w:line="480" w:lineRule="auto"/>
        <w:ind w:hanging="720"/>
      </w:pPr>
      <w:r w:rsidRPr="00F559E0">
        <w:t xml:space="preserve">Brons, L. (2015) </w:t>
      </w:r>
      <w:r w:rsidR="00BD3430">
        <w:t>Othering</w:t>
      </w:r>
      <w:r w:rsidRPr="00F559E0">
        <w:t xml:space="preserve"> an analysis. </w:t>
      </w:r>
      <w:r w:rsidRPr="00F559E0">
        <w:rPr>
          <w:i/>
          <w:iCs/>
        </w:rPr>
        <w:t>Transcience</w:t>
      </w:r>
      <w:r w:rsidRPr="00F559E0">
        <w:t xml:space="preserve">, 6(1), pp. 69-90. </w:t>
      </w:r>
      <w:r w:rsidR="009E1349">
        <w:t xml:space="preserve">Available at: </w:t>
      </w:r>
      <w:hyperlink r:id="rId28" w:history="1">
        <w:r w:rsidR="009E1349" w:rsidRPr="00FA0A6A">
          <w:rPr>
            <w:rStyle w:val="Hyperlink"/>
          </w:rPr>
          <w:t>https://www.researchgate.net/publication/273450968_</w:t>
        </w:r>
        <w:r w:rsidR="00BD3430">
          <w:rPr>
            <w:rStyle w:val="Hyperlink"/>
          </w:rPr>
          <w:t>Othering</w:t>
        </w:r>
        <w:r w:rsidR="009E1349" w:rsidRPr="00FA0A6A">
          <w:rPr>
            <w:rStyle w:val="Hyperlink"/>
          </w:rPr>
          <w:t>_An_Analysis</w:t>
        </w:r>
      </w:hyperlink>
      <w:r w:rsidR="009E1349">
        <w:t xml:space="preserve"> (Accessed 6</w:t>
      </w:r>
      <w:r w:rsidR="00F535D8">
        <w:t xml:space="preserve">th May </w:t>
      </w:r>
      <w:r w:rsidR="009E1349">
        <w:t>2023)</w:t>
      </w:r>
    </w:p>
    <w:p w14:paraId="14F4B833" w14:textId="77777777" w:rsidR="00354E2A" w:rsidRDefault="00BA27EE" w:rsidP="00C47A5B">
      <w:pPr>
        <w:spacing w:line="480" w:lineRule="auto"/>
        <w:ind w:hanging="720"/>
      </w:pPr>
      <w:r>
        <w:t xml:space="preserve">Brown, G. (2012) ‘Homonormativity: A Metropolitan Concept that Denigrates “Ordinary” Gay Lives’, </w:t>
      </w:r>
      <w:r w:rsidRPr="00B31F9F">
        <w:rPr>
          <w:i/>
          <w:iCs/>
        </w:rPr>
        <w:t>Journal of homosexuality</w:t>
      </w:r>
      <w:r>
        <w:t xml:space="preserve">, 59(7), pp. 1065–1072. Available at: </w:t>
      </w:r>
      <w:hyperlink r:id="rId29" w:history="1">
        <w:r w:rsidRPr="00642B5B">
          <w:rPr>
            <w:rStyle w:val="Hyperlink"/>
          </w:rPr>
          <w:t>https://doi.org/10.1080/00918369.2012.699851</w:t>
        </w:r>
      </w:hyperlink>
      <w:r>
        <w:t>.</w:t>
      </w:r>
      <w:r w:rsidR="009E1349">
        <w:t xml:space="preserve"> </w:t>
      </w:r>
      <w:r w:rsidR="00354E2A">
        <w:t>(Accessed 6th May 2023)</w:t>
      </w:r>
    </w:p>
    <w:p w14:paraId="40772CC3" w14:textId="3D7FA120" w:rsidR="00C47A5B" w:rsidRDefault="00BA27EE" w:rsidP="00C47A5B">
      <w:pPr>
        <w:spacing w:line="480" w:lineRule="auto"/>
        <w:ind w:hanging="720"/>
      </w:pPr>
      <w:r w:rsidRPr="00014E8D">
        <w:t xml:space="preserve">Browne, K. and Nash, C.J. (2016) </w:t>
      </w:r>
      <w:r w:rsidRPr="005B466F">
        <w:rPr>
          <w:i/>
          <w:iCs/>
        </w:rPr>
        <w:t xml:space="preserve">Queer methods and </w:t>
      </w:r>
      <w:r w:rsidR="00727D1D" w:rsidRPr="005B466F">
        <w:rPr>
          <w:i/>
          <w:iCs/>
        </w:rPr>
        <w:t>methodologies:</w:t>
      </w:r>
      <w:r w:rsidRPr="005B466F">
        <w:rPr>
          <w:i/>
          <w:iCs/>
        </w:rPr>
        <w:t xml:space="preserve"> intersecting </w:t>
      </w:r>
      <w:r w:rsidR="00BA2220">
        <w:rPr>
          <w:i/>
          <w:iCs/>
        </w:rPr>
        <w:t>Queer Theories</w:t>
      </w:r>
      <w:r w:rsidRPr="005B466F">
        <w:rPr>
          <w:i/>
          <w:iCs/>
        </w:rPr>
        <w:t xml:space="preserve"> and social science research.</w:t>
      </w:r>
      <w:r w:rsidRPr="00014E8D">
        <w:t xml:space="preserve"> </w:t>
      </w:r>
      <w:r w:rsidR="00727D1D" w:rsidRPr="00014E8D">
        <w:t>London</w:t>
      </w:r>
      <w:r w:rsidR="00727D1D">
        <w:t xml:space="preserve">, </w:t>
      </w:r>
      <w:r w:rsidR="00727D1D" w:rsidRPr="00014E8D">
        <w:t>Routledge</w:t>
      </w:r>
      <w:r w:rsidRPr="00014E8D">
        <w:t xml:space="preserve">. Available at: </w:t>
      </w:r>
      <w:hyperlink r:id="rId30" w:history="1">
        <w:r w:rsidRPr="00354E2A">
          <w:rPr>
            <w:rStyle w:val="Hyperlink"/>
          </w:rPr>
          <w:t>https://doi.org/10.4324/9781315603223</w:t>
        </w:r>
      </w:hyperlink>
      <w:r w:rsidR="00354E2A">
        <w:t>. (Accessed 6th May 2023)</w:t>
      </w:r>
    </w:p>
    <w:p w14:paraId="125393EE" w14:textId="7B50253D" w:rsidR="00BA27EE" w:rsidRDefault="00BA27EE" w:rsidP="00C47A5B">
      <w:pPr>
        <w:spacing w:line="480" w:lineRule="auto"/>
        <w:ind w:hanging="720"/>
      </w:pPr>
      <w:r>
        <w:t xml:space="preserve">Browne, K., Brown, G. and Nash, C.J. (2021) ‘Geography and sexuality II: Homonormativity and heteroactivism’, </w:t>
      </w:r>
      <w:r w:rsidRPr="00E253DF">
        <w:rPr>
          <w:i/>
          <w:iCs/>
        </w:rPr>
        <w:t>Progress in human geography</w:t>
      </w:r>
      <w:r>
        <w:t xml:space="preserve">, 45(5), pp. 1320–1328. Available at: </w:t>
      </w:r>
      <w:hyperlink r:id="rId31" w:history="1">
        <w:r w:rsidRPr="0038220D">
          <w:rPr>
            <w:rStyle w:val="Hyperlink"/>
          </w:rPr>
          <w:t>https://doi.org/10.1177/03091325211016087</w:t>
        </w:r>
      </w:hyperlink>
      <w:r>
        <w:t>.</w:t>
      </w:r>
      <w:r w:rsidR="009E1349">
        <w:t xml:space="preserve"> </w:t>
      </w:r>
      <w:r w:rsidR="00354E2A">
        <w:t>(Accessed 6th May 2023)</w:t>
      </w:r>
    </w:p>
    <w:p w14:paraId="47F69A50" w14:textId="3F09D0EB" w:rsidR="00C47A5B" w:rsidRDefault="00BA27EE" w:rsidP="00C47A5B">
      <w:pPr>
        <w:spacing w:line="480" w:lineRule="auto"/>
        <w:ind w:hanging="720"/>
      </w:pPr>
      <w:r>
        <w:t xml:space="preserve">Burchardt, H.-J. and Leinius, J. (2022) </w:t>
      </w:r>
      <w:r w:rsidRPr="00FC6F5C">
        <w:rPr>
          <w:i/>
          <w:iCs/>
        </w:rPr>
        <w:t xml:space="preserve">(Post-)colonial </w:t>
      </w:r>
      <w:r w:rsidR="00727D1D" w:rsidRPr="00FC6F5C">
        <w:rPr>
          <w:i/>
          <w:iCs/>
        </w:rPr>
        <w:t>Archipelagos:</w:t>
      </w:r>
      <w:r w:rsidRPr="00FC6F5C">
        <w:rPr>
          <w:i/>
          <w:iCs/>
        </w:rPr>
        <w:t xml:space="preserve"> Comparing the Legacies of Spanish Colonialism in Cuba, Puerto Rico, and the Philippines</w:t>
      </w:r>
      <w:r>
        <w:t>. Ann Arbor: University of Michigan Press.</w:t>
      </w:r>
      <w:r w:rsidR="009E1349">
        <w:t xml:space="preserve"> </w:t>
      </w:r>
    </w:p>
    <w:p w14:paraId="6FAFE618" w14:textId="63156CAA" w:rsidR="00BA27EE" w:rsidRPr="00C47A5B" w:rsidRDefault="00BA27EE" w:rsidP="00C47A5B">
      <w:pPr>
        <w:spacing w:line="480" w:lineRule="auto"/>
        <w:ind w:hanging="720"/>
      </w:pPr>
      <w:r>
        <w:rPr>
          <w:color w:val="000000"/>
        </w:rPr>
        <w:t xml:space="preserve">Butler, J. (1999) </w:t>
      </w:r>
      <w:r>
        <w:rPr>
          <w:i/>
          <w:iCs/>
          <w:color w:val="000000"/>
        </w:rPr>
        <w:t>Gender Trouble: Feminism and the Subversion of Identity</w:t>
      </w:r>
      <w:r>
        <w:rPr>
          <w:color w:val="000000"/>
        </w:rPr>
        <w:t>. New York, Routledge.</w:t>
      </w:r>
    </w:p>
    <w:p w14:paraId="4A1B2A11" w14:textId="5528F22E" w:rsidR="00BA27EE" w:rsidRDefault="00BA27EE" w:rsidP="00AC0EE8">
      <w:pPr>
        <w:spacing w:line="480" w:lineRule="auto"/>
        <w:ind w:hanging="720"/>
      </w:pPr>
      <w:r>
        <w:t>Chambers, P. (2020) ‘Epistemology and Domination: Problems with the Coloniality of Knowledge Thesis in Latin American Decolonial Theory</w:t>
      </w:r>
      <w:r w:rsidR="00727D1D">
        <w:t xml:space="preserve">’ </w:t>
      </w:r>
      <w:r w:rsidR="00727D1D" w:rsidRPr="00727D1D">
        <w:rPr>
          <w:i/>
          <w:iCs/>
        </w:rPr>
        <w:t>Dados</w:t>
      </w:r>
      <w:r w:rsidRPr="00E64C90">
        <w:rPr>
          <w:i/>
          <w:iCs/>
        </w:rPr>
        <w:t xml:space="preserve">: Revista de Ciências Sociais, </w:t>
      </w:r>
      <w:r>
        <w:t xml:space="preserve">63(4). Available at: </w:t>
      </w:r>
      <w:hyperlink r:id="rId32" w:history="1">
        <w:r w:rsidRPr="00642B5B">
          <w:rPr>
            <w:rStyle w:val="Hyperlink"/>
          </w:rPr>
          <w:t>https://doi.org/10.1590/dados.2020.63.4.221</w:t>
        </w:r>
      </w:hyperlink>
      <w:r>
        <w:t>.</w:t>
      </w:r>
      <w:r w:rsidR="009E1349">
        <w:t xml:space="preserve"> </w:t>
      </w:r>
      <w:r w:rsidR="00354E2A">
        <w:t>(Accessed 6th May 2023)</w:t>
      </w:r>
    </w:p>
    <w:p w14:paraId="0F29B80E" w14:textId="09656BF4" w:rsidR="00BA27EE" w:rsidRDefault="00BA27EE" w:rsidP="00AC0EE8">
      <w:pPr>
        <w:spacing w:line="480" w:lineRule="auto"/>
        <w:ind w:hanging="720"/>
      </w:pPr>
      <w:r w:rsidRPr="00AD5D6E">
        <w:rPr>
          <w:color w:val="333333"/>
        </w:rPr>
        <w:t xml:space="preserve"> Cho, S., Crenshaw, K.W. and McCall, L. (2013) ‘Toward a Field of Intersectionality Studies: Theory, Applications, and Praxis’, </w:t>
      </w:r>
      <w:r w:rsidRPr="00AD5D6E">
        <w:rPr>
          <w:i/>
          <w:iCs/>
          <w:color w:val="333333"/>
        </w:rPr>
        <w:t>Signs: Journal of Women in Culture and Society</w:t>
      </w:r>
      <w:r w:rsidRPr="00AD5D6E">
        <w:rPr>
          <w:color w:val="333333"/>
        </w:rPr>
        <w:t xml:space="preserve">, </w:t>
      </w:r>
      <w:r w:rsidRPr="00AD5D6E">
        <w:rPr>
          <w:color w:val="333333"/>
        </w:rPr>
        <w:lastRenderedPageBreak/>
        <w:t xml:space="preserve">38(4), pp. 785–810. Available at: </w:t>
      </w:r>
      <w:hyperlink r:id="rId33" w:history="1">
        <w:r w:rsidRPr="00873E6C">
          <w:rPr>
            <w:rStyle w:val="Hyperlink"/>
          </w:rPr>
          <w:t>https://doi.org/10.1086/669608</w:t>
        </w:r>
      </w:hyperlink>
      <w:r w:rsidRPr="00AD5D6E">
        <w:rPr>
          <w:color w:val="333333"/>
        </w:rPr>
        <w:t>.</w:t>
      </w:r>
      <w:r w:rsidR="009E1349">
        <w:rPr>
          <w:color w:val="333333"/>
        </w:rPr>
        <w:t xml:space="preserve"> </w:t>
      </w:r>
      <w:r w:rsidR="00354E2A">
        <w:t>(Accessed 6th May 2023)</w:t>
      </w:r>
    </w:p>
    <w:p w14:paraId="5E707824" w14:textId="7604BBC9" w:rsidR="00FB10A1" w:rsidRDefault="00FB10A1" w:rsidP="00EB4488">
      <w:pPr>
        <w:spacing w:line="480" w:lineRule="auto"/>
        <w:ind w:hanging="720"/>
        <w:contextualSpacing/>
      </w:pPr>
      <w:r>
        <w:rPr>
          <w:i/>
          <w:iCs/>
        </w:rPr>
        <w:t>Civil Partnership</w:t>
      </w:r>
      <w:r w:rsidRPr="008D076C">
        <w:rPr>
          <w:i/>
          <w:iCs/>
        </w:rPr>
        <w:t xml:space="preserve"> Act 200</w:t>
      </w:r>
      <w:r>
        <w:rPr>
          <w:i/>
          <w:iCs/>
        </w:rPr>
        <w:t>4</w:t>
      </w:r>
      <w:r w:rsidRPr="008D076C">
        <w:t xml:space="preserve">. Available at: </w:t>
      </w:r>
      <w:hyperlink r:id="rId34" w:history="1">
        <w:r w:rsidR="00EB4488" w:rsidRPr="00400B90">
          <w:rPr>
            <w:rStyle w:val="Hyperlink"/>
          </w:rPr>
          <w:t>https://www.legislation.gov.uk/ukpga/2004/33/contents</w:t>
        </w:r>
      </w:hyperlink>
      <w:r w:rsidR="00EB4488" w:rsidRPr="00EB4488">
        <w:t xml:space="preserve"> </w:t>
      </w:r>
      <w:r w:rsidR="00354E2A">
        <w:t xml:space="preserve"> (</w:t>
      </w:r>
      <w:r w:rsidRPr="008D076C">
        <w:t xml:space="preserve">Accessed </w:t>
      </w:r>
      <w:r w:rsidR="00EB4488">
        <w:t>15</w:t>
      </w:r>
      <w:r w:rsidR="00354E2A" w:rsidRPr="00354E2A">
        <w:rPr>
          <w:vertAlign w:val="superscript"/>
        </w:rPr>
        <w:t>th</w:t>
      </w:r>
      <w:r w:rsidR="00354E2A">
        <w:t xml:space="preserve"> September </w:t>
      </w:r>
      <w:r w:rsidRPr="008D076C">
        <w:t>202</w:t>
      </w:r>
      <w:r w:rsidR="00EB4488">
        <w:t>3</w:t>
      </w:r>
      <w:r w:rsidR="00354E2A">
        <w:t>)</w:t>
      </w:r>
      <w:r w:rsidRPr="008D076C">
        <w:t>.</w:t>
      </w:r>
    </w:p>
    <w:p w14:paraId="4E869773" w14:textId="56CA7745" w:rsidR="00BA27EE" w:rsidRDefault="00BA27EE" w:rsidP="00AC0EE8">
      <w:pPr>
        <w:spacing w:line="480" w:lineRule="auto"/>
        <w:ind w:hanging="720"/>
      </w:pPr>
      <w:r>
        <w:t xml:space="preserve">Coates, T. (2016) ‘Miguel Banderia Jerónimo. The “Civilising Mission” of Portuguese Colonialism, 1870–1930’, </w:t>
      </w:r>
      <w:r w:rsidRPr="00FC6F5C">
        <w:rPr>
          <w:i/>
          <w:iCs/>
        </w:rPr>
        <w:t>The American Historical Review</w:t>
      </w:r>
      <w:r>
        <w:t xml:space="preserve">, 121(4), pp. 1398–1399. Available at: </w:t>
      </w:r>
      <w:hyperlink r:id="rId35" w:history="1">
        <w:r w:rsidRPr="0038220D">
          <w:rPr>
            <w:rStyle w:val="Hyperlink"/>
          </w:rPr>
          <w:t>https://doi.org/10.1093/ahr/121.4.1398</w:t>
        </w:r>
      </w:hyperlink>
      <w:r>
        <w:t>.</w:t>
      </w:r>
      <w:r w:rsidR="009E1349">
        <w:t xml:space="preserve"> </w:t>
      </w:r>
      <w:r w:rsidR="00B734CA">
        <w:t>(Accessed 6th May 2023)</w:t>
      </w:r>
    </w:p>
    <w:p w14:paraId="5E130477" w14:textId="4EA21CFB" w:rsidR="008454F9" w:rsidRDefault="00BA27EE" w:rsidP="008454F9">
      <w:pPr>
        <w:spacing w:line="480" w:lineRule="auto"/>
        <w:ind w:hanging="720"/>
      </w:pPr>
      <w:r w:rsidRPr="00F559E0">
        <w:t xml:space="preserve">Cole, A. (2004) “What Hegel’s Master/Slave Dialectic really means”. </w:t>
      </w:r>
      <w:r w:rsidRPr="00F559E0">
        <w:rPr>
          <w:i/>
          <w:iCs/>
        </w:rPr>
        <w:t xml:space="preserve"> Journal of Medieval</w:t>
      </w:r>
      <w:r w:rsidRPr="00F559E0">
        <w:t xml:space="preserve"> </w:t>
      </w:r>
      <w:r w:rsidRPr="00F559E0">
        <w:rPr>
          <w:i/>
          <w:iCs/>
        </w:rPr>
        <w:t>and Early</w:t>
      </w:r>
      <w:r w:rsidRPr="00F559E0">
        <w:t xml:space="preserve"> </w:t>
      </w:r>
      <w:r w:rsidRPr="00F559E0">
        <w:rPr>
          <w:i/>
          <w:iCs/>
        </w:rPr>
        <w:t>Modern Studies</w:t>
      </w:r>
      <w:r w:rsidRPr="00F559E0">
        <w:t>, 34(3), pp.577-610.</w:t>
      </w:r>
      <w:r w:rsidR="009E1349">
        <w:t xml:space="preserve"> </w:t>
      </w:r>
      <w:r w:rsidR="00B734CA">
        <w:t>(Accessed 6th May 2023)</w:t>
      </w:r>
    </w:p>
    <w:p w14:paraId="642F8E3E" w14:textId="4BFDB7F6" w:rsidR="008454F9" w:rsidRDefault="008454F9" w:rsidP="008454F9">
      <w:pPr>
        <w:spacing w:line="480" w:lineRule="auto"/>
        <w:ind w:hanging="720"/>
      </w:pPr>
      <w:r>
        <w:t xml:space="preserve">Coley, J.S. (2017) ‘Reconciling Religion and LGBT Rights: Christian Universities, Theological Orientations, and LGBT Inclusion’, </w:t>
      </w:r>
      <w:r w:rsidRPr="008454F9">
        <w:rPr>
          <w:i/>
          <w:iCs/>
        </w:rPr>
        <w:t>Social currents</w:t>
      </w:r>
      <w:r>
        <w:t>, 4(1), pp. 87–106. Available at: https://doi.org/10.1177/2329496516651639.</w:t>
      </w:r>
      <w:r w:rsidR="009E1349" w:rsidRPr="009E1349">
        <w:t xml:space="preserve"> </w:t>
      </w:r>
      <w:r w:rsidR="00B734CA">
        <w:t>(Accessed 6th May 2023)</w:t>
      </w:r>
    </w:p>
    <w:p w14:paraId="1A57AF13" w14:textId="60788E9B" w:rsidR="00BA27EE" w:rsidRDefault="00BA27EE" w:rsidP="00AC0EE8">
      <w:pPr>
        <w:spacing w:line="480" w:lineRule="auto"/>
        <w:ind w:hanging="720"/>
      </w:pPr>
      <w:r w:rsidRPr="00970D36">
        <w:rPr>
          <w:color w:val="333333"/>
        </w:rPr>
        <w:t xml:space="preserve">Collins, P.H. (2015) ‘Intersectionality’s Definitional Dilemmas’, </w:t>
      </w:r>
      <w:r w:rsidRPr="00970D36">
        <w:rPr>
          <w:i/>
          <w:iCs/>
          <w:color w:val="333333"/>
        </w:rPr>
        <w:t>Annual review of sociology</w:t>
      </w:r>
      <w:r w:rsidRPr="00970D36">
        <w:rPr>
          <w:color w:val="333333"/>
        </w:rPr>
        <w:t xml:space="preserve">, 41(1), pp. 1–20. Available at: </w:t>
      </w:r>
      <w:hyperlink r:id="rId36" w:history="1">
        <w:r w:rsidRPr="00873E6C">
          <w:rPr>
            <w:rStyle w:val="Hyperlink"/>
          </w:rPr>
          <w:t>https://doi.org/10.1146/annurev-soc-073014-112142</w:t>
        </w:r>
      </w:hyperlink>
      <w:r w:rsidRPr="00970D36">
        <w:rPr>
          <w:color w:val="333333"/>
        </w:rPr>
        <w:t>.</w:t>
      </w:r>
      <w:r w:rsidR="009E1349">
        <w:rPr>
          <w:color w:val="333333"/>
        </w:rPr>
        <w:t xml:space="preserve"> </w:t>
      </w:r>
      <w:r w:rsidR="00B734CA">
        <w:t>(Accessed 6th May 2023)</w:t>
      </w:r>
    </w:p>
    <w:p w14:paraId="30E41EEE" w14:textId="075F0247" w:rsidR="00BA27EE" w:rsidRDefault="00BA27EE" w:rsidP="00AC0EE8">
      <w:pPr>
        <w:spacing w:line="480" w:lineRule="auto"/>
        <w:ind w:hanging="720"/>
      </w:pPr>
      <w:r>
        <w:t xml:space="preserve">Commonwealth. (2022) </w:t>
      </w:r>
      <w:r>
        <w:rPr>
          <w:i/>
          <w:iCs/>
        </w:rPr>
        <w:t>About Us</w:t>
      </w:r>
      <w:r>
        <w:t xml:space="preserve">. Available at: </w:t>
      </w:r>
      <w:hyperlink r:id="rId37" w:history="1">
        <w:r w:rsidRPr="00D35FAE">
          <w:rPr>
            <w:rStyle w:val="Hyperlink"/>
          </w:rPr>
          <w:t>https://thecommonwealth.org/about-us</w:t>
        </w:r>
      </w:hyperlink>
      <w:r>
        <w:t xml:space="preserve"> </w:t>
      </w:r>
      <w:r w:rsidR="00B734CA">
        <w:t>(</w:t>
      </w:r>
      <w:r>
        <w:t>Accessed</w:t>
      </w:r>
      <w:r w:rsidR="00B734CA">
        <w:t xml:space="preserve"> 7th October </w:t>
      </w:r>
      <w:r>
        <w:t>2022</w:t>
      </w:r>
      <w:r w:rsidR="00B734CA">
        <w:t>)</w:t>
      </w:r>
      <w:r>
        <w:t xml:space="preserve">. </w:t>
      </w:r>
    </w:p>
    <w:p w14:paraId="3A835EB0" w14:textId="48832579" w:rsidR="00BA27EE" w:rsidRDefault="00BA27EE" w:rsidP="00AC0EE8">
      <w:pPr>
        <w:spacing w:line="480" w:lineRule="auto"/>
        <w:ind w:hanging="720"/>
      </w:pPr>
      <w:r>
        <w:t xml:space="preserve">Costello, P.R. (2018) </w:t>
      </w:r>
      <w:r w:rsidRPr="00431967">
        <w:rPr>
          <w:i/>
          <w:iCs/>
        </w:rPr>
        <w:t xml:space="preserve">Layers In Husserl’s </w:t>
      </w:r>
      <w:r w:rsidR="00BD5BBC" w:rsidRPr="00431967">
        <w:rPr>
          <w:i/>
          <w:iCs/>
        </w:rPr>
        <w:t>Phenomenolog</w:t>
      </w:r>
      <w:r w:rsidR="00BD5BBC">
        <w:rPr>
          <w:i/>
          <w:iCs/>
        </w:rPr>
        <w:t>y</w:t>
      </w:r>
      <w:r w:rsidRPr="00431967">
        <w:rPr>
          <w:i/>
          <w:iCs/>
        </w:rPr>
        <w:t>: On Meaning and Intersubjectivit</w:t>
      </w:r>
      <w:r>
        <w:t>y. Toronto: University of Toronto Press.</w:t>
      </w:r>
      <w:r w:rsidR="009E1349">
        <w:t xml:space="preserve"> </w:t>
      </w:r>
      <w:r>
        <w:t xml:space="preserve">Available at: </w:t>
      </w:r>
      <w:hyperlink r:id="rId38" w:history="1">
        <w:r w:rsidRPr="0038220D">
          <w:rPr>
            <w:rStyle w:val="Hyperlink"/>
          </w:rPr>
          <w:t>https://doi.org/10.3138/9781442661097</w:t>
        </w:r>
      </w:hyperlink>
      <w:r>
        <w:t>.</w:t>
      </w:r>
      <w:r w:rsidR="009E1349">
        <w:t xml:space="preserve"> </w:t>
      </w:r>
      <w:r w:rsidR="00B734CA">
        <w:t>(Accessed 6th May 2023)</w:t>
      </w:r>
    </w:p>
    <w:p w14:paraId="5CD451B0" w14:textId="77777777" w:rsidR="00BA27EE" w:rsidRPr="00F559E0" w:rsidRDefault="00BA27EE" w:rsidP="00AC0EE8">
      <w:pPr>
        <w:spacing w:line="480" w:lineRule="auto"/>
        <w:ind w:hanging="720"/>
      </w:pPr>
      <w:r w:rsidRPr="00F559E0">
        <w:t xml:space="preserve">Crang, M. (1998) </w:t>
      </w:r>
      <w:r w:rsidRPr="00F559E0">
        <w:rPr>
          <w:i/>
          <w:iCs/>
        </w:rPr>
        <w:t xml:space="preserve">Cultural Geography. </w:t>
      </w:r>
      <w:r w:rsidRPr="00F559E0">
        <w:t>London, Routledge</w:t>
      </w:r>
    </w:p>
    <w:p w14:paraId="12BBC3F7" w14:textId="74875034" w:rsidR="00C47A5B" w:rsidRDefault="00BA27EE" w:rsidP="00C47A5B">
      <w:pPr>
        <w:pStyle w:val="NormalWeb"/>
        <w:shd w:val="clear" w:color="auto" w:fill="FFFFFF"/>
        <w:spacing w:before="0" w:beforeAutospacing="0" w:after="240" w:afterAutospacing="0" w:line="480" w:lineRule="auto"/>
        <w:ind w:hanging="720"/>
      </w:pPr>
      <w:r w:rsidRPr="009B6078">
        <w:t xml:space="preserve">Crenshaw, K. (1989). Demarginalizing the intersection of race and sex: A black feminist critique of antidiscrimination doctrine, feminist theory and antiracist politics. </w:t>
      </w:r>
      <w:r w:rsidRPr="009B6078">
        <w:rPr>
          <w:i/>
          <w:iCs/>
        </w:rPr>
        <w:t>University of Chicago Legal Forum</w:t>
      </w:r>
      <w:r w:rsidRPr="009B6078">
        <w:t xml:space="preserve">, 1989 (1), pp.139 – 167. Available at: </w:t>
      </w:r>
      <w:hyperlink r:id="rId39" w:history="1">
        <w:r w:rsidRPr="009B6078">
          <w:rPr>
            <w:rStyle w:val="Hyperlink"/>
          </w:rPr>
          <w:t>https://chicagounbound.uchicago.edu/cgi/viewcontent.cgi?article=1052&amp;context=uclf</w:t>
        </w:r>
      </w:hyperlink>
      <w:r w:rsidRPr="009B6078">
        <w:t xml:space="preserve"> </w:t>
      </w:r>
      <w:r w:rsidR="00B734CA">
        <w:t>(</w:t>
      </w:r>
      <w:r w:rsidRPr="009B6078">
        <w:t>Accessed 5</w:t>
      </w:r>
      <w:r w:rsidR="00B734CA" w:rsidRPr="00B734CA">
        <w:rPr>
          <w:vertAlign w:val="superscript"/>
        </w:rPr>
        <w:t>th</w:t>
      </w:r>
      <w:r w:rsidR="00B734CA">
        <w:t xml:space="preserve"> February </w:t>
      </w:r>
      <w:r w:rsidRPr="009B6078">
        <w:t>2023</w:t>
      </w:r>
      <w:r w:rsidR="00B734CA">
        <w:t>)</w:t>
      </w:r>
    </w:p>
    <w:p w14:paraId="32DBB0ED" w14:textId="18876214" w:rsidR="00BD5BBC" w:rsidRDefault="00BA27EE" w:rsidP="00C47A5B">
      <w:pPr>
        <w:pStyle w:val="NormalWeb"/>
        <w:shd w:val="clear" w:color="auto" w:fill="FFFFFF"/>
        <w:spacing w:before="0" w:beforeAutospacing="0" w:after="240" w:afterAutospacing="0" w:line="480" w:lineRule="auto"/>
        <w:ind w:hanging="720"/>
      </w:pPr>
      <w:r>
        <w:t xml:space="preserve">Davies, T., Isakjee, A. and Dhesi, S. (2017) ‘Violent Inaction: The Necropolitical Experience of Refugees in Europe’, </w:t>
      </w:r>
      <w:r w:rsidRPr="000C2E4C">
        <w:rPr>
          <w:i/>
          <w:iCs/>
        </w:rPr>
        <w:t>Antipode</w:t>
      </w:r>
      <w:r>
        <w:t xml:space="preserve">, 49(5), pp. 1263–1284. Available at: </w:t>
      </w:r>
      <w:hyperlink r:id="rId40" w:history="1">
        <w:r w:rsidRPr="00642B5B">
          <w:rPr>
            <w:rStyle w:val="Hyperlink"/>
          </w:rPr>
          <w:t>https://doi.org/10.1111/anti.12325</w:t>
        </w:r>
      </w:hyperlink>
      <w:r>
        <w:t>.</w:t>
      </w:r>
      <w:r w:rsidR="009E1349">
        <w:t xml:space="preserve"> </w:t>
      </w:r>
      <w:r w:rsidR="00B734CA">
        <w:t>(Accessed 6th May 2023)</w:t>
      </w:r>
    </w:p>
    <w:p w14:paraId="730479E8" w14:textId="5EE86F9A" w:rsidR="00C47A5B" w:rsidRDefault="00BA27EE" w:rsidP="00C47A5B">
      <w:pPr>
        <w:pStyle w:val="NormalWeb"/>
        <w:shd w:val="clear" w:color="auto" w:fill="FFFFFF"/>
        <w:spacing w:before="0" w:beforeAutospacing="0" w:after="240" w:afterAutospacing="0" w:line="480" w:lineRule="auto"/>
        <w:ind w:hanging="720"/>
      </w:pPr>
      <w:r w:rsidRPr="00014E8D">
        <w:rPr>
          <w:rFonts w:eastAsia="Calibri"/>
        </w:rPr>
        <w:t xml:space="preserve">Dente, C. (2019) </w:t>
      </w:r>
      <w:r w:rsidRPr="005B466F">
        <w:rPr>
          <w:rFonts w:eastAsia="Calibri"/>
          <w:i/>
          <w:iCs/>
        </w:rPr>
        <w:t xml:space="preserve">Social work practice with LGBTQIA </w:t>
      </w:r>
      <w:r w:rsidR="00256836" w:rsidRPr="005B466F">
        <w:rPr>
          <w:rFonts w:eastAsia="Calibri"/>
          <w:i/>
          <w:iCs/>
        </w:rPr>
        <w:t>populations:</w:t>
      </w:r>
      <w:r w:rsidRPr="005B466F">
        <w:rPr>
          <w:rFonts w:eastAsia="Calibri"/>
          <w:i/>
          <w:iCs/>
        </w:rPr>
        <w:t xml:space="preserve"> a relationship perspective</w:t>
      </w:r>
      <w:r w:rsidRPr="00014E8D">
        <w:rPr>
          <w:rFonts w:eastAsia="Calibri"/>
        </w:rPr>
        <w:t>. Edited by C. Dente. New York, Routledge.</w:t>
      </w:r>
    </w:p>
    <w:p w14:paraId="102DFFAC" w14:textId="278672A2" w:rsidR="00CF058B" w:rsidRPr="00C47A5B" w:rsidRDefault="00BA27EE" w:rsidP="00C47A5B">
      <w:pPr>
        <w:pStyle w:val="NormalWeb"/>
        <w:shd w:val="clear" w:color="auto" w:fill="FFFFFF"/>
        <w:spacing w:before="0" w:beforeAutospacing="0" w:after="240" w:afterAutospacing="0" w:line="480" w:lineRule="auto"/>
        <w:ind w:hanging="720"/>
        <w:rPr>
          <w:rStyle w:val="Hyperlink"/>
          <w:color w:val="auto"/>
          <w:u w:val="none"/>
        </w:rPr>
      </w:pPr>
      <w:r>
        <w:t xml:space="preserve">Dillon, M. and Reid, J. (2001) ‘Global Liberal Governance: Biopolitics, Security and War’, </w:t>
      </w:r>
      <w:r w:rsidRPr="00625674">
        <w:rPr>
          <w:i/>
          <w:iCs/>
        </w:rPr>
        <w:t>Millennium</w:t>
      </w:r>
      <w:r>
        <w:t xml:space="preserve">, 30(1), pp. 41–66. Available at: </w:t>
      </w:r>
      <w:hyperlink r:id="rId41" w:history="1">
        <w:r w:rsidR="00205032" w:rsidRPr="00A33F7B">
          <w:rPr>
            <w:rStyle w:val="Hyperlink"/>
          </w:rPr>
          <w:t>https://doi.org/10.1177/0305829801030001050</w:t>
        </w:r>
      </w:hyperlink>
      <w:r w:rsidR="009E1349">
        <w:rPr>
          <w:rStyle w:val="Hyperlink"/>
        </w:rPr>
        <w:t xml:space="preserve">. </w:t>
      </w:r>
      <w:r w:rsidR="00B734CA">
        <w:t>(Accessed 6th May 2023)</w:t>
      </w:r>
    </w:p>
    <w:p w14:paraId="0191C68D" w14:textId="0D75F51F" w:rsidR="00205032" w:rsidRDefault="00CF058B" w:rsidP="00205032">
      <w:pPr>
        <w:pStyle w:val="NormalWeb"/>
        <w:shd w:val="clear" w:color="auto" w:fill="FFFFFF"/>
        <w:spacing w:before="0" w:beforeAutospacing="0" w:after="240" w:afterAutospacing="0" w:line="480" w:lineRule="auto"/>
        <w:ind w:hanging="720"/>
        <w:rPr>
          <w:rStyle w:val="Hyperlink"/>
        </w:rPr>
      </w:pPr>
      <w:r w:rsidRPr="00CF058B">
        <w:rPr>
          <w:rStyle w:val="Hyperlink"/>
          <w:color w:val="auto"/>
          <w:u w:val="none"/>
        </w:rPr>
        <w:t xml:space="preserve">Dreier, S.K., Long, J.D. and Winkler, S.J. (2020) ‘African, Religious, and Tolerant? How Religious Diversity Shapes Attitudes Toward Sexual Minorities in Africa’, </w:t>
      </w:r>
      <w:r w:rsidRPr="00CF058B">
        <w:rPr>
          <w:rStyle w:val="Hyperlink"/>
          <w:i/>
          <w:iCs/>
          <w:color w:val="auto"/>
          <w:u w:val="none"/>
        </w:rPr>
        <w:t>Politics and religion</w:t>
      </w:r>
      <w:r w:rsidRPr="00CF058B">
        <w:rPr>
          <w:rStyle w:val="Hyperlink"/>
          <w:color w:val="auto"/>
          <w:u w:val="none"/>
        </w:rPr>
        <w:t>, 13(2), pp. 273–303. Available at:</w:t>
      </w:r>
      <w:r w:rsidRPr="00CF058B">
        <w:rPr>
          <w:rStyle w:val="Hyperlink"/>
        </w:rPr>
        <w:t xml:space="preserve"> </w:t>
      </w:r>
      <w:hyperlink r:id="rId42" w:history="1">
        <w:r w:rsidR="009E1349" w:rsidRPr="00FA0A6A">
          <w:rPr>
            <w:rStyle w:val="Hyperlink"/>
          </w:rPr>
          <w:t>https://doi.org/10.1017/S1755048319000348</w:t>
        </w:r>
      </w:hyperlink>
      <w:r w:rsidRPr="00CF058B">
        <w:rPr>
          <w:rStyle w:val="Hyperlink"/>
        </w:rPr>
        <w:t>.</w:t>
      </w:r>
      <w:r w:rsidR="009E1349">
        <w:rPr>
          <w:rStyle w:val="Hyperlink"/>
        </w:rPr>
        <w:t xml:space="preserve"> </w:t>
      </w:r>
      <w:r w:rsidR="00B734CA">
        <w:t>(Accessed 6th May 2023)</w:t>
      </w:r>
    </w:p>
    <w:p w14:paraId="0680F668" w14:textId="77777777" w:rsidR="00C47A5B" w:rsidRDefault="00BA27EE" w:rsidP="00C47A5B">
      <w:pPr>
        <w:pStyle w:val="NormalWeb"/>
        <w:shd w:val="clear" w:color="auto" w:fill="FFFFFF"/>
        <w:spacing w:before="0" w:beforeAutospacing="0" w:after="240" w:afterAutospacing="0" w:line="480" w:lineRule="auto"/>
        <w:ind w:hanging="720"/>
      </w:pPr>
      <w:r>
        <w:t xml:space="preserve">Dube, M.W. (2012) “The Scramble for Africa as the Biblical Scramble for Africa: Postcolonial Perspectives”, in </w:t>
      </w:r>
      <w:r w:rsidRPr="007F5CA5">
        <w:rPr>
          <w:i/>
          <w:iCs/>
        </w:rPr>
        <w:t>Postcolonial Perspectives in African Biblical Interpretation</w:t>
      </w:r>
      <w:r>
        <w:t xml:space="preserve">, edited by Andrew M. Mbuvi, Musa w. Dube and Dora Mbuwayesango. Society of Biblical Literature, Atlanta. </w:t>
      </w:r>
    </w:p>
    <w:p w14:paraId="23E78B31" w14:textId="062E8D31" w:rsidR="00BA27EE" w:rsidRDefault="00BA27EE" w:rsidP="00C47A5B">
      <w:pPr>
        <w:pStyle w:val="NormalWeb"/>
        <w:shd w:val="clear" w:color="auto" w:fill="FFFFFF"/>
        <w:spacing w:before="0" w:beforeAutospacing="0" w:after="240" w:afterAutospacing="0" w:line="480" w:lineRule="auto"/>
        <w:ind w:hanging="720"/>
      </w:pPr>
      <w:r>
        <w:t xml:space="preserve">Duong, K. (2012) ‘What Does </w:t>
      </w:r>
      <w:r w:rsidR="00BA2220">
        <w:t>Queer Theory</w:t>
      </w:r>
      <w:r>
        <w:t xml:space="preserve"> Teach Us about Intersectionality?’, </w:t>
      </w:r>
      <w:r w:rsidRPr="00797B58">
        <w:rPr>
          <w:i/>
          <w:iCs/>
        </w:rPr>
        <w:t>Politics &amp; gender</w:t>
      </w:r>
      <w:r>
        <w:t xml:space="preserve">, 8(3), pp. 370–386. Available at: </w:t>
      </w:r>
      <w:hyperlink r:id="rId43" w:history="1">
        <w:r w:rsidRPr="0038220D">
          <w:rPr>
            <w:rStyle w:val="Hyperlink"/>
          </w:rPr>
          <w:t>https://doi.org/10.1017/S1743923X12000360</w:t>
        </w:r>
      </w:hyperlink>
      <w:r>
        <w:t>.</w:t>
      </w:r>
      <w:r w:rsidR="009E1349">
        <w:t xml:space="preserve"> </w:t>
      </w:r>
      <w:r w:rsidR="002F112C">
        <w:t>(Accessed 6th May 2023)</w:t>
      </w:r>
    </w:p>
    <w:p w14:paraId="04D39EE3" w14:textId="15E921F8" w:rsidR="00BA27EE" w:rsidRDefault="00BA27EE" w:rsidP="00AC0EE8">
      <w:pPr>
        <w:spacing w:line="480" w:lineRule="auto"/>
        <w:ind w:hanging="720"/>
      </w:pPr>
      <w:r w:rsidRPr="00014E8D">
        <w:lastRenderedPageBreak/>
        <w:t xml:space="preserve">Dutta, A. (2012) ‘An Epistemology of Collusion: Hijras, Kothis and the Historical (Dis)continuity of Gender/Sexual Identities in Eastern India’, </w:t>
      </w:r>
      <w:r w:rsidRPr="005B466F">
        <w:rPr>
          <w:i/>
          <w:iCs/>
        </w:rPr>
        <w:t>Gender &amp; history</w:t>
      </w:r>
      <w:r w:rsidRPr="00014E8D">
        <w:t xml:space="preserve">, 24(3), pp. 825–849. Available at: </w:t>
      </w:r>
      <w:hyperlink r:id="rId44" w:history="1">
        <w:r w:rsidRPr="002F112C">
          <w:rPr>
            <w:rStyle w:val="Hyperlink"/>
          </w:rPr>
          <w:t>https://doi.org/10.1111/j.1468-0424.2012.01712</w:t>
        </w:r>
      </w:hyperlink>
      <w:r w:rsidRPr="00014E8D">
        <w:t xml:space="preserve">.x. </w:t>
      </w:r>
      <w:r w:rsidR="00675151">
        <w:t>(</w:t>
      </w:r>
      <w:r w:rsidRPr="00014E8D">
        <w:t>Accessed 1</w:t>
      </w:r>
      <w:r w:rsidR="00675151">
        <w:t xml:space="preserve">st October </w:t>
      </w:r>
      <w:r w:rsidRPr="00014E8D">
        <w:t>2022</w:t>
      </w:r>
      <w:r w:rsidR="00675151">
        <w:t>)</w:t>
      </w:r>
      <w:r w:rsidRPr="00014E8D">
        <w:t>.</w:t>
      </w:r>
    </w:p>
    <w:p w14:paraId="458313E6" w14:textId="36CC4F52" w:rsidR="00BA27EE" w:rsidRPr="00675151" w:rsidRDefault="00BA27EE" w:rsidP="00AC0EE8">
      <w:pPr>
        <w:spacing w:line="480" w:lineRule="auto"/>
        <w:ind w:hanging="720"/>
      </w:pPr>
      <w:r w:rsidRPr="00014E8D">
        <w:t xml:space="preserve">Dwyer, A. and Rundle, O. (2019) ‘Made wrong, excluded, and ignored: Introduction to a special issue on lesbians and the law’, </w:t>
      </w:r>
      <w:r w:rsidRPr="005B466F">
        <w:rPr>
          <w:i/>
          <w:iCs/>
        </w:rPr>
        <w:t>Journal of lesbian studie</w:t>
      </w:r>
      <w:r w:rsidRPr="00014E8D">
        <w:t xml:space="preserve">s, 23(3), pp. 295–305. Available at: </w:t>
      </w:r>
      <w:hyperlink r:id="rId45" w:history="1">
        <w:r w:rsidRPr="007C0B74">
          <w:rPr>
            <w:rStyle w:val="Hyperlink"/>
          </w:rPr>
          <w:t>https://doi.org/10.1080/10894160.2019.1597606</w:t>
        </w:r>
      </w:hyperlink>
      <w:r w:rsidRPr="00014E8D">
        <w:t>.</w:t>
      </w:r>
      <w:r w:rsidR="009E1349">
        <w:t xml:space="preserve"> </w:t>
      </w:r>
      <w:r w:rsidR="00675151">
        <w:t>(Accessed 6th May 2023)</w:t>
      </w:r>
    </w:p>
    <w:p w14:paraId="509F498D" w14:textId="0C671BD5" w:rsidR="00BA27EE" w:rsidRPr="009E1349" w:rsidRDefault="00BA27EE" w:rsidP="00AC0EE8">
      <w:pPr>
        <w:spacing w:line="480" w:lineRule="auto"/>
        <w:ind w:hanging="720"/>
      </w:pPr>
      <w:r>
        <w:t xml:space="preserve">Eberl, O. (2019) ‘Kant on Race and Barbarism: Towards a More Complex View on Racism and Anti-Colonialism in Kant’, </w:t>
      </w:r>
      <w:r w:rsidRPr="001B2D46">
        <w:rPr>
          <w:i/>
          <w:iCs/>
        </w:rPr>
        <w:t>Kantian review</w:t>
      </w:r>
      <w:r>
        <w:t xml:space="preserve">, 24(3), pp. 385–413. Available at: </w:t>
      </w:r>
      <w:hyperlink r:id="rId46" w:history="1">
        <w:r w:rsidRPr="0038220D">
          <w:rPr>
            <w:rStyle w:val="Hyperlink"/>
          </w:rPr>
          <w:t>https://doi.org/10.1017/S1369415419000189</w:t>
        </w:r>
      </w:hyperlink>
      <w:r>
        <w:t>.</w:t>
      </w:r>
      <w:r w:rsidR="009E1349" w:rsidRPr="009E1349">
        <w:t xml:space="preserve"> </w:t>
      </w:r>
      <w:r w:rsidR="007C0B74">
        <w:t>(Accessed 6th May 2023)</w:t>
      </w:r>
    </w:p>
    <w:p w14:paraId="477921CA" w14:textId="4BC0498F" w:rsidR="00FD3FEA" w:rsidRPr="00C611F9" w:rsidRDefault="00D932B7" w:rsidP="00AC0EE8">
      <w:pPr>
        <w:spacing w:line="480" w:lineRule="auto"/>
        <w:ind w:hanging="720"/>
      </w:pPr>
      <w:r>
        <w:t>Edensor</w:t>
      </w:r>
      <w:r w:rsidR="00FD3FEA">
        <w:t>, T. (</w:t>
      </w:r>
      <w:r w:rsidR="00C611F9">
        <w:t xml:space="preserve">2020) </w:t>
      </w:r>
      <w:r w:rsidR="00C611F9">
        <w:rPr>
          <w:i/>
          <w:iCs/>
        </w:rPr>
        <w:t>National Identity. Popular Culture and Everyday Life</w:t>
      </w:r>
      <w:r w:rsidR="00C611F9">
        <w:t xml:space="preserve">, London, Routledge. </w:t>
      </w:r>
    </w:p>
    <w:p w14:paraId="6475153A" w14:textId="3BB5B23E" w:rsidR="00AD1D51" w:rsidRDefault="00BA27EE" w:rsidP="00AD1D51">
      <w:pPr>
        <w:spacing w:line="480" w:lineRule="auto"/>
        <w:ind w:hanging="720"/>
      </w:pPr>
      <w:r>
        <w:t xml:space="preserve">Ellinghaus, K. (2017) </w:t>
      </w:r>
      <w:r w:rsidRPr="00CF3F1B">
        <w:rPr>
          <w:i/>
          <w:iCs/>
        </w:rPr>
        <w:t xml:space="preserve">Blood will </w:t>
      </w:r>
      <w:r w:rsidR="00256836" w:rsidRPr="00CF3F1B">
        <w:rPr>
          <w:i/>
          <w:iCs/>
        </w:rPr>
        <w:t>tell:</w:t>
      </w:r>
      <w:r w:rsidRPr="00CF3F1B">
        <w:rPr>
          <w:i/>
          <w:iCs/>
        </w:rPr>
        <w:t xml:space="preserve"> native Americans and assimilation policy</w:t>
      </w:r>
      <w:r>
        <w:t>. Nebraska: University of Nebraska.</w:t>
      </w:r>
    </w:p>
    <w:p w14:paraId="358786AA" w14:textId="16835A61" w:rsidR="00AD1D51" w:rsidRPr="009E1349" w:rsidRDefault="00AD1D51" w:rsidP="007C0B74">
      <w:pPr>
        <w:spacing w:line="480" w:lineRule="auto"/>
        <w:ind w:hanging="720"/>
      </w:pPr>
      <w:r>
        <w:t xml:space="preserve">Endsjø, D.Ø. (2020) ‘The other way around? How freedom of religion may protect LGBT rights’, </w:t>
      </w:r>
      <w:r w:rsidRPr="00C55A60">
        <w:rPr>
          <w:i/>
          <w:iCs/>
        </w:rPr>
        <w:t>The international journal of human rights</w:t>
      </w:r>
      <w:r>
        <w:t xml:space="preserve">, 24(10), pp. 1681–1700. Available at: </w:t>
      </w:r>
      <w:hyperlink r:id="rId47" w:history="1">
        <w:r w:rsidRPr="007C0B74">
          <w:rPr>
            <w:rStyle w:val="Hyperlink"/>
          </w:rPr>
          <w:t>https://doi.org/10.1080/13642987.2020.1763961</w:t>
        </w:r>
      </w:hyperlink>
      <w:r>
        <w:t>.</w:t>
      </w:r>
      <w:r w:rsidR="009E1349" w:rsidRPr="009E1349">
        <w:t xml:space="preserve"> </w:t>
      </w:r>
      <w:r w:rsidR="007C0B74">
        <w:t>(Accessed 6th May 2023)</w:t>
      </w:r>
    </w:p>
    <w:p w14:paraId="60D21E23" w14:textId="77777777" w:rsidR="00BA27EE" w:rsidRDefault="00BA27EE" w:rsidP="00AC0EE8">
      <w:pPr>
        <w:spacing w:line="480" w:lineRule="auto"/>
        <w:ind w:hanging="720"/>
      </w:pPr>
      <w:r>
        <w:t xml:space="preserve">Epprecht, M., Murray, S.O. and Roscoe, W. (2021) </w:t>
      </w:r>
      <w:r w:rsidRPr="005B466F">
        <w:rPr>
          <w:i/>
          <w:iCs/>
        </w:rPr>
        <w:t>Boy-Wives and Female Husbands Studies in African Homosexualities.</w:t>
      </w:r>
      <w:r>
        <w:t xml:space="preserve"> Edited by S.O. Murray and W. Roscoe. Suny Press, New York.</w:t>
      </w:r>
    </w:p>
    <w:p w14:paraId="77DAFC01" w14:textId="1B1B3CC0" w:rsidR="00BA27EE" w:rsidRDefault="00BA27EE" w:rsidP="00AC0EE8">
      <w:pPr>
        <w:spacing w:line="480" w:lineRule="auto"/>
        <w:ind w:hanging="720"/>
        <w:contextualSpacing/>
      </w:pPr>
      <w:r w:rsidRPr="008D076C">
        <w:rPr>
          <w:i/>
          <w:iCs/>
        </w:rPr>
        <w:t>Equality Act 2010</w:t>
      </w:r>
      <w:r w:rsidRPr="008D076C">
        <w:t xml:space="preserve">. Available at: </w:t>
      </w:r>
      <w:hyperlink r:id="rId48" w:history="1">
        <w:r w:rsidRPr="00F4227C">
          <w:rPr>
            <w:rStyle w:val="Hyperlink"/>
          </w:rPr>
          <w:t>https://www.legislation.gov.uk/ukpga/2010/15/contents</w:t>
        </w:r>
      </w:hyperlink>
      <w:r w:rsidRPr="008D076C">
        <w:t xml:space="preserve"> </w:t>
      </w:r>
      <w:r w:rsidR="00484531">
        <w:t>(</w:t>
      </w:r>
      <w:r w:rsidRPr="008D076C">
        <w:t xml:space="preserve">Accessed </w:t>
      </w:r>
      <w:r>
        <w:t>7</w:t>
      </w:r>
      <w:r w:rsidR="00484531">
        <w:t xml:space="preserve">th October </w:t>
      </w:r>
      <w:r w:rsidRPr="008D076C">
        <w:t>2022</w:t>
      </w:r>
      <w:r w:rsidR="00484531">
        <w:t>)</w:t>
      </w:r>
      <w:r w:rsidRPr="008D076C">
        <w:t>.</w:t>
      </w:r>
    </w:p>
    <w:p w14:paraId="2702A3A8" w14:textId="63932420" w:rsidR="00BA27EE" w:rsidRDefault="00BA27EE" w:rsidP="00AC0EE8">
      <w:pPr>
        <w:spacing w:line="480" w:lineRule="auto"/>
        <w:ind w:hanging="720"/>
        <w:contextualSpacing/>
      </w:pPr>
      <w:r>
        <w:t xml:space="preserve">Fanon, F. (1986) </w:t>
      </w:r>
      <w:r w:rsidRPr="00F4227C">
        <w:rPr>
          <w:i/>
          <w:iCs/>
        </w:rPr>
        <w:t xml:space="preserve">Black </w:t>
      </w:r>
      <w:r w:rsidR="00997547">
        <w:rPr>
          <w:i/>
          <w:iCs/>
        </w:rPr>
        <w:t>S</w:t>
      </w:r>
      <w:r w:rsidRPr="00F4227C">
        <w:rPr>
          <w:i/>
          <w:iCs/>
        </w:rPr>
        <w:t xml:space="preserve">kin, </w:t>
      </w:r>
      <w:r w:rsidR="00997547">
        <w:rPr>
          <w:i/>
          <w:iCs/>
        </w:rPr>
        <w:t>W</w:t>
      </w:r>
      <w:r w:rsidRPr="00F4227C">
        <w:rPr>
          <w:i/>
          <w:iCs/>
        </w:rPr>
        <w:t xml:space="preserve">hite </w:t>
      </w:r>
      <w:r w:rsidR="00997547">
        <w:rPr>
          <w:i/>
          <w:iCs/>
        </w:rPr>
        <w:t>M</w:t>
      </w:r>
      <w:r w:rsidRPr="00F4227C">
        <w:rPr>
          <w:i/>
          <w:iCs/>
        </w:rPr>
        <w:t>asks</w:t>
      </w:r>
      <w:r>
        <w:t>. London</w:t>
      </w:r>
      <w:r w:rsidR="00997547">
        <w:t xml:space="preserve">, </w:t>
      </w:r>
      <w:r>
        <w:t>Pluto</w:t>
      </w:r>
      <w:r w:rsidR="006514E4">
        <w:t xml:space="preserve">. </w:t>
      </w:r>
      <w:r>
        <w:t xml:space="preserve">pp, 216, 217, 220. </w:t>
      </w:r>
    </w:p>
    <w:p w14:paraId="2B4D3016" w14:textId="022829F8" w:rsidR="00BA27EE" w:rsidRPr="009E1349" w:rsidRDefault="00BA27EE" w:rsidP="00AC0EE8">
      <w:pPr>
        <w:spacing w:line="480" w:lineRule="auto"/>
        <w:ind w:hanging="720"/>
        <w:contextualSpacing/>
      </w:pPr>
      <w:r>
        <w:lastRenderedPageBreak/>
        <w:t xml:space="preserve">Feldman, S. (2009) ‘Reclaiming Sexual Difference: What </w:t>
      </w:r>
      <w:r w:rsidR="00BA2220">
        <w:t>Queer Theory</w:t>
      </w:r>
      <w:r>
        <w:t xml:space="preserve"> Can’t Tell Us about Sexuality’, </w:t>
      </w:r>
      <w:r w:rsidRPr="00076460">
        <w:rPr>
          <w:i/>
          <w:iCs/>
        </w:rPr>
        <w:t>Journal of bisexuality</w:t>
      </w:r>
      <w:r>
        <w:t xml:space="preserve">, 9(3-4), pp. 259–278. Available at: </w:t>
      </w:r>
      <w:hyperlink r:id="rId49" w:history="1">
        <w:r w:rsidRPr="00642B5B">
          <w:rPr>
            <w:rStyle w:val="Hyperlink"/>
          </w:rPr>
          <w:t>https://doi.org/10.1080/15299710903316562</w:t>
        </w:r>
      </w:hyperlink>
      <w:r>
        <w:t>.</w:t>
      </w:r>
      <w:r w:rsidR="00B7067D">
        <w:t xml:space="preserve"> (Accessed 6th May 2023)</w:t>
      </w:r>
    </w:p>
    <w:p w14:paraId="4B3A7D7B" w14:textId="1128C519" w:rsidR="00BA27EE" w:rsidRDefault="00BA27EE" w:rsidP="00AC0EE8">
      <w:pPr>
        <w:spacing w:line="480" w:lineRule="auto"/>
        <w:ind w:hanging="720"/>
        <w:contextualSpacing/>
      </w:pPr>
      <w:r>
        <w:t xml:space="preserve">Ferguson, N. (2004) </w:t>
      </w:r>
      <w:r w:rsidR="00256836" w:rsidRPr="004636BA">
        <w:rPr>
          <w:i/>
          <w:iCs/>
        </w:rPr>
        <w:t>Empire:</w:t>
      </w:r>
      <w:r w:rsidRPr="004636BA">
        <w:rPr>
          <w:i/>
          <w:iCs/>
        </w:rPr>
        <w:t xml:space="preserve"> how Britain made the modern world</w:t>
      </w:r>
      <w:r>
        <w:t>. London: Penguin.</w:t>
      </w:r>
    </w:p>
    <w:p w14:paraId="0F9FFFD7" w14:textId="0748E0B7" w:rsidR="009E1349" w:rsidRDefault="00BA27EE" w:rsidP="009E1349">
      <w:pPr>
        <w:spacing w:line="480" w:lineRule="auto"/>
        <w:ind w:hanging="720"/>
        <w:contextualSpacing/>
      </w:pPr>
      <w:r w:rsidRPr="00014E8D">
        <w:t>Finley</w:t>
      </w:r>
      <w:r>
        <w:t>, C.</w:t>
      </w:r>
      <w:r w:rsidRPr="00014E8D">
        <w:t xml:space="preserve"> (2011). Decolonizing the Queer Native Body (and Recovering the Native Bull-Dyke): Bringing “Sexy Back” and Out of Native Studies Closet. In </w:t>
      </w:r>
      <w:r w:rsidRPr="005B466F">
        <w:rPr>
          <w:i/>
          <w:iCs/>
        </w:rPr>
        <w:t xml:space="preserve">Queer </w:t>
      </w:r>
      <w:r w:rsidR="009B0E1E">
        <w:rPr>
          <w:i/>
          <w:iCs/>
        </w:rPr>
        <w:t>In</w:t>
      </w:r>
      <w:r w:rsidR="00393E72">
        <w:rPr>
          <w:i/>
          <w:iCs/>
        </w:rPr>
        <w:t>digenous</w:t>
      </w:r>
      <w:r w:rsidR="00256836">
        <w:rPr>
          <w:i/>
          <w:iCs/>
        </w:rPr>
        <w:t xml:space="preserve"> </w:t>
      </w:r>
      <w:r w:rsidR="00256836" w:rsidRPr="005B466F">
        <w:rPr>
          <w:i/>
          <w:iCs/>
        </w:rPr>
        <w:t>Studies</w:t>
      </w:r>
      <w:r w:rsidRPr="005B466F">
        <w:rPr>
          <w:i/>
          <w:iCs/>
        </w:rPr>
        <w:t xml:space="preserve">: Critical Interventions in Theory, Politics and </w:t>
      </w:r>
      <w:r w:rsidR="00D86692" w:rsidRPr="005B466F">
        <w:rPr>
          <w:i/>
          <w:iCs/>
        </w:rPr>
        <w:t>Literature</w:t>
      </w:r>
      <w:r w:rsidRPr="00014E8D">
        <w:t>. Edited by Qwo-Li Driskill, Chris Finley, Brian Joseph Gilley and Scott Laura Morgensen, Th</w:t>
      </w:r>
      <w:r w:rsidR="00393E72">
        <w:t>e</w:t>
      </w:r>
      <w:r w:rsidRPr="00014E8D">
        <w:t xml:space="preserve"> University Press of Arizona, Tuscan. Available at: </w:t>
      </w:r>
      <w:hyperlink r:id="rId50" w:history="1">
        <w:r w:rsidR="00393E72" w:rsidRPr="00393E72">
          <w:rPr>
            <w:rStyle w:val="Hyperlink"/>
          </w:rPr>
          <w:t>https://web.colby.edu/queer-theory-fall18/files/2018/09/Queer-indigenous-Studies.pdf</w:t>
        </w:r>
      </w:hyperlink>
      <w:r w:rsidR="000E27DD">
        <w:t xml:space="preserve"> </w:t>
      </w:r>
      <w:r w:rsidR="00AC53CB">
        <w:t>(Accessed 6th May 2023)</w:t>
      </w:r>
    </w:p>
    <w:p w14:paraId="1AF903A6" w14:textId="5E5B3DE3" w:rsidR="00BA27EE" w:rsidRDefault="00BA27EE" w:rsidP="00AC0EE8">
      <w:pPr>
        <w:spacing w:line="480" w:lineRule="auto"/>
        <w:ind w:hanging="720"/>
        <w:contextualSpacing/>
      </w:pPr>
      <w:r w:rsidRPr="00FC6F5C">
        <w:rPr>
          <w:color w:val="3A3A3A"/>
          <w:shd w:val="clear" w:color="auto" w:fill="FFFFFF"/>
        </w:rPr>
        <w:t>Fitzpatrick, M.P. (2018) ‘Colonialism, Postcolonialism, and Decolonization’, </w:t>
      </w:r>
      <w:r w:rsidRPr="00FC6F5C">
        <w:rPr>
          <w:i/>
          <w:iCs/>
          <w:color w:val="3A3A3A"/>
          <w:shd w:val="clear" w:color="auto" w:fill="FFFFFF"/>
        </w:rPr>
        <w:t>Central European history</w:t>
      </w:r>
      <w:r w:rsidRPr="00FC6F5C">
        <w:rPr>
          <w:color w:val="3A3A3A"/>
          <w:shd w:val="clear" w:color="auto" w:fill="FFFFFF"/>
        </w:rPr>
        <w:t xml:space="preserve">, 51(1), pp. 83–89. Available at: </w:t>
      </w:r>
      <w:hyperlink r:id="rId51" w:history="1">
        <w:r w:rsidRPr="00FC6F5C">
          <w:rPr>
            <w:rStyle w:val="Hyperlink"/>
            <w:shd w:val="clear" w:color="auto" w:fill="FFFFFF"/>
          </w:rPr>
          <w:t>https://doi.org/10.1017/S0008938918000092</w:t>
        </w:r>
      </w:hyperlink>
      <w:r w:rsidRPr="00FC6F5C">
        <w:rPr>
          <w:color w:val="3A3A3A"/>
          <w:shd w:val="clear" w:color="auto" w:fill="FFFFFF"/>
        </w:rPr>
        <w:t>.</w:t>
      </w:r>
      <w:r w:rsidR="009E1349">
        <w:rPr>
          <w:color w:val="3A3A3A"/>
          <w:shd w:val="clear" w:color="auto" w:fill="FFFFFF"/>
        </w:rPr>
        <w:t xml:space="preserve"> </w:t>
      </w:r>
      <w:r w:rsidR="000E27DD">
        <w:t>(Accessed 6th May 2023)</w:t>
      </w:r>
    </w:p>
    <w:p w14:paraId="5E0DBEDC" w14:textId="317D364D" w:rsidR="00BA27EE" w:rsidRDefault="00BA27EE" w:rsidP="00AC0EE8">
      <w:pPr>
        <w:spacing w:line="480" w:lineRule="auto"/>
        <w:ind w:hanging="720"/>
        <w:contextualSpacing/>
      </w:pPr>
      <w:r>
        <w:t xml:space="preserve">Flikschuh, K., Ypi, L. and Ajei, M. (2014) </w:t>
      </w:r>
      <w:r w:rsidRPr="001B2D46">
        <w:rPr>
          <w:i/>
          <w:iCs/>
        </w:rPr>
        <w:t xml:space="preserve">Kant and </w:t>
      </w:r>
      <w:r w:rsidR="00256836" w:rsidRPr="001B2D46">
        <w:rPr>
          <w:i/>
          <w:iCs/>
        </w:rPr>
        <w:t>colonialism:</w:t>
      </w:r>
      <w:r w:rsidRPr="001B2D46">
        <w:rPr>
          <w:i/>
          <w:iCs/>
        </w:rPr>
        <w:t xml:space="preserve"> historical and critical perspectives</w:t>
      </w:r>
      <w:r>
        <w:t>. Edited by K. Flikschuh and L. Ypi. Oxford: Oxford University Press.</w:t>
      </w:r>
    </w:p>
    <w:p w14:paraId="505FE9AB" w14:textId="35693F3C" w:rsidR="00BA27EE" w:rsidRDefault="00BA27EE" w:rsidP="00AC0EE8">
      <w:pPr>
        <w:spacing w:line="480" w:lineRule="auto"/>
        <w:ind w:hanging="720"/>
        <w:contextualSpacing/>
        <w:rPr>
          <w:color w:val="000000"/>
        </w:rPr>
      </w:pPr>
      <w:r w:rsidRPr="00F55F45">
        <w:rPr>
          <w:color w:val="000000"/>
        </w:rPr>
        <w:t>Foucault, M.  (2008) </w:t>
      </w:r>
      <w:r w:rsidRPr="00F55F45">
        <w:rPr>
          <w:rStyle w:val="Emphasis"/>
          <w:color w:val="000000"/>
        </w:rPr>
        <w:t>The Birth of Biopolitics: Lectures at the Collège de France 1978–1979</w:t>
      </w:r>
      <w:r w:rsidRPr="00F55F45">
        <w:rPr>
          <w:color w:val="000000"/>
        </w:rPr>
        <w:t xml:space="preserve">, </w:t>
      </w:r>
      <w:r w:rsidR="00D91F86">
        <w:rPr>
          <w:color w:val="000000"/>
        </w:rPr>
        <w:t>Trans</w:t>
      </w:r>
      <w:r w:rsidR="00A83B42">
        <w:rPr>
          <w:color w:val="000000"/>
        </w:rPr>
        <w:t xml:space="preserve">lated from the French by G. </w:t>
      </w:r>
      <w:r w:rsidRPr="00F55F45">
        <w:rPr>
          <w:color w:val="000000"/>
        </w:rPr>
        <w:t>Burchell</w:t>
      </w:r>
      <w:r w:rsidR="00A83B42">
        <w:rPr>
          <w:color w:val="000000"/>
        </w:rPr>
        <w:t xml:space="preserve">. </w:t>
      </w:r>
      <w:r w:rsidRPr="00F55F45">
        <w:rPr>
          <w:color w:val="000000"/>
        </w:rPr>
        <w:t>Basingstoke</w:t>
      </w:r>
      <w:r w:rsidRPr="00F559E0">
        <w:rPr>
          <w:color w:val="000000"/>
        </w:rPr>
        <w:t>: Palgrave.</w:t>
      </w:r>
    </w:p>
    <w:p w14:paraId="0A94269B" w14:textId="45E2699B" w:rsidR="00BA27EE" w:rsidRDefault="00BA27EE" w:rsidP="00AC0EE8">
      <w:pPr>
        <w:spacing w:line="480" w:lineRule="auto"/>
        <w:ind w:hanging="720"/>
        <w:contextualSpacing/>
        <w:rPr>
          <w:color w:val="232323"/>
        </w:rPr>
      </w:pPr>
      <w:r w:rsidRPr="005B466F">
        <w:rPr>
          <w:color w:val="232323"/>
        </w:rPr>
        <w:t xml:space="preserve">Foucault, M. (1977). </w:t>
      </w:r>
      <w:r w:rsidRPr="00272DF8">
        <w:rPr>
          <w:i/>
          <w:iCs/>
          <w:color w:val="232323"/>
        </w:rPr>
        <w:t>Discipline and Punish: The Birth of the Prison</w:t>
      </w:r>
      <w:r w:rsidRPr="005B466F">
        <w:rPr>
          <w:color w:val="232323"/>
        </w:rPr>
        <w:t xml:space="preserve">. </w:t>
      </w:r>
      <w:r w:rsidR="00A83B42">
        <w:rPr>
          <w:color w:val="232323"/>
        </w:rPr>
        <w:t xml:space="preserve">Translated from the French by </w:t>
      </w:r>
      <w:r w:rsidRPr="005B466F">
        <w:rPr>
          <w:color w:val="232323"/>
        </w:rPr>
        <w:t>A. Sheridan</w:t>
      </w:r>
      <w:r w:rsidR="00FE216F">
        <w:rPr>
          <w:color w:val="232323"/>
        </w:rPr>
        <w:t xml:space="preserve">. </w:t>
      </w:r>
      <w:r w:rsidR="00DF1430">
        <w:rPr>
          <w:color w:val="232323"/>
        </w:rPr>
        <w:t>New York</w:t>
      </w:r>
      <w:r w:rsidR="00FE216F">
        <w:rPr>
          <w:color w:val="232323"/>
        </w:rPr>
        <w:t>:</w:t>
      </w:r>
      <w:r w:rsidRPr="005B466F">
        <w:rPr>
          <w:color w:val="232323"/>
        </w:rPr>
        <w:t xml:space="preserve"> Vintage Books.</w:t>
      </w:r>
    </w:p>
    <w:p w14:paraId="7099C7D8" w14:textId="34ABCA5E" w:rsidR="00BA27EE" w:rsidRDefault="00BA27EE" w:rsidP="00AC0EE8">
      <w:pPr>
        <w:spacing w:line="480" w:lineRule="auto"/>
        <w:ind w:hanging="720"/>
        <w:contextualSpacing/>
      </w:pPr>
      <w:r>
        <w:rPr>
          <w:color w:val="232323"/>
        </w:rPr>
        <w:t xml:space="preserve">Foucault, M. (1990). </w:t>
      </w:r>
      <w:r>
        <w:rPr>
          <w:i/>
          <w:iCs/>
          <w:color w:val="232323"/>
        </w:rPr>
        <w:t>The History of Sexuality, Volume 1: An Introduction</w:t>
      </w:r>
      <w:r>
        <w:rPr>
          <w:color w:val="232323"/>
        </w:rPr>
        <w:t xml:space="preserve">. Translated </w:t>
      </w:r>
      <w:r w:rsidR="00FE216F">
        <w:rPr>
          <w:color w:val="232323"/>
        </w:rPr>
        <w:t>from the French by</w:t>
      </w:r>
      <w:r>
        <w:rPr>
          <w:color w:val="232323"/>
        </w:rPr>
        <w:t xml:space="preserve"> R</w:t>
      </w:r>
      <w:r w:rsidR="00FE216F">
        <w:rPr>
          <w:color w:val="232323"/>
        </w:rPr>
        <w:t>.</w:t>
      </w:r>
      <w:r>
        <w:rPr>
          <w:color w:val="232323"/>
        </w:rPr>
        <w:t xml:space="preserve"> Hurley. New York</w:t>
      </w:r>
      <w:r w:rsidR="00AE11FA">
        <w:rPr>
          <w:color w:val="232323"/>
        </w:rPr>
        <w:t>:</w:t>
      </w:r>
      <w:r>
        <w:rPr>
          <w:color w:val="232323"/>
        </w:rPr>
        <w:t xml:space="preserve"> Vintage</w:t>
      </w:r>
      <w:r w:rsidR="00AE11FA">
        <w:rPr>
          <w:color w:val="232323"/>
        </w:rPr>
        <w:t xml:space="preserve"> Books.</w:t>
      </w:r>
      <w:r>
        <w:rPr>
          <w:color w:val="232323"/>
        </w:rPr>
        <w:t xml:space="preserve"> pp.140-141</w:t>
      </w:r>
    </w:p>
    <w:p w14:paraId="5694AADE" w14:textId="10591471" w:rsidR="00BA27EE" w:rsidRDefault="00BA27EE" w:rsidP="00AC0EE8">
      <w:pPr>
        <w:spacing w:line="480" w:lineRule="auto"/>
        <w:ind w:hanging="720"/>
        <w:contextualSpacing/>
      </w:pPr>
      <w:r>
        <w:t xml:space="preserve">Freire, P., Ramos, M.B and Macedo, D. (2014) </w:t>
      </w:r>
      <w:r w:rsidRPr="00BF7B40">
        <w:rPr>
          <w:i/>
          <w:iCs/>
        </w:rPr>
        <w:t>Pedagogy of the oppressed</w:t>
      </w:r>
      <w:r>
        <w:t xml:space="preserve">. Thirtieth anniversary edition. Translated </w:t>
      </w:r>
      <w:r w:rsidR="004D2F10">
        <w:t xml:space="preserve">from the </w:t>
      </w:r>
      <w:proofErr w:type="spellStart"/>
      <w:r w:rsidR="004D2F10">
        <w:t>Portugyes</w:t>
      </w:r>
      <w:proofErr w:type="spellEnd"/>
      <w:r w:rsidR="004D2F10">
        <w:t xml:space="preserve"> </w:t>
      </w:r>
      <w:proofErr w:type="gramStart"/>
      <w:r w:rsidR="004D2F10">
        <w:t xml:space="preserve">by </w:t>
      </w:r>
      <w:r>
        <w:t xml:space="preserve"> M.B.</w:t>
      </w:r>
      <w:proofErr w:type="gramEnd"/>
      <w:r>
        <w:t xml:space="preserve"> Ramos. New </w:t>
      </w:r>
      <w:r w:rsidR="00256836">
        <w:t>York, Bloomsbury</w:t>
      </w:r>
      <w:r>
        <w:t>.</w:t>
      </w:r>
    </w:p>
    <w:p w14:paraId="206BFB2A" w14:textId="43632D05" w:rsidR="00BA27EE" w:rsidRDefault="00BA27EE" w:rsidP="00AC0EE8">
      <w:pPr>
        <w:spacing w:line="480" w:lineRule="auto"/>
        <w:ind w:hanging="720"/>
        <w:contextualSpacing/>
      </w:pPr>
      <w:r>
        <w:rPr>
          <w:i/>
          <w:iCs/>
        </w:rPr>
        <w:lastRenderedPageBreak/>
        <w:t>Gender Recognition</w:t>
      </w:r>
      <w:r w:rsidRPr="008D076C">
        <w:rPr>
          <w:i/>
          <w:iCs/>
        </w:rPr>
        <w:t xml:space="preserve"> Act </w:t>
      </w:r>
      <w:r>
        <w:rPr>
          <w:i/>
          <w:iCs/>
        </w:rPr>
        <w:t>2004</w:t>
      </w:r>
      <w:r w:rsidRPr="008D076C">
        <w:t xml:space="preserve">. Available at: </w:t>
      </w:r>
      <w:hyperlink r:id="rId52" w:history="1">
        <w:r w:rsidRPr="007E1156">
          <w:rPr>
            <w:rStyle w:val="Hyperlink"/>
          </w:rPr>
          <w:t>https://www.legislation.gov.uk/ukpga/2004/7/contents</w:t>
        </w:r>
      </w:hyperlink>
      <w:r w:rsidRPr="008D076C">
        <w:t xml:space="preserve"> </w:t>
      </w:r>
      <w:r w:rsidR="002D126D">
        <w:t>(</w:t>
      </w:r>
      <w:r w:rsidRPr="008D076C">
        <w:t xml:space="preserve">Accessed </w:t>
      </w:r>
      <w:r>
        <w:t>7</w:t>
      </w:r>
      <w:r w:rsidR="002D126D" w:rsidRPr="002D126D">
        <w:rPr>
          <w:vertAlign w:val="superscript"/>
        </w:rPr>
        <w:t>th</w:t>
      </w:r>
      <w:r w:rsidR="002D126D">
        <w:t xml:space="preserve"> October </w:t>
      </w:r>
      <w:r w:rsidRPr="008D076C">
        <w:t>2022</w:t>
      </w:r>
      <w:r w:rsidR="002D126D">
        <w:t>)</w:t>
      </w:r>
      <w:r w:rsidRPr="008D076C">
        <w:t>.</w:t>
      </w:r>
    </w:p>
    <w:p w14:paraId="0356D7B5" w14:textId="77777777" w:rsidR="007E1156" w:rsidRDefault="00BA27EE" w:rsidP="007E1156">
      <w:pPr>
        <w:spacing w:line="480" w:lineRule="auto"/>
        <w:ind w:hanging="720"/>
        <w:contextualSpacing/>
      </w:pPr>
      <w:r w:rsidRPr="003C575C">
        <w:rPr>
          <w:color w:val="333333"/>
        </w:rPr>
        <w:t>Gill, A. and Pires, T. (2019) ‘From Binary to Intersectional to Imbricated Approaches: Gender in a Decolonial and Diasporic Perspective’</w:t>
      </w:r>
      <w:r w:rsidRPr="003C575C">
        <w:rPr>
          <w:i/>
          <w:iCs/>
          <w:color w:val="333333"/>
        </w:rPr>
        <w:t>, Contexto internacional</w:t>
      </w:r>
      <w:r w:rsidRPr="003C575C">
        <w:rPr>
          <w:color w:val="333333"/>
        </w:rPr>
        <w:t xml:space="preserve">, 41(2), pp. 275–302. Available at: </w:t>
      </w:r>
      <w:hyperlink r:id="rId53" w:history="1">
        <w:r w:rsidRPr="00873E6C">
          <w:rPr>
            <w:rStyle w:val="Hyperlink"/>
          </w:rPr>
          <w:t>https://doi.org/10.1590/s0102-8529.2019410200003</w:t>
        </w:r>
      </w:hyperlink>
      <w:r w:rsidRPr="003C575C">
        <w:rPr>
          <w:color w:val="333333"/>
        </w:rPr>
        <w:t>.</w:t>
      </w:r>
      <w:r w:rsidR="009E1349">
        <w:rPr>
          <w:color w:val="333333"/>
        </w:rPr>
        <w:t xml:space="preserve"> </w:t>
      </w:r>
      <w:r w:rsidR="007E1156">
        <w:t>(Accessed 6th May 2023)</w:t>
      </w:r>
    </w:p>
    <w:p w14:paraId="2ED9179F" w14:textId="7C3C1660" w:rsidR="008133FB" w:rsidRDefault="00BA27EE" w:rsidP="008133FB">
      <w:pPr>
        <w:pStyle w:val="NormalWeb"/>
        <w:shd w:val="clear" w:color="auto" w:fill="FFFFFF"/>
        <w:spacing w:before="0" w:beforeAutospacing="0" w:after="240" w:afterAutospacing="0" w:line="480" w:lineRule="auto"/>
        <w:ind w:hanging="720"/>
        <w:rPr>
          <w:color w:val="333333"/>
        </w:rPr>
      </w:pPr>
      <w:r w:rsidRPr="00014E8D">
        <w:t xml:space="preserve">Gomes da Costa Santos, G. and Waites, M. (2019) ‘Comparative colonialisms for queer analysis: comparing British and Portuguese colonial legacies for same-sex sexualities and gender diversity in Africa - setting a transnational research agenda’, </w:t>
      </w:r>
      <w:r w:rsidRPr="005B466F">
        <w:rPr>
          <w:i/>
          <w:iCs/>
        </w:rPr>
        <w:t>International review of sociology</w:t>
      </w:r>
      <w:r w:rsidRPr="00014E8D">
        <w:t>, 29(2), pp. 297–326. doi: 10.1080/03906701.2019.1641277.</w:t>
      </w:r>
      <w:r>
        <w:t xml:space="preserve"> Available at: </w:t>
      </w:r>
      <w:hyperlink r:id="rId54" w:history="1">
        <w:r w:rsidRPr="00D35FAE">
          <w:rPr>
            <w:rStyle w:val="Hyperlink"/>
          </w:rPr>
          <w:t>https://www-tandfonline-com.ezproxy.uwtsd.ac.uk/doi/pdf/10.1080/03906701.2019.1641277?needAccess=true&amp;</w:t>
        </w:r>
      </w:hyperlink>
      <w:r>
        <w:t xml:space="preserve"> (Accessed 7</w:t>
      </w:r>
      <w:r w:rsidR="007E1156" w:rsidRPr="007E1156">
        <w:rPr>
          <w:vertAlign w:val="superscript"/>
        </w:rPr>
        <w:t>th</w:t>
      </w:r>
      <w:r w:rsidR="007E1156">
        <w:t xml:space="preserve"> October </w:t>
      </w:r>
      <w:r>
        <w:t>2022)</w:t>
      </w:r>
    </w:p>
    <w:p w14:paraId="38D0CE3A" w14:textId="0944DF45" w:rsidR="00BA27EE" w:rsidRPr="008133FB" w:rsidRDefault="00BA27EE" w:rsidP="008133FB">
      <w:pPr>
        <w:pStyle w:val="NormalWeb"/>
        <w:shd w:val="clear" w:color="auto" w:fill="FFFFFF"/>
        <w:spacing w:before="0" w:beforeAutospacing="0" w:after="240" w:afterAutospacing="0" w:line="480" w:lineRule="auto"/>
        <w:ind w:hanging="720"/>
        <w:rPr>
          <w:color w:val="333333"/>
        </w:rPr>
      </w:pPr>
      <w:r w:rsidRPr="00014E8D">
        <w:t xml:space="preserve">Gomes da Costa Santos, G. and Waites, M. (2021) ‘Analysing African Advances Against Homophobia in Mozambique: How Decriminalisation and Anti-Discrimination Reforms Proceed Without LGBT Identities’, </w:t>
      </w:r>
      <w:r w:rsidRPr="005B466F">
        <w:rPr>
          <w:i/>
          <w:iCs/>
        </w:rPr>
        <w:t>Sexuality &amp; culture</w:t>
      </w:r>
      <w:r w:rsidRPr="00014E8D">
        <w:t xml:space="preserve">, 26(2), pp. 548–567. Available at: </w:t>
      </w:r>
      <w:hyperlink r:id="rId55" w:history="1">
        <w:r w:rsidRPr="007E1156">
          <w:rPr>
            <w:rStyle w:val="Hyperlink"/>
          </w:rPr>
          <w:t>https://doi.org/10.1007/s12119-021-09908-8</w:t>
        </w:r>
      </w:hyperlink>
      <w:r w:rsidRPr="00014E8D">
        <w:t xml:space="preserve">. </w:t>
      </w:r>
      <w:r w:rsidR="007E1156">
        <w:t>(</w:t>
      </w:r>
      <w:r w:rsidRPr="00014E8D">
        <w:t>Accessed 1</w:t>
      </w:r>
      <w:r w:rsidR="007E1156">
        <w:t xml:space="preserve">st October </w:t>
      </w:r>
      <w:r w:rsidRPr="00014E8D">
        <w:t>2022</w:t>
      </w:r>
      <w:r w:rsidR="007E1156">
        <w:t>)</w:t>
      </w:r>
      <w:r w:rsidRPr="00014E8D">
        <w:t xml:space="preserve">. </w:t>
      </w:r>
    </w:p>
    <w:p w14:paraId="3D845F1D" w14:textId="52F8285D" w:rsidR="00BA27EE" w:rsidRDefault="00BA27EE" w:rsidP="00AC0EE8">
      <w:pPr>
        <w:pStyle w:val="NormalWeb"/>
        <w:shd w:val="clear" w:color="auto" w:fill="FFFFFF"/>
        <w:spacing w:before="0" w:beforeAutospacing="0" w:after="240" w:afterAutospacing="0" w:line="480" w:lineRule="auto"/>
        <w:ind w:hanging="720"/>
      </w:pPr>
      <w:r>
        <w:t xml:space="preserve">Green, A.I. (2002) ‘Gay but Not Queer: Toward a Post-Queer Study of Sexuality’, </w:t>
      </w:r>
      <w:r w:rsidRPr="00ED1C95">
        <w:rPr>
          <w:i/>
          <w:iCs/>
        </w:rPr>
        <w:t>Theory and society</w:t>
      </w:r>
      <w:r>
        <w:t xml:space="preserve">, 31(4), pp. 521–545. Available at: </w:t>
      </w:r>
      <w:hyperlink r:id="rId56" w:history="1">
        <w:r w:rsidRPr="00642B5B">
          <w:rPr>
            <w:rStyle w:val="Hyperlink"/>
          </w:rPr>
          <w:t>https://doi.org/10.1023/A:1020976902569</w:t>
        </w:r>
      </w:hyperlink>
      <w:r w:rsidR="009E1349">
        <w:rPr>
          <w:rStyle w:val="Hyperlink"/>
        </w:rPr>
        <w:t xml:space="preserve">. </w:t>
      </w:r>
      <w:r w:rsidR="007E1156">
        <w:t>(Accessed 6th May 2023)</w:t>
      </w:r>
    </w:p>
    <w:p w14:paraId="1A419F6C" w14:textId="2988A3FF" w:rsidR="00BA27EE" w:rsidRDefault="00BA27EE" w:rsidP="00AC0EE8">
      <w:pPr>
        <w:pStyle w:val="NormalWeb"/>
        <w:shd w:val="clear" w:color="auto" w:fill="FFFFFF"/>
        <w:spacing w:before="0" w:beforeAutospacing="0" w:after="240" w:afterAutospacing="0" w:line="480" w:lineRule="auto"/>
        <w:ind w:hanging="720"/>
      </w:pPr>
      <w:r>
        <w:t xml:space="preserve">Grosfoguel, R. (2007) ‘THE EPISTEMIC DECOLONIAL TURN: Beyond political-economy paradigms’, </w:t>
      </w:r>
      <w:r w:rsidRPr="00D979A2">
        <w:rPr>
          <w:i/>
          <w:iCs/>
        </w:rPr>
        <w:t>Cultural</w:t>
      </w:r>
      <w:r>
        <w:t xml:space="preserve">, 21(2-3), pp. 211–223. Available at: </w:t>
      </w:r>
      <w:hyperlink r:id="rId57" w:history="1">
        <w:r w:rsidRPr="00642B5B">
          <w:rPr>
            <w:rStyle w:val="Hyperlink"/>
          </w:rPr>
          <w:t>https://doi.org/10.1080/09502380601162514</w:t>
        </w:r>
      </w:hyperlink>
      <w:r>
        <w:t>.</w:t>
      </w:r>
      <w:r w:rsidR="009E1349">
        <w:t xml:space="preserve"> </w:t>
      </w:r>
      <w:r w:rsidR="007E1156">
        <w:t>(Accessed 6th May 2023)</w:t>
      </w:r>
    </w:p>
    <w:p w14:paraId="628DBB70" w14:textId="2DB9C3F0" w:rsidR="00BA27EE" w:rsidRDefault="00BA27EE" w:rsidP="00AC0EE8">
      <w:pPr>
        <w:pStyle w:val="NormalWeb"/>
        <w:shd w:val="clear" w:color="auto" w:fill="FFFFFF"/>
        <w:spacing w:before="0" w:beforeAutospacing="0" w:after="240" w:afterAutospacing="0" w:line="480" w:lineRule="auto"/>
        <w:ind w:hanging="720"/>
        <w:rPr>
          <w:rStyle w:val="Hyperlink"/>
        </w:rPr>
      </w:pPr>
      <w:r w:rsidRPr="004747B7">
        <w:lastRenderedPageBreak/>
        <w:t xml:space="preserve">Guardian. (2019) </w:t>
      </w:r>
      <w:r w:rsidRPr="004747B7">
        <w:rPr>
          <w:i/>
          <w:iCs/>
        </w:rPr>
        <w:t>Ugandan MPs press for death penalty for homosexual acts</w:t>
      </w:r>
      <w:r w:rsidRPr="004747B7">
        <w:t>. Available at</w:t>
      </w:r>
      <w:r>
        <w:rPr>
          <w:b/>
          <w:bCs/>
        </w:rPr>
        <w:t xml:space="preserve">: </w:t>
      </w:r>
      <w:hyperlink r:id="rId58" w:history="1">
        <w:r w:rsidRPr="00D35FAE">
          <w:rPr>
            <w:rStyle w:val="Hyperlink"/>
          </w:rPr>
          <w:t>https://www.theguardian.com/world/2019/oct/15/ugandan-mps-press-for-death-penalty-for-homosexual-acts</w:t>
        </w:r>
      </w:hyperlink>
      <w:r w:rsidR="009E1349">
        <w:rPr>
          <w:rStyle w:val="Hyperlink"/>
        </w:rPr>
        <w:t xml:space="preserve"> </w:t>
      </w:r>
      <w:r w:rsidR="007E1156">
        <w:t>(Accessed 6th May 2023)</w:t>
      </w:r>
    </w:p>
    <w:p w14:paraId="725CA348" w14:textId="627197DE" w:rsidR="00BA27EE" w:rsidRPr="007F5CA5" w:rsidRDefault="00BA27EE" w:rsidP="00AC0EE8">
      <w:pPr>
        <w:pStyle w:val="NormalWeb"/>
        <w:shd w:val="clear" w:color="auto" w:fill="FFFFFF"/>
        <w:spacing w:before="0" w:beforeAutospacing="0" w:after="240" w:afterAutospacing="0" w:line="480" w:lineRule="auto"/>
        <w:ind w:hanging="720"/>
        <w:rPr>
          <w:color w:val="333333"/>
        </w:rPr>
      </w:pPr>
      <w:r w:rsidRPr="00014E8D">
        <w:t>Han</w:t>
      </w:r>
      <w:r>
        <w:t xml:space="preserve">, E and </w:t>
      </w:r>
      <w:r w:rsidRPr="00014E8D">
        <w:t xml:space="preserve">O’Mahoney, </w:t>
      </w:r>
      <w:r>
        <w:t xml:space="preserve">J. </w:t>
      </w:r>
      <w:r w:rsidRPr="00014E8D">
        <w:t xml:space="preserve">(2014) ‘British colonialism and the criminalization of homosexuality’, </w:t>
      </w:r>
      <w:r w:rsidRPr="005B466F">
        <w:rPr>
          <w:i/>
          <w:iCs/>
        </w:rPr>
        <w:t>Cambridge Review of International Affairs</w:t>
      </w:r>
      <w:r w:rsidRPr="00014E8D">
        <w:t xml:space="preserve"> </w:t>
      </w:r>
      <w:r>
        <w:t xml:space="preserve">Available at: </w:t>
      </w:r>
      <w:hyperlink r:id="rId59" w:history="1">
        <w:r w:rsidRPr="00D35FAE">
          <w:rPr>
            <w:rStyle w:val="Hyperlink"/>
          </w:rPr>
          <w:t>https://doi.org/10.1080/09557571.2013.867298</w:t>
        </w:r>
      </w:hyperlink>
      <w:r>
        <w:t xml:space="preserve"> (Accessed </w:t>
      </w:r>
      <w:r w:rsidR="007E1156">
        <w:t xml:space="preserve">7th October </w:t>
      </w:r>
      <w:r>
        <w:t>2022)</w:t>
      </w:r>
    </w:p>
    <w:p w14:paraId="66F0FB10" w14:textId="77777777" w:rsidR="00BA27EE" w:rsidRDefault="00BA27EE" w:rsidP="00AC0EE8">
      <w:pPr>
        <w:pStyle w:val="NormalWeb"/>
        <w:shd w:val="clear" w:color="auto" w:fill="FFFFFF"/>
        <w:spacing w:before="0" w:beforeAutospacing="0" w:after="240" w:afterAutospacing="0" w:line="480" w:lineRule="auto"/>
        <w:ind w:hanging="720"/>
      </w:pPr>
      <w:r w:rsidRPr="00BB48CA">
        <w:t>Hardt, M and Negri, A.  (2009). </w:t>
      </w:r>
      <w:r w:rsidRPr="00BB48CA">
        <w:rPr>
          <w:rStyle w:val="Emphasis"/>
        </w:rPr>
        <w:t>Empire</w:t>
      </w:r>
      <w:r w:rsidRPr="00BB48CA">
        <w:t>. Cambridge, Harvard University Press.</w:t>
      </w:r>
    </w:p>
    <w:p w14:paraId="45DC8308" w14:textId="0D8DEDDB" w:rsidR="00BA27EE" w:rsidRDefault="00BA27EE" w:rsidP="00AC0EE8">
      <w:pPr>
        <w:pStyle w:val="NormalWeb"/>
        <w:shd w:val="clear" w:color="auto" w:fill="FFFFFF"/>
        <w:spacing w:before="0" w:beforeAutospacing="0" w:after="240" w:afterAutospacing="0" w:line="480" w:lineRule="auto"/>
        <w:ind w:hanging="720"/>
      </w:pPr>
      <w:r w:rsidRPr="00014E8D">
        <w:t xml:space="preserve">Haskins, S. (2014) The influence of Roman laws regarding same-sex acts on homophobia in Africa. </w:t>
      </w:r>
      <w:r w:rsidRPr="005B466F">
        <w:rPr>
          <w:i/>
          <w:iCs/>
        </w:rPr>
        <w:t>African Human Rights Journal</w:t>
      </w:r>
      <w:r w:rsidRPr="00014E8D">
        <w:t xml:space="preserve">, 14, pp. 393-411. Available at: </w:t>
      </w:r>
      <w:hyperlink r:id="rId60" w:history="1">
        <w:r w:rsidRPr="007E1156">
          <w:rPr>
            <w:rStyle w:val="Hyperlink"/>
          </w:rPr>
          <w:t>http://www.scielo.org.za/pdf/ahrlj/v14n2/06.pdf</w:t>
        </w:r>
      </w:hyperlink>
      <w:r w:rsidRPr="00014E8D">
        <w:t xml:space="preserve"> (Accessed </w:t>
      </w:r>
      <w:r w:rsidR="007E1156">
        <w:t xml:space="preserve">1st October </w:t>
      </w:r>
      <w:r w:rsidRPr="00014E8D">
        <w:t xml:space="preserve">2022). </w:t>
      </w:r>
    </w:p>
    <w:p w14:paraId="419A0373" w14:textId="2F4CD5AC" w:rsidR="00011C56" w:rsidRPr="00011C56" w:rsidRDefault="00BA27EE" w:rsidP="00D3282A">
      <w:pPr>
        <w:pStyle w:val="NormalWeb"/>
        <w:shd w:val="clear" w:color="auto" w:fill="FFFFFF"/>
        <w:spacing w:before="0" w:beforeAutospacing="0" w:after="240" w:afterAutospacing="0" w:line="480" w:lineRule="auto"/>
        <w:ind w:hanging="720"/>
        <w:rPr>
          <w:shd w:val="clear" w:color="auto" w:fill="FFFFFF"/>
        </w:rPr>
      </w:pPr>
      <w:r w:rsidRPr="003A79EA">
        <w:rPr>
          <w:shd w:val="clear" w:color="auto" w:fill="FFFFFF"/>
        </w:rPr>
        <w:t>Hegel, G.</w:t>
      </w:r>
      <w:r>
        <w:rPr>
          <w:shd w:val="clear" w:color="auto" w:fill="FFFFFF"/>
        </w:rPr>
        <w:t xml:space="preserve"> (</w:t>
      </w:r>
      <w:r w:rsidRPr="003A79EA">
        <w:rPr>
          <w:shd w:val="clear" w:color="auto" w:fill="FFFFFF"/>
        </w:rPr>
        <w:t>1977</w:t>
      </w:r>
      <w:r>
        <w:rPr>
          <w:shd w:val="clear" w:color="auto" w:fill="FFFFFF"/>
        </w:rPr>
        <w:t>).</w:t>
      </w:r>
      <w:r w:rsidRPr="003A79EA">
        <w:rPr>
          <w:shd w:val="clear" w:color="auto" w:fill="FFFFFF"/>
        </w:rPr>
        <w:t> </w:t>
      </w:r>
      <w:r w:rsidRPr="003A79EA">
        <w:rPr>
          <w:i/>
          <w:iCs/>
          <w:shd w:val="clear" w:color="auto" w:fill="FFFFFF"/>
        </w:rPr>
        <w:t>Phenomenology of Spirit</w:t>
      </w:r>
      <w:r w:rsidRPr="003A79EA">
        <w:rPr>
          <w:shd w:val="clear" w:color="auto" w:fill="FFFFFF"/>
        </w:rPr>
        <w:t>.</w:t>
      </w:r>
      <w:r>
        <w:rPr>
          <w:shd w:val="clear" w:color="auto" w:fill="FFFFFF"/>
        </w:rPr>
        <w:t xml:space="preserve"> Translated </w:t>
      </w:r>
      <w:r w:rsidR="007E1156">
        <w:rPr>
          <w:shd w:val="clear" w:color="auto" w:fill="FFFFFF"/>
        </w:rPr>
        <w:t xml:space="preserve">from the German </w:t>
      </w:r>
      <w:r>
        <w:rPr>
          <w:shd w:val="clear" w:color="auto" w:fill="FFFFFF"/>
        </w:rPr>
        <w:t>by A.</w:t>
      </w:r>
      <w:r w:rsidR="00256836">
        <w:rPr>
          <w:shd w:val="clear" w:color="auto" w:fill="FFFFFF"/>
        </w:rPr>
        <w:t>V. Miller</w:t>
      </w:r>
      <w:r>
        <w:rPr>
          <w:shd w:val="clear" w:color="auto" w:fill="FFFFFF"/>
        </w:rPr>
        <w:t>.</w:t>
      </w:r>
      <w:r w:rsidRPr="003A79EA">
        <w:rPr>
          <w:shd w:val="clear" w:color="auto" w:fill="FFFFFF"/>
        </w:rPr>
        <w:t xml:space="preserve"> 1st ed. Oxford: Oxford University Press, pp.</w:t>
      </w:r>
      <w:r>
        <w:rPr>
          <w:shd w:val="clear" w:color="auto" w:fill="FFFFFF"/>
        </w:rPr>
        <w:t>111</w:t>
      </w:r>
      <w:r w:rsidRPr="003A79EA">
        <w:rPr>
          <w:shd w:val="clear" w:color="auto" w:fill="FFFFFF"/>
        </w:rPr>
        <w:t>.</w:t>
      </w:r>
      <w:r w:rsidR="009E1349">
        <w:rPr>
          <w:shd w:val="clear" w:color="auto" w:fill="FFFFFF"/>
        </w:rPr>
        <w:t xml:space="preserve"> </w:t>
      </w:r>
    </w:p>
    <w:p w14:paraId="50D5E3AD" w14:textId="5F0369F5" w:rsidR="00011C56" w:rsidRDefault="00011C56" w:rsidP="00011C56">
      <w:pPr>
        <w:pStyle w:val="NormalWeb"/>
        <w:shd w:val="clear" w:color="auto" w:fill="FFFFFF"/>
        <w:spacing w:before="0" w:beforeAutospacing="0" w:after="240" w:afterAutospacing="0" w:line="480" w:lineRule="auto"/>
        <w:ind w:hanging="720"/>
        <w:rPr>
          <w:shd w:val="clear" w:color="auto" w:fill="FFFFFF"/>
        </w:rPr>
      </w:pPr>
      <w:r w:rsidRPr="00011C56">
        <w:rPr>
          <w:shd w:val="clear" w:color="auto" w:fill="FFFFFF"/>
        </w:rPr>
        <w:t xml:space="preserve">Heller, H. (2020) ‘Hegel, Haiti and revolution: the post-colonial moment’, </w:t>
      </w:r>
      <w:r w:rsidRPr="00D3282A">
        <w:rPr>
          <w:i/>
          <w:iCs/>
          <w:shd w:val="clear" w:color="auto" w:fill="FFFFFF"/>
        </w:rPr>
        <w:t>Third world quarterly</w:t>
      </w:r>
      <w:r w:rsidRPr="00011C56">
        <w:rPr>
          <w:shd w:val="clear" w:color="auto" w:fill="FFFFFF"/>
        </w:rPr>
        <w:t xml:space="preserve">, 41(8), pp. 1442–1461. Available at: </w:t>
      </w:r>
      <w:hyperlink r:id="rId61" w:history="1">
        <w:r w:rsidRPr="00E81ACB">
          <w:rPr>
            <w:rStyle w:val="Hyperlink"/>
            <w:shd w:val="clear" w:color="auto" w:fill="FFFFFF"/>
          </w:rPr>
          <w:t>https://doi.org/10.1080/01436597.2020.1763168</w:t>
        </w:r>
      </w:hyperlink>
      <w:r w:rsidRPr="00011C56">
        <w:rPr>
          <w:shd w:val="clear" w:color="auto" w:fill="FFFFFF"/>
        </w:rPr>
        <w:t>.</w:t>
      </w:r>
      <w:r>
        <w:rPr>
          <w:shd w:val="clear" w:color="auto" w:fill="FFFFFF"/>
        </w:rPr>
        <w:t xml:space="preserve"> (Accessed 16</w:t>
      </w:r>
      <w:r w:rsidR="007D0F81">
        <w:rPr>
          <w:shd w:val="clear" w:color="auto" w:fill="FFFFFF"/>
        </w:rPr>
        <w:t xml:space="preserve">th July </w:t>
      </w:r>
      <w:r>
        <w:rPr>
          <w:shd w:val="clear" w:color="auto" w:fill="FFFFFF"/>
        </w:rPr>
        <w:t>2023)</w:t>
      </w:r>
    </w:p>
    <w:p w14:paraId="6A023B41" w14:textId="315E1E7A" w:rsidR="00BA27EE" w:rsidRPr="007D0F81" w:rsidRDefault="00BA27EE" w:rsidP="007D0F81">
      <w:pPr>
        <w:pStyle w:val="NormalWeb"/>
        <w:shd w:val="clear" w:color="auto" w:fill="FFFFFF"/>
        <w:spacing w:before="0" w:beforeAutospacing="0" w:after="240" w:afterAutospacing="0" w:line="480" w:lineRule="auto"/>
        <w:ind w:hanging="720"/>
        <w:rPr>
          <w:color w:val="0000FF"/>
          <w:u w:val="single"/>
        </w:rPr>
      </w:pPr>
      <w:r w:rsidRPr="00014E8D">
        <w:t xml:space="preserve">Hines, S. and Santos, A.C. (2018) ‘Trans policy, politics and research: The UK and Portugal’, </w:t>
      </w:r>
      <w:r w:rsidRPr="005B466F">
        <w:rPr>
          <w:i/>
          <w:iCs/>
        </w:rPr>
        <w:t>Critical social policy</w:t>
      </w:r>
      <w:r w:rsidRPr="00014E8D">
        <w:t>, 38(1), pp. 35–56. Available at:</w:t>
      </w:r>
      <w:r>
        <w:t xml:space="preserve"> </w:t>
      </w:r>
      <w:hyperlink r:id="rId62" w:history="1">
        <w:r w:rsidRPr="00D35FAE">
          <w:rPr>
            <w:rStyle w:val="Hyperlink"/>
          </w:rPr>
          <w:t>https://doi.org/10.1177/0261018317732880</w:t>
        </w:r>
      </w:hyperlink>
      <w:r w:rsidRPr="00014E8D">
        <w:t>.</w:t>
      </w:r>
      <w:r w:rsidR="009E1349">
        <w:t xml:space="preserve"> </w:t>
      </w:r>
      <w:r w:rsidR="007D0F81">
        <w:t>(Accessed 6th May 2023)</w:t>
      </w:r>
    </w:p>
    <w:p w14:paraId="05196656" w14:textId="77777777" w:rsidR="001418D6" w:rsidRDefault="00BA27EE" w:rsidP="001418D6">
      <w:pPr>
        <w:pStyle w:val="NormalWeb"/>
        <w:shd w:val="clear" w:color="auto" w:fill="FFFFFF"/>
        <w:spacing w:before="0" w:beforeAutospacing="0" w:after="240" w:afterAutospacing="0" w:line="480" w:lineRule="auto"/>
        <w:ind w:hanging="720"/>
        <w:rPr>
          <w:rStyle w:val="Hyperlink"/>
        </w:rPr>
      </w:pPr>
      <w:r>
        <w:t xml:space="preserve">Holland, R. (2000) ‘The decolonizing metropole: British experience from India to Hong Kong, 1947–1997’, </w:t>
      </w:r>
      <w:r w:rsidRPr="001418D6">
        <w:rPr>
          <w:i/>
          <w:iCs/>
        </w:rPr>
        <w:t>European review</w:t>
      </w:r>
      <w:r>
        <w:t xml:space="preserve">, 8(1), pp. 65–76. Available at: </w:t>
      </w:r>
      <w:hyperlink r:id="rId63" w:history="1">
        <w:r w:rsidRPr="00873E6C">
          <w:rPr>
            <w:rStyle w:val="Hyperlink"/>
          </w:rPr>
          <w:t>https://doi.org/10.1017/S1062798700004567</w:t>
        </w:r>
      </w:hyperlink>
      <w:r>
        <w:t>.</w:t>
      </w:r>
      <w:r w:rsidR="009E1349" w:rsidRPr="009E1349">
        <w:t xml:space="preserve"> </w:t>
      </w:r>
      <w:r w:rsidR="001418D6">
        <w:t>(Accessed 6th May 2023)</w:t>
      </w:r>
    </w:p>
    <w:p w14:paraId="72A81403" w14:textId="3A77AFCF" w:rsidR="00BA27EE" w:rsidRDefault="00BA27EE" w:rsidP="00AC0EE8">
      <w:pPr>
        <w:pStyle w:val="NormalWeb"/>
        <w:shd w:val="clear" w:color="auto" w:fill="FFFFFF"/>
        <w:spacing w:before="0" w:beforeAutospacing="0" w:after="240" w:afterAutospacing="0" w:line="480" w:lineRule="auto"/>
        <w:ind w:hanging="720"/>
      </w:pPr>
    </w:p>
    <w:p w14:paraId="3514AA68" w14:textId="67FFF736" w:rsidR="00BA27EE" w:rsidRPr="001418D6" w:rsidRDefault="00BA27EE" w:rsidP="001418D6">
      <w:pPr>
        <w:pStyle w:val="NormalWeb"/>
        <w:shd w:val="clear" w:color="auto" w:fill="FFFFFF"/>
        <w:spacing w:before="0" w:beforeAutospacing="0" w:after="240" w:afterAutospacing="0" w:line="480" w:lineRule="auto"/>
        <w:ind w:hanging="720"/>
        <w:rPr>
          <w:color w:val="333333"/>
        </w:rPr>
      </w:pPr>
      <w:r>
        <w:lastRenderedPageBreak/>
        <w:t xml:space="preserve">Human Rights Watch. (2008) </w:t>
      </w:r>
      <w:r>
        <w:rPr>
          <w:i/>
          <w:iCs/>
        </w:rPr>
        <w:t xml:space="preserve">This Alien Legacy: The Origins of “Sodomy” Laws in British Colonialism”. </w:t>
      </w:r>
      <w:r>
        <w:t xml:space="preserve">Available at: </w:t>
      </w:r>
      <w:hyperlink r:id="rId64" w:history="1">
        <w:r w:rsidRPr="00D35FAE">
          <w:rPr>
            <w:rStyle w:val="Hyperlink"/>
          </w:rPr>
          <w:t>https://www.hrw.org/report/2008/12/17/alien-legacy/origins-sodomy-laws-british-colonialism</w:t>
        </w:r>
      </w:hyperlink>
      <w:r>
        <w:t xml:space="preserve"> </w:t>
      </w:r>
      <w:r w:rsidR="001418D6">
        <w:t>(Accessed 7th October 2022)</w:t>
      </w:r>
      <w:r>
        <w:t xml:space="preserve"> </w:t>
      </w:r>
    </w:p>
    <w:p w14:paraId="6F13906F" w14:textId="1215A9D6" w:rsidR="00BA27EE" w:rsidRDefault="00BA27EE" w:rsidP="00AC0EE8">
      <w:pPr>
        <w:pStyle w:val="NormalWeb"/>
        <w:shd w:val="clear" w:color="auto" w:fill="FFFFFF"/>
        <w:spacing w:before="0" w:beforeAutospacing="0" w:after="240" w:afterAutospacing="0" w:line="480" w:lineRule="auto"/>
        <w:ind w:hanging="720"/>
      </w:pPr>
      <w:r>
        <w:t xml:space="preserve">Imbruglia, G. (2015) ‘Civilisation and Colonisation: Enlightenment Theories in the Debate between Diderot and Raynal’, </w:t>
      </w:r>
      <w:r w:rsidRPr="001B2D46">
        <w:rPr>
          <w:i/>
          <w:iCs/>
        </w:rPr>
        <w:t>History of European ideas</w:t>
      </w:r>
      <w:r>
        <w:t xml:space="preserve">, 41(7), pp. 858–882. Available at: </w:t>
      </w:r>
      <w:hyperlink r:id="rId65" w:history="1">
        <w:r w:rsidRPr="0038220D">
          <w:rPr>
            <w:rStyle w:val="Hyperlink"/>
          </w:rPr>
          <w:t>https://doi.org/10.1080/01916599.2015.1016316</w:t>
        </w:r>
      </w:hyperlink>
      <w:r>
        <w:t>.</w:t>
      </w:r>
      <w:r w:rsidR="009E1349">
        <w:t xml:space="preserve"> </w:t>
      </w:r>
      <w:r w:rsidR="001418D6">
        <w:t>(Accessed 6th May 2023)</w:t>
      </w:r>
    </w:p>
    <w:p w14:paraId="5C98EF3A" w14:textId="3CC092F5" w:rsidR="00BA27EE" w:rsidRDefault="00BA27EE" w:rsidP="00AC0EE8">
      <w:pPr>
        <w:pStyle w:val="NormalWeb"/>
        <w:shd w:val="clear" w:color="auto" w:fill="FFFFFF"/>
        <w:spacing w:before="0" w:beforeAutospacing="0" w:after="240" w:afterAutospacing="0" w:line="480" w:lineRule="auto"/>
        <w:ind w:hanging="720"/>
      </w:pPr>
      <w:r>
        <w:t xml:space="preserve">Ince, O.U. (2021) ‘Adam Smith, Settler Colonialism, and Limits of Liberal Anti-imperialism’, </w:t>
      </w:r>
      <w:r w:rsidRPr="001B2D46">
        <w:rPr>
          <w:i/>
          <w:iCs/>
        </w:rPr>
        <w:t>The Journal of politics</w:t>
      </w:r>
      <w:r>
        <w:t xml:space="preserve">, 83(3), pp. 1080–1096. Available at: </w:t>
      </w:r>
      <w:hyperlink r:id="rId66" w:history="1">
        <w:r w:rsidRPr="0038220D">
          <w:rPr>
            <w:rStyle w:val="Hyperlink"/>
          </w:rPr>
          <w:t>https://doi.org/10.1086/711321</w:t>
        </w:r>
      </w:hyperlink>
      <w:r>
        <w:t>.</w:t>
      </w:r>
      <w:r w:rsidR="009E1349">
        <w:t xml:space="preserve"> </w:t>
      </w:r>
      <w:r w:rsidR="001418D6">
        <w:t>(Accessed 6th May 2023)</w:t>
      </w:r>
    </w:p>
    <w:p w14:paraId="116A3969" w14:textId="18AE52D5" w:rsidR="0094740E" w:rsidRDefault="00BA27EE" w:rsidP="0094740E">
      <w:pPr>
        <w:pStyle w:val="NormalWeb"/>
        <w:shd w:val="clear" w:color="auto" w:fill="FFFFFF"/>
        <w:spacing w:before="0" w:beforeAutospacing="0" w:after="240" w:afterAutospacing="0" w:line="480" w:lineRule="auto"/>
        <w:ind w:hanging="720"/>
      </w:pPr>
      <w:r>
        <w:t xml:space="preserve">Isherwood, L and Harris, D. (2014) </w:t>
      </w:r>
      <w:r>
        <w:rPr>
          <w:i/>
          <w:iCs/>
        </w:rPr>
        <w:t>Radical Otherness: Sociological and Theological Approaches</w:t>
      </w:r>
      <w:r>
        <w:t xml:space="preserve">. Routledge, Oxon. </w:t>
      </w:r>
    </w:p>
    <w:p w14:paraId="078A0C84" w14:textId="0FDCC958" w:rsidR="0094740E" w:rsidRDefault="0094740E" w:rsidP="0094740E">
      <w:pPr>
        <w:pStyle w:val="NormalWeb"/>
        <w:shd w:val="clear" w:color="auto" w:fill="FFFFFF"/>
        <w:spacing w:before="0" w:beforeAutospacing="0" w:after="240" w:afterAutospacing="0" w:line="480" w:lineRule="auto"/>
        <w:ind w:hanging="720"/>
      </w:pPr>
      <w:r>
        <w:t xml:space="preserve">Izugbara, C. et al. (2020) ‘Regional legal and policy instruments for addressing LGBT exclusion in Africa’, </w:t>
      </w:r>
      <w:r w:rsidRPr="0094740E">
        <w:rPr>
          <w:i/>
          <w:iCs/>
        </w:rPr>
        <w:t>Sexual and reproductive health matters</w:t>
      </w:r>
      <w:r>
        <w:t xml:space="preserve">, 28(1), pp. 1–14. Available at: </w:t>
      </w:r>
      <w:hyperlink r:id="rId67" w:history="1">
        <w:r w:rsidR="009E1349" w:rsidRPr="00FA0A6A">
          <w:rPr>
            <w:rStyle w:val="Hyperlink"/>
          </w:rPr>
          <w:t>https://doi.org/10.1080/26410397.2019.1698905</w:t>
        </w:r>
      </w:hyperlink>
      <w:r>
        <w:t>.</w:t>
      </w:r>
      <w:r w:rsidR="009E1349">
        <w:t xml:space="preserve"> </w:t>
      </w:r>
      <w:r w:rsidR="003E7FB9">
        <w:t>(Accessed 6th May 2023)</w:t>
      </w:r>
    </w:p>
    <w:p w14:paraId="169A508E" w14:textId="11936B93" w:rsidR="00BA27EE" w:rsidRDefault="00BA27EE" w:rsidP="00AC0EE8">
      <w:pPr>
        <w:pStyle w:val="NormalWeb"/>
        <w:shd w:val="clear" w:color="auto" w:fill="FFFFFF"/>
        <w:spacing w:before="0" w:beforeAutospacing="0" w:after="240" w:afterAutospacing="0" w:line="480" w:lineRule="auto"/>
        <w:ind w:hanging="720"/>
      </w:pPr>
      <w:r>
        <w:t xml:space="preserve">James, D. and Knappik, F. (2022) ‘Exploring the Metaphysics of Hegel’s Racism: The Teleology of the “Concept” and the Taxonomy of Races’, </w:t>
      </w:r>
      <w:r w:rsidRPr="0056510F">
        <w:rPr>
          <w:i/>
          <w:iCs/>
        </w:rPr>
        <w:t>Hegel bulletin</w:t>
      </w:r>
      <w:r>
        <w:t xml:space="preserve">, pp. 1–28. Available at: </w:t>
      </w:r>
      <w:hyperlink r:id="rId68" w:history="1">
        <w:r w:rsidRPr="00642B5B">
          <w:rPr>
            <w:rStyle w:val="Hyperlink"/>
          </w:rPr>
          <w:t>https://doi.org/10.1017/hgl.2022.38</w:t>
        </w:r>
      </w:hyperlink>
      <w:r>
        <w:t>.</w:t>
      </w:r>
      <w:r w:rsidR="009E1349">
        <w:t xml:space="preserve"> </w:t>
      </w:r>
      <w:r w:rsidR="003E7FB9">
        <w:t>(Accessed 6th May 2023)</w:t>
      </w:r>
    </w:p>
    <w:p w14:paraId="3911115B" w14:textId="52A13F7E" w:rsidR="00BA27EE" w:rsidRDefault="00BA27EE" w:rsidP="00AC0EE8">
      <w:pPr>
        <w:pStyle w:val="NormalWeb"/>
        <w:shd w:val="clear" w:color="auto" w:fill="FFFFFF"/>
        <w:spacing w:before="0" w:beforeAutospacing="0" w:after="240" w:afterAutospacing="0" w:line="480" w:lineRule="auto"/>
        <w:ind w:hanging="720"/>
      </w:pPr>
      <w:r w:rsidRPr="00014E8D">
        <w:t xml:space="preserve">Jensz, F. (2012) ‘Missionaries and Indigenous Education in the 19th-Century British Empire. Part II: Race, Class, and Gender’, </w:t>
      </w:r>
      <w:r w:rsidRPr="005B466F">
        <w:rPr>
          <w:i/>
          <w:iCs/>
        </w:rPr>
        <w:t>History compass</w:t>
      </w:r>
      <w:r w:rsidRPr="00014E8D">
        <w:t xml:space="preserve">, 10(4), pp. 306–317. Available at: </w:t>
      </w:r>
      <w:hyperlink r:id="rId69" w:history="1">
        <w:r w:rsidRPr="003E7FB9">
          <w:rPr>
            <w:rStyle w:val="Hyperlink"/>
          </w:rPr>
          <w:t>https://doi.org/10.1111/j.1478-0542.2012.00838.x</w:t>
        </w:r>
      </w:hyperlink>
      <w:r w:rsidRPr="00014E8D">
        <w:t>.</w:t>
      </w:r>
      <w:r w:rsidR="009E1349">
        <w:t xml:space="preserve"> </w:t>
      </w:r>
      <w:r w:rsidR="003E7FB9">
        <w:t>(Accessed 6th May 2023)</w:t>
      </w:r>
    </w:p>
    <w:p w14:paraId="5ED3AB9F" w14:textId="783AB570" w:rsidR="00BA27EE" w:rsidRDefault="00BA27EE" w:rsidP="00AC0EE8">
      <w:pPr>
        <w:spacing w:line="480" w:lineRule="auto"/>
        <w:ind w:hanging="720"/>
      </w:pPr>
      <w:r>
        <w:lastRenderedPageBreak/>
        <w:t xml:space="preserve">Jindra, I.W. (2021) ‘A History of Christian Conversion and Other Conversion Models: a Review Essay’, </w:t>
      </w:r>
      <w:r w:rsidRPr="000930EB">
        <w:rPr>
          <w:i/>
          <w:iCs/>
        </w:rPr>
        <w:t>Pastoral psychology</w:t>
      </w:r>
      <w:r>
        <w:t xml:space="preserve">, 70(2), pp. 141–150. Available at: </w:t>
      </w:r>
      <w:hyperlink r:id="rId70" w:history="1">
        <w:r w:rsidR="009E1349" w:rsidRPr="00FA0A6A">
          <w:rPr>
            <w:rStyle w:val="Hyperlink"/>
          </w:rPr>
          <w:t>https://doi.org/10.1007/s11089-021-00939-4</w:t>
        </w:r>
      </w:hyperlink>
      <w:r>
        <w:t>.</w:t>
      </w:r>
      <w:r w:rsidR="009E1349">
        <w:t xml:space="preserve"> </w:t>
      </w:r>
      <w:r w:rsidR="003E7FB9">
        <w:t>(Accessed 6th May 2023)</w:t>
      </w:r>
    </w:p>
    <w:p w14:paraId="796BCB40" w14:textId="574D20C5" w:rsidR="00BA27EE" w:rsidRDefault="00BA27EE" w:rsidP="00AC0EE8">
      <w:pPr>
        <w:pStyle w:val="NormalWeb"/>
        <w:shd w:val="clear" w:color="auto" w:fill="FFFFFF"/>
        <w:spacing w:before="0" w:beforeAutospacing="0" w:after="240" w:afterAutospacing="0" w:line="480" w:lineRule="auto"/>
        <w:ind w:hanging="720"/>
        <w:rPr>
          <w:color w:val="333333"/>
        </w:rPr>
      </w:pPr>
      <w:r w:rsidRPr="00887AF5">
        <w:rPr>
          <w:color w:val="333333"/>
        </w:rPr>
        <w:t xml:space="preserve">Johnston, L. (2018) ‘Gender and sexuality III: Precarious places’, </w:t>
      </w:r>
      <w:r w:rsidRPr="00887AF5">
        <w:rPr>
          <w:i/>
          <w:iCs/>
          <w:color w:val="333333"/>
        </w:rPr>
        <w:t>Progress in human geography</w:t>
      </w:r>
      <w:r w:rsidRPr="00887AF5">
        <w:rPr>
          <w:color w:val="333333"/>
        </w:rPr>
        <w:t xml:space="preserve">, 42(6), pp. 928–936. Available at: </w:t>
      </w:r>
      <w:hyperlink r:id="rId71" w:history="1">
        <w:r w:rsidRPr="00642B5B">
          <w:rPr>
            <w:rStyle w:val="Hyperlink"/>
          </w:rPr>
          <w:t>https://doi.org/10.1177/0309132517731256</w:t>
        </w:r>
      </w:hyperlink>
      <w:r w:rsidRPr="00887AF5">
        <w:rPr>
          <w:color w:val="333333"/>
        </w:rPr>
        <w:t>.</w:t>
      </w:r>
      <w:r w:rsidR="009E1349">
        <w:rPr>
          <w:color w:val="333333"/>
        </w:rPr>
        <w:t xml:space="preserve"> </w:t>
      </w:r>
      <w:r w:rsidR="003E7FB9">
        <w:t>(Accessed 6th May 2023)</w:t>
      </w:r>
    </w:p>
    <w:p w14:paraId="376143F2" w14:textId="1BC5CC06" w:rsidR="00BA27EE" w:rsidRPr="007F5CA5" w:rsidRDefault="00BA27EE" w:rsidP="00AC0EE8">
      <w:pPr>
        <w:pStyle w:val="NormalWeb"/>
        <w:shd w:val="clear" w:color="auto" w:fill="FFFFFF"/>
        <w:spacing w:before="0" w:beforeAutospacing="0" w:after="240" w:afterAutospacing="0" w:line="480" w:lineRule="auto"/>
        <w:ind w:hanging="720"/>
        <w:rPr>
          <w:color w:val="333333"/>
        </w:rPr>
      </w:pPr>
      <w:r w:rsidRPr="00014E8D">
        <w:t xml:space="preserve">Jones, B.E. and Ferguson, A. (2020) ‘Black and gay: A historical perspective of black gay men’, </w:t>
      </w:r>
      <w:r w:rsidRPr="005B466F">
        <w:rPr>
          <w:i/>
          <w:iCs/>
        </w:rPr>
        <w:t>Journal of gay &amp; lesbian mental health</w:t>
      </w:r>
      <w:r w:rsidRPr="00014E8D">
        <w:t xml:space="preserve">, 24(4), pp. 336–359. Available at: </w:t>
      </w:r>
      <w:hyperlink r:id="rId72" w:history="1">
        <w:r w:rsidRPr="00D35FAE">
          <w:rPr>
            <w:rStyle w:val="Hyperlink"/>
          </w:rPr>
          <w:t>https://doi.org/10.1080/19359705.2020.1798683</w:t>
        </w:r>
      </w:hyperlink>
      <w:r w:rsidRPr="00014E8D">
        <w:t>.</w:t>
      </w:r>
      <w:r w:rsidR="009E1349">
        <w:t xml:space="preserve"> </w:t>
      </w:r>
      <w:r w:rsidR="003E7FB9">
        <w:t>(Accessed 6th May 2023)</w:t>
      </w:r>
    </w:p>
    <w:p w14:paraId="297871C2" w14:textId="00C0F92D" w:rsidR="00BA27EE" w:rsidRDefault="00BA27EE" w:rsidP="00AC0EE8">
      <w:pPr>
        <w:pStyle w:val="NormalWeb"/>
        <w:shd w:val="clear" w:color="auto" w:fill="FFFFFF"/>
        <w:spacing w:before="0" w:beforeAutospacing="0" w:after="240" w:afterAutospacing="0" w:line="480" w:lineRule="auto"/>
        <w:ind w:hanging="720"/>
        <w:rPr>
          <w:color w:val="333333"/>
        </w:rPr>
      </w:pPr>
      <w:r w:rsidRPr="00871511">
        <w:rPr>
          <w:color w:val="333333"/>
        </w:rPr>
        <w:t xml:space="preserve"> Kao, Y.-C. (2021) ‘The coloniality of </w:t>
      </w:r>
      <w:r w:rsidR="00BA2220">
        <w:rPr>
          <w:color w:val="333333"/>
        </w:rPr>
        <w:t>Queer Theory</w:t>
      </w:r>
      <w:r w:rsidRPr="00871511">
        <w:rPr>
          <w:color w:val="333333"/>
        </w:rPr>
        <w:t xml:space="preserve">: The effects of “homonormativity” on transnational Taiwan’s path to equality’, </w:t>
      </w:r>
      <w:r w:rsidRPr="00871511">
        <w:rPr>
          <w:i/>
          <w:iCs/>
          <w:color w:val="333333"/>
        </w:rPr>
        <w:t>Sexualitie</w:t>
      </w:r>
      <w:r w:rsidRPr="00871511">
        <w:rPr>
          <w:color w:val="333333"/>
        </w:rPr>
        <w:t xml:space="preserve">s, p. 136346072110475–. Available at: </w:t>
      </w:r>
      <w:hyperlink r:id="rId73" w:history="1">
        <w:r w:rsidRPr="00873E6C">
          <w:rPr>
            <w:rStyle w:val="Hyperlink"/>
          </w:rPr>
          <w:t>https://doi.org/10.1177/13634607211047518</w:t>
        </w:r>
      </w:hyperlink>
      <w:r w:rsidRPr="00871511">
        <w:rPr>
          <w:color w:val="333333"/>
        </w:rPr>
        <w:t>.</w:t>
      </w:r>
      <w:r w:rsidR="009E1349">
        <w:rPr>
          <w:color w:val="333333"/>
        </w:rPr>
        <w:t xml:space="preserve"> </w:t>
      </w:r>
      <w:r w:rsidR="003E7FB9">
        <w:t>(Accessed 6th May 2023)</w:t>
      </w:r>
    </w:p>
    <w:p w14:paraId="0CB0E6F6" w14:textId="28868A67" w:rsidR="00BA27EE" w:rsidRDefault="00BA27EE" w:rsidP="00AC0EE8">
      <w:pPr>
        <w:pStyle w:val="NormalWeb"/>
        <w:shd w:val="clear" w:color="auto" w:fill="FFFFFF"/>
        <w:spacing w:before="0" w:beforeAutospacing="0" w:after="240" w:afterAutospacing="0" w:line="480" w:lineRule="auto"/>
        <w:ind w:hanging="720"/>
        <w:rPr>
          <w:rStyle w:val="Hyperlink"/>
        </w:rPr>
      </w:pPr>
      <w:r>
        <w:t xml:space="preserve">Kling, D.W. (2020) </w:t>
      </w:r>
      <w:r w:rsidRPr="000930EB">
        <w:rPr>
          <w:i/>
          <w:iCs/>
        </w:rPr>
        <w:t>A History of Christian Conversion</w:t>
      </w:r>
      <w:r>
        <w:t xml:space="preserve">. New York: Oxford University Press. Available at: </w:t>
      </w:r>
      <w:hyperlink r:id="rId74" w:history="1">
        <w:r w:rsidRPr="0038220D">
          <w:rPr>
            <w:rStyle w:val="Hyperlink"/>
          </w:rPr>
          <w:t>https://doi.org/10.1093/oso/9780195320923.001.0001.#</w:t>
        </w:r>
      </w:hyperlink>
      <w:r w:rsidR="009E1349">
        <w:rPr>
          <w:rStyle w:val="Hyperlink"/>
        </w:rPr>
        <w:t xml:space="preserve"> </w:t>
      </w:r>
      <w:r w:rsidR="003E7FB9">
        <w:t>(Accessed 6th May 2023)</w:t>
      </w:r>
    </w:p>
    <w:p w14:paraId="799929C7" w14:textId="415B0C59" w:rsidR="00BA27EE" w:rsidRDefault="00BA27EE" w:rsidP="00AC0EE8">
      <w:pPr>
        <w:pStyle w:val="NormalWeb"/>
        <w:shd w:val="clear" w:color="auto" w:fill="FFFFFF"/>
        <w:spacing w:before="0" w:beforeAutospacing="0" w:after="240" w:afterAutospacing="0" w:line="480" w:lineRule="auto"/>
        <w:ind w:hanging="720"/>
      </w:pPr>
      <w:r>
        <w:t xml:space="preserve">Kohn, M. (2013) ‘Postcolonialism and global justice’, </w:t>
      </w:r>
      <w:r w:rsidRPr="00FC6F5C">
        <w:rPr>
          <w:i/>
          <w:iCs/>
        </w:rPr>
        <w:t>Journal of global ethics</w:t>
      </w:r>
      <w:r>
        <w:t xml:space="preserve">, 9(2), pp. 187–200. Available at: </w:t>
      </w:r>
      <w:hyperlink r:id="rId75" w:history="1">
        <w:r w:rsidRPr="0038220D">
          <w:rPr>
            <w:rStyle w:val="Hyperlink"/>
          </w:rPr>
          <w:t>https://doi.org/10.1080/17449626.2013.818459</w:t>
        </w:r>
      </w:hyperlink>
      <w:r>
        <w:t>.</w:t>
      </w:r>
      <w:r w:rsidR="009E1349">
        <w:t xml:space="preserve"> </w:t>
      </w:r>
      <w:r w:rsidR="003E7FB9">
        <w:t>(Accessed 6th May 2023)</w:t>
      </w:r>
    </w:p>
    <w:p w14:paraId="03E4C343" w14:textId="0386A607" w:rsidR="00BA27EE" w:rsidRDefault="00BA27EE" w:rsidP="00AC0EE8">
      <w:pPr>
        <w:pStyle w:val="NormalWeb"/>
        <w:shd w:val="clear" w:color="auto" w:fill="FFFFFF"/>
        <w:spacing w:before="0" w:beforeAutospacing="0" w:after="240" w:afterAutospacing="0" w:line="480" w:lineRule="auto"/>
        <w:ind w:hanging="720"/>
      </w:pPr>
      <w:r w:rsidRPr="00014E8D">
        <w:t xml:space="preserve">Kronk, C.A. and Dexheimer, J.W. (2020) ‘Development of the Gender, Sex, and Sexual Orientation ontology: Evaluation and workflow’, </w:t>
      </w:r>
      <w:r w:rsidRPr="00014E8D">
        <w:rPr>
          <w:i/>
          <w:iCs/>
        </w:rPr>
        <w:t>Journal of the American Medical Informatics Association</w:t>
      </w:r>
      <w:r w:rsidRPr="00014E8D">
        <w:t xml:space="preserve">, 27(7), pp. 1110–1115. Available at: </w:t>
      </w:r>
      <w:hyperlink r:id="rId76" w:history="1">
        <w:r w:rsidRPr="00014E8D">
          <w:rPr>
            <w:rStyle w:val="Hyperlink"/>
          </w:rPr>
          <w:t>D</w:t>
        </w:r>
      </w:hyperlink>
      <w:hyperlink r:id="rId77" w:history="1">
        <w:r w:rsidRPr="00014E8D">
          <w:rPr>
            <w:rStyle w:val="Hyperlink"/>
          </w:rPr>
          <w:t xml:space="preserve">evelopment of the Gender, Sex, and Sexual Orientation ontology: Evaluation and workflow | Journal of </w:t>
        </w:r>
        <w:r w:rsidRPr="00014E8D">
          <w:rPr>
            <w:rStyle w:val="Hyperlink"/>
          </w:rPr>
          <w:lastRenderedPageBreak/>
          <w:t>the American Medical Informatics Association | Oxford Academic (oup.com)</w:t>
        </w:r>
      </w:hyperlink>
      <w:r w:rsidRPr="00014E8D">
        <w:t xml:space="preserve"> </w:t>
      </w:r>
      <w:r w:rsidR="002110AA">
        <w:t>(</w:t>
      </w:r>
      <w:r w:rsidRPr="00014E8D">
        <w:t>Accessed 26</w:t>
      </w:r>
      <w:r w:rsidR="002110AA" w:rsidRPr="002110AA">
        <w:rPr>
          <w:vertAlign w:val="superscript"/>
        </w:rPr>
        <w:t>th</w:t>
      </w:r>
      <w:r w:rsidR="002110AA">
        <w:t xml:space="preserve"> May </w:t>
      </w:r>
      <w:r w:rsidRPr="00014E8D">
        <w:t>2</w:t>
      </w:r>
      <w:r w:rsidR="002110AA">
        <w:t>02</w:t>
      </w:r>
      <w:r w:rsidRPr="00014E8D">
        <w:t>2</w:t>
      </w:r>
      <w:r w:rsidR="002110AA">
        <w:t>)</w:t>
      </w:r>
      <w:r w:rsidRPr="00014E8D">
        <w:t xml:space="preserve">. </w:t>
      </w:r>
    </w:p>
    <w:p w14:paraId="7A23A080" w14:textId="4D24556F" w:rsidR="00BA27EE" w:rsidRDefault="00BA27EE" w:rsidP="00AC0EE8">
      <w:pPr>
        <w:pStyle w:val="NormalWeb"/>
        <w:shd w:val="clear" w:color="auto" w:fill="FFFFFF"/>
        <w:spacing w:before="0" w:beforeAutospacing="0" w:after="240" w:afterAutospacing="0" w:line="480" w:lineRule="auto"/>
        <w:ind w:hanging="720"/>
      </w:pPr>
      <w:r>
        <w:t xml:space="preserve">Kuloba, R. (2016) </w:t>
      </w:r>
      <w:r w:rsidR="00CF0B39">
        <w:t>“</w:t>
      </w:r>
      <w:r>
        <w:t xml:space="preserve">Homosexuality is Unafrican and Unbiblical”: Examining the Ideological Motivations to Homophobia in Sub-Saharan Africa - the Case Study of Uganda’, </w:t>
      </w:r>
      <w:r w:rsidRPr="00CF0B39">
        <w:rPr>
          <w:i/>
          <w:iCs/>
        </w:rPr>
        <w:t>Journal of theology for Southern Africa</w:t>
      </w:r>
      <w:r>
        <w:t>, (154), pp. 6–27.</w:t>
      </w:r>
      <w:r w:rsidR="009E1349">
        <w:t xml:space="preserve"> </w:t>
      </w:r>
      <w:r w:rsidR="00E50DE7">
        <w:t xml:space="preserve">Available at: </w:t>
      </w:r>
      <w:hyperlink r:id="rId78" w:history="1">
        <w:r w:rsidR="00D00793" w:rsidRPr="00400B90">
          <w:rPr>
            <w:rStyle w:val="Hyperlink"/>
          </w:rPr>
          <w:t>https://ezproxy.uwtsd.ac.uk/login?url=https://search.ebscohost.com/login.aspx?direct=true&amp;db=rfh&amp;AN=ATLAn4030986&amp;site=ehost-live</w:t>
        </w:r>
      </w:hyperlink>
      <w:r w:rsidR="00E50DE7" w:rsidRPr="00E50DE7">
        <w:t xml:space="preserve"> </w:t>
      </w:r>
      <w:r w:rsidR="002110AA">
        <w:t>(Accessed 6th May 2023)</w:t>
      </w:r>
    </w:p>
    <w:p w14:paraId="70083943" w14:textId="3A54E9F0" w:rsidR="00013FDF" w:rsidRDefault="00BA27EE" w:rsidP="00013FDF">
      <w:pPr>
        <w:pStyle w:val="NormalWeb"/>
        <w:shd w:val="clear" w:color="auto" w:fill="FFFFFF"/>
        <w:spacing w:before="0" w:beforeAutospacing="0" w:after="240" w:afterAutospacing="0" w:line="480" w:lineRule="auto"/>
        <w:ind w:hanging="720"/>
      </w:pPr>
      <w:r>
        <w:t xml:space="preserve">Lloyd, M. (2007). </w:t>
      </w:r>
      <w:r w:rsidRPr="00A352BA">
        <w:rPr>
          <w:i/>
          <w:iCs/>
        </w:rPr>
        <w:t>Judith Butler: From Norms to Politics</w:t>
      </w:r>
      <w:r>
        <w:t>. Cambridge: Polity Press.</w:t>
      </w:r>
    </w:p>
    <w:p w14:paraId="7D436BE7" w14:textId="397A47D2" w:rsidR="00013FDF" w:rsidRDefault="00013FDF" w:rsidP="00013FDF">
      <w:pPr>
        <w:pStyle w:val="NormalWeb"/>
        <w:shd w:val="clear" w:color="auto" w:fill="FFFFFF"/>
        <w:spacing w:before="0" w:beforeAutospacing="0" w:after="240" w:afterAutospacing="0" w:line="480" w:lineRule="auto"/>
        <w:ind w:hanging="720"/>
      </w:pPr>
      <w:r>
        <w:t xml:space="preserve">Lockhart, J.W. (2022) ‘The Gay Right: A Framework for Understanding Right Wing LGBT Organizations’, </w:t>
      </w:r>
      <w:r w:rsidRPr="00013FDF">
        <w:rPr>
          <w:i/>
          <w:iCs/>
        </w:rPr>
        <w:t>Journal of homosexuality</w:t>
      </w:r>
      <w:r>
        <w:t xml:space="preserve">, pp. 1–27. Available at: </w:t>
      </w:r>
      <w:hyperlink r:id="rId79" w:history="1">
        <w:r w:rsidR="009E1349" w:rsidRPr="00FA0A6A">
          <w:rPr>
            <w:rStyle w:val="Hyperlink"/>
          </w:rPr>
          <w:t>https://doi.org/10.1080/00918369.2022.2086749</w:t>
        </w:r>
      </w:hyperlink>
      <w:r>
        <w:t>.</w:t>
      </w:r>
      <w:r w:rsidR="009E1349">
        <w:t xml:space="preserve"> </w:t>
      </w:r>
      <w:r w:rsidR="00D00793">
        <w:t>(Accessed 6th May 2023)</w:t>
      </w:r>
    </w:p>
    <w:p w14:paraId="507A3910" w14:textId="77777777" w:rsidR="00BA27EE" w:rsidRDefault="00BA27EE" w:rsidP="00AC0EE8">
      <w:pPr>
        <w:pStyle w:val="NormalWeb"/>
        <w:shd w:val="clear" w:color="auto" w:fill="FFFFFF"/>
        <w:spacing w:before="0" w:beforeAutospacing="0" w:after="240" w:afterAutospacing="0" w:line="480" w:lineRule="auto"/>
        <w:ind w:hanging="720"/>
      </w:pPr>
      <w:r>
        <w:t xml:space="preserve">Loizidou, E.  (2007). </w:t>
      </w:r>
      <w:r w:rsidRPr="00A352BA">
        <w:rPr>
          <w:i/>
          <w:iCs/>
        </w:rPr>
        <w:t>Judith Butler. Ethics, Law, Politics</w:t>
      </w:r>
      <w:r>
        <w:t>. Abingdon: Routledge-Cavendish.</w:t>
      </w:r>
    </w:p>
    <w:p w14:paraId="7BEC0B0D" w14:textId="2AA08503" w:rsidR="00BA27EE" w:rsidRDefault="00BA27EE" w:rsidP="00AC0EE8">
      <w:pPr>
        <w:pStyle w:val="NormalWeb"/>
        <w:shd w:val="clear" w:color="auto" w:fill="FFFFFF"/>
        <w:spacing w:before="0" w:beforeAutospacing="0" w:after="240" w:afterAutospacing="0" w:line="480" w:lineRule="auto"/>
        <w:ind w:hanging="720"/>
      </w:pPr>
      <w:r w:rsidRPr="008D076C">
        <w:rPr>
          <w:i/>
          <w:iCs/>
        </w:rPr>
        <w:t>Marriage (Same Sex Couples) Act 2013</w:t>
      </w:r>
      <w:r w:rsidRPr="008D076C">
        <w:t xml:space="preserve">. Available at: </w:t>
      </w:r>
      <w:hyperlink r:id="rId80" w:history="1">
        <w:r w:rsidR="005608B9" w:rsidRPr="005608B9">
          <w:rPr>
            <w:rStyle w:val="Hyperlink"/>
          </w:rPr>
          <w:t>https://www.legislation.gov.uk/ukpga/2013/30/contents/enacted/data.htm</w:t>
        </w:r>
      </w:hyperlink>
      <w:r w:rsidR="005608B9">
        <w:t xml:space="preserve"> (</w:t>
      </w:r>
      <w:r w:rsidRPr="008D076C">
        <w:t xml:space="preserve">Accessed </w:t>
      </w:r>
      <w:r>
        <w:t>7</w:t>
      </w:r>
      <w:r w:rsidR="005608B9" w:rsidRPr="005608B9">
        <w:rPr>
          <w:vertAlign w:val="superscript"/>
        </w:rPr>
        <w:t>th</w:t>
      </w:r>
      <w:r w:rsidR="005608B9">
        <w:t xml:space="preserve"> October </w:t>
      </w:r>
      <w:r w:rsidRPr="008D076C">
        <w:t>2022</w:t>
      </w:r>
      <w:r w:rsidR="005608B9">
        <w:t>)</w:t>
      </w:r>
      <w:r w:rsidRPr="008D076C">
        <w:t>.</w:t>
      </w:r>
    </w:p>
    <w:p w14:paraId="2970F5AC" w14:textId="19B9F31A" w:rsidR="00BA27EE" w:rsidRPr="007F5CA5" w:rsidRDefault="00BA27EE" w:rsidP="00AC0EE8">
      <w:pPr>
        <w:pStyle w:val="NormalWeb"/>
        <w:shd w:val="clear" w:color="auto" w:fill="FFFFFF"/>
        <w:spacing w:before="0" w:beforeAutospacing="0" w:after="240" w:afterAutospacing="0" w:line="480" w:lineRule="auto"/>
        <w:ind w:hanging="720"/>
        <w:rPr>
          <w:color w:val="333333"/>
        </w:rPr>
      </w:pPr>
      <w:r>
        <w:t xml:space="preserve">McAllister, J. (2013) ‘Tswanarising global gayness: the “unAfrican” argument, Western gay media imagery, local responses and gay culture in Botswana’, </w:t>
      </w:r>
      <w:r w:rsidRPr="00414C7A">
        <w:rPr>
          <w:i/>
          <w:iCs/>
        </w:rPr>
        <w:t>Culture, health &amp; sexuality</w:t>
      </w:r>
      <w:r>
        <w:t xml:space="preserve">, 15(sup1), pp. 88–101. Available at: </w:t>
      </w:r>
      <w:hyperlink r:id="rId81" w:history="1">
        <w:r w:rsidRPr="0038220D">
          <w:rPr>
            <w:rStyle w:val="Hyperlink"/>
          </w:rPr>
          <w:t>https://doi.org/10.1080/13691058.2012.742929</w:t>
        </w:r>
      </w:hyperlink>
      <w:r>
        <w:t>.</w:t>
      </w:r>
      <w:r w:rsidR="009E1349">
        <w:t xml:space="preserve"> </w:t>
      </w:r>
      <w:r w:rsidR="0065170A">
        <w:t>(Accessed 6th May 2023)</w:t>
      </w:r>
    </w:p>
    <w:p w14:paraId="2CB7B263" w14:textId="62FB64CA" w:rsidR="008133FB" w:rsidRDefault="00BA27EE" w:rsidP="008133FB">
      <w:pPr>
        <w:spacing w:line="480" w:lineRule="auto"/>
        <w:ind w:hanging="720"/>
        <w:contextualSpacing/>
        <w:rPr>
          <w:color w:val="000000"/>
        </w:rPr>
      </w:pPr>
      <w:r>
        <w:rPr>
          <w:color w:val="000000"/>
        </w:rPr>
        <w:t xml:space="preserve">Mignolo, W and Vazquez, R. (2013) </w:t>
      </w:r>
      <w:r w:rsidRPr="00FC6F5C">
        <w:rPr>
          <w:color w:val="000000"/>
        </w:rPr>
        <w:t>The Decolonial AestheSis Dossier</w:t>
      </w:r>
      <w:r>
        <w:rPr>
          <w:color w:val="000000"/>
        </w:rPr>
        <w:t xml:space="preserve">. </w:t>
      </w:r>
      <w:r w:rsidRPr="00FC6F5C">
        <w:rPr>
          <w:i/>
          <w:iCs/>
          <w:color w:val="000000"/>
        </w:rPr>
        <w:t>Social Text Online</w:t>
      </w:r>
      <w:r>
        <w:rPr>
          <w:color w:val="000000"/>
        </w:rPr>
        <w:t xml:space="preserve">. Available at: </w:t>
      </w:r>
      <w:hyperlink r:id="rId82" w:history="1">
        <w:r w:rsidRPr="0038220D">
          <w:rPr>
            <w:rStyle w:val="Hyperlink"/>
          </w:rPr>
          <w:t>https://socialtextjournal.org/periscope_article/the-decolonial-aesthesis-dossier/</w:t>
        </w:r>
      </w:hyperlink>
      <w:r>
        <w:rPr>
          <w:color w:val="000000"/>
        </w:rPr>
        <w:t xml:space="preserve"> (Accessed 30</w:t>
      </w:r>
      <w:r w:rsidR="0065170A" w:rsidRPr="0065170A">
        <w:rPr>
          <w:color w:val="000000"/>
          <w:vertAlign w:val="superscript"/>
        </w:rPr>
        <w:t>th</w:t>
      </w:r>
      <w:r w:rsidR="0065170A">
        <w:rPr>
          <w:color w:val="000000"/>
        </w:rPr>
        <w:t xml:space="preserve"> December </w:t>
      </w:r>
      <w:r>
        <w:rPr>
          <w:color w:val="000000"/>
        </w:rPr>
        <w:t>2022)</w:t>
      </w:r>
    </w:p>
    <w:p w14:paraId="5D6708A7" w14:textId="6AF5DA19" w:rsidR="003B5DD3" w:rsidRDefault="003B5DD3" w:rsidP="008133FB">
      <w:pPr>
        <w:spacing w:line="480" w:lineRule="auto"/>
        <w:ind w:hanging="720"/>
        <w:contextualSpacing/>
        <w:rPr>
          <w:color w:val="000000"/>
        </w:rPr>
      </w:pPr>
      <w:r w:rsidRPr="003B5DD3">
        <w:rPr>
          <w:color w:val="000000"/>
        </w:rPr>
        <w:lastRenderedPageBreak/>
        <w:t>Mihailov, E. et al. (2019</w:t>
      </w:r>
      <w:r w:rsidRPr="003B5DD3">
        <w:rPr>
          <w:i/>
          <w:iCs/>
          <w:color w:val="000000"/>
        </w:rPr>
        <w:t>) Contemporary Debates in Bioethics: European Perspectives</w:t>
      </w:r>
      <w:r w:rsidRPr="003B5DD3">
        <w:rPr>
          <w:color w:val="000000"/>
        </w:rPr>
        <w:t xml:space="preserve">. Edited by B. Elger et al. Warsaw: De Gruyter. Available at: </w:t>
      </w:r>
      <w:hyperlink r:id="rId83" w:history="1">
        <w:r w:rsidR="00921581" w:rsidRPr="00884DE7">
          <w:rPr>
            <w:rStyle w:val="Hyperlink"/>
          </w:rPr>
          <w:t>https://doi.org/10.2478/9783110571219</w:t>
        </w:r>
      </w:hyperlink>
      <w:r w:rsidRPr="003B5DD3">
        <w:rPr>
          <w:color w:val="000000"/>
        </w:rPr>
        <w:t>.</w:t>
      </w:r>
      <w:r w:rsidR="009E1349">
        <w:rPr>
          <w:color w:val="000000"/>
        </w:rPr>
        <w:t xml:space="preserve"> </w:t>
      </w:r>
      <w:r w:rsidR="001A0AE0">
        <w:t>(Accessed 6th May 2023)</w:t>
      </w:r>
    </w:p>
    <w:p w14:paraId="2037528A" w14:textId="17554C83" w:rsidR="00921581" w:rsidRPr="009349A0" w:rsidRDefault="00921581" w:rsidP="003B5DD3">
      <w:pPr>
        <w:spacing w:line="480" w:lineRule="auto"/>
        <w:ind w:hanging="720"/>
        <w:contextualSpacing/>
        <w:rPr>
          <w:color w:val="000000"/>
        </w:rPr>
      </w:pPr>
      <w:r>
        <w:rPr>
          <w:color w:val="000000"/>
        </w:rPr>
        <w:t>Milestone, K and Meyer, A. (</w:t>
      </w:r>
      <w:r w:rsidR="009349A0">
        <w:rPr>
          <w:color w:val="000000"/>
        </w:rPr>
        <w:t xml:space="preserve">2020) </w:t>
      </w:r>
      <w:r w:rsidR="009349A0">
        <w:rPr>
          <w:i/>
          <w:iCs/>
          <w:color w:val="000000"/>
        </w:rPr>
        <w:t>Gender and Popular Culture</w:t>
      </w:r>
      <w:r w:rsidR="009349A0">
        <w:rPr>
          <w:color w:val="000000"/>
        </w:rPr>
        <w:t>. 2</w:t>
      </w:r>
      <w:r w:rsidR="009349A0" w:rsidRPr="001F4C77">
        <w:rPr>
          <w:color w:val="000000"/>
          <w:vertAlign w:val="superscript"/>
        </w:rPr>
        <w:t>nd</w:t>
      </w:r>
      <w:r w:rsidR="009349A0">
        <w:rPr>
          <w:color w:val="000000"/>
        </w:rPr>
        <w:t xml:space="preserve"> edition, </w:t>
      </w:r>
      <w:r w:rsidR="00763CB7">
        <w:rPr>
          <w:color w:val="000000"/>
        </w:rPr>
        <w:t>Polity Press, Cambridge.</w:t>
      </w:r>
    </w:p>
    <w:p w14:paraId="6CB5075B" w14:textId="5DACBF8F" w:rsidR="00BA27EE" w:rsidRDefault="00BA27EE" w:rsidP="00AC0EE8">
      <w:pPr>
        <w:spacing w:line="480" w:lineRule="auto"/>
        <w:ind w:hanging="720"/>
      </w:pPr>
      <w:r>
        <w:t xml:space="preserve">Mooney, T.B. (2020) ‘Introduction: Some Thoughts on Colonialism’, </w:t>
      </w:r>
      <w:r w:rsidRPr="000930EB">
        <w:rPr>
          <w:i/>
          <w:iCs/>
        </w:rPr>
        <w:t>The European legacy, toward new paradigms</w:t>
      </w:r>
      <w:r>
        <w:t xml:space="preserve">, 25(5), pp. 499–501. Available at: </w:t>
      </w:r>
      <w:hyperlink r:id="rId84" w:history="1">
        <w:r w:rsidRPr="0038220D">
          <w:rPr>
            <w:rStyle w:val="Hyperlink"/>
          </w:rPr>
          <w:t>https://doi.org/10.1080/10848770.2020.1761626</w:t>
        </w:r>
      </w:hyperlink>
      <w:r>
        <w:t>.</w:t>
      </w:r>
      <w:r w:rsidR="009E1349">
        <w:t xml:space="preserve"> </w:t>
      </w:r>
      <w:r w:rsidR="001A0AE0">
        <w:t>(Accessed 6th May 2023)</w:t>
      </w:r>
    </w:p>
    <w:p w14:paraId="77E83141" w14:textId="41C3E547" w:rsidR="00BA27EE" w:rsidRPr="001A0AE0" w:rsidRDefault="00BA27EE" w:rsidP="001A0AE0">
      <w:pPr>
        <w:spacing w:line="480" w:lineRule="auto"/>
        <w:ind w:hanging="720"/>
        <w:rPr>
          <w:color w:val="0000FF"/>
          <w:u w:val="single"/>
        </w:rPr>
      </w:pPr>
      <w:r w:rsidRPr="00F55F45">
        <w:t xml:space="preserve">Morgensen, S.L (2010). “Settler </w:t>
      </w:r>
      <w:r w:rsidR="00CB71B2">
        <w:t>Homonationalism</w:t>
      </w:r>
      <w:r w:rsidRPr="00F55F45">
        <w:t xml:space="preserve">: Theorizing Settler Colonialism within Queer Modernities,” </w:t>
      </w:r>
      <w:r w:rsidRPr="00F55F45">
        <w:rPr>
          <w:i/>
          <w:iCs/>
        </w:rPr>
        <w:t>GLQ: A Journal of Lesbian and Gay Studies,</w:t>
      </w:r>
      <w:r w:rsidRPr="00F55F45">
        <w:t xml:space="preserve"> 16 (1–2), pp.106. Available at: </w:t>
      </w:r>
      <w:hyperlink r:id="rId85" w:history="1">
        <w:r w:rsidRPr="00F55F45">
          <w:rPr>
            <w:rStyle w:val="Hyperlink"/>
          </w:rPr>
          <w:t xml:space="preserve">Project MUSE - Settler </w:t>
        </w:r>
        <w:r w:rsidR="00CB71B2">
          <w:rPr>
            <w:rStyle w:val="Hyperlink"/>
          </w:rPr>
          <w:t>Homonationalism</w:t>
        </w:r>
        <w:r w:rsidRPr="00F55F45">
          <w:rPr>
            <w:rStyle w:val="Hyperlink"/>
          </w:rPr>
          <w:t>: Theorizing Settler Colonialism within Queer Modernities (uwtsd.ac.uk)</w:t>
        </w:r>
      </w:hyperlink>
      <w:r w:rsidR="001A0AE0">
        <w:rPr>
          <w:rStyle w:val="Hyperlink"/>
        </w:rPr>
        <w:t xml:space="preserve"> </w:t>
      </w:r>
      <w:r w:rsidR="001A0AE0">
        <w:rPr>
          <w:rStyle w:val="Hyperlink"/>
          <w:color w:val="auto"/>
          <w:u w:val="none"/>
        </w:rPr>
        <w:t>(Accessed 6</w:t>
      </w:r>
      <w:r w:rsidR="001A0AE0" w:rsidRPr="001A0AE0">
        <w:rPr>
          <w:rStyle w:val="Hyperlink"/>
          <w:color w:val="auto"/>
          <w:u w:val="none"/>
          <w:vertAlign w:val="superscript"/>
        </w:rPr>
        <w:t>th</w:t>
      </w:r>
      <w:r w:rsidR="001A0AE0">
        <w:rPr>
          <w:rStyle w:val="Hyperlink"/>
          <w:color w:val="auto"/>
          <w:u w:val="none"/>
        </w:rPr>
        <w:t xml:space="preserve"> May 2023)</w:t>
      </w:r>
      <w:r w:rsidRPr="00F55F45">
        <w:rPr>
          <w:rStyle w:val="Hyperlink"/>
        </w:rPr>
        <w:t xml:space="preserve"> </w:t>
      </w:r>
    </w:p>
    <w:p w14:paraId="21B68CEA" w14:textId="0C69168C" w:rsidR="00BA27EE" w:rsidRDefault="00BA27EE" w:rsidP="00AC0EE8">
      <w:pPr>
        <w:spacing w:line="480" w:lineRule="auto"/>
        <w:ind w:hanging="720"/>
      </w:pPr>
      <w:r>
        <w:t xml:space="preserve">Msibi, T. (2011) ‘The Lies We Have Been Told: On (Homo) Sexuality in Africa’, Africa today, 58(1), pp. 55–77. Available at: </w:t>
      </w:r>
      <w:hyperlink r:id="rId86" w:history="1">
        <w:r w:rsidRPr="00873E6C">
          <w:rPr>
            <w:rStyle w:val="Hyperlink"/>
          </w:rPr>
          <w:t>https://doi.org/10.2979/africatoday.58.1.55</w:t>
        </w:r>
      </w:hyperlink>
      <w:r>
        <w:t>.</w:t>
      </w:r>
      <w:r w:rsidR="009E1349">
        <w:t xml:space="preserve"> </w:t>
      </w:r>
      <w:r w:rsidR="001A0AE0">
        <w:t>(Accessed 6th May 2023)</w:t>
      </w:r>
    </w:p>
    <w:p w14:paraId="7348C20C" w14:textId="77777777" w:rsidR="00BA27EE" w:rsidRDefault="00BA27EE" w:rsidP="00AC0EE8">
      <w:pPr>
        <w:spacing w:line="480" w:lineRule="auto"/>
        <w:ind w:hanging="720"/>
      </w:pPr>
      <w:r w:rsidRPr="00014E8D">
        <w:t>Nannyonga-Tamusuza, S. A. 2005. Baakisimba: Gender in the Music and Dance of the Baganda People of Uganda. London: Routledge</w:t>
      </w:r>
    </w:p>
    <w:p w14:paraId="49494CC8" w14:textId="4C263662" w:rsidR="00BA27EE" w:rsidRDefault="00BA27EE" w:rsidP="00AC0EE8">
      <w:pPr>
        <w:spacing w:line="480" w:lineRule="auto"/>
        <w:ind w:hanging="720"/>
      </w:pPr>
      <w:r>
        <w:t xml:space="preserve">Nash, C.J. and Browne, K. (2020) </w:t>
      </w:r>
      <w:r w:rsidR="00256836" w:rsidRPr="0059014A">
        <w:rPr>
          <w:i/>
          <w:iCs/>
        </w:rPr>
        <w:t>Heteroactivism:</w:t>
      </w:r>
      <w:r w:rsidRPr="0059014A">
        <w:rPr>
          <w:i/>
          <w:iCs/>
        </w:rPr>
        <w:t xml:space="preserve"> resisting lesbian, gay, bisexual and trans rights and equalities</w:t>
      </w:r>
      <w:r>
        <w:t>. London, Zed Books.</w:t>
      </w:r>
    </w:p>
    <w:p w14:paraId="1C136967" w14:textId="4CB27C45" w:rsidR="00BA27EE" w:rsidRDefault="00BA27EE" w:rsidP="00AC0EE8">
      <w:pPr>
        <w:spacing w:line="480" w:lineRule="auto"/>
        <w:ind w:hanging="720"/>
      </w:pPr>
      <w:r w:rsidRPr="00014E8D">
        <w:t xml:space="preserve">Nicol, N. et al. </w:t>
      </w:r>
      <w:r w:rsidR="0031286A">
        <w:t xml:space="preserve">(eds) </w:t>
      </w:r>
      <w:r w:rsidRPr="00014E8D">
        <w:t xml:space="preserve">(2018) </w:t>
      </w:r>
      <w:r w:rsidRPr="0031286A">
        <w:rPr>
          <w:i/>
          <w:iCs/>
        </w:rPr>
        <w:t xml:space="preserve">Envisioning Global LGBT Human </w:t>
      </w:r>
      <w:r w:rsidR="00256836" w:rsidRPr="0031286A">
        <w:rPr>
          <w:i/>
          <w:iCs/>
        </w:rPr>
        <w:t>Rights:</w:t>
      </w:r>
      <w:r w:rsidRPr="0031286A">
        <w:rPr>
          <w:i/>
          <w:iCs/>
        </w:rPr>
        <w:t xml:space="preserve"> Neocolonialism, Neoliberalism, Resistance and Hope</w:t>
      </w:r>
      <w:r w:rsidRPr="00014E8D">
        <w:t>. University of London</w:t>
      </w:r>
      <w:r w:rsidR="004F1646">
        <w:t>: London</w:t>
      </w:r>
      <w:r w:rsidRPr="00014E8D">
        <w:t>.</w:t>
      </w:r>
    </w:p>
    <w:p w14:paraId="2FBF589B" w14:textId="423265BA" w:rsidR="00BA27EE" w:rsidRDefault="00BA27EE" w:rsidP="00AC0EE8">
      <w:pPr>
        <w:spacing w:line="480" w:lineRule="auto"/>
        <w:ind w:hanging="720"/>
      </w:pPr>
      <w:r w:rsidRPr="00690F47">
        <w:rPr>
          <w:color w:val="000000"/>
        </w:rPr>
        <w:t xml:space="preserve">Ogunnaike, O. (2016) ‘From Heathen to Sub-Human: A Genealogy of the Influence of the Decline of Religion on the Rise of Modern Racism’, </w:t>
      </w:r>
      <w:r w:rsidRPr="00F43F16">
        <w:rPr>
          <w:i/>
          <w:iCs/>
          <w:color w:val="000000"/>
        </w:rPr>
        <w:t>Open theology</w:t>
      </w:r>
      <w:r w:rsidRPr="00690F47">
        <w:rPr>
          <w:color w:val="000000"/>
        </w:rPr>
        <w:t xml:space="preserve">, 2(1), pp. 785–803. Available at: </w:t>
      </w:r>
      <w:hyperlink r:id="rId87" w:history="1">
        <w:r w:rsidRPr="0038220D">
          <w:rPr>
            <w:rStyle w:val="Hyperlink"/>
          </w:rPr>
          <w:t>https://doi.org/10.1515/opth-2016-0059</w:t>
        </w:r>
      </w:hyperlink>
      <w:r w:rsidRPr="00690F47">
        <w:rPr>
          <w:color w:val="000000"/>
        </w:rPr>
        <w:t>.</w:t>
      </w:r>
      <w:r w:rsidR="009E1349">
        <w:rPr>
          <w:color w:val="000000"/>
        </w:rPr>
        <w:t xml:space="preserve"> </w:t>
      </w:r>
      <w:r w:rsidR="004F1646">
        <w:t>(Accessed 6th May 2023)</w:t>
      </w:r>
    </w:p>
    <w:p w14:paraId="5009E3DD" w14:textId="245AC05E" w:rsidR="00D440B5" w:rsidRDefault="00BA27EE" w:rsidP="00D440B5">
      <w:pPr>
        <w:spacing w:line="480" w:lineRule="auto"/>
        <w:ind w:hanging="720"/>
      </w:pPr>
      <w:r>
        <w:lastRenderedPageBreak/>
        <w:t xml:space="preserve">Oostindie, G. and Howland, A. (2011) </w:t>
      </w:r>
      <w:r w:rsidRPr="00FC6F5C">
        <w:rPr>
          <w:i/>
          <w:iCs/>
        </w:rPr>
        <w:t xml:space="preserve">Postcolonial </w:t>
      </w:r>
      <w:r w:rsidR="00256836" w:rsidRPr="00FC6F5C">
        <w:rPr>
          <w:i/>
          <w:iCs/>
        </w:rPr>
        <w:t>Netherlands:</w:t>
      </w:r>
      <w:r w:rsidRPr="00FC6F5C">
        <w:rPr>
          <w:i/>
          <w:iCs/>
        </w:rPr>
        <w:t xml:space="preserve"> sixty-five years of forgetting, commemorating, silencing</w:t>
      </w:r>
      <w:r>
        <w:t xml:space="preserve">. Translated </w:t>
      </w:r>
      <w:r w:rsidR="00BA11F6">
        <w:t>from the Dutch by</w:t>
      </w:r>
      <w:r>
        <w:t xml:space="preserve"> A. Howland. Amsterdam: Amsterdam University Press. Available at: </w:t>
      </w:r>
      <w:hyperlink r:id="rId88" w:history="1">
        <w:r w:rsidRPr="0038220D">
          <w:rPr>
            <w:rStyle w:val="Hyperlink"/>
          </w:rPr>
          <w:t>https://doi.org/10.1515/9789048514021</w:t>
        </w:r>
      </w:hyperlink>
      <w:r>
        <w:t>.</w:t>
      </w:r>
      <w:r w:rsidR="009E1349">
        <w:t xml:space="preserve"> </w:t>
      </w:r>
      <w:r w:rsidR="004F1646">
        <w:t>(Accessed 6th May 2023)</w:t>
      </w:r>
    </w:p>
    <w:p w14:paraId="62ABE30D" w14:textId="764FF094" w:rsidR="00D440B5" w:rsidRDefault="00D440B5" w:rsidP="00D440B5">
      <w:pPr>
        <w:spacing w:line="480" w:lineRule="auto"/>
        <w:ind w:hanging="720"/>
      </w:pPr>
      <w:r>
        <w:t xml:space="preserve"> O’Sullivan, S. (2021) ‘The Colonial Project of Gender (and Everything Else)’, </w:t>
      </w:r>
      <w:r w:rsidRPr="00BA11F6">
        <w:rPr>
          <w:i/>
          <w:iCs/>
        </w:rPr>
        <w:t xml:space="preserve">Genealogy (Basel), </w:t>
      </w:r>
      <w:r>
        <w:t xml:space="preserve">5(3), p. 67–. Available at: </w:t>
      </w:r>
      <w:hyperlink r:id="rId89" w:history="1">
        <w:r w:rsidRPr="00E26D6C">
          <w:rPr>
            <w:rStyle w:val="Hyperlink"/>
          </w:rPr>
          <w:t>https://doi.org/10.3390/genealogy5030067</w:t>
        </w:r>
      </w:hyperlink>
      <w:r>
        <w:t>. (Accessed 28</w:t>
      </w:r>
      <w:r w:rsidR="00BA11F6">
        <w:t xml:space="preserve">th May </w:t>
      </w:r>
      <w:r>
        <w:t>2023)</w:t>
      </w:r>
    </w:p>
    <w:p w14:paraId="37494E4B" w14:textId="7AEE1F51" w:rsidR="00BA27EE" w:rsidRDefault="00BA27EE" w:rsidP="00AC0EE8">
      <w:pPr>
        <w:pStyle w:val="NormalWeb"/>
        <w:shd w:val="clear" w:color="auto" w:fill="FFFFFF"/>
        <w:spacing w:before="0" w:beforeAutospacing="0" w:after="240" w:afterAutospacing="0" w:line="480" w:lineRule="auto"/>
        <w:ind w:hanging="720"/>
        <w:rPr>
          <w:color w:val="333333"/>
        </w:rPr>
      </w:pPr>
      <w:r w:rsidRPr="00D56C5A">
        <w:rPr>
          <w:color w:val="333333"/>
        </w:rPr>
        <w:t xml:space="preserve"> Oswin, N. (2014) ‘Queer time in global city Singapore: Neoliberal futures and the “freedom to love”’, </w:t>
      </w:r>
      <w:r w:rsidRPr="00D56C5A">
        <w:rPr>
          <w:i/>
          <w:iCs/>
          <w:color w:val="333333"/>
        </w:rPr>
        <w:t>Sexualities</w:t>
      </w:r>
      <w:r w:rsidRPr="00D56C5A">
        <w:rPr>
          <w:color w:val="333333"/>
        </w:rPr>
        <w:t xml:space="preserve">, 17(4), pp. 412–433. Available at: </w:t>
      </w:r>
      <w:hyperlink r:id="rId90" w:history="1">
        <w:r w:rsidRPr="00642B5B">
          <w:rPr>
            <w:rStyle w:val="Hyperlink"/>
          </w:rPr>
          <w:t>https://doi.org/10.1177/1363460714524765</w:t>
        </w:r>
      </w:hyperlink>
      <w:r w:rsidRPr="00D56C5A">
        <w:rPr>
          <w:color w:val="333333"/>
        </w:rPr>
        <w:t>.</w:t>
      </w:r>
      <w:r w:rsidR="009E1349">
        <w:rPr>
          <w:color w:val="333333"/>
        </w:rPr>
        <w:t xml:space="preserve"> </w:t>
      </w:r>
      <w:r w:rsidR="009E1349">
        <w:t>(Accessed 6</w:t>
      </w:r>
      <w:r w:rsidR="00BA11F6">
        <w:t xml:space="preserve">th May </w:t>
      </w:r>
      <w:r w:rsidR="009E1349">
        <w:t>2023)</w:t>
      </w:r>
    </w:p>
    <w:p w14:paraId="124D684B" w14:textId="0971BC29" w:rsidR="00BA27EE" w:rsidRDefault="00BA27EE" w:rsidP="00AC0EE8">
      <w:pPr>
        <w:pStyle w:val="NormalWeb"/>
        <w:shd w:val="clear" w:color="auto" w:fill="FFFFFF"/>
        <w:spacing w:before="0" w:beforeAutospacing="0" w:after="240" w:afterAutospacing="0" w:line="480" w:lineRule="auto"/>
        <w:ind w:hanging="720"/>
      </w:pPr>
      <w:r w:rsidRPr="00014E8D">
        <w:t>Paradies, Y. (2016) ‘Colonisation, racism and indigenous health’, </w:t>
      </w:r>
      <w:r w:rsidRPr="0089275F">
        <w:rPr>
          <w:i/>
          <w:iCs/>
        </w:rPr>
        <w:t>Journal of population research</w:t>
      </w:r>
      <w:r w:rsidRPr="00014E8D">
        <w:t xml:space="preserve">, 33(1), pp. 83–96. Available at: </w:t>
      </w:r>
      <w:hyperlink r:id="rId91" w:history="1">
        <w:r w:rsidRPr="00D35FAE">
          <w:rPr>
            <w:rStyle w:val="Hyperlink"/>
          </w:rPr>
          <w:t>https://doi.org/10.1007/s12546-016-9159-y</w:t>
        </w:r>
      </w:hyperlink>
      <w:r w:rsidRPr="00014E8D">
        <w:t>.</w:t>
      </w:r>
      <w:r w:rsidR="009E1349">
        <w:t xml:space="preserve"> </w:t>
      </w:r>
      <w:r w:rsidR="00BA11F6">
        <w:t>(Accessed 6th May 2023)</w:t>
      </w:r>
    </w:p>
    <w:p w14:paraId="046D7D6A" w14:textId="169766B4" w:rsidR="008133FB" w:rsidRDefault="00BA27EE" w:rsidP="008133FB">
      <w:pPr>
        <w:pStyle w:val="NormalWeb"/>
        <w:shd w:val="clear" w:color="auto" w:fill="FFFFFF"/>
        <w:spacing w:before="0" w:beforeAutospacing="0" w:after="240" w:afterAutospacing="0" w:line="480" w:lineRule="auto"/>
        <w:ind w:hanging="720"/>
      </w:pPr>
      <w:r w:rsidRPr="00014E8D">
        <w:t xml:space="preserve">Pausacker, H. and Whiting, A. (2019). Special Issue: Legal Regimes of Sexual Orientation and Gender Identity in Asia. </w:t>
      </w:r>
      <w:r w:rsidRPr="00CA7E8D">
        <w:rPr>
          <w:i/>
          <w:iCs/>
        </w:rPr>
        <w:t>Australian Journal of Law</w:t>
      </w:r>
      <w:r w:rsidRPr="00014E8D">
        <w:t xml:space="preserve">, 20 (1), pp.1-16, Available at: </w:t>
      </w:r>
      <w:hyperlink r:id="rId92" w:history="1">
        <w:r w:rsidRPr="00C57070">
          <w:rPr>
            <w:rStyle w:val="Hyperlink"/>
          </w:rPr>
          <w:t>https://ssrn.com/abstract=3493477</w:t>
        </w:r>
      </w:hyperlink>
      <w:r w:rsidRPr="00014E8D">
        <w:t xml:space="preserve"> </w:t>
      </w:r>
      <w:r w:rsidR="00C57070">
        <w:t>(</w:t>
      </w:r>
      <w:r w:rsidRPr="00014E8D">
        <w:t>Accessed 1</w:t>
      </w:r>
      <w:r w:rsidR="00C57070">
        <w:t>st</w:t>
      </w:r>
      <w:r w:rsidRPr="00014E8D">
        <w:t xml:space="preserve"> Oct</w:t>
      </w:r>
      <w:r w:rsidR="00C57070">
        <w:t>ober</w:t>
      </w:r>
      <w:r w:rsidRPr="00014E8D">
        <w:t xml:space="preserve"> 202</w:t>
      </w:r>
      <w:r w:rsidR="00C57070">
        <w:t>2)</w:t>
      </w:r>
    </w:p>
    <w:p w14:paraId="1DF7F826" w14:textId="32A17CF5" w:rsidR="00BA27EE" w:rsidRPr="008133FB" w:rsidRDefault="00BA27EE" w:rsidP="008133FB">
      <w:pPr>
        <w:pStyle w:val="NormalWeb"/>
        <w:shd w:val="clear" w:color="auto" w:fill="FFFFFF"/>
        <w:spacing w:before="0" w:beforeAutospacing="0" w:after="240" w:afterAutospacing="0" w:line="480" w:lineRule="auto"/>
        <w:ind w:hanging="720"/>
        <w:rPr>
          <w:color w:val="333333"/>
        </w:rPr>
      </w:pPr>
      <w:r>
        <w:t>Peatrik</w:t>
      </w:r>
      <w:r w:rsidRPr="005972DF">
        <w:t xml:space="preserve">, </w:t>
      </w:r>
      <w:r>
        <w:t>A.M. (2021)</w:t>
      </w:r>
      <w:r w:rsidRPr="005972DF">
        <w:t xml:space="preserve"> </w:t>
      </w:r>
      <w:r>
        <w:t>Beyond its Whitewashed Past, the Unique Peoples of Precolonial Kenya, i</w:t>
      </w:r>
      <w:r w:rsidRPr="005972DF">
        <w:t>n </w:t>
      </w:r>
      <w:r>
        <w:rPr>
          <w:i/>
          <w:iCs/>
        </w:rPr>
        <w:t xml:space="preserve">Kenya in Motion 2000 - </w:t>
      </w:r>
      <w:r w:rsidR="00256836">
        <w:rPr>
          <w:i/>
          <w:iCs/>
        </w:rPr>
        <w:t>2020,</w:t>
      </w:r>
      <w:r w:rsidRPr="005972DF">
        <w:t xml:space="preserve"> ed</w:t>
      </w:r>
      <w:r>
        <w:t>ited by, Fouere, M, Pommerolle, M and Thipon, C.</w:t>
      </w:r>
      <w:r w:rsidRPr="005972DF">
        <w:t xml:space="preserve"> </w:t>
      </w:r>
      <w:r>
        <w:t xml:space="preserve">Africae, Nairobi. </w:t>
      </w:r>
    </w:p>
    <w:p w14:paraId="4CF7800D" w14:textId="398ABC0C" w:rsidR="00BA27EE" w:rsidRDefault="00BA27EE" w:rsidP="00AC0EE8">
      <w:pPr>
        <w:spacing w:line="480" w:lineRule="auto"/>
        <w:ind w:hanging="720"/>
      </w:pPr>
      <w:r>
        <w:t xml:space="preserve">Picq, M.L and Tikuna, J. (2019) Indigenous Sexualities: Resisting Conquest and </w:t>
      </w:r>
      <w:r w:rsidR="00256836">
        <w:t>Translation;</w:t>
      </w:r>
      <w:r>
        <w:t xml:space="preserve"> </w:t>
      </w:r>
      <w:r w:rsidR="00256836">
        <w:t>In Caroline</w:t>
      </w:r>
      <w:r>
        <w:t xml:space="preserve"> Cottet and Manuela Lavinas Picq, </w:t>
      </w:r>
      <w:r>
        <w:rPr>
          <w:i/>
          <w:iCs/>
        </w:rPr>
        <w:t xml:space="preserve">Sexuality and Translation in World </w:t>
      </w:r>
      <w:r w:rsidRPr="00D36303">
        <w:rPr>
          <w:i/>
          <w:iCs/>
        </w:rPr>
        <w:t>Politics</w:t>
      </w:r>
      <w:r>
        <w:t xml:space="preserve">. </w:t>
      </w:r>
      <w:r w:rsidR="00160899">
        <w:t>A</w:t>
      </w:r>
      <w:r w:rsidRPr="00D36303">
        <w:t>vailable</w:t>
      </w:r>
      <w:r>
        <w:t xml:space="preserve"> at </w:t>
      </w:r>
      <w:hyperlink r:id="rId93" w:history="1">
        <w:r w:rsidRPr="00D35FAE">
          <w:rPr>
            <w:rStyle w:val="Hyperlink"/>
          </w:rPr>
          <w:t>https://www.e-ir.info/2019/08/20/indigenous-sexualities-resisting-conquest-and-translation/</w:t>
        </w:r>
      </w:hyperlink>
      <w:r>
        <w:t xml:space="preserve"> (Accessed 7</w:t>
      </w:r>
      <w:r w:rsidR="00160899" w:rsidRPr="00160899">
        <w:rPr>
          <w:vertAlign w:val="superscript"/>
        </w:rPr>
        <w:t>th</w:t>
      </w:r>
      <w:r w:rsidR="00160899">
        <w:t xml:space="preserve"> October </w:t>
      </w:r>
      <w:r>
        <w:t>2022).</w:t>
      </w:r>
    </w:p>
    <w:p w14:paraId="4DF8600B" w14:textId="609072A0" w:rsidR="00BA27EE" w:rsidRPr="007F5CA5" w:rsidRDefault="00BA27EE" w:rsidP="00AC0EE8">
      <w:pPr>
        <w:spacing w:line="480" w:lineRule="auto"/>
        <w:ind w:hanging="720"/>
      </w:pPr>
      <w:r w:rsidRPr="00FC6F5C">
        <w:rPr>
          <w:color w:val="000000"/>
        </w:rPr>
        <w:lastRenderedPageBreak/>
        <w:t>Pillay</w:t>
      </w:r>
      <w:r>
        <w:rPr>
          <w:color w:val="000000"/>
        </w:rPr>
        <w:t>, S. (2021)</w:t>
      </w:r>
      <w:r w:rsidRPr="00FC6F5C">
        <w:rPr>
          <w:color w:val="000000"/>
        </w:rPr>
        <w:t xml:space="preserve"> The Problem of Colonialism</w:t>
      </w:r>
      <w:r w:rsidRPr="00FC6F5C">
        <w:rPr>
          <w:rStyle w:val="subtitle-colon"/>
          <w:color w:val="000000"/>
          <w:bdr w:val="none" w:sz="0" w:space="0" w:color="auto" w:frame="1"/>
        </w:rPr>
        <w:t>: </w:t>
      </w:r>
      <w:r w:rsidRPr="00FC6F5C">
        <w:rPr>
          <w:rStyle w:val="Subtitle1"/>
          <w:color w:val="000000"/>
          <w:bdr w:val="none" w:sz="0" w:space="0" w:color="auto" w:frame="1"/>
        </w:rPr>
        <w:t>Assimilation, Difference, and Decolonial Theory in Africa</w:t>
      </w:r>
      <w:r w:rsidRPr="00FC6F5C">
        <w:rPr>
          <w:color w:val="000000"/>
        </w:rPr>
        <w:t>. </w:t>
      </w:r>
      <w:r w:rsidRPr="00FC6F5C">
        <w:rPr>
          <w:rStyle w:val="Emphasis"/>
          <w:color w:val="000000"/>
          <w:bdr w:val="none" w:sz="0" w:space="0" w:color="auto" w:frame="1"/>
        </w:rPr>
        <w:t>Critical Times</w:t>
      </w:r>
      <w:r>
        <w:rPr>
          <w:rStyle w:val="Emphasis"/>
          <w:color w:val="000000"/>
          <w:bdr w:val="none" w:sz="0" w:space="0" w:color="auto" w:frame="1"/>
        </w:rPr>
        <w:t>,</w:t>
      </w:r>
      <w:r w:rsidRPr="00FC6F5C">
        <w:rPr>
          <w:color w:val="000000"/>
        </w:rPr>
        <w:t xml:space="preserve"> 4 (3): </w:t>
      </w:r>
      <w:r>
        <w:rPr>
          <w:color w:val="000000"/>
        </w:rPr>
        <w:t xml:space="preserve"> pp. </w:t>
      </w:r>
      <w:r w:rsidRPr="00FC6F5C">
        <w:rPr>
          <w:color w:val="000000"/>
        </w:rPr>
        <w:t xml:space="preserve">389–416. </w:t>
      </w:r>
      <w:r>
        <w:rPr>
          <w:color w:val="000000"/>
        </w:rPr>
        <w:t>Available at</w:t>
      </w:r>
      <w:r w:rsidRPr="00FC6F5C">
        <w:rPr>
          <w:color w:val="000000"/>
        </w:rPr>
        <w:t>: </w:t>
      </w:r>
      <w:hyperlink r:id="rId94" w:tgtFrame="_blank" w:history="1">
        <w:r w:rsidRPr="00FC6F5C">
          <w:rPr>
            <w:rStyle w:val="Hyperlink"/>
            <w:color w:val="006FB7"/>
            <w:bdr w:val="none" w:sz="0" w:space="0" w:color="auto" w:frame="1"/>
          </w:rPr>
          <w:t>https://doi.org/10.1215/26410478-9355201</w:t>
        </w:r>
      </w:hyperlink>
      <w:r w:rsidR="009E1349">
        <w:rPr>
          <w:rStyle w:val="Hyperlink"/>
          <w:color w:val="006FB7"/>
          <w:bdr w:val="none" w:sz="0" w:space="0" w:color="auto" w:frame="1"/>
        </w:rPr>
        <w:t xml:space="preserve"> </w:t>
      </w:r>
      <w:r w:rsidR="009E1349">
        <w:t xml:space="preserve">(Accessed </w:t>
      </w:r>
      <w:r w:rsidR="00160899">
        <w:t xml:space="preserve">6th May </w:t>
      </w:r>
      <w:r w:rsidR="009E1349">
        <w:t>2023)</w:t>
      </w:r>
    </w:p>
    <w:p w14:paraId="4C89605C" w14:textId="6F1FA454" w:rsidR="00BA27EE" w:rsidRDefault="00BA27EE" w:rsidP="00AC0EE8">
      <w:pPr>
        <w:pStyle w:val="NormalWeb"/>
        <w:shd w:val="clear" w:color="auto" w:fill="FFFFFF"/>
        <w:spacing w:before="0" w:beforeAutospacing="0" w:after="240" w:afterAutospacing="0" w:line="480" w:lineRule="auto"/>
        <w:ind w:hanging="720"/>
      </w:pPr>
      <w:r>
        <w:t xml:space="preserve">Puar, J. (2013) ‘Rethinking </w:t>
      </w:r>
      <w:r w:rsidR="00CB71B2">
        <w:t>Homonationalism</w:t>
      </w:r>
      <w:r>
        <w:t xml:space="preserve">’, </w:t>
      </w:r>
      <w:r w:rsidRPr="004D0F27">
        <w:rPr>
          <w:i/>
          <w:iCs/>
        </w:rPr>
        <w:t>International journal of Middle East studies</w:t>
      </w:r>
      <w:r>
        <w:t xml:space="preserve">, 45(2), pp. 336–339. Available at: </w:t>
      </w:r>
      <w:hyperlink r:id="rId95" w:history="1">
        <w:r w:rsidRPr="00642B5B">
          <w:rPr>
            <w:rStyle w:val="Hyperlink"/>
          </w:rPr>
          <w:t>https://doi.org/10.1017/S002074381300007X</w:t>
        </w:r>
      </w:hyperlink>
      <w:r>
        <w:t>.</w:t>
      </w:r>
      <w:r w:rsidR="009E1349" w:rsidRPr="009E1349">
        <w:t xml:space="preserve"> </w:t>
      </w:r>
      <w:r w:rsidR="009E1349">
        <w:t xml:space="preserve">(Accessed </w:t>
      </w:r>
      <w:r w:rsidR="00160899">
        <w:t>6th May 2023)</w:t>
      </w:r>
    </w:p>
    <w:p w14:paraId="4D428582" w14:textId="2ABA41C8" w:rsidR="00BA27EE" w:rsidRDefault="00BA27EE" w:rsidP="00AC0EE8">
      <w:pPr>
        <w:pStyle w:val="NormalWeb"/>
        <w:shd w:val="clear" w:color="auto" w:fill="FFFFFF"/>
        <w:spacing w:before="0" w:beforeAutospacing="0" w:after="240" w:afterAutospacing="0" w:line="480" w:lineRule="auto"/>
        <w:ind w:hanging="720"/>
      </w:pPr>
      <w:r>
        <w:t xml:space="preserve">Raffournier, B. and Schatt, A. (2010) ‘Is European Accounting Research Fairly Reflected in Academic Journals? An Investigation of Possible Non-mainstream and Language Barrier Biases’, </w:t>
      </w:r>
      <w:r w:rsidRPr="007B795E">
        <w:rPr>
          <w:i/>
          <w:iCs/>
        </w:rPr>
        <w:t>The European accounting review</w:t>
      </w:r>
      <w:r>
        <w:t xml:space="preserve">, 19(1), pp. 161–190. Available at: </w:t>
      </w:r>
      <w:hyperlink r:id="rId96" w:history="1">
        <w:r w:rsidRPr="00642B5B">
          <w:rPr>
            <w:rStyle w:val="Hyperlink"/>
          </w:rPr>
          <w:t>https://doi.org/10.1080/09638180902989368</w:t>
        </w:r>
      </w:hyperlink>
      <w:r>
        <w:t>.</w:t>
      </w:r>
      <w:r w:rsidR="009E1349">
        <w:t xml:space="preserve"> </w:t>
      </w:r>
      <w:r w:rsidR="00A40458">
        <w:t>(Accessed 6th May 2023)</w:t>
      </w:r>
    </w:p>
    <w:p w14:paraId="0C08AF23" w14:textId="77777777" w:rsidR="00BA27EE" w:rsidRDefault="00BA27EE" w:rsidP="00AC0EE8">
      <w:pPr>
        <w:pStyle w:val="NormalWeb"/>
        <w:shd w:val="clear" w:color="auto" w:fill="FFFFFF"/>
        <w:spacing w:before="0" w:beforeAutospacing="0" w:after="240" w:afterAutospacing="0" w:line="480" w:lineRule="auto"/>
        <w:ind w:hanging="720"/>
      </w:pPr>
      <w:r w:rsidRPr="00014E8D">
        <w:t xml:space="preserve">Rao, R. (2020) </w:t>
      </w:r>
      <w:r w:rsidRPr="00A40458">
        <w:rPr>
          <w:i/>
          <w:iCs/>
        </w:rPr>
        <w:t>Out of Time: The Queer Politics of Postcoloniality</w:t>
      </w:r>
      <w:r w:rsidRPr="00014E8D">
        <w:t>. Oxford University Press.</w:t>
      </w:r>
    </w:p>
    <w:p w14:paraId="44337C33" w14:textId="3901D96B" w:rsidR="00BA27EE" w:rsidRDefault="00BA27EE" w:rsidP="00AC0EE8">
      <w:pPr>
        <w:pStyle w:val="NormalWeb"/>
        <w:shd w:val="clear" w:color="auto" w:fill="FFFFFF"/>
        <w:spacing w:before="0" w:beforeAutospacing="0" w:after="240" w:afterAutospacing="0" w:line="480" w:lineRule="auto"/>
        <w:ind w:hanging="720"/>
      </w:pPr>
      <w:r>
        <w:t xml:space="preserve">Richardson, D. (2017) ‘Rethinking Sexual Citizenship’, </w:t>
      </w:r>
      <w:r w:rsidRPr="00247CCA">
        <w:rPr>
          <w:i/>
          <w:iCs/>
        </w:rPr>
        <w:t>Sociology (Oxford</w:t>
      </w:r>
      <w:r>
        <w:t xml:space="preserve">), 51(2), pp. 208–224. Available at: </w:t>
      </w:r>
      <w:hyperlink r:id="rId97" w:history="1">
        <w:r w:rsidRPr="00642B5B">
          <w:rPr>
            <w:rStyle w:val="Hyperlink"/>
          </w:rPr>
          <w:t>https://doi.org/10.1177/0038038515609024</w:t>
        </w:r>
      </w:hyperlink>
      <w:r>
        <w:t>.</w:t>
      </w:r>
      <w:r w:rsidR="009E1349">
        <w:t xml:space="preserve"> </w:t>
      </w:r>
      <w:r w:rsidR="00A40458">
        <w:t>(Accessed 6th May 2023)</w:t>
      </w:r>
    </w:p>
    <w:p w14:paraId="063089FF" w14:textId="44BDD415" w:rsidR="00BA27EE" w:rsidRDefault="00BA27EE" w:rsidP="00AC0EE8">
      <w:pPr>
        <w:pStyle w:val="NormalWeb"/>
        <w:shd w:val="clear" w:color="auto" w:fill="FFFFFF"/>
        <w:spacing w:before="0" w:beforeAutospacing="0" w:after="240" w:afterAutospacing="0" w:line="480" w:lineRule="auto"/>
        <w:ind w:hanging="720"/>
      </w:pPr>
      <w:r w:rsidRPr="00014E8D">
        <w:t xml:space="preserve">Rifkin, M. </w:t>
      </w:r>
      <w:r>
        <w:t>(</w:t>
      </w:r>
      <w:r w:rsidRPr="00014E8D">
        <w:t>2011</w:t>
      </w:r>
      <w:r>
        <w:t>).</w:t>
      </w:r>
      <w:r w:rsidRPr="00014E8D">
        <w:t> </w:t>
      </w:r>
      <w:r w:rsidRPr="00147B73">
        <w:rPr>
          <w:i/>
          <w:iCs/>
        </w:rPr>
        <w:t>When did Indians become straight? Kinship, the history of sexuality, and native sovereignty</w:t>
      </w:r>
      <w:r w:rsidRPr="00014E8D">
        <w:t>. Oxford: Oxford University Press.</w:t>
      </w:r>
    </w:p>
    <w:p w14:paraId="6ED60E40" w14:textId="69E9B3B7" w:rsidR="00B720B0" w:rsidRDefault="00BA27EE" w:rsidP="00B720B0">
      <w:pPr>
        <w:pStyle w:val="NormalWeb"/>
        <w:shd w:val="clear" w:color="auto" w:fill="FFFFFF"/>
        <w:spacing w:before="0" w:beforeAutospacing="0" w:after="240" w:afterAutospacing="0" w:line="480" w:lineRule="auto"/>
        <w:ind w:hanging="720"/>
      </w:pPr>
      <w:r>
        <w:t xml:space="preserve">Riker, J.H. (2022) ‘The Self and the Other: Hegel, Kohut, and the Psychology of </w:t>
      </w:r>
      <w:r w:rsidR="00BD3430">
        <w:t>Othering</w:t>
      </w:r>
      <w:r>
        <w:t xml:space="preserve">’, </w:t>
      </w:r>
      <w:r w:rsidRPr="00A40458">
        <w:rPr>
          <w:i/>
          <w:iCs/>
        </w:rPr>
        <w:t>Psychoanalytic inquiry</w:t>
      </w:r>
      <w:r>
        <w:t xml:space="preserve">, 42(2), pp. 101–112. Available at: </w:t>
      </w:r>
      <w:hyperlink r:id="rId98" w:history="1">
        <w:r w:rsidRPr="0038220D">
          <w:rPr>
            <w:rStyle w:val="Hyperlink"/>
          </w:rPr>
          <w:t>https://doi.org/10.1080/07351690.2022.2022368</w:t>
        </w:r>
      </w:hyperlink>
      <w:r>
        <w:t>.</w:t>
      </w:r>
      <w:r w:rsidR="00A40458">
        <w:t xml:space="preserve"> (Accessed 6th May 2023)</w:t>
      </w:r>
    </w:p>
    <w:p w14:paraId="63140181" w14:textId="38C17BDA" w:rsidR="00B720B0" w:rsidRDefault="00B720B0" w:rsidP="00B720B0">
      <w:pPr>
        <w:pStyle w:val="NormalWeb"/>
        <w:shd w:val="clear" w:color="auto" w:fill="FFFFFF"/>
        <w:spacing w:before="0" w:beforeAutospacing="0" w:after="240" w:afterAutospacing="0" w:line="480" w:lineRule="auto"/>
        <w:ind w:hanging="720"/>
      </w:pPr>
      <w:r>
        <w:t xml:space="preserve">Ritchie, J. (2015) ‘Pinkwashing, </w:t>
      </w:r>
      <w:r w:rsidR="00CB71B2">
        <w:t>Homonationalism</w:t>
      </w:r>
      <w:r>
        <w:t xml:space="preserve">, and Israel-Palestine: The Conceits of </w:t>
      </w:r>
      <w:r w:rsidR="00BA2220">
        <w:t>Queer Theory</w:t>
      </w:r>
      <w:r>
        <w:t xml:space="preserve"> and the Politics of the Ordinary’, </w:t>
      </w:r>
      <w:r w:rsidRPr="00B720B0">
        <w:rPr>
          <w:i/>
          <w:iCs/>
        </w:rPr>
        <w:t>Antipode</w:t>
      </w:r>
      <w:r>
        <w:t>., 47</w:t>
      </w:r>
      <w:r w:rsidR="000D64E0">
        <w:t>(3)</w:t>
      </w:r>
      <w:r>
        <w:t xml:space="preserve">, pp. 616-634. </w:t>
      </w:r>
      <w:r w:rsidR="000510B8" w:rsidRPr="00A40458">
        <w:rPr>
          <w:shd w:val="clear" w:color="auto" w:fill="FFFFFF"/>
        </w:rPr>
        <w:t>Available at:</w:t>
      </w:r>
      <w:r w:rsidR="000510B8">
        <w:rPr>
          <w:rFonts w:ascii="Source Sans Pro" w:hAnsi="Source Sans Pro"/>
          <w:color w:val="3A3A3A"/>
          <w:sz w:val="23"/>
          <w:szCs w:val="23"/>
          <w:shd w:val="clear" w:color="auto" w:fill="FFFFFF"/>
        </w:rPr>
        <w:t xml:space="preserve"> </w:t>
      </w:r>
      <w:hyperlink r:id="rId99" w:history="1">
        <w:r w:rsidR="000510B8" w:rsidRPr="00FA0A6A">
          <w:rPr>
            <w:rStyle w:val="Hyperlink"/>
            <w:rFonts w:ascii="Source Sans Pro" w:hAnsi="Source Sans Pro"/>
            <w:sz w:val="23"/>
            <w:szCs w:val="23"/>
            <w:shd w:val="clear" w:color="auto" w:fill="FFFFFF"/>
          </w:rPr>
          <w:t>https://doi.org/10.1111/anti.12100</w:t>
        </w:r>
      </w:hyperlink>
      <w:r w:rsidR="000510B8">
        <w:rPr>
          <w:rFonts w:ascii="Source Sans Pro" w:hAnsi="Source Sans Pro"/>
          <w:color w:val="3A3A3A"/>
          <w:sz w:val="23"/>
          <w:szCs w:val="23"/>
          <w:shd w:val="clear" w:color="auto" w:fill="FFFFFF"/>
        </w:rPr>
        <w:t xml:space="preserve"> </w:t>
      </w:r>
      <w:r w:rsidR="009E1349">
        <w:t xml:space="preserve"> </w:t>
      </w:r>
      <w:r w:rsidR="00A40458">
        <w:t>(Accessed 6th May 2023)</w:t>
      </w:r>
    </w:p>
    <w:p w14:paraId="79168288" w14:textId="7CE7B1E3" w:rsidR="00C61258" w:rsidRDefault="00BA27EE" w:rsidP="00D3282A">
      <w:pPr>
        <w:pStyle w:val="NormalWeb"/>
        <w:shd w:val="clear" w:color="auto" w:fill="FFFFFF"/>
        <w:spacing w:before="0" w:beforeAutospacing="0" w:after="240" w:afterAutospacing="0" w:line="480" w:lineRule="auto"/>
        <w:ind w:hanging="720"/>
      </w:pPr>
      <w:r>
        <w:lastRenderedPageBreak/>
        <w:t xml:space="preserve">Rosa, J. and Flores, N. (2017) ‘Unsettling race and language: Toward a raciolinguistic perspective’, </w:t>
      </w:r>
      <w:r w:rsidRPr="00F43F16">
        <w:rPr>
          <w:i/>
          <w:iCs/>
        </w:rPr>
        <w:t>Language in society</w:t>
      </w:r>
      <w:r>
        <w:t xml:space="preserve">, 46(5), pp. 621–647. Available at: </w:t>
      </w:r>
      <w:hyperlink r:id="rId100" w:history="1">
        <w:r w:rsidRPr="0038220D">
          <w:rPr>
            <w:rStyle w:val="Hyperlink"/>
          </w:rPr>
          <w:t>https://doi.org/10.1017/S0047404517000562</w:t>
        </w:r>
      </w:hyperlink>
      <w:r>
        <w:t>.</w:t>
      </w:r>
      <w:r w:rsidR="000510B8">
        <w:t xml:space="preserve"> </w:t>
      </w:r>
      <w:r w:rsidR="00FA2729">
        <w:t>(Accessed 6th May 2023)</w:t>
      </w:r>
    </w:p>
    <w:p w14:paraId="614438D6" w14:textId="01506F9B" w:rsidR="00C61258" w:rsidRDefault="00C61258" w:rsidP="00C61258">
      <w:pPr>
        <w:pStyle w:val="NormalWeb"/>
        <w:shd w:val="clear" w:color="auto" w:fill="FFFFFF"/>
        <w:spacing w:before="0" w:beforeAutospacing="0" w:after="240" w:afterAutospacing="0" w:line="480" w:lineRule="auto"/>
        <w:ind w:hanging="720"/>
      </w:pPr>
      <w:r>
        <w:t xml:space="preserve">Ross, M.H. et al. (2022) ‘An Exploration of the Experiences of Physical Therapists Who Identify as LGBTQIA+: Navigating Sexual Orientation and Gender Identity in Clinical, Academic, and Professional Roles’, </w:t>
      </w:r>
      <w:r w:rsidRPr="00C61258">
        <w:rPr>
          <w:i/>
          <w:iCs/>
        </w:rPr>
        <w:t>Physical therapy</w:t>
      </w:r>
      <w:r>
        <w:t xml:space="preserve">, 102(3), p. 1–. Available at: </w:t>
      </w:r>
      <w:hyperlink r:id="rId101" w:history="1">
        <w:r w:rsidR="000510B8" w:rsidRPr="00FA0A6A">
          <w:rPr>
            <w:rStyle w:val="Hyperlink"/>
          </w:rPr>
          <w:t>https://doi.org/10.1093/ptj/pzab280</w:t>
        </w:r>
      </w:hyperlink>
      <w:r>
        <w:t>.</w:t>
      </w:r>
      <w:r w:rsidR="000510B8">
        <w:t xml:space="preserve"> </w:t>
      </w:r>
      <w:r w:rsidR="00FA2729">
        <w:t>(Accessed 6th May 2023)</w:t>
      </w:r>
    </w:p>
    <w:p w14:paraId="4435CE6C" w14:textId="4525DEE2" w:rsidR="00BA27EE" w:rsidRDefault="00BA27EE" w:rsidP="00AC0EE8">
      <w:pPr>
        <w:pStyle w:val="NormalWeb"/>
        <w:shd w:val="clear" w:color="auto" w:fill="FFFFFF"/>
        <w:spacing w:before="0" w:beforeAutospacing="0" w:after="240" w:afterAutospacing="0" w:line="480" w:lineRule="auto"/>
        <w:ind w:hanging="720"/>
      </w:pPr>
      <w:r w:rsidRPr="00014E8D">
        <w:t xml:space="preserve">Runkel, G. (1998) ‘Sexual morality of christianity’, </w:t>
      </w:r>
      <w:r w:rsidRPr="00165BE4">
        <w:rPr>
          <w:i/>
          <w:iCs/>
        </w:rPr>
        <w:t>Journal of sex &amp; marital therapy</w:t>
      </w:r>
      <w:r w:rsidRPr="00014E8D">
        <w:t xml:space="preserve">, 24(2), pp. 103–122. Available at: </w:t>
      </w:r>
      <w:hyperlink r:id="rId102" w:history="1">
        <w:r w:rsidRPr="00014E8D">
          <w:t>https://doi.org/10.1080/00926239808404924</w:t>
        </w:r>
      </w:hyperlink>
      <w:r w:rsidRPr="00014E8D">
        <w:t>.</w:t>
      </w:r>
      <w:r w:rsidR="000510B8" w:rsidRPr="000510B8">
        <w:t xml:space="preserve"> </w:t>
      </w:r>
      <w:r w:rsidR="00FA2729">
        <w:t>(Accessed 6th May 2023)</w:t>
      </w:r>
    </w:p>
    <w:p w14:paraId="5F3CE2AB" w14:textId="78BF6C46" w:rsidR="00BA27EE" w:rsidRDefault="00BA27EE" w:rsidP="00AC0EE8">
      <w:pPr>
        <w:pStyle w:val="NormalWeb"/>
        <w:shd w:val="clear" w:color="auto" w:fill="FFFFFF"/>
        <w:spacing w:before="0" w:beforeAutospacing="0" w:after="240" w:afterAutospacing="0" w:line="480" w:lineRule="auto"/>
        <w:ind w:hanging="720"/>
      </w:pPr>
      <w:r>
        <w:t>Salih, S. (2002</w:t>
      </w:r>
      <w:r w:rsidR="00256836">
        <w:t>) Judith</w:t>
      </w:r>
      <w:r w:rsidRPr="00A352BA">
        <w:rPr>
          <w:i/>
          <w:iCs/>
        </w:rPr>
        <w:t xml:space="preserve"> Butler</w:t>
      </w:r>
      <w:r>
        <w:t>. New York: Routledge.</w:t>
      </w:r>
    </w:p>
    <w:p w14:paraId="46D6CFCC" w14:textId="7E1F8881" w:rsidR="000510B8" w:rsidRDefault="00BA27EE" w:rsidP="00D3282A">
      <w:pPr>
        <w:pStyle w:val="NormalWeb"/>
        <w:shd w:val="clear" w:color="auto" w:fill="FFFFFF"/>
        <w:spacing w:before="0" w:beforeAutospacing="0" w:after="240" w:afterAutospacing="0" w:line="480" w:lineRule="auto"/>
        <w:ind w:hanging="720"/>
      </w:pPr>
      <w:r w:rsidRPr="00F07CBA">
        <w:rPr>
          <w:color w:val="333333"/>
        </w:rPr>
        <w:t xml:space="preserve"> Salskov, S.</w:t>
      </w:r>
      <w:r>
        <w:rPr>
          <w:color w:val="333333"/>
        </w:rPr>
        <w:t xml:space="preserve"> A.</w:t>
      </w:r>
      <w:r w:rsidRPr="00F07CBA">
        <w:rPr>
          <w:color w:val="333333"/>
        </w:rPr>
        <w:t xml:space="preserve"> (2020) ‘A Critique of Our Own? On Intersectionality and “Epistemic Habits” in a Study of Racialization and </w:t>
      </w:r>
      <w:r w:rsidR="00CB71B2">
        <w:rPr>
          <w:color w:val="333333"/>
        </w:rPr>
        <w:t>Homonationalism</w:t>
      </w:r>
      <w:r w:rsidRPr="00F07CBA">
        <w:rPr>
          <w:color w:val="333333"/>
        </w:rPr>
        <w:t xml:space="preserve"> in a Nordic Context’, </w:t>
      </w:r>
      <w:r w:rsidR="00256836" w:rsidRPr="00F07CBA">
        <w:rPr>
          <w:color w:val="333333"/>
        </w:rPr>
        <w:t>NORA:</w:t>
      </w:r>
      <w:r w:rsidRPr="00F07CBA">
        <w:rPr>
          <w:color w:val="333333"/>
        </w:rPr>
        <w:t xml:space="preserve"> </w:t>
      </w:r>
      <w:r w:rsidRPr="00F07CBA">
        <w:rPr>
          <w:i/>
          <w:iCs/>
          <w:color w:val="333333"/>
        </w:rPr>
        <w:t>Nordic journal of women’s studies,</w:t>
      </w:r>
      <w:r w:rsidRPr="00F07CBA">
        <w:rPr>
          <w:color w:val="333333"/>
        </w:rPr>
        <w:t xml:space="preserve"> 28(3), pp. 251–265. Available at: </w:t>
      </w:r>
      <w:hyperlink r:id="rId103" w:history="1">
        <w:r w:rsidRPr="00873E6C">
          <w:rPr>
            <w:rStyle w:val="Hyperlink"/>
          </w:rPr>
          <w:t>https://doi.org/10.1080/08038740.2020.1789218</w:t>
        </w:r>
      </w:hyperlink>
      <w:r w:rsidRPr="00F07CBA">
        <w:rPr>
          <w:color w:val="333333"/>
        </w:rPr>
        <w:t>.</w:t>
      </w:r>
      <w:r w:rsidR="000510B8">
        <w:rPr>
          <w:color w:val="333333"/>
        </w:rPr>
        <w:t xml:space="preserve"> </w:t>
      </w:r>
      <w:r w:rsidR="00FA2729">
        <w:t>(Accessed 6th May 2023)</w:t>
      </w:r>
    </w:p>
    <w:p w14:paraId="6AA3F80E" w14:textId="7D29FC74" w:rsidR="000510B8" w:rsidRDefault="000510B8" w:rsidP="000510B8">
      <w:pPr>
        <w:pStyle w:val="NormalWeb"/>
        <w:shd w:val="clear" w:color="auto" w:fill="FFFFFF"/>
        <w:spacing w:before="0" w:beforeAutospacing="0" w:after="240" w:afterAutospacing="0" w:line="480" w:lineRule="auto"/>
        <w:ind w:hanging="720"/>
      </w:pPr>
      <w:r>
        <w:t xml:space="preserve"> Short, J.R. et al. (2001) ‘Cultural Globalization, Global English, and Geography Journals’, </w:t>
      </w:r>
      <w:r w:rsidRPr="00FA2729">
        <w:rPr>
          <w:i/>
          <w:iCs/>
        </w:rPr>
        <w:t>The Professional geographer</w:t>
      </w:r>
      <w:r>
        <w:t xml:space="preserve">, 53(1), pp. 1–11. Available at: </w:t>
      </w:r>
      <w:hyperlink r:id="rId104" w:history="1">
        <w:r w:rsidRPr="00FA0A6A">
          <w:rPr>
            <w:rStyle w:val="Hyperlink"/>
          </w:rPr>
          <w:t>https://doi.org/10.1111/0033-0124.00265</w:t>
        </w:r>
      </w:hyperlink>
      <w:r>
        <w:t xml:space="preserve">. </w:t>
      </w:r>
      <w:r w:rsidR="00FA2729">
        <w:t>(Accessed 6th May 2023)</w:t>
      </w:r>
    </w:p>
    <w:p w14:paraId="1F9C78B5" w14:textId="3EF7CBA2" w:rsidR="00BA27EE" w:rsidRDefault="00BA27EE" w:rsidP="00AC0EE8">
      <w:pPr>
        <w:pStyle w:val="NormalWeb"/>
        <w:shd w:val="clear" w:color="auto" w:fill="FFFFFF"/>
        <w:spacing w:before="0" w:beforeAutospacing="0" w:after="240" w:afterAutospacing="0" w:line="480" w:lineRule="auto"/>
        <w:ind w:hanging="720"/>
      </w:pPr>
      <w:r>
        <w:t xml:space="preserve"> Showden, C.R. (2012) ‘Theorising maybe: A feminist/</w:t>
      </w:r>
      <w:r w:rsidR="00BA2220">
        <w:t>Queer Theory</w:t>
      </w:r>
      <w:r>
        <w:t xml:space="preserve"> convergence’, </w:t>
      </w:r>
      <w:r w:rsidRPr="00076460">
        <w:rPr>
          <w:i/>
          <w:iCs/>
        </w:rPr>
        <w:t>Feminist theory</w:t>
      </w:r>
      <w:r>
        <w:t xml:space="preserve">, 13(1), pp. 3–25. Available at: </w:t>
      </w:r>
      <w:hyperlink r:id="rId105" w:history="1">
        <w:r w:rsidRPr="00642B5B">
          <w:rPr>
            <w:rStyle w:val="Hyperlink"/>
          </w:rPr>
          <w:t>https://doi.org/10.1177/1464700111429898</w:t>
        </w:r>
      </w:hyperlink>
      <w:r>
        <w:t>.</w:t>
      </w:r>
      <w:r w:rsidR="000510B8">
        <w:t xml:space="preserve"> </w:t>
      </w:r>
      <w:r w:rsidR="00FA2729">
        <w:t>(Accessed 6th May 2023)</w:t>
      </w:r>
    </w:p>
    <w:p w14:paraId="50CF73EC" w14:textId="77777777" w:rsidR="00BA27EE" w:rsidRPr="00D8688C" w:rsidRDefault="00BA27EE" w:rsidP="00AC0EE8">
      <w:pPr>
        <w:pStyle w:val="NormalWeb"/>
        <w:shd w:val="clear" w:color="auto" w:fill="FFFFFF"/>
        <w:spacing w:before="0" w:beforeAutospacing="0" w:after="240" w:afterAutospacing="0" w:line="480" w:lineRule="auto"/>
        <w:ind w:hanging="720"/>
        <w:rPr>
          <w:color w:val="333333"/>
        </w:rPr>
      </w:pPr>
      <w:r>
        <w:lastRenderedPageBreak/>
        <w:t xml:space="preserve">Silva, D.F. da. (2007) </w:t>
      </w:r>
      <w:r w:rsidRPr="00A37764">
        <w:rPr>
          <w:i/>
          <w:iCs/>
        </w:rPr>
        <w:t>Toward a global idea of race</w:t>
      </w:r>
      <w:r>
        <w:t>. Minneapolis: University of Minnesota Press.</w:t>
      </w:r>
    </w:p>
    <w:p w14:paraId="419EF91B" w14:textId="1E7C0CBD" w:rsidR="00BA27EE" w:rsidRDefault="00BA27EE" w:rsidP="00AC0EE8">
      <w:pPr>
        <w:pStyle w:val="NormalWeb"/>
        <w:shd w:val="clear" w:color="auto" w:fill="FFFFFF"/>
        <w:spacing w:before="0" w:beforeAutospacing="0" w:after="240" w:afterAutospacing="0" w:line="480" w:lineRule="auto"/>
        <w:ind w:hanging="720"/>
      </w:pPr>
      <w:r>
        <w:t xml:space="preserve">Slootmaeckers, K., Touquet, H </w:t>
      </w:r>
      <w:r w:rsidR="00256836">
        <w:t>and Vermeersch</w:t>
      </w:r>
      <w:r>
        <w:t xml:space="preserve">, </w:t>
      </w:r>
      <w:r w:rsidR="00256836">
        <w:t>P.</w:t>
      </w:r>
      <w:r>
        <w:t xml:space="preserve"> (2016) Beyond symbolism? The EU enlargement and Gay politics. London School of Economics and Political Science. Available at: </w:t>
      </w:r>
      <w:hyperlink r:id="rId106" w:history="1">
        <w:r>
          <w:rPr>
            <w:rStyle w:val="Hyperlink"/>
          </w:rPr>
          <w:t>Beyond symbolism? The EU enlargement and Gay politics - LSE Research Online</w:t>
        </w:r>
      </w:hyperlink>
      <w:r>
        <w:t xml:space="preserve"> </w:t>
      </w:r>
      <w:r w:rsidR="00ED4692">
        <w:t>(</w:t>
      </w:r>
      <w:r>
        <w:t>Accessed 3</w:t>
      </w:r>
      <w:r w:rsidR="00ED4692" w:rsidRPr="00ED4692">
        <w:rPr>
          <w:vertAlign w:val="superscript"/>
        </w:rPr>
        <w:t>rd</w:t>
      </w:r>
      <w:r w:rsidR="00ED4692">
        <w:t xml:space="preserve"> February </w:t>
      </w:r>
      <w:r>
        <w:t>2023</w:t>
      </w:r>
      <w:r w:rsidR="00ED4692">
        <w:t>)</w:t>
      </w:r>
      <w:r>
        <w:t xml:space="preserve">. </w:t>
      </w:r>
    </w:p>
    <w:p w14:paraId="0AC74885" w14:textId="6F0D1A15" w:rsidR="00BA27EE" w:rsidRDefault="00BA27EE" w:rsidP="00AC0EE8">
      <w:pPr>
        <w:pStyle w:val="NormalWeb"/>
        <w:shd w:val="clear" w:color="auto" w:fill="FFFFFF"/>
        <w:spacing w:before="0" w:beforeAutospacing="0" w:after="240" w:afterAutospacing="0" w:line="480" w:lineRule="auto"/>
        <w:ind w:hanging="720"/>
        <w:rPr>
          <w:color w:val="333333"/>
          <w:shd w:val="clear" w:color="auto" w:fill="FBFBFB"/>
        </w:rPr>
      </w:pPr>
      <w:r w:rsidRPr="00F55F45">
        <w:rPr>
          <w:color w:val="333333"/>
          <w:shd w:val="clear" w:color="auto" w:fill="FBFBFB"/>
        </w:rPr>
        <w:t>Smith, A. (2011)</w:t>
      </w:r>
      <w:r w:rsidR="00511100">
        <w:rPr>
          <w:color w:val="333333"/>
          <w:shd w:val="clear" w:color="auto" w:fill="FBFBFB"/>
        </w:rPr>
        <w:t xml:space="preserve"> </w:t>
      </w:r>
      <w:r w:rsidRPr="00F55F45">
        <w:rPr>
          <w:color w:val="333333"/>
          <w:shd w:val="clear" w:color="auto" w:fill="FBFBFB"/>
        </w:rPr>
        <w:t>'</w:t>
      </w:r>
      <w:r w:rsidR="00BA2220">
        <w:rPr>
          <w:color w:val="333333"/>
          <w:shd w:val="clear" w:color="auto" w:fill="FBFBFB"/>
        </w:rPr>
        <w:t>Queer Theory</w:t>
      </w:r>
      <w:r w:rsidRPr="00F55F45">
        <w:rPr>
          <w:color w:val="333333"/>
          <w:shd w:val="clear" w:color="auto" w:fill="FBFBFB"/>
        </w:rPr>
        <w:t xml:space="preserve"> and Native Studies: The Heteronormativity of Settler Colonialism', in </w:t>
      </w:r>
      <w:r w:rsidRPr="00F55F45">
        <w:rPr>
          <w:i/>
          <w:iCs/>
          <w:color w:val="333333"/>
          <w:shd w:val="clear" w:color="auto" w:fill="FBFBFB"/>
        </w:rPr>
        <w:t>Queer Indigenous Studies</w:t>
      </w:r>
      <w:r w:rsidRPr="00F55F45">
        <w:rPr>
          <w:color w:val="333333"/>
          <w:shd w:val="clear" w:color="auto" w:fill="FBFBFB"/>
        </w:rPr>
        <w:t xml:space="preserve">, ed. by Qwo-Li Driskill, Chris Finley, Brian Joseph Gilley and Scott Lauria Morgensen, Arizona: The University of Arizona </w:t>
      </w:r>
      <w:r w:rsidR="00256836" w:rsidRPr="00F55F45">
        <w:rPr>
          <w:color w:val="333333"/>
          <w:shd w:val="clear" w:color="auto" w:fill="FBFBFB"/>
        </w:rPr>
        <w:t>Press</w:t>
      </w:r>
      <w:r w:rsidR="00256836">
        <w:rPr>
          <w:color w:val="333333"/>
          <w:shd w:val="clear" w:color="auto" w:fill="FBFBFB"/>
        </w:rPr>
        <w:t xml:space="preserve">. </w:t>
      </w:r>
      <w:r w:rsidRPr="00F55F45">
        <w:rPr>
          <w:color w:val="333333"/>
          <w:shd w:val="clear" w:color="auto" w:fill="FBFBFB"/>
        </w:rPr>
        <w:t xml:space="preserve">pp. 43-66. </w:t>
      </w:r>
    </w:p>
    <w:p w14:paraId="478C7D16" w14:textId="77777777" w:rsidR="00511100" w:rsidRDefault="00BA27EE" w:rsidP="00511100">
      <w:pPr>
        <w:pStyle w:val="NormalWeb"/>
        <w:shd w:val="clear" w:color="auto" w:fill="FFFFFF"/>
        <w:spacing w:before="0" w:beforeAutospacing="0" w:after="240" w:afterAutospacing="0" w:line="480" w:lineRule="auto"/>
        <w:ind w:hanging="720"/>
      </w:pPr>
      <w:r w:rsidRPr="00014E8D">
        <w:t>Smith, A. (2010) ‘</w:t>
      </w:r>
      <w:r w:rsidR="00BA2220">
        <w:t>QUEER THEORY</w:t>
      </w:r>
      <w:r w:rsidRPr="00014E8D">
        <w:t xml:space="preserve"> AND NATIVE STUDIES: The Heteronormativity of Settler Colonialism’, </w:t>
      </w:r>
      <w:r w:rsidRPr="00DB01C3">
        <w:rPr>
          <w:i/>
          <w:iCs/>
        </w:rPr>
        <w:t>GLQ,</w:t>
      </w:r>
      <w:r w:rsidRPr="00014E8D">
        <w:t xml:space="preserve"> 16(1-2), pp. 41–68. Available at: </w:t>
      </w:r>
      <w:hyperlink r:id="rId107" w:history="1">
        <w:r w:rsidRPr="00D35FAE">
          <w:rPr>
            <w:rStyle w:val="Hyperlink"/>
          </w:rPr>
          <w:t>https://doi.org/10.1215/10642684-2009-012</w:t>
        </w:r>
      </w:hyperlink>
      <w:r w:rsidRPr="00014E8D">
        <w:t>.</w:t>
      </w:r>
      <w:r w:rsidR="000510B8">
        <w:t xml:space="preserve"> </w:t>
      </w:r>
      <w:r w:rsidR="00511100">
        <w:t>(Accessed 6th May 2023)</w:t>
      </w:r>
    </w:p>
    <w:p w14:paraId="1B912DAC" w14:textId="77777777" w:rsidR="00BA27EE" w:rsidRDefault="00BA27EE" w:rsidP="00AC0EE8">
      <w:pPr>
        <w:pStyle w:val="NormalWeb"/>
        <w:shd w:val="clear" w:color="auto" w:fill="FFFFFF"/>
        <w:spacing w:before="0" w:beforeAutospacing="0" w:after="240" w:afterAutospacing="0" w:line="480" w:lineRule="auto"/>
        <w:ind w:hanging="720"/>
      </w:pPr>
      <w:r w:rsidRPr="00014E8D">
        <w:t xml:space="preserve">Stewart, J. (2017) Academic Theory. In </w:t>
      </w:r>
      <w:r w:rsidRPr="00DB01C3">
        <w:rPr>
          <w:i/>
          <w:iCs/>
        </w:rPr>
        <w:t>Genderqueer and Non-Binary Genders</w:t>
      </w:r>
      <w:r w:rsidRPr="00014E8D">
        <w:t>, edited by Christina Richards, Walter Pierre Bouman, Meg-John Barker, Palgrave MacMillian, London</w:t>
      </w:r>
      <w:r>
        <w:t>, pp.62.</w:t>
      </w:r>
    </w:p>
    <w:p w14:paraId="4561D08F" w14:textId="6D9CCD39" w:rsidR="00371C33" w:rsidRDefault="00BA27EE" w:rsidP="00D3282A">
      <w:pPr>
        <w:pStyle w:val="NormalWeb"/>
        <w:shd w:val="clear" w:color="auto" w:fill="FFFFFF"/>
        <w:spacing w:before="0" w:beforeAutospacing="0" w:after="240" w:afterAutospacing="0" w:line="480" w:lineRule="auto"/>
        <w:ind w:hanging="720"/>
      </w:pPr>
      <w:r w:rsidRPr="00F559E0">
        <w:t xml:space="preserve">Stoler, A.L. (1995) </w:t>
      </w:r>
      <w:r w:rsidRPr="00D8688C">
        <w:rPr>
          <w:i/>
          <w:iCs/>
        </w:rPr>
        <w:t xml:space="preserve">Race and the education of </w:t>
      </w:r>
      <w:r w:rsidR="00256836" w:rsidRPr="00D8688C">
        <w:rPr>
          <w:i/>
          <w:iCs/>
        </w:rPr>
        <w:t>desire:</w:t>
      </w:r>
      <w:r w:rsidRPr="00D8688C">
        <w:rPr>
          <w:i/>
          <w:iCs/>
        </w:rPr>
        <w:t xml:space="preserve"> Foucault’s History of sexuality and the colonial order of things.</w:t>
      </w:r>
      <w:r w:rsidRPr="00F559E0">
        <w:t xml:space="preserve"> Durham: Duke University Press.</w:t>
      </w:r>
    </w:p>
    <w:p w14:paraId="6CE93824" w14:textId="6A063E0C" w:rsidR="00371C33" w:rsidRDefault="00371C33" w:rsidP="00371C33">
      <w:pPr>
        <w:pStyle w:val="NormalWeb"/>
        <w:shd w:val="clear" w:color="auto" w:fill="FFFFFF"/>
        <w:spacing w:before="0" w:beforeAutospacing="0" w:after="240" w:afterAutospacing="0" w:line="480" w:lineRule="auto"/>
        <w:ind w:hanging="720"/>
      </w:pPr>
      <w:r>
        <w:t xml:space="preserve">Tibebu, T. (2011) </w:t>
      </w:r>
      <w:r w:rsidRPr="00D3282A">
        <w:rPr>
          <w:i/>
          <w:iCs/>
        </w:rPr>
        <w:t xml:space="preserve">Hegel and the Third </w:t>
      </w:r>
      <w:r w:rsidR="00256836" w:rsidRPr="00D3282A">
        <w:rPr>
          <w:i/>
          <w:iCs/>
        </w:rPr>
        <w:t>World:</w:t>
      </w:r>
      <w:r w:rsidRPr="00D3282A">
        <w:rPr>
          <w:i/>
          <w:iCs/>
        </w:rPr>
        <w:t xml:space="preserve"> the making of eurocentrism in world history</w:t>
      </w:r>
      <w:r>
        <w:t>. First edition. New York: Syracuse University Press.</w:t>
      </w:r>
    </w:p>
    <w:p w14:paraId="2908E7EC" w14:textId="61FE6B4B" w:rsidR="00623E5E" w:rsidRPr="00623E5E" w:rsidRDefault="00BA27EE" w:rsidP="00623E5E">
      <w:pPr>
        <w:pStyle w:val="NormalWeb"/>
        <w:shd w:val="clear" w:color="auto" w:fill="FFFFFF"/>
        <w:spacing w:before="0" w:beforeAutospacing="0" w:after="240" w:afterAutospacing="0" w:line="480" w:lineRule="auto"/>
        <w:ind w:hanging="720"/>
        <w:rPr>
          <w:shd w:val="clear" w:color="auto" w:fill="FFFFFF"/>
        </w:rPr>
      </w:pPr>
      <w:r w:rsidRPr="00586D26">
        <w:rPr>
          <w:shd w:val="clear" w:color="auto" w:fill="FFFFFF"/>
        </w:rPr>
        <w:t>Tilley, H. (2011)</w:t>
      </w:r>
      <w:r>
        <w:rPr>
          <w:shd w:val="clear" w:color="auto" w:fill="FFFFFF"/>
        </w:rPr>
        <w:t xml:space="preserve"> </w:t>
      </w:r>
      <w:r w:rsidRPr="00586D26">
        <w:rPr>
          <w:rStyle w:val="italica"/>
          <w:i/>
          <w:iCs/>
          <w:shd w:val="clear" w:color="auto" w:fill="FFFFFF"/>
        </w:rPr>
        <w:t>Africa as a Living Laboratory: Empire, Development, and the Problem of Scientific Knowledge, 1870-</w:t>
      </w:r>
      <w:r w:rsidR="00256836" w:rsidRPr="00586D26">
        <w:rPr>
          <w:rStyle w:val="italica"/>
          <w:i/>
          <w:iCs/>
          <w:shd w:val="clear" w:color="auto" w:fill="FFFFFF"/>
        </w:rPr>
        <w:t>1950</w:t>
      </w:r>
      <w:r w:rsidR="00256836" w:rsidRPr="00586D26">
        <w:rPr>
          <w:shd w:val="clear" w:color="auto" w:fill="FFFFFF"/>
        </w:rPr>
        <w:t>.</w:t>
      </w:r>
      <w:r w:rsidRPr="00586D26">
        <w:rPr>
          <w:shd w:val="clear" w:color="auto" w:fill="FFFFFF"/>
        </w:rPr>
        <w:t xml:space="preserve"> Chicago, University of Chicago Press</w:t>
      </w:r>
      <w:r>
        <w:rPr>
          <w:shd w:val="clear" w:color="auto" w:fill="FFFFFF"/>
        </w:rPr>
        <w:t>, pp. 24</w:t>
      </w:r>
    </w:p>
    <w:p w14:paraId="2E091E86" w14:textId="77777777" w:rsidR="002A6DF3" w:rsidRDefault="00623E5E" w:rsidP="002A6DF3">
      <w:pPr>
        <w:pStyle w:val="NormalWeb"/>
        <w:shd w:val="clear" w:color="auto" w:fill="FFFFFF"/>
        <w:spacing w:before="0" w:beforeAutospacing="0" w:after="240" w:afterAutospacing="0" w:line="480" w:lineRule="auto"/>
        <w:ind w:hanging="720"/>
      </w:pPr>
      <w:r w:rsidRPr="00623E5E">
        <w:rPr>
          <w:shd w:val="clear" w:color="auto" w:fill="FFFFFF"/>
        </w:rPr>
        <w:lastRenderedPageBreak/>
        <w:t xml:space="preserve">Todd, N.R. et al. (2020) ‘Christian and Political Conservatism Predict Opposition to Sexual and Gender Minority Rights through Support for Christian Hegemony’, </w:t>
      </w:r>
      <w:r w:rsidRPr="00623E5E">
        <w:rPr>
          <w:i/>
          <w:iCs/>
          <w:shd w:val="clear" w:color="auto" w:fill="FFFFFF"/>
        </w:rPr>
        <w:t>American journal of community psychology</w:t>
      </w:r>
      <w:r w:rsidRPr="00623E5E">
        <w:rPr>
          <w:shd w:val="clear" w:color="auto" w:fill="FFFFFF"/>
        </w:rPr>
        <w:t xml:space="preserve">, 66(1-2), pp. 24–38. Available at: </w:t>
      </w:r>
      <w:hyperlink r:id="rId108" w:history="1">
        <w:r w:rsidR="000510B8" w:rsidRPr="00FA0A6A">
          <w:rPr>
            <w:rStyle w:val="Hyperlink"/>
            <w:shd w:val="clear" w:color="auto" w:fill="FFFFFF"/>
          </w:rPr>
          <w:t>https://doi.org/10.1002/ajcp.12420</w:t>
        </w:r>
      </w:hyperlink>
      <w:r w:rsidRPr="00623E5E">
        <w:rPr>
          <w:shd w:val="clear" w:color="auto" w:fill="FFFFFF"/>
        </w:rPr>
        <w:t>.</w:t>
      </w:r>
      <w:r w:rsidR="000510B8">
        <w:rPr>
          <w:shd w:val="clear" w:color="auto" w:fill="FFFFFF"/>
        </w:rPr>
        <w:t xml:space="preserve"> </w:t>
      </w:r>
      <w:r w:rsidR="002A6DF3">
        <w:t>(Accessed 6th May 2023)</w:t>
      </w:r>
    </w:p>
    <w:p w14:paraId="118CAF17" w14:textId="77777777" w:rsidR="00811962" w:rsidRDefault="00BA27EE" w:rsidP="00811962">
      <w:pPr>
        <w:pStyle w:val="NormalWeb"/>
        <w:shd w:val="clear" w:color="auto" w:fill="FFFFFF"/>
        <w:spacing w:before="0" w:beforeAutospacing="0" w:after="240" w:afterAutospacing="0" w:line="480" w:lineRule="auto"/>
        <w:ind w:hanging="720"/>
      </w:pPr>
      <w:r>
        <w:t xml:space="preserve">Tucker, A. (2020) ‘What can </w:t>
      </w:r>
      <w:r w:rsidR="00CB71B2">
        <w:t>Homonationalism</w:t>
      </w:r>
      <w:r>
        <w:t xml:space="preserve"> tell us about sexuality in South </w:t>
      </w:r>
      <w:r w:rsidR="00256836">
        <w:t>Africa?</w:t>
      </w:r>
      <w:r>
        <w:t xml:space="preserve"> Exploring the relationships between biopolitics, necropolitics, sexual exceptionalism and homonormativity’, </w:t>
      </w:r>
      <w:r w:rsidRPr="006D58D3">
        <w:rPr>
          <w:i/>
          <w:iCs/>
        </w:rPr>
        <w:t>Journal of gender studies</w:t>
      </w:r>
      <w:r>
        <w:t xml:space="preserve">, 29(1), pp. 88–101. Available at: </w:t>
      </w:r>
      <w:hyperlink r:id="rId109" w:history="1">
        <w:r w:rsidRPr="0038220D">
          <w:rPr>
            <w:rStyle w:val="Hyperlink"/>
          </w:rPr>
          <w:t>https://doi.org/10.1080/09589236.2019.1692192</w:t>
        </w:r>
      </w:hyperlink>
      <w:r>
        <w:t>.</w:t>
      </w:r>
      <w:r w:rsidR="000510B8" w:rsidRPr="000510B8">
        <w:t xml:space="preserve"> </w:t>
      </w:r>
      <w:r w:rsidR="00811962">
        <w:t>(Accessed 6th May 2023)</w:t>
      </w:r>
    </w:p>
    <w:p w14:paraId="39921D14" w14:textId="77777777" w:rsidR="00BA27EE" w:rsidRDefault="00BA27EE" w:rsidP="00AC0EE8">
      <w:pPr>
        <w:pStyle w:val="NormalWeb"/>
        <w:shd w:val="clear" w:color="auto" w:fill="FFFFFF"/>
        <w:spacing w:before="0" w:beforeAutospacing="0" w:after="240" w:afterAutospacing="0" w:line="480" w:lineRule="auto"/>
        <w:ind w:hanging="720"/>
      </w:pPr>
      <w:r w:rsidRPr="00014E8D">
        <w:t>Tuhiwai Smith, L</w:t>
      </w:r>
      <w:r>
        <w:t>.</w:t>
      </w:r>
      <w:r w:rsidRPr="00014E8D">
        <w:t xml:space="preserve"> (2013). </w:t>
      </w:r>
      <w:r w:rsidRPr="00DB01C3">
        <w:rPr>
          <w:i/>
          <w:iCs/>
        </w:rPr>
        <w:t>Decolonizing Methodologies: Research and Indigenous Peoples.</w:t>
      </w:r>
      <w:r w:rsidRPr="00014E8D">
        <w:t xml:space="preserve"> Zed Books. </w:t>
      </w:r>
    </w:p>
    <w:p w14:paraId="35725FA2" w14:textId="473ECAB7" w:rsidR="00BA27EE" w:rsidRDefault="00BA27EE" w:rsidP="00AC0EE8">
      <w:pPr>
        <w:pStyle w:val="NormalWeb"/>
        <w:shd w:val="clear" w:color="auto" w:fill="FFFFFF"/>
        <w:spacing w:before="0" w:beforeAutospacing="0" w:after="240" w:afterAutospacing="0" w:line="480" w:lineRule="auto"/>
        <w:ind w:hanging="720"/>
      </w:pPr>
      <w:r w:rsidRPr="00014E8D">
        <w:t xml:space="preserve">Uchendu, U., Roets, G. and Vandenbroeck, M. (2019) ‘Mapping constructs of gender in research on Igbo women in Nigeria: embracing a southern feminist theoretical perspective’, </w:t>
      </w:r>
      <w:r w:rsidRPr="00DB01C3">
        <w:rPr>
          <w:i/>
          <w:iCs/>
        </w:rPr>
        <w:t>Gender and education</w:t>
      </w:r>
      <w:r w:rsidRPr="00014E8D">
        <w:t xml:space="preserve">, 31(4), pp. 508–524. Available at: </w:t>
      </w:r>
      <w:hyperlink r:id="rId110" w:history="1">
        <w:r w:rsidRPr="00014E8D">
          <w:t>https://doi.org/10.1080/09540253.2017.1358807</w:t>
        </w:r>
      </w:hyperlink>
      <w:r w:rsidRPr="00014E8D">
        <w:t xml:space="preserve">. </w:t>
      </w:r>
      <w:r w:rsidR="00811962">
        <w:t>(</w:t>
      </w:r>
      <w:r w:rsidRPr="00014E8D">
        <w:t xml:space="preserve">Accessed </w:t>
      </w:r>
      <w:r w:rsidR="00811962">
        <w:t>7</w:t>
      </w:r>
      <w:r w:rsidR="00811962" w:rsidRPr="00811962">
        <w:rPr>
          <w:vertAlign w:val="superscript"/>
        </w:rPr>
        <w:t>th</w:t>
      </w:r>
      <w:r w:rsidR="00811962">
        <w:t xml:space="preserve"> October </w:t>
      </w:r>
      <w:r w:rsidRPr="00014E8D">
        <w:t>2022</w:t>
      </w:r>
      <w:r w:rsidR="00811962">
        <w:t>)</w:t>
      </w:r>
      <w:r w:rsidRPr="00014E8D">
        <w:t xml:space="preserve">. </w:t>
      </w:r>
    </w:p>
    <w:p w14:paraId="7FCB9BBF" w14:textId="31A7DBF3" w:rsidR="00BA27EE" w:rsidRPr="00811962" w:rsidRDefault="00BA27EE" w:rsidP="00811962">
      <w:pPr>
        <w:pStyle w:val="NormalWeb"/>
        <w:shd w:val="clear" w:color="auto" w:fill="FFFFFF"/>
        <w:spacing w:before="0" w:beforeAutospacing="0" w:after="240" w:afterAutospacing="0" w:line="480" w:lineRule="auto"/>
        <w:ind w:hanging="720"/>
      </w:pPr>
      <w:r w:rsidRPr="00803FE2">
        <w:rPr>
          <w:color w:val="333333"/>
        </w:rPr>
        <w:t xml:space="preserve">  Vanderbeck, R.M. and Johnson, P. (2015) ‘Homosexuality, religion and the contested legal framework governing sex education in England’, </w:t>
      </w:r>
      <w:r w:rsidRPr="00803FE2">
        <w:rPr>
          <w:i/>
          <w:iCs/>
          <w:color w:val="333333"/>
        </w:rPr>
        <w:t>The Journal of social welfare &amp; family law</w:t>
      </w:r>
      <w:r w:rsidRPr="00803FE2">
        <w:rPr>
          <w:color w:val="333333"/>
        </w:rPr>
        <w:t xml:space="preserve">, 37(2), pp. 161–179. Available at: </w:t>
      </w:r>
      <w:hyperlink r:id="rId111" w:history="1">
        <w:r w:rsidRPr="00642B5B">
          <w:rPr>
            <w:rStyle w:val="Hyperlink"/>
          </w:rPr>
          <w:t>https://doi.org/10.1080/09649069.2015.1028152</w:t>
        </w:r>
      </w:hyperlink>
      <w:r w:rsidRPr="00803FE2">
        <w:rPr>
          <w:color w:val="333333"/>
        </w:rPr>
        <w:t>.</w:t>
      </w:r>
      <w:r w:rsidR="000510B8">
        <w:rPr>
          <w:color w:val="333333"/>
        </w:rPr>
        <w:t xml:space="preserve"> </w:t>
      </w:r>
      <w:r w:rsidR="00811962">
        <w:t>(Accessed 6th May 2023)</w:t>
      </w:r>
    </w:p>
    <w:p w14:paraId="18AEACE9" w14:textId="77777777" w:rsidR="00811962" w:rsidRDefault="00BA27EE" w:rsidP="00811962">
      <w:pPr>
        <w:pStyle w:val="NormalWeb"/>
        <w:shd w:val="clear" w:color="auto" w:fill="FFFFFF"/>
        <w:spacing w:before="0" w:beforeAutospacing="0" w:after="240" w:afterAutospacing="0" w:line="480" w:lineRule="auto"/>
        <w:ind w:hanging="720"/>
      </w:pPr>
      <w:r>
        <w:t xml:space="preserve">Vaughn, J.M. (2019) </w:t>
      </w:r>
      <w:r w:rsidRPr="00DB01C3">
        <w:rPr>
          <w:i/>
          <w:iCs/>
        </w:rPr>
        <w:t xml:space="preserve">The Politics of empire at the accession of George </w:t>
      </w:r>
      <w:r w:rsidR="00256836" w:rsidRPr="00DB01C3">
        <w:rPr>
          <w:i/>
          <w:iCs/>
        </w:rPr>
        <w:t>III:</w:t>
      </w:r>
      <w:r w:rsidRPr="00DB01C3">
        <w:rPr>
          <w:i/>
          <w:iCs/>
        </w:rPr>
        <w:t xml:space="preserve"> The East India Company and the crisis and transformation of Britain’s imperial state</w:t>
      </w:r>
      <w:r>
        <w:t xml:space="preserve">. New Haven, CT: Yale University Press. Available at: </w:t>
      </w:r>
      <w:hyperlink r:id="rId112" w:history="1">
        <w:r w:rsidRPr="00873E6C">
          <w:rPr>
            <w:rStyle w:val="Hyperlink"/>
          </w:rPr>
          <w:t>https://doi.org/10.12987/9780300240542</w:t>
        </w:r>
      </w:hyperlink>
      <w:r>
        <w:t>.</w:t>
      </w:r>
      <w:r w:rsidR="000510B8">
        <w:t xml:space="preserve"> </w:t>
      </w:r>
      <w:r w:rsidR="00811962">
        <w:t>(Accessed 6th May 2023)</w:t>
      </w:r>
    </w:p>
    <w:p w14:paraId="4122DCAE" w14:textId="002C3579" w:rsidR="00BA27EE" w:rsidRDefault="00BA27EE" w:rsidP="00AC0EE8">
      <w:pPr>
        <w:pStyle w:val="NormalWeb"/>
        <w:shd w:val="clear" w:color="auto" w:fill="FFFFFF"/>
        <w:spacing w:before="0" w:beforeAutospacing="0" w:after="240" w:afterAutospacing="0" w:line="480" w:lineRule="auto"/>
        <w:ind w:hanging="720"/>
      </w:pPr>
    </w:p>
    <w:p w14:paraId="33B313DC" w14:textId="77777777" w:rsidR="00811962" w:rsidRDefault="00BA27EE" w:rsidP="00811962">
      <w:pPr>
        <w:pStyle w:val="NormalWeb"/>
        <w:shd w:val="clear" w:color="auto" w:fill="FFFFFF"/>
        <w:spacing w:before="0" w:beforeAutospacing="0" w:after="240" w:afterAutospacing="0" w:line="480" w:lineRule="auto"/>
        <w:ind w:hanging="720"/>
      </w:pPr>
      <w:r w:rsidRPr="00FC6F5C">
        <w:rPr>
          <w:color w:val="000000"/>
        </w:rPr>
        <w:lastRenderedPageBreak/>
        <w:t xml:space="preserve">Wagaman, M.A. (2016) ‘Self-definition as resistance: Understanding identities among LGBTQ emerging adults’, </w:t>
      </w:r>
      <w:r w:rsidRPr="00FC6F5C">
        <w:rPr>
          <w:i/>
          <w:iCs/>
          <w:color w:val="000000"/>
        </w:rPr>
        <w:t>Journal of LGBT youth</w:t>
      </w:r>
      <w:r w:rsidRPr="00FC6F5C">
        <w:rPr>
          <w:color w:val="000000"/>
        </w:rPr>
        <w:t xml:space="preserve">, 13(3), pp. 207–230. Available at: </w:t>
      </w:r>
      <w:hyperlink r:id="rId113" w:history="1">
        <w:r w:rsidRPr="0038220D">
          <w:rPr>
            <w:rStyle w:val="Hyperlink"/>
          </w:rPr>
          <w:t>https://doi.org/10.1080/19361653.2016.1185760</w:t>
        </w:r>
      </w:hyperlink>
      <w:r w:rsidRPr="00FC6F5C">
        <w:rPr>
          <w:color w:val="000000"/>
        </w:rPr>
        <w:t>.</w:t>
      </w:r>
      <w:r w:rsidR="000510B8">
        <w:rPr>
          <w:color w:val="000000"/>
        </w:rPr>
        <w:t xml:space="preserve"> </w:t>
      </w:r>
      <w:r w:rsidR="00811962">
        <w:t>(Accessed 6th May 2023)</w:t>
      </w:r>
    </w:p>
    <w:p w14:paraId="251A0357" w14:textId="77777777" w:rsidR="00811962" w:rsidRDefault="004A34E1" w:rsidP="00811962">
      <w:pPr>
        <w:pStyle w:val="NormalWeb"/>
        <w:shd w:val="clear" w:color="auto" w:fill="FFFFFF"/>
        <w:spacing w:before="0" w:beforeAutospacing="0" w:after="240" w:afterAutospacing="0" w:line="480" w:lineRule="auto"/>
        <w:ind w:hanging="720"/>
      </w:pPr>
      <w:r w:rsidRPr="004A34E1">
        <w:rPr>
          <w:color w:val="000000"/>
        </w:rPr>
        <w:t>Wahab, A. (2016) ‘“Homosexuality/Homophobia Is Un-African</w:t>
      </w:r>
      <w:r w:rsidR="00256836" w:rsidRPr="004A34E1">
        <w:rPr>
          <w:color w:val="000000"/>
        </w:rPr>
        <w:t>”?</w:t>
      </w:r>
      <w:r w:rsidRPr="004A34E1">
        <w:rPr>
          <w:color w:val="000000"/>
        </w:rPr>
        <w:t xml:space="preserve"> Un-Mapping Transnational Discourses in the Context of Uganda’s Anti-Homosexuality Bill/Act’, </w:t>
      </w:r>
      <w:r w:rsidRPr="004A34E1">
        <w:rPr>
          <w:i/>
          <w:iCs/>
          <w:color w:val="000000"/>
        </w:rPr>
        <w:t>Journal of homosexuality</w:t>
      </w:r>
      <w:r w:rsidRPr="004A34E1">
        <w:rPr>
          <w:color w:val="000000"/>
        </w:rPr>
        <w:t xml:space="preserve">, 63(5), pp. 685–718. Available at: </w:t>
      </w:r>
      <w:hyperlink r:id="rId114" w:history="1">
        <w:r w:rsidR="00A46B3C" w:rsidRPr="00A33F7B">
          <w:rPr>
            <w:rStyle w:val="Hyperlink"/>
          </w:rPr>
          <w:t>https://doi.org/10.1080/00918369.2015.1111105</w:t>
        </w:r>
      </w:hyperlink>
      <w:r w:rsidRPr="004A34E1">
        <w:rPr>
          <w:color w:val="000000"/>
        </w:rPr>
        <w:t>.</w:t>
      </w:r>
      <w:r w:rsidR="000510B8">
        <w:rPr>
          <w:color w:val="000000"/>
        </w:rPr>
        <w:t xml:space="preserve"> </w:t>
      </w:r>
      <w:r w:rsidR="00811962">
        <w:t>(Accessed 6th May 2023)</w:t>
      </w:r>
    </w:p>
    <w:p w14:paraId="50D1516E" w14:textId="77777777" w:rsidR="00811962" w:rsidRDefault="00A46B3C" w:rsidP="00811962">
      <w:pPr>
        <w:pStyle w:val="NormalWeb"/>
        <w:shd w:val="clear" w:color="auto" w:fill="FFFFFF"/>
        <w:spacing w:before="0" w:beforeAutospacing="0" w:after="240" w:afterAutospacing="0" w:line="480" w:lineRule="auto"/>
        <w:ind w:hanging="720"/>
      </w:pPr>
      <w:r w:rsidRPr="00A46B3C">
        <w:rPr>
          <w:color w:val="000000"/>
        </w:rPr>
        <w:t xml:space="preserve">Wahab, A. (2021) ‘Affective Mobilizations: Pinkwashing and Racialized Homophobia in Out There’, </w:t>
      </w:r>
      <w:r w:rsidRPr="00A46B3C">
        <w:rPr>
          <w:i/>
          <w:iCs/>
          <w:color w:val="000000"/>
        </w:rPr>
        <w:t>Journal of homosexuality</w:t>
      </w:r>
      <w:r w:rsidRPr="00A46B3C">
        <w:rPr>
          <w:color w:val="000000"/>
        </w:rPr>
        <w:t xml:space="preserve">, 68(5), pp. 849–871. Available at: </w:t>
      </w:r>
      <w:hyperlink r:id="rId115" w:history="1">
        <w:r w:rsidR="000510B8" w:rsidRPr="00FA0A6A">
          <w:rPr>
            <w:rStyle w:val="Hyperlink"/>
          </w:rPr>
          <w:t>https://doi.org/10.1080/00918369.2019.1667158</w:t>
        </w:r>
      </w:hyperlink>
      <w:r w:rsidRPr="00A46B3C">
        <w:rPr>
          <w:color w:val="000000"/>
        </w:rPr>
        <w:t>.</w:t>
      </w:r>
      <w:r w:rsidR="000510B8">
        <w:rPr>
          <w:color w:val="000000"/>
        </w:rPr>
        <w:t xml:space="preserve"> </w:t>
      </w:r>
      <w:r w:rsidR="00811962">
        <w:t>(Accessed 6th May 2023)</w:t>
      </w:r>
    </w:p>
    <w:p w14:paraId="46538090" w14:textId="45860DC0" w:rsidR="00BA27EE" w:rsidRDefault="00BA27EE" w:rsidP="00811962">
      <w:pPr>
        <w:pStyle w:val="NormalWeb"/>
        <w:shd w:val="clear" w:color="auto" w:fill="FFFFFF"/>
        <w:spacing w:before="0" w:beforeAutospacing="0" w:after="240" w:afterAutospacing="0" w:line="480" w:lineRule="auto"/>
        <w:ind w:hanging="720"/>
      </w:pPr>
      <w:r w:rsidRPr="00014E8D">
        <w:t xml:space="preserve">Waites, M. (2019) </w:t>
      </w:r>
      <w:r w:rsidRPr="00DB01C3">
        <w:rPr>
          <w:i/>
          <w:iCs/>
        </w:rPr>
        <w:t>LGBT and Queer Politics in the Commonwealth</w:t>
      </w:r>
      <w:r w:rsidRPr="00014E8D">
        <w:t xml:space="preserve">. Available at: https://oxfordre.com/politics/view/10.1093/acrefore/9780190228637.001.0001/acrefore-9780190228637-e-1257 </w:t>
      </w:r>
      <w:r w:rsidR="00811962">
        <w:t>(Accessed 6th May 2023)</w:t>
      </w:r>
    </w:p>
    <w:p w14:paraId="0C77FC3E" w14:textId="77777777" w:rsidR="00BA27EE" w:rsidRDefault="00BA27EE" w:rsidP="00AC0EE8">
      <w:pPr>
        <w:pStyle w:val="NormalWeb"/>
        <w:shd w:val="clear" w:color="auto" w:fill="FFFFFF"/>
        <w:spacing w:before="0" w:beforeAutospacing="0" w:after="240" w:afterAutospacing="0" w:line="480" w:lineRule="auto"/>
        <w:ind w:hanging="720"/>
      </w:pPr>
      <w:r>
        <w:t xml:space="preserve">Wekesa, S. M. (2017). Decriminalisation of homosexuality in Kenya: the prospects and challenges, in: S. Namwase &amp; A. Jjuuko. (eds). </w:t>
      </w:r>
      <w:r w:rsidRPr="00DB01C3">
        <w:rPr>
          <w:i/>
          <w:iCs/>
        </w:rPr>
        <w:t>Protecting the Human Rights of Sexual Minorities in Contemporary Africa</w:t>
      </w:r>
      <w:r>
        <w:t>. Pretoria: Pretoria University Law Press.</w:t>
      </w:r>
    </w:p>
    <w:p w14:paraId="72148786" w14:textId="77777777" w:rsidR="00BA27EE" w:rsidRDefault="00BA27EE" w:rsidP="00AC0EE8">
      <w:pPr>
        <w:pStyle w:val="NormalWeb"/>
        <w:shd w:val="clear" w:color="auto" w:fill="FFFFFF"/>
        <w:spacing w:before="0" w:beforeAutospacing="0" w:after="240" w:afterAutospacing="0" w:line="480" w:lineRule="auto"/>
        <w:ind w:hanging="720"/>
      </w:pPr>
      <w:r w:rsidRPr="00014E8D">
        <w:t xml:space="preserve">Willis, J.T. (2018) </w:t>
      </w:r>
      <w:r w:rsidRPr="00DB01C3">
        <w:rPr>
          <w:i/>
          <w:iCs/>
        </w:rPr>
        <w:t>Masquerading Politics Kinship, Gender, and Ethnicity in a Yoruba Town</w:t>
      </w:r>
      <w:r w:rsidRPr="00014E8D">
        <w:t>. Indiana: Indiana University Press.</w:t>
      </w:r>
    </w:p>
    <w:p w14:paraId="1DD6D0CE" w14:textId="77777777" w:rsidR="007046D0" w:rsidRDefault="00BA27EE" w:rsidP="007046D0">
      <w:pPr>
        <w:pStyle w:val="NormalWeb"/>
        <w:shd w:val="clear" w:color="auto" w:fill="FFFFFF"/>
        <w:spacing w:before="0" w:beforeAutospacing="0" w:after="240" w:afterAutospacing="0" w:line="480" w:lineRule="auto"/>
        <w:ind w:hanging="720"/>
      </w:pPr>
      <w:r w:rsidRPr="00014E8D">
        <w:t xml:space="preserve">Wolfe, P. (2006) ‘Settler colonialism and the elimination of the native’, </w:t>
      </w:r>
      <w:r w:rsidRPr="00DB01C3">
        <w:rPr>
          <w:i/>
          <w:iCs/>
        </w:rPr>
        <w:t>Journal of genocide research</w:t>
      </w:r>
      <w:r w:rsidRPr="00014E8D">
        <w:t xml:space="preserve">, 8(4), pp. 387–409. Available at: </w:t>
      </w:r>
      <w:hyperlink r:id="rId116" w:history="1">
        <w:r w:rsidRPr="00014E8D">
          <w:t>https://doi.org/10.1080/14623520601056240</w:t>
        </w:r>
      </w:hyperlink>
      <w:r w:rsidRPr="00014E8D">
        <w:t>.</w:t>
      </w:r>
      <w:r w:rsidR="000510B8">
        <w:t xml:space="preserve"> </w:t>
      </w:r>
      <w:r w:rsidR="007046D0">
        <w:t>(Accessed 6th May 2023)</w:t>
      </w:r>
    </w:p>
    <w:p w14:paraId="36E2FF78" w14:textId="55152276" w:rsidR="00706C12" w:rsidRDefault="00706C12" w:rsidP="00AC0EE8">
      <w:pPr>
        <w:pStyle w:val="NormalWeb"/>
        <w:shd w:val="clear" w:color="auto" w:fill="FFFFFF"/>
        <w:spacing w:before="0" w:beforeAutospacing="0" w:after="240" w:afterAutospacing="0" w:line="480" w:lineRule="auto"/>
        <w:ind w:hanging="720"/>
      </w:pPr>
      <w:r>
        <w:lastRenderedPageBreak/>
        <w:t>Youn</w:t>
      </w:r>
      <w:r w:rsidR="001F4550">
        <w:t xml:space="preserve">ging, G. (2018) </w:t>
      </w:r>
      <w:r w:rsidR="008D7503">
        <w:rPr>
          <w:i/>
          <w:iCs/>
        </w:rPr>
        <w:t>Elements of Indigenous Style: A Guide for Writing By and About</w:t>
      </w:r>
      <w:r w:rsidR="001F4550">
        <w:t xml:space="preserve"> </w:t>
      </w:r>
      <w:r w:rsidR="008D7003">
        <w:rPr>
          <w:i/>
          <w:iCs/>
        </w:rPr>
        <w:t>Indigenous</w:t>
      </w:r>
      <w:r w:rsidR="008D7503">
        <w:rPr>
          <w:i/>
          <w:iCs/>
        </w:rPr>
        <w:t xml:space="preserve"> People</w:t>
      </w:r>
      <w:r w:rsidR="004C723E">
        <w:rPr>
          <w:i/>
          <w:iCs/>
        </w:rPr>
        <w:t>s</w:t>
      </w:r>
      <w:r w:rsidR="004C723E">
        <w:t xml:space="preserve">. </w:t>
      </w:r>
      <w:r w:rsidR="008D7003">
        <w:t>Brush</w:t>
      </w:r>
      <w:r w:rsidR="0071329D">
        <w:t xml:space="preserve"> Education Inc, </w:t>
      </w:r>
      <w:r w:rsidR="00CF14D3">
        <w:t xml:space="preserve">Canada. </w:t>
      </w:r>
    </w:p>
    <w:p w14:paraId="7A484E1D" w14:textId="77777777" w:rsidR="009E317C" w:rsidRDefault="009E317C" w:rsidP="00AC0EE8">
      <w:pPr>
        <w:pStyle w:val="NormalWeb"/>
        <w:shd w:val="clear" w:color="auto" w:fill="FFFFFF"/>
        <w:spacing w:before="0" w:beforeAutospacing="0" w:after="240" w:afterAutospacing="0" w:line="480" w:lineRule="auto"/>
        <w:ind w:hanging="720"/>
      </w:pPr>
    </w:p>
    <w:p w14:paraId="19040471" w14:textId="77777777" w:rsidR="009E317C" w:rsidRDefault="009E317C" w:rsidP="00AC0EE8">
      <w:pPr>
        <w:pStyle w:val="NormalWeb"/>
        <w:shd w:val="clear" w:color="auto" w:fill="FFFFFF"/>
        <w:spacing w:before="0" w:beforeAutospacing="0" w:after="240" w:afterAutospacing="0" w:line="480" w:lineRule="auto"/>
        <w:ind w:hanging="720"/>
      </w:pPr>
    </w:p>
    <w:p w14:paraId="75A10175" w14:textId="77777777" w:rsidR="009E317C" w:rsidRDefault="009E317C" w:rsidP="00AC0EE8">
      <w:pPr>
        <w:pStyle w:val="NormalWeb"/>
        <w:shd w:val="clear" w:color="auto" w:fill="FFFFFF"/>
        <w:spacing w:before="0" w:beforeAutospacing="0" w:after="240" w:afterAutospacing="0" w:line="480" w:lineRule="auto"/>
        <w:ind w:hanging="720"/>
      </w:pPr>
    </w:p>
    <w:p w14:paraId="73FB14EB" w14:textId="77777777" w:rsidR="009E317C" w:rsidRDefault="009E317C" w:rsidP="00AC0EE8">
      <w:pPr>
        <w:pStyle w:val="NormalWeb"/>
        <w:shd w:val="clear" w:color="auto" w:fill="FFFFFF"/>
        <w:spacing w:before="0" w:beforeAutospacing="0" w:after="240" w:afterAutospacing="0" w:line="480" w:lineRule="auto"/>
        <w:ind w:hanging="720"/>
      </w:pPr>
    </w:p>
    <w:p w14:paraId="79FA5349" w14:textId="77777777" w:rsidR="009E317C" w:rsidRDefault="009E317C" w:rsidP="00AC0EE8">
      <w:pPr>
        <w:pStyle w:val="NormalWeb"/>
        <w:shd w:val="clear" w:color="auto" w:fill="FFFFFF"/>
        <w:spacing w:before="0" w:beforeAutospacing="0" w:after="240" w:afterAutospacing="0" w:line="480" w:lineRule="auto"/>
        <w:ind w:hanging="720"/>
      </w:pPr>
    </w:p>
    <w:p w14:paraId="030214D0" w14:textId="77777777" w:rsidR="009E317C" w:rsidRDefault="009E317C" w:rsidP="00AC0EE8">
      <w:pPr>
        <w:pStyle w:val="NormalWeb"/>
        <w:shd w:val="clear" w:color="auto" w:fill="FFFFFF"/>
        <w:spacing w:before="0" w:beforeAutospacing="0" w:after="240" w:afterAutospacing="0" w:line="480" w:lineRule="auto"/>
        <w:ind w:hanging="720"/>
      </w:pPr>
    </w:p>
    <w:p w14:paraId="4F725D50" w14:textId="77777777" w:rsidR="009E317C" w:rsidRDefault="009E317C" w:rsidP="00AC0EE8">
      <w:pPr>
        <w:pStyle w:val="NormalWeb"/>
        <w:shd w:val="clear" w:color="auto" w:fill="FFFFFF"/>
        <w:spacing w:before="0" w:beforeAutospacing="0" w:after="240" w:afterAutospacing="0" w:line="480" w:lineRule="auto"/>
        <w:ind w:hanging="720"/>
      </w:pPr>
    </w:p>
    <w:p w14:paraId="580DA652" w14:textId="77777777" w:rsidR="009E317C" w:rsidRDefault="009E317C" w:rsidP="00AC0EE8">
      <w:pPr>
        <w:pStyle w:val="NormalWeb"/>
        <w:shd w:val="clear" w:color="auto" w:fill="FFFFFF"/>
        <w:spacing w:before="0" w:beforeAutospacing="0" w:after="240" w:afterAutospacing="0" w:line="480" w:lineRule="auto"/>
        <w:ind w:hanging="720"/>
      </w:pPr>
    </w:p>
    <w:p w14:paraId="40A0E96F" w14:textId="77777777" w:rsidR="009E317C" w:rsidRDefault="009E317C" w:rsidP="00AC0EE8">
      <w:pPr>
        <w:pStyle w:val="NormalWeb"/>
        <w:shd w:val="clear" w:color="auto" w:fill="FFFFFF"/>
        <w:spacing w:before="0" w:beforeAutospacing="0" w:after="240" w:afterAutospacing="0" w:line="480" w:lineRule="auto"/>
        <w:ind w:hanging="720"/>
      </w:pPr>
    </w:p>
    <w:p w14:paraId="16A530C0" w14:textId="77777777" w:rsidR="007046D0" w:rsidRDefault="007046D0" w:rsidP="00AC0EE8">
      <w:pPr>
        <w:pStyle w:val="NormalWeb"/>
        <w:shd w:val="clear" w:color="auto" w:fill="FFFFFF"/>
        <w:spacing w:before="0" w:beforeAutospacing="0" w:after="240" w:afterAutospacing="0" w:line="480" w:lineRule="auto"/>
        <w:ind w:hanging="720"/>
      </w:pPr>
    </w:p>
    <w:p w14:paraId="307DE25E" w14:textId="77777777" w:rsidR="007046D0" w:rsidRDefault="007046D0" w:rsidP="00AC0EE8">
      <w:pPr>
        <w:pStyle w:val="NormalWeb"/>
        <w:shd w:val="clear" w:color="auto" w:fill="FFFFFF"/>
        <w:spacing w:before="0" w:beforeAutospacing="0" w:after="240" w:afterAutospacing="0" w:line="480" w:lineRule="auto"/>
        <w:ind w:hanging="720"/>
      </w:pPr>
    </w:p>
    <w:p w14:paraId="13D2A456" w14:textId="77777777" w:rsidR="007046D0" w:rsidRDefault="007046D0" w:rsidP="00AC0EE8">
      <w:pPr>
        <w:pStyle w:val="NormalWeb"/>
        <w:shd w:val="clear" w:color="auto" w:fill="FFFFFF"/>
        <w:spacing w:before="0" w:beforeAutospacing="0" w:after="240" w:afterAutospacing="0" w:line="480" w:lineRule="auto"/>
        <w:ind w:hanging="720"/>
      </w:pPr>
    </w:p>
    <w:p w14:paraId="2FC6FFAA" w14:textId="77777777" w:rsidR="007046D0" w:rsidRDefault="007046D0" w:rsidP="00AC0EE8">
      <w:pPr>
        <w:pStyle w:val="NormalWeb"/>
        <w:shd w:val="clear" w:color="auto" w:fill="FFFFFF"/>
        <w:spacing w:before="0" w:beforeAutospacing="0" w:after="240" w:afterAutospacing="0" w:line="480" w:lineRule="auto"/>
        <w:ind w:hanging="720"/>
      </w:pPr>
    </w:p>
    <w:p w14:paraId="52D56BF1" w14:textId="77777777" w:rsidR="007046D0" w:rsidRDefault="007046D0" w:rsidP="00AC0EE8">
      <w:pPr>
        <w:pStyle w:val="NormalWeb"/>
        <w:shd w:val="clear" w:color="auto" w:fill="FFFFFF"/>
        <w:spacing w:before="0" w:beforeAutospacing="0" w:after="240" w:afterAutospacing="0" w:line="480" w:lineRule="auto"/>
        <w:ind w:hanging="720"/>
      </w:pPr>
    </w:p>
    <w:p w14:paraId="2DC989C7" w14:textId="77777777" w:rsidR="007046D0" w:rsidRDefault="007046D0" w:rsidP="00AC0EE8">
      <w:pPr>
        <w:pStyle w:val="NormalWeb"/>
        <w:shd w:val="clear" w:color="auto" w:fill="FFFFFF"/>
        <w:spacing w:before="0" w:beforeAutospacing="0" w:after="240" w:afterAutospacing="0" w:line="480" w:lineRule="auto"/>
        <w:ind w:hanging="720"/>
      </w:pPr>
    </w:p>
    <w:p w14:paraId="4B736983" w14:textId="77777777" w:rsidR="009E317C" w:rsidRPr="004C723E" w:rsidRDefault="009E317C" w:rsidP="00AC0EE8">
      <w:pPr>
        <w:pStyle w:val="NormalWeb"/>
        <w:shd w:val="clear" w:color="auto" w:fill="FFFFFF"/>
        <w:spacing w:before="0" w:beforeAutospacing="0" w:after="240" w:afterAutospacing="0" w:line="480" w:lineRule="auto"/>
        <w:ind w:hanging="720"/>
        <w:rPr>
          <w:color w:val="333333"/>
        </w:rPr>
      </w:pPr>
    </w:p>
    <w:p w14:paraId="0BEE06BF" w14:textId="62D9B3F4" w:rsidR="005E060A" w:rsidRPr="003366DD" w:rsidRDefault="003366DD" w:rsidP="009E317C">
      <w:pPr>
        <w:spacing w:line="480" w:lineRule="auto"/>
        <w:jc w:val="both"/>
      </w:pPr>
      <w:r w:rsidRPr="00956421">
        <w:rPr>
          <w:b/>
        </w:rPr>
        <w:lastRenderedPageBreak/>
        <w:t>APPENDICES</w:t>
      </w:r>
    </w:p>
    <w:p w14:paraId="45857626" w14:textId="2059FB35" w:rsidR="005E060A" w:rsidRDefault="00F05D06" w:rsidP="00173B7D">
      <w:pPr>
        <w:numPr>
          <w:ilvl w:val="1"/>
          <w:numId w:val="1"/>
        </w:numPr>
        <w:spacing w:line="480" w:lineRule="auto"/>
        <w:outlineLvl w:val="1"/>
        <w:rPr>
          <w:b/>
        </w:rPr>
      </w:pPr>
      <w:bookmarkStart w:id="31" w:name="_Toc145927550"/>
      <w:r>
        <w:rPr>
          <w:b/>
        </w:rPr>
        <w:t>Appendix</w:t>
      </w:r>
      <w:r w:rsidR="005E060A">
        <w:rPr>
          <w:b/>
        </w:rPr>
        <w:t xml:space="preserve"> 1</w:t>
      </w:r>
      <w:r>
        <w:rPr>
          <w:b/>
        </w:rPr>
        <w:t>:</w:t>
      </w:r>
      <w:r w:rsidR="001C49A5">
        <w:rPr>
          <w:b/>
        </w:rPr>
        <w:t xml:space="preserve"> </w:t>
      </w:r>
      <w:r w:rsidR="007F687D">
        <w:rPr>
          <w:b/>
        </w:rPr>
        <w:t>Ethics Form</w:t>
      </w:r>
      <w:bookmarkEnd w:id="31"/>
    </w:p>
    <w:p w14:paraId="2C126274" w14:textId="77777777" w:rsidR="00BA5248" w:rsidRDefault="00BA5248" w:rsidP="00F05D06">
      <w:pPr>
        <w:tabs>
          <w:tab w:val="left" w:pos="5103"/>
        </w:tabs>
        <w:jc w:val="center"/>
        <w:rPr>
          <w:rFonts w:ascii="Arial" w:hAnsi="Arial" w:cs="Arial"/>
          <w:b/>
          <w:bCs/>
        </w:rPr>
      </w:pPr>
    </w:p>
    <w:p w14:paraId="307B790E" w14:textId="77777777" w:rsidR="00D81C20" w:rsidRPr="004C3A0B" w:rsidRDefault="00D81C20" w:rsidP="00A91894">
      <w:pPr>
        <w:tabs>
          <w:tab w:val="left" w:pos="5103"/>
        </w:tabs>
        <w:jc w:val="center"/>
        <w:rPr>
          <w:rFonts w:ascii="Arial" w:hAnsi="Arial" w:cs="Arial"/>
          <w:b/>
          <w:bCs/>
        </w:rPr>
      </w:pPr>
      <w:r w:rsidRPr="004C3A0B">
        <w:rPr>
          <w:rFonts w:ascii="Arial" w:hAnsi="Arial" w:cs="Arial"/>
          <w:b/>
          <w:bCs/>
        </w:rPr>
        <w:t>APPLICATION FOR ETHICAL APPROVAL</w:t>
      </w:r>
    </w:p>
    <w:p w14:paraId="0BDFE1A2" w14:textId="77777777" w:rsidR="00D81C20" w:rsidRPr="004C3A0B" w:rsidRDefault="00D81C20" w:rsidP="00A91894">
      <w:pPr>
        <w:tabs>
          <w:tab w:val="left" w:pos="5103"/>
        </w:tabs>
        <w:jc w:val="center"/>
        <w:rPr>
          <w:rFonts w:ascii="Arial" w:hAnsi="Arial" w:cs="Arial"/>
          <w:b/>
          <w:bCs/>
        </w:rPr>
      </w:pPr>
    </w:p>
    <w:p w14:paraId="26DFCBA2" w14:textId="739BFBFC" w:rsidR="00D81C20" w:rsidRPr="004C3A0B" w:rsidRDefault="00D81C20" w:rsidP="00A91894">
      <w:pPr>
        <w:tabs>
          <w:tab w:val="left" w:pos="5103"/>
        </w:tabs>
        <w:jc w:val="both"/>
        <w:rPr>
          <w:rFonts w:ascii="Arial" w:hAnsi="Arial" w:cs="Arial"/>
          <w:b/>
          <w:bCs/>
          <w:sz w:val="22"/>
          <w:szCs w:val="22"/>
        </w:rPr>
      </w:pPr>
      <w:r w:rsidRPr="004C3A0B">
        <w:rPr>
          <w:rFonts w:ascii="Arial" w:hAnsi="Arial" w:cs="Arial"/>
          <w:b/>
          <w:bCs/>
          <w:sz w:val="22"/>
          <w:szCs w:val="22"/>
        </w:rPr>
        <w:t xml:space="preserve">In order for research to result in benefit and minimise risk of harm, it must be conducted ethically. A </w:t>
      </w:r>
      <w:r w:rsidR="00EA7207">
        <w:rPr>
          <w:rFonts w:ascii="Arial" w:hAnsi="Arial" w:cs="Arial"/>
          <w:b/>
          <w:bCs/>
          <w:sz w:val="22"/>
          <w:szCs w:val="22"/>
        </w:rPr>
        <w:t>writer</w:t>
      </w:r>
      <w:r w:rsidRPr="004C3A0B">
        <w:rPr>
          <w:rFonts w:ascii="Arial" w:hAnsi="Arial" w:cs="Arial"/>
          <w:b/>
          <w:bCs/>
          <w:sz w:val="22"/>
          <w:szCs w:val="22"/>
        </w:rPr>
        <w:t xml:space="preserve"> may not be covered by the University’s insurance if ethical approval has not been obtained prior to commencement.</w:t>
      </w:r>
    </w:p>
    <w:p w14:paraId="7293E023" w14:textId="77777777" w:rsidR="00D81C20" w:rsidRPr="004C3A0B" w:rsidRDefault="00D81C20" w:rsidP="00A91894">
      <w:pPr>
        <w:tabs>
          <w:tab w:val="left" w:pos="5103"/>
        </w:tabs>
        <w:jc w:val="center"/>
        <w:rPr>
          <w:rFonts w:ascii="Arial" w:hAnsi="Arial" w:cs="Arial"/>
          <w:b/>
          <w:bCs/>
          <w:sz w:val="16"/>
          <w:szCs w:val="16"/>
        </w:rPr>
      </w:pPr>
    </w:p>
    <w:p w14:paraId="2E0A9A33" w14:textId="77777777" w:rsidR="00D81C20" w:rsidRPr="004C3A0B" w:rsidRDefault="00D81C20" w:rsidP="00A91894">
      <w:pPr>
        <w:tabs>
          <w:tab w:val="left" w:pos="5103"/>
        </w:tabs>
        <w:jc w:val="both"/>
        <w:rPr>
          <w:rFonts w:ascii="Arial" w:hAnsi="Arial" w:cs="Arial"/>
          <w:sz w:val="22"/>
          <w:szCs w:val="22"/>
        </w:rPr>
      </w:pPr>
      <w:r w:rsidRPr="004C3A0B">
        <w:rPr>
          <w:rFonts w:ascii="Arial" w:hAnsi="Arial" w:cs="Arial"/>
          <w:sz w:val="22"/>
          <w:szCs w:val="22"/>
        </w:rPr>
        <w:t xml:space="preserve">The University follows the OECD Frascati manual definition of </w:t>
      </w:r>
      <w:r w:rsidRPr="004C3A0B">
        <w:rPr>
          <w:rFonts w:ascii="Arial" w:hAnsi="Arial" w:cs="Arial"/>
          <w:b/>
          <w:sz w:val="22"/>
          <w:szCs w:val="22"/>
        </w:rPr>
        <w:t>research activity</w:t>
      </w:r>
      <w:r w:rsidRPr="004C3A0B">
        <w:rPr>
          <w:rFonts w:ascii="Arial" w:hAnsi="Arial" w:cs="Arial"/>
          <w:sz w:val="22"/>
          <w:szCs w:val="22"/>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67CA5730" w14:textId="77777777" w:rsidR="00D81C20" w:rsidRPr="004C3A0B" w:rsidRDefault="00D81C20" w:rsidP="00A91894">
      <w:pPr>
        <w:tabs>
          <w:tab w:val="left" w:pos="5103"/>
        </w:tabs>
        <w:jc w:val="both"/>
        <w:rPr>
          <w:rFonts w:ascii="Arial" w:hAnsi="Arial" w:cs="Arial"/>
          <w:sz w:val="22"/>
          <w:szCs w:val="22"/>
        </w:rPr>
      </w:pPr>
    </w:p>
    <w:p w14:paraId="587FC346" w14:textId="38DD7B4A" w:rsidR="00D81C20" w:rsidRPr="004C3A0B" w:rsidRDefault="00D81C20" w:rsidP="00A91894">
      <w:pPr>
        <w:tabs>
          <w:tab w:val="left" w:pos="5103"/>
        </w:tabs>
        <w:jc w:val="both"/>
        <w:rPr>
          <w:rFonts w:ascii="Arial" w:hAnsi="Arial" w:cs="Arial"/>
          <w:sz w:val="22"/>
          <w:szCs w:val="22"/>
        </w:rPr>
      </w:pPr>
      <w:r w:rsidRPr="004C3A0B">
        <w:rPr>
          <w:rFonts w:ascii="Arial" w:hAnsi="Arial" w:cs="Arial"/>
          <w:sz w:val="22"/>
          <w:szCs w:val="22"/>
        </w:rPr>
        <w:t xml:space="preserve">The individual undertaking the research activity is known as the “principal </w:t>
      </w:r>
      <w:r w:rsidR="00EA7207">
        <w:rPr>
          <w:rFonts w:ascii="Arial" w:hAnsi="Arial" w:cs="Arial"/>
          <w:sz w:val="22"/>
          <w:szCs w:val="22"/>
        </w:rPr>
        <w:t>writer</w:t>
      </w:r>
      <w:r w:rsidRPr="004C3A0B">
        <w:rPr>
          <w:rFonts w:ascii="Arial" w:hAnsi="Arial" w:cs="Arial"/>
          <w:sz w:val="22"/>
          <w:szCs w:val="22"/>
        </w:rPr>
        <w:t>”.</w:t>
      </w:r>
    </w:p>
    <w:p w14:paraId="3873316B" w14:textId="77777777" w:rsidR="00D81C20" w:rsidRPr="004C3A0B" w:rsidRDefault="00D81C20" w:rsidP="00A91894">
      <w:pPr>
        <w:tabs>
          <w:tab w:val="left" w:pos="5103"/>
        </w:tabs>
        <w:jc w:val="both"/>
        <w:rPr>
          <w:rFonts w:ascii="Arial" w:hAnsi="Arial" w:cs="Arial"/>
          <w:sz w:val="22"/>
          <w:szCs w:val="22"/>
        </w:rPr>
      </w:pPr>
    </w:p>
    <w:p w14:paraId="27753176" w14:textId="08D64EAB" w:rsidR="00D81C20" w:rsidRPr="004C3A0B" w:rsidRDefault="00D81C20" w:rsidP="00A91894">
      <w:pPr>
        <w:tabs>
          <w:tab w:val="left" w:pos="5103"/>
        </w:tabs>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077E2D88" w14:textId="555A6B61" w:rsidR="00D81C20" w:rsidRPr="00D81C20" w:rsidRDefault="00D81C20" w:rsidP="00D81C20">
      <w:pPr>
        <w:tabs>
          <w:tab w:val="left" w:pos="5103"/>
        </w:tabs>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0EA570F5" w14:textId="77777777" w:rsidR="00D81C20" w:rsidRDefault="00D81C20" w:rsidP="00A91894">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Pr="004C3A0B">
        <w:rPr>
          <w:rFonts w:ascii="Arial" w:hAnsi="Arial" w:cs="Arial"/>
          <w:sz w:val="22"/>
          <w:szCs w:val="22"/>
        </w:rPr>
        <w:t xml:space="preserve"> </w:t>
      </w:r>
      <w:r w:rsidRPr="004C3A0B">
        <w:rPr>
          <w:rFonts w:ascii="Arial" w:hAnsi="Arial" w:cs="Arial"/>
          <w:b/>
          <w:sz w:val="22"/>
          <w:szCs w:val="22"/>
        </w:rPr>
        <w:t>must be completed and approved prior to undertaking any research activity.</w:t>
      </w:r>
      <w:r w:rsidRPr="004C3A0B">
        <w:rPr>
          <w:rFonts w:ascii="Arial" w:hAnsi="Arial" w:cs="Arial"/>
          <w:sz w:val="22"/>
          <w:szCs w:val="22"/>
        </w:rPr>
        <w:t xml:space="preserve"> Please see </w:t>
      </w:r>
      <w:r>
        <w:rPr>
          <w:rFonts w:ascii="Arial" w:hAnsi="Arial" w:cs="Arial"/>
          <w:sz w:val="22"/>
          <w:szCs w:val="22"/>
        </w:rPr>
        <w:t>Checklist</w:t>
      </w:r>
      <w:r w:rsidRPr="004C3A0B">
        <w:rPr>
          <w:rFonts w:ascii="Arial" w:hAnsi="Arial" w:cs="Arial"/>
          <w:sz w:val="22"/>
          <w:szCs w:val="22"/>
        </w:rPr>
        <w:t xml:space="preserve"> for details of process for different categories of application.  </w:t>
      </w:r>
    </w:p>
    <w:p w14:paraId="7BEB2378" w14:textId="77777777" w:rsidR="00D81C20" w:rsidRDefault="00D81C20" w:rsidP="00A91894">
      <w:pPr>
        <w:autoSpaceDE w:val="0"/>
        <w:autoSpaceDN w:val="0"/>
        <w:adjustRightInd w:val="0"/>
        <w:jc w:val="both"/>
        <w:rPr>
          <w:rFonts w:ascii="Arial" w:hAnsi="Arial" w:cs="Arial"/>
          <w:sz w:val="22"/>
          <w:szCs w:val="22"/>
        </w:rPr>
      </w:pPr>
    </w:p>
    <w:p w14:paraId="06BCA2D7" w14:textId="6F436CF9" w:rsidR="00D81C20" w:rsidRPr="004C3A0B" w:rsidRDefault="00D81C20" w:rsidP="00A9189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A: About You (Principal </w:t>
      </w:r>
      <w:r w:rsidR="00EA7207">
        <w:rPr>
          <w:rFonts w:ascii="Arial" w:hAnsi="Arial" w:cs="Arial"/>
          <w:b/>
          <w:sz w:val="22"/>
          <w:szCs w:val="22"/>
        </w:rPr>
        <w:t>Writer</w:t>
      </w:r>
      <w:r w:rsidRPr="004C3A0B">
        <w:rPr>
          <w:rFonts w:ascii="Arial" w:hAnsi="Arial" w:cs="Arial"/>
          <w:b/>
          <w:sz w:val="22"/>
          <w:szCs w:val="22"/>
        </w:rPr>
        <w:t>)</w:t>
      </w:r>
    </w:p>
    <w:tbl>
      <w:tblPr>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
      <w:tblGrid>
        <w:gridCol w:w="339"/>
        <w:gridCol w:w="2029"/>
        <w:gridCol w:w="436"/>
        <w:gridCol w:w="2243"/>
        <w:gridCol w:w="436"/>
        <w:gridCol w:w="2371"/>
        <w:gridCol w:w="436"/>
      </w:tblGrid>
      <w:tr w:rsidR="00D81C20" w:rsidRPr="004C3A0B" w14:paraId="6E97CA0D" w14:textId="77777777" w:rsidTr="00D81C20">
        <w:trPr>
          <w:trHeight w:val="439"/>
        </w:trPr>
        <w:tc>
          <w:tcPr>
            <w:tcW w:w="199" w:type="pct"/>
            <w:shd w:val="clear" w:color="auto" w:fill="F2F2F2"/>
            <w:vAlign w:val="center"/>
          </w:tcPr>
          <w:p w14:paraId="0DBFC97B" w14:textId="77777777" w:rsidR="00D81C20" w:rsidRPr="004C3A0B" w:rsidRDefault="00D81C20" w:rsidP="00A91894">
            <w:pPr>
              <w:rPr>
                <w:rFonts w:ascii="Arial" w:hAnsi="Arial" w:cs="Arial"/>
                <w:sz w:val="22"/>
                <w:szCs w:val="22"/>
              </w:rPr>
            </w:pPr>
            <w:r>
              <w:rPr>
                <w:rFonts w:ascii="Arial" w:hAnsi="Arial" w:cs="Arial"/>
                <w:sz w:val="22"/>
                <w:szCs w:val="22"/>
              </w:rPr>
              <w:t>1</w:t>
            </w:r>
          </w:p>
        </w:tc>
        <w:tc>
          <w:tcPr>
            <w:tcW w:w="1489" w:type="pct"/>
            <w:gridSpan w:val="2"/>
            <w:shd w:val="clear" w:color="auto" w:fill="F2F2F2"/>
            <w:vAlign w:val="center"/>
          </w:tcPr>
          <w:p w14:paraId="11A13014" w14:textId="77777777" w:rsidR="00D81C20" w:rsidRPr="004C3A0B" w:rsidRDefault="00D81C20" w:rsidP="00A91894">
            <w:pPr>
              <w:rPr>
                <w:rFonts w:ascii="Arial" w:hAnsi="Arial" w:cs="Arial"/>
                <w:sz w:val="22"/>
                <w:szCs w:val="22"/>
              </w:rPr>
            </w:pPr>
            <w:r w:rsidRPr="004C3A0B">
              <w:rPr>
                <w:rFonts w:ascii="Arial" w:hAnsi="Arial" w:cs="Arial"/>
                <w:sz w:val="22"/>
                <w:szCs w:val="22"/>
              </w:rPr>
              <w:t>Full Name:</w:t>
            </w:r>
          </w:p>
        </w:tc>
        <w:tc>
          <w:tcPr>
            <w:tcW w:w="3313" w:type="pct"/>
            <w:gridSpan w:val="4"/>
            <w:vAlign w:val="center"/>
          </w:tcPr>
          <w:p w14:paraId="6FBE322D" w14:textId="77777777" w:rsidR="00D81C20" w:rsidRPr="004C3A0B" w:rsidRDefault="00D81C20" w:rsidP="00A91894">
            <w:pPr>
              <w:rPr>
                <w:rFonts w:ascii="Arial" w:hAnsi="Arial" w:cs="Arial"/>
                <w:sz w:val="22"/>
                <w:szCs w:val="22"/>
              </w:rPr>
            </w:pPr>
            <w:r>
              <w:rPr>
                <w:rFonts w:ascii="Arial" w:hAnsi="Arial" w:cs="Arial"/>
                <w:sz w:val="22"/>
                <w:szCs w:val="22"/>
              </w:rPr>
              <w:t>Jake Laurence Alfred Furby</w:t>
            </w:r>
          </w:p>
        </w:tc>
      </w:tr>
      <w:tr w:rsidR="00D81C20" w:rsidRPr="004C3A0B" w14:paraId="1B241B2E" w14:textId="77777777" w:rsidTr="00D81C20">
        <w:trPr>
          <w:trHeight w:val="472"/>
        </w:trPr>
        <w:tc>
          <w:tcPr>
            <w:tcW w:w="199" w:type="pct"/>
            <w:shd w:val="clear" w:color="auto" w:fill="BFBFBF"/>
            <w:vAlign w:val="center"/>
          </w:tcPr>
          <w:p w14:paraId="502F4F88" w14:textId="77777777" w:rsidR="00D81C20" w:rsidRPr="004C3A0B" w:rsidRDefault="00D81C20" w:rsidP="00A91894">
            <w:pPr>
              <w:rPr>
                <w:rFonts w:ascii="Arial" w:hAnsi="Arial" w:cs="Arial"/>
                <w:sz w:val="22"/>
                <w:szCs w:val="22"/>
              </w:rPr>
            </w:pPr>
            <w:r>
              <w:rPr>
                <w:rFonts w:ascii="Arial" w:hAnsi="Arial" w:cs="Arial"/>
                <w:sz w:val="22"/>
                <w:szCs w:val="22"/>
              </w:rPr>
              <w:t>2</w:t>
            </w:r>
          </w:p>
        </w:tc>
        <w:tc>
          <w:tcPr>
            <w:tcW w:w="1489" w:type="pct"/>
            <w:gridSpan w:val="2"/>
            <w:shd w:val="clear" w:color="auto" w:fill="BFBFBF"/>
            <w:vAlign w:val="center"/>
          </w:tcPr>
          <w:p w14:paraId="420AE328" w14:textId="77777777" w:rsidR="00D81C20" w:rsidRPr="004C3A0B" w:rsidRDefault="00D81C20" w:rsidP="00A91894">
            <w:pPr>
              <w:rPr>
                <w:rFonts w:ascii="Arial" w:hAnsi="Arial" w:cs="Arial"/>
                <w:sz w:val="22"/>
                <w:szCs w:val="22"/>
              </w:rPr>
            </w:pPr>
            <w:r w:rsidRPr="004C3A0B">
              <w:rPr>
                <w:rFonts w:ascii="Arial" w:hAnsi="Arial" w:cs="Arial"/>
                <w:sz w:val="22"/>
                <w:szCs w:val="22"/>
              </w:rPr>
              <w:t xml:space="preserve">Tick all </w:t>
            </w:r>
            <w:r>
              <w:rPr>
                <w:rFonts w:ascii="Arial" w:hAnsi="Arial" w:cs="Arial"/>
                <w:sz w:val="22"/>
                <w:szCs w:val="22"/>
              </w:rPr>
              <w:t>boxes that</w:t>
            </w:r>
            <w:r w:rsidRPr="004C3A0B">
              <w:rPr>
                <w:rFonts w:ascii="Arial" w:hAnsi="Arial" w:cs="Arial"/>
                <w:sz w:val="22"/>
                <w:szCs w:val="22"/>
              </w:rPr>
              <w:t xml:space="preserve"> apply:</w:t>
            </w:r>
          </w:p>
        </w:tc>
        <w:tc>
          <w:tcPr>
            <w:tcW w:w="1362" w:type="pct"/>
            <w:shd w:val="clear" w:color="auto" w:fill="F2F2F2"/>
            <w:vAlign w:val="center"/>
          </w:tcPr>
          <w:p w14:paraId="36B94BB3" w14:textId="77777777" w:rsidR="00D81C20" w:rsidRPr="004C3A0B" w:rsidRDefault="00D81C20" w:rsidP="00A91894">
            <w:pPr>
              <w:rPr>
                <w:rFonts w:ascii="Arial" w:hAnsi="Arial" w:cs="Arial"/>
                <w:sz w:val="22"/>
                <w:szCs w:val="22"/>
              </w:rPr>
            </w:pPr>
            <w:r w:rsidRPr="004C3A0B">
              <w:rPr>
                <w:rFonts w:ascii="Arial" w:hAnsi="Arial" w:cs="Arial"/>
                <w:sz w:val="22"/>
                <w:szCs w:val="22"/>
              </w:rPr>
              <w:t>Member of staff:</w:t>
            </w:r>
          </w:p>
        </w:tc>
        <w:tc>
          <w:tcPr>
            <w:tcW w:w="256" w:type="pct"/>
            <w:shd w:val="clear" w:color="auto" w:fill="BFBFBF"/>
            <w:vAlign w:val="center"/>
          </w:tcPr>
          <w:p w14:paraId="7D99E784" w14:textId="77777777" w:rsidR="00D81C20" w:rsidRPr="004C3A0B" w:rsidRDefault="00D81C20" w:rsidP="00A91894">
            <w:pPr>
              <w:jc w:val="center"/>
              <w:rPr>
                <w:rFonts w:ascii="Arial" w:hAnsi="Arial" w:cs="Arial"/>
                <w:sz w:val="22"/>
                <w:szCs w:val="22"/>
              </w:rPr>
            </w:pPr>
            <w:r>
              <w:rPr>
                <w:rFonts w:ascii="MS Gothic" w:eastAsia="MS Gothic" w:hAnsi="MS Gothic" w:cs="Arial" w:hint="eastAsia"/>
                <w:sz w:val="22"/>
                <w:szCs w:val="22"/>
              </w:rPr>
              <w:t>☐</w:t>
            </w:r>
          </w:p>
        </w:tc>
        <w:tc>
          <w:tcPr>
            <w:tcW w:w="1439" w:type="pct"/>
            <w:shd w:val="clear" w:color="auto" w:fill="F2F2F2"/>
            <w:vAlign w:val="center"/>
          </w:tcPr>
          <w:p w14:paraId="1453BCD3" w14:textId="77777777" w:rsidR="00D81C20" w:rsidRPr="004C3A0B" w:rsidRDefault="00D81C20" w:rsidP="00A91894">
            <w:pPr>
              <w:rPr>
                <w:rFonts w:ascii="Arial" w:hAnsi="Arial" w:cs="Arial"/>
                <w:sz w:val="22"/>
                <w:szCs w:val="22"/>
              </w:rPr>
            </w:pPr>
            <w:r w:rsidRPr="004C3A0B">
              <w:rPr>
                <w:rFonts w:ascii="Arial" w:hAnsi="Arial" w:cs="Arial"/>
                <w:sz w:val="22"/>
                <w:szCs w:val="22"/>
              </w:rPr>
              <w:t>Honorary research fellow:</w:t>
            </w:r>
          </w:p>
        </w:tc>
        <w:tc>
          <w:tcPr>
            <w:tcW w:w="256" w:type="pct"/>
            <w:shd w:val="clear" w:color="auto" w:fill="BFBFBF"/>
            <w:vAlign w:val="center"/>
          </w:tcPr>
          <w:p w14:paraId="6B7FA685" w14:textId="77777777" w:rsidR="00D81C20" w:rsidRPr="004C3A0B" w:rsidRDefault="00D81C20" w:rsidP="00A91894">
            <w:pPr>
              <w:jc w:val="center"/>
              <w:rPr>
                <w:rFonts w:ascii="Arial" w:hAnsi="Arial" w:cs="Arial"/>
                <w:sz w:val="22"/>
                <w:szCs w:val="22"/>
              </w:rPr>
            </w:pPr>
            <w:r>
              <w:rPr>
                <w:rFonts w:ascii="MS Gothic" w:eastAsia="MS Gothic" w:hAnsi="MS Gothic" w:cs="Arial" w:hint="eastAsia"/>
                <w:sz w:val="22"/>
                <w:szCs w:val="22"/>
              </w:rPr>
              <w:t>☐</w:t>
            </w:r>
          </w:p>
        </w:tc>
      </w:tr>
      <w:tr w:rsidR="00D81C20" w:rsidRPr="004C3A0B" w14:paraId="7EB31973" w14:textId="77777777" w:rsidTr="00D81C20">
        <w:trPr>
          <w:trHeight w:val="472"/>
        </w:trPr>
        <w:tc>
          <w:tcPr>
            <w:tcW w:w="199" w:type="pct"/>
            <w:shd w:val="clear" w:color="auto" w:fill="F2F2F2"/>
            <w:vAlign w:val="center"/>
          </w:tcPr>
          <w:p w14:paraId="533365B0" w14:textId="77777777" w:rsidR="00D81C20" w:rsidRDefault="00D81C20" w:rsidP="00A91894">
            <w:pPr>
              <w:rPr>
                <w:rFonts w:ascii="Arial" w:hAnsi="Arial" w:cs="Arial"/>
                <w:sz w:val="22"/>
                <w:szCs w:val="22"/>
              </w:rPr>
            </w:pPr>
          </w:p>
        </w:tc>
        <w:tc>
          <w:tcPr>
            <w:tcW w:w="1233" w:type="pct"/>
            <w:shd w:val="clear" w:color="auto" w:fill="F2F2F2"/>
            <w:vAlign w:val="center"/>
          </w:tcPr>
          <w:p w14:paraId="75D0F0B1" w14:textId="77777777" w:rsidR="00D81C20" w:rsidRPr="004C3A0B" w:rsidRDefault="00D81C20" w:rsidP="00A91894">
            <w:pPr>
              <w:rPr>
                <w:rFonts w:ascii="Arial" w:hAnsi="Arial" w:cs="Arial"/>
                <w:sz w:val="22"/>
                <w:szCs w:val="22"/>
              </w:rPr>
            </w:pPr>
            <w:r>
              <w:rPr>
                <w:rFonts w:ascii="Arial" w:hAnsi="Arial" w:cs="Arial"/>
                <w:sz w:val="22"/>
                <w:szCs w:val="22"/>
              </w:rPr>
              <w:t>Undergraduate Student</w:t>
            </w:r>
          </w:p>
        </w:tc>
        <w:tc>
          <w:tcPr>
            <w:tcW w:w="256" w:type="pct"/>
            <w:shd w:val="clear" w:color="auto" w:fill="BFBFBF"/>
            <w:vAlign w:val="center"/>
          </w:tcPr>
          <w:p w14:paraId="6BAEBBBF" w14:textId="42AD4268" w:rsidR="00D81C20" w:rsidRDefault="00D81C20" w:rsidP="00A91894">
            <w:pPr>
              <w:jc w:val="center"/>
              <w:rPr>
                <w:rFonts w:ascii="Arial" w:hAnsi="Arial" w:cs="Arial"/>
                <w:sz w:val="22"/>
                <w:szCs w:val="22"/>
              </w:rPr>
            </w:pPr>
            <w:r>
              <w:rPr>
                <w:rFonts w:ascii="MS Gothic" w:eastAsia="MS Gothic" w:hAnsi="MS Gothic" w:cs="Arial" w:hint="eastAsia"/>
                <w:sz w:val="22"/>
                <w:szCs w:val="22"/>
              </w:rPr>
              <w:t>☐</w:t>
            </w:r>
          </w:p>
        </w:tc>
        <w:tc>
          <w:tcPr>
            <w:tcW w:w="1362" w:type="pct"/>
            <w:shd w:val="clear" w:color="auto" w:fill="F2F2F2"/>
            <w:vAlign w:val="center"/>
          </w:tcPr>
          <w:p w14:paraId="29657B8F" w14:textId="77777777" w:rsidR="00D81C20" w:rsidRPr="004C3A0B" w:rsidRDefault="00D81C20" w:rsidP="00A91894">
            <w:pPr>
              <w:rPr>
                <w:rFonts w:ascii="Arial" w:hAnsi="Arial" w:cs="Arial"/>
                <w:sz w:val="22"/>
                <w:szCs w:val="22"/>
              </w:rPr>
            </w:pPr>
            <w:r>
              <w:rPr>
                <w:rFonts w:ascii="Arial" w:hAnsi="Arial" w:cs="Arial"/>
                <w:sz w:val="22"/>
                <w:szCs w:val="22"/>
              </w:rPr>
              <w:t>Taught Postgraduate Student</w:t>
            </w:r>
          </w:p>
        </w:tc>
        <w:tc>
          <w:tcPr>
            <w:tcW w:w="256" w:type="pct"/>
            <w:shd w:val="clear" w:color="auto" w:fill="BFBFBF"/>
            <w:vAlign w:val="center"/>
          </w:tcPr>
          <w:p w14:paraId="3541E974" w14:textId="5AB3EB18" w:rsidR="00D81C20" w:rsidRDefault="00D81C20" w:rsidP="00A91894">
            <w:pPr>
              <w:jc w:val="center"/>
              <w:rPr>
                <w:rFonts w:ascii="Arial" w:hAnsi="Arial" w:cs="Arial"/>
                <w:sz w:val="22"/>
                <w:szCs w:val="22"/>
              </w:rPr>
            </w:pPr>
            <w:r>
              <w:rPr>
                <w:rFonts w:ascii="MS Gothic" w:eastAsia="MS Gothic" w:hAnsi="MS Gothic" w:cs="Arial" w:hint="eastAsia"/>
                <w:sz w:val="22"/>
                <w:szCs w:val="22"/>
              </w:rPr>
              <w:t>☒</w:t>
            </w:r>
          </w:p>
        </w:tc>
        <w:tc>
          <w:tcPr>
            <w:tcW w:w="1439" w:type="pct"/>
            <w:shd w:val="clear" w:color="auto" w:fill="F2F2F2"/>
            <w:vAlign w:val="center"/>
          </w:tcPr>
          <w:p w14:paraId="3CA5CC13" w14:textId="77777777" w:rsidR="00D81C20" w:rsidRPr="004C3A0B" w:rsidRDefault="00D81C20" w:rsidP="00A91894">
            <w:pPr>
              <w:rPr>
                <w:rFonts w:ascii="Arial" w:hAnsi="Arial" w:cs="Arial"/>
                <w:sz w:val="22"/>
                <w:szCs w:val="22"/>
              </w:rPr>
            </w:pPr>
            <w:r>
              <w:rPr>
                <w:rFonts w:ascii="Arial" w:hAnsi="Arial" w:cs="Arial"/>
                <w:sz w:val="22"/>
                <w:szCs w:val="22"/>
              </w:rPr>
              <w:t>Postgraduate Research Student</w:t>
            </w:r>
          </w:p>
        </w:tc>
        <w:tc>
          <w:tcPr>
            <w:tcW w:w="256" w:type="pct"/>
            <w:shd w:val="clear" w:color="auto" w:fill="BFBFBF"/>
            <w:vAlign w:val="center"/>
          </w:tcPr>
          <w:p w14:paraId="3F92D2F0" w14:textId="79F4859B" w:rsidR="00D81C20" w:rsidRDefault="00D81C20" w:rsidP="00A91894">
            <w:pPr>
              <w:jc w:val="center"/>
              <w:rPr>
                <w:rFonts w:ascii="Arial" w:hAnsi="Arial" w:cs="Arial"/>
                <w:sz w:val="22"/>
                <w:szCs w:val="22"/>
              </w:rPr>
            </w:pPr>
            <w:r>
              <w:rPr>
                <w:rFonts w:ascii="MS Gothic" w:eastAsia="MS Gothic" w:hAnsi="MS Gothic" w:cs="Arial" w:hint="eastAsia"/>
                <w:sz w:val="22"/>
                <w:szCs w:val="22"/>
              </w:rPr>
              <w:t>☐</w:t>
            </w:r>
          </w:p>
        </w:tc>
      </w:tr>
    </w:tbl>
    <w:p w14:paraId="37E44FEE" w14:textId="77777777" w:rsidR="00D81C20" w:rsidRPr="004C3A0B" w:rsidRDefault="00D81C20" w:rsidP="00A91894">
      <w:pPr>
        <w:rPr>
          <w:rFonts w:ascii="Arial" w:hAnsi="Arial" w:cs="Arial"/>
          <w:bCs/>
          <w:iCs/>
          <w:sz w:val="16"/>
          <w:szCs w:val="16"/>
        </w:rPr>
      </w:pPr>
    </w:p>
    <w:tbl>
      <w:tblPr>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
      <w:tblGrid>
        <w:gridCol w:w="444"/>
        <w:gridCol w:w="2582"/>
        <w:gridCol w:w="5264"/>
      </w:tblGrid>
      <w:tr w:rsidR="00D81C20" w:rsidRPr="004C3A0B" w14:paraId="1DD6700F" w14:textId="77777777" w:rsidTr="00D81C20">
        <w:trPr>
          <w:cantSplit/>
          <w:trHeight w:val="334"/>
        </w:trPr>
        <w:tc>
          <w:tcPr>
            <w:tcW w:w="268" w:type="pct"/>
            <w:shd w:val="clear" w:color="auto" w:fill="F2F2F2"/>
            <w:vAlign w:val="center"/>
          </w:tcPr>
          <w:p w14:paraId="4CDB40BE" w14:textId="77777777" w:rsidR="00D81C20" w:rsidRDefault="00D81C20" w:rsidP="00A91894">
            <w:pPr>
              <w:rPr>
                <w:rFonts w:ascii="Arial" w:hAnsi="Arial" w:cs="Arial"/>
                <w:sz w:val="22"/>
                <w:szCs w:val="22"/>
              </w:rPr>
            </w:pPr>
            <w:r>
              <w:rPr>
                <w:rFonts w:ascii="Arial" w:hAnsi="Arial" w:cs="Arial"/>
                <w:sz w:val="22"/>
                <w:szCs w:val="22"/>
              </w:rPr>
              <w:t>3</w:t>
            </w:r>
          </w:p>
        </w:tc>
        <w:tc>
          <w:tcPr>
            <w:tcW w:w="1557" w:type="pct"/>
            <w:shd w:val="clear" w:color="auto" w:fill="F2F2F2"/>
            <w:vAlign w:val="center"/>
          </w:tcPr>
          <w:p w14:paraId="124F865A" w14:textId="77777777" w:rsidR="00D81C20" w:rsidRPr="004C3A0B" w:rsidRDefault="00D81C20" w:rsidP="00A91894">
            <w:pPr>
              <w:rPr>
                <w:rFonts w:ascii="Arial" w:hAnsi="Arial" w:cs="Arial"/>
                <w:sz w:val="22"/>
                <w:szCs w:val="22"/>
              </w:rPr>
            </w:pPr>
            <w:r>
              <w:rPr>
                <w:rFonts w:ascii="Arial" w:hAnsi="Arial" w:cs="Arial"/>
                <w:sz w:val="22"/>
                <w:szCs w:val="22"/>
              </w:rPr>
              <w:t>Institute</w:t>
            </w:r>
            <w:r w:rsidRPr="004C3A0B">
              <w:rPr>
                <w:rFonts w:ascii="Arial" w:hAnsi="Arial" w:cs="Arial"/>
                <w:sz w:val="22"/>
                <w:szCs w:val="22"/>
              </w:rPr>
              <w:t>/</w:t>
            </w:r>
            <w:r>
              <w:rPr>
                <w:rFonts w:ascii="Arial" w:hAnsi="Arial" w:cs="Arial"/>
                <w:sz w:val="22"/>
                <w:szCs w:val="22"/>
              </w:rPr>
              <w:t>Academic Discipline</w:t>
            </w:r>
            <w:r w:rsidRPr="004C3A0B">
              <w:rPr>
                <w:rFonts w:ascii="Arial" w:hAnsi="Arial" w:cs="Arial"/>
                <w:sz w:val="22"/>
                <w:szCs w:val="22"/>
              </w:rPr>
              <w:t>/Centre:</w:t>
            </w:r>
          </w:p>
        </w:tc>
        <w:tc>
          <w:tcPr>
            <w:tcW w:w="3176" w:type="pct"/>
            <w:vAlign w:val="center"/>
          </w:tcPr>
          <w:p w14:paraId="0FE1EF8F" w14:textId="77777777" w:rsidR="00D81C20" w:rsidRDefault="00D81C20" w:rsidP="00A91894">
            <w:pPr>
              <w:rPr>
                <w:rFonts w:ascii="Arial" w:hAnsi="Arial" w:cs="Arial"/>
                <w:sz w:val="22"/>
                <w:szCs w:val="22"/>
              </w:rPr>
            </w:pPr>
            <w:r>
              <w:rPr>
                <w:rStyle w:val="normaltextrun"/>
                <w:rFonts w:ascii="Arial" w:hAnsi="Arial" w:cs="Arial"/>
                <w:color w:val="000000"/>
                <w:sz w:val="22"/>
                <w:szCs w:val="22"/>
                <w:shd w:val="clear" w:color="auto" w:fill="FFFFFF"/>
              </w:rPr>
              <w:t>Humanities and Social Sciences</w:t>
            </w:r>
            <w:r>
              <w:rPr>
                <w:rStyle w:val="eop"/>
                <w:rFonts w:ascii="Arial" w:hAnsi="Arial" w:cs="Arial"/>
                <w:color w:val="000000"/>
                <w:sz w:val="22"/>
                <w:szCs w:val="22"/>
                <w:shd w:val="clear" w:color="auto" w:fill="FFFFFF"/>
              </w:rPr>
              <w:t> </w:t>
            </w:r>
          </w:p>
          <w:p w14:paraId="69AFF1A7" w14:textId="77777777" w:rsidR="00D81C20" w:rsidRPr="004C3A0B" w:rsidRDefault="00D81C20" w:rsidP="00A91894">
            <w:pPr>
              <w:rPr>
                <w:rFonts w:ascii="Arial" w:hAnsi="Arial" w:cs="Arial"/>
                <w:sz w:val="22"/>
                <w:szCs w:val="22"/>
              </w:rPr>
            </w:pPr>
          </w:p>
        </w:tc>
      </w:tr>
      <w:tr w:rsidR="00D81C20" w:rsidRPr="004C3A0B" w14:paraId="034170EC" w14:textId="77777777" w:rsidTr="00D81C20">
        <w:trPr>
          <w:cantSplit/>
          <w:trHeight w:val="340"/>
        </w:trPr>
        <w:tc>
          <w:tcPr>
            <w:tcW w:w="268" w:type="pct"/>
            <w:shd w:val="clear" w:color="auto" w:fill="F2F2F2"/>
            <w:vAlign w:val="center"/>
          </w:tcPr>
          <w:p w14:paraId="4695A180" w14:textId="77777777" w:rsidR="00D81C20" w:rsidRPr="004C3A0B" w:rsidRDefault="00D81C20" w:rsidP="00A91894">
            <w:pPr>
              <w:rPr>
                <w:rFonts w:ascii="Arial" w:hAnsi="Arial" w:cs="Arial"/>
                <w:sz w:val="22"/>
                <w:szCs w:val="22"/>
              </w:rPr>
            </w:pPr>
            <w:r>
              <w:rPr>
                <w:rFonts w:ascii="Arial" w:hAnsi="Arial" w:cs="Arial"/>
                <w:sz w:val="22"/>
                <w:szCs w:val="22"/>
              </w:rPr>
              <w:t>4</w:t>
            </w:r>
          </w:p>
        </w:tc>
        <w:tc>
          <w:tcPr>
            <w:tcW w:w="1557" w:type="pct"/>
            <w:shd w:val="clear" w:color="auto" w:fill="F2F2F2"/>
            <w:vAlign w:val="center"/>
          </w:tcPr>
          <w:p w14:paraId="75619239" w14:textId="77777777" w:rsidR="00D81C20" w:rsidRPr="004C3A0B" w:rsidRDefault="00D81C20" w:rsidP="00A91894">
            <w:pPr>
              <w:rPr>
                <w:rFonts w:ascii="Arial" w:hAnsi="Arial" w:cs="Arial"/>
                <w:sz w:val="22"/>
                <w:szCs w:val="22"/>
              </w:rPr>
            </w:pPr>
            <w:r w:rsidRPr="004C3A0B">
              <w:rPr>
                <w:rFonts w:ascii="Arial" w:hAnsi="Arial" w:cs="Arial"/>
                <w:sz w:val="22"/>
                <w:szCs w:val="22"/>
              </w:rPr>
              <w:t>Campus:</w:t>
            </w:r>
          </w:p>
        </w:tc>
        <w:tc>
          <w:tcPr>
            <w:tcW w:w="3176" w:type="pct"/>
            <w:vAlign w:val="center"/>
          </w:tcPr>
          <w:p w14:paraId="3B339609" w14:textId="77777777" w:rsidR="00D81C20" w:rsidRDefault="00D81C20" w:rsidP="00A91894">
            <w:pPr>
              <w:rPr>
                <w:rFonts w:ascii="Arial" w:hAnsi="Arial" w:cs="Arial"/>
                <w:sz w:val="22"/>
                <w:szCs w:val="22"/>
              </w:rPr>
            </w:pPr>
            <w:r>
              <w:rPr>
                <w:rStyle w:val="normaltextrun"/>
                <w:rFonts w:ascii="Arial" w:hAnsi="Arial" w:cs="Arial"/>
                <w:color w:val="000000"/>
                <w:sz w:val="22"/>
                <w:szCs w:val="22"/>
                <w:shd w:val="clear" w:color="auto" w:fill="FFFFFF"/>
              </w:rPr>
              <w:t>Carmarthen</w:t>
            </w:r>
            <w:r>
              <w:rPr>
                <w:rStyle w:val="eop"/>
                <w:rFonts w:ascii="Arial" w:hAnsi="Arial" w:cs="Arial"/>
                <w:color w:val="000000"/>
                <w:sz w:val="22"/>
                <w:szCs w:val="22"/>
                <w:shd w:val="clear" w:color="auto" w:fill="FFFFFF"/>
              </w:rPr>
              <w:t> </w:t>
            </w:r>
          </w:p>
          <w:p w14:paraId="450F9E87" w14:textId="77777777" w:rsidR="00D81C20" w:rsidRPr="004C3A0B" w:rsidRDefault="00D81C20" w:rsidP="00A91894">
            <w:pPr>
              <w:rPr>
                <w:rFonts w:ascii="Arial" w:hAnsi="Arial" w:cs="Arial"/>
                <w:sz w:val="22"/>
                <w:szCs w:val="22"/>
              </w:rPr>
            </w:pPr>
          </w:p>
        </w:tc>
      </w:tr>
      <w:tr w:rsidR="00D81C20" w:rsidRPr="004C3A0B" w14:paraId="77877559" w14:textId="77777777" w:rsidTr="00D81C20">
        <w:trPr>
          <w:cantSplit/>
          <w:trHeight w:val="340"/>
        </w:trPr>
        <w:tc>
          <w:tcPr>
            <w:tcW w:w="268" w:type="pct"/>
            <w:shd w:val="clear" w:color="auto" w:fill="F2F2F2"/>
            <w:vAlign w:val="center"/>
          </w:tcPr>
          <w:p w14:paraId="0095B2FA" w14:textId="77777777" w:rsidR="00D81C20" w:rsidRPr="004C3A0B" w:rsidRDefault="00D81C20" w:rsidP="00A91894">
            <w:pPr>
              <w:rPr>
                <w:rFonts w:ascii="Arial" w:hAnsi="Arial" w:cs="Arial"/>
                <w:sz w:val="22"/>
                <w:szCs w:val="22"/>
              </w:rPr>
            </w:pPr>
            <w:r>
              <w:rPr>
                <w:rFonts w:ascii="Arial" w:hAnsi="Arial" w:cs="Arial"/>
                <w:sz w:val="22"/>
                <w:szCs w:val="22"/>
              </w:rPr>
              <w:t>5</w:t>
            </w:r>
          </w:p>
        </w:tc>
        <w:tc>
          <w:tcPr>
            <w:tcW w:w="1557" w:type="pct"/>
            <w:shd w:val="clear" w:color="auto" w:fill="F2F2F2"/>
            <w:vAlign w:val="center"/>
          </w:tcPr>
          <w:p w14:paraId="09FFDEDE" w14:textId="77777777" w:rsidR="00D81C20" w:rsidRPr="004C3A0B" w:rsidRDefault="00D81C20" w:rsidP="00A91894">
            <w:pPr>
              <w:rPr>
                <w:rFonts w:ascii="Arial" w:hAnsi="Arial" w:cs="Arial"/>
                <w:sz w:val="22"/>
                <w:szCs w:val="22"/>
              </w:rPr>
            </w:pPr>
            <w:r w:rsidRPr="004C3A0B">
              <w:rPr>
                <w:rFonts w:ascii="Arial" w:hAnsi="Arial" w:cs="Arial"/>
                <w:sz w:val="22"/>
                <w:szCs w:val="22"/>
              </w:rPr>
              <w:t>E-mail address:</w:t>
            </w:r>
          </w:p>
        </w:tc>
        <w:tc>
          <w:tcPr>
            <w:tcW w:w="3176" w:type="pct"/>
            <w:vAlign w:val="center"/>
          </w:tcPr>
          <w:p w14:paraId="38159E0B" w14:textId="77777777" w:rsidR="00D81C20" w:rsidRDefault="00D81C20" w:rsidP="00A91894">
            <w:pPr>
              <w:rPr>
                <w:rFonts w:ascii="Arial" w:hAnsi="Arial" w:cs="Arial"/>
                <w:sz w:val="22"/>
                <w:szCs w:val="22"/>
              </w:rPr>
            </w:pPr>
          </w:p>
          <w:p w14:paraId="305CE9F0" w14:textId="77777777" w:rsidR="00D81C20" w:rsidRPr="004C3A0B" w:rsidRDefault="00D81C20" w:rsidP="00A91894">
            <w:pPr>
              <w:rPr>
                <w:rFonts w:ascii="Arial" w:hAnsi="Arial" w:cs="Arial"/>
                <w:sz w:val="22"/>
                <w:szCs w:val="22"/>
              </w:rPr>
            </w:pPr>
            <w:r>
              <w:rPr>
                <w:rFonts w:ascii="Arial" w:hAnsi="Arial" w:cs="Arial"/>
                <w:sz w:val="22"/>
                <w:szCs w:val="22"/>
              </w:rPr>
              <w:t>2006254@student.uwtsd.ac.uk</w:t>
            </w:r>
          </w:p>
        </w:tc>
      </w:tr>
      <w:tr w:rsidR="00D81C20" w:rsidRPr="004C3A0B" w14:paraId="77E76A88" w14:textId="77777777" w:rsidTr="00D81C20">
        <w:trPr>
          <w:cantSplit/>
          <w:trHeight w:val="340"/>
        </w:trPr>
        <w:tc>
          <w:tcPr>
            <w:tcW w:w="268" w:type="pct"/>
            <w:shd w:val="clear" w:color="auto" w:fill="F2F2F2"/>
            <w:vAlign w:val="center"/>
          </w:tcPr>
          <w:p w14:paraId="22ADDD62" w14:textId="77777777" w:rsidR="00D81C20" w:rsidRPr="004C3A0B" w:rsidRDefault="00D81C20" w:rsidP="00A91894">
            <w:pPr>
              <w:rPr>
                <w:rFonts w:ascii="Arial" w:hAnsi="Arial" w:cs="Arial"/>
                <w:sz w:val="22"/>
                <w:szCs w:val="22"/>
              </w:rPr>
            </w:pPr>
            <w:r>
              <w:rPr>
                <w:rFonts w:ascii="Arial" w:hAnsi="Arial" w:cs="Arial"/>
                <w:sz w:val="22"/>
                <w:szCs w:val="22"/>
              </w:rPr>
              <w:t>6</w:t>
            </w:r>
          </w:p>
        </w:tc>
        <w:tc>
          <w:tcPr>
            <w:tcW w:w="1557" w:type="pct"/>
            <w:shd w:val="clear" w:color="auto" w:fill="F2F2F2"/>
            <w:vAlign w:val="center"/>
          </w:tcPr>
          <w:p w14:paraId="0312AA6F" w14:textId="77777777" w:rsidR="00D81C20" w:rsidRPr="004C3A0B" w:rsidRDefault="00D81C20" w:rsidP="00A91894">
            <w:pPr>
              <w:rPr>
                <w:rFonts w:ascii="Arial" w:hAnsi="Arial" w:cs="Arial"/>
                <w:sz w:val="22"/>
                <w:szCs w:val="22"/>
              </w:rPr>
            </w:pPr>
            <w:r w:rsidRPr="004C3A0B">
              <w:rPr>
                <w:rFonts w:ascii="Arial" w:hAnsi="Arial" w:cs="Arial"/>
                <w:sz w:val="22"/>
                <w:szCs w:val="22"/>
              </w:rPr>
              <w:t>Contact Telephone Number:</w:t>
            </w:r>
          </w:p>
        </w:tc>
        <w:tc>
          <w:tcPr>
            <w:tcW w:w="3176" w:type="pct"/>
            <w:vAlign w:val="center"/>
          </w:tcPr>
          <w:p w14:paraId="7E210FC7" w14:textId="77777777" w:rsidR="00D81C20" w:rsidRDefault="00D81C20" w:rsidP="00A91894">
            <w:pPr>
              <w:rPr>
                <w:rFonts w:ascii="Arial" w:hAnsi="Arial" w:cs="Arial"/>
                <w:sz w:val="22"/>
                <w:szCs w:val="22"/>
              </w:rPr>
            </w:pPr>
          </w:p>
          <w:p w14:paraId="556752FC" w14:textId="77777777" w:rsidR="00D81C20" w:rsidRPr="004C3A0B" w:rsidRDefault="00D81C20" w:rsidP="00A91894">
            <w:pPr>
              <w:rPr>
                <w:rFonts w:ascii="Arial" w:hAnsi="Arial" w:cs="Arial"/>
                <w:sz w:val="22"/>
                <w:szCs w:val="22"/>
              </w:rPr>
            </w:pPr>
            <w:r>
              <w:rPr>
                <w:rFonts w:ascii="Arial" w:hAnsi="Arial" w:cs="Arial"/>
                <w:sz w:val="22"/>
                <w:szCs w:val="22"/>
              </w:rPr>
              <w:t>07935200575</w:t>
            </w:r>
          </w:p>
        </w:tc>
      </w:tr>
      <w:tr w:rsidR="00D81C20" w:rsidRPr="004C3A0B" w14:paraId="5B95C10C" w14:textId="77777777" w:rsidTr="00D81C20">
        <w:tc>
          <w:tcPr>
            <w:tcW w:w="268" w:type="pct"/>
            <w:shd w:val="clear" w:color="auto" w:fill="BFBFBF"/>
            <w:vAlign w:val="center"/>
          </w:tcPr>
          <w:p w14:paraId="03EECD36" w14:textId="77777777" w:rsidR="00D81C20" w:rsidRPr="004C3A0B" w:rsidRDefault="00D81C20" w:rsidP="00A91894">
            <w:pPr>
              <w:rPr>
                <w:rFonts w:ascii="Arial" w:hAnsi="Arial" w:cs="Arial"/>
                <w:b/>
                <w:i/>
                <w:sz w:val="22"/>
                <w:szCs w:val="22"/>
              </w:rPr>
            </w:pPr>
          </w:p>
        </w:tc>
        <w:tc>
          <w:tcPr>
            <w:tcW w:w="4732" w:type="pct"/>
            <w:gridSpan w:val="2"/>
            <w:shd w:val="clear" w:color="auto" w:fill="BFBFBF"/>
            <w:vAlign w:val="center"/>
          </w:tcPr>
          <w:p w14:paraId="7B433002" w14:textId="77777777" w:rsidR="00D81C20" w:rsidRPr="004C3A0B" w:rsidRDefault="00D81C20" w:rsidP="00A91894">
            <w:pPr>
              <w:rPr>
                <w:rFonts w:ascii="Arial" w:hAnsi="Arial" w:cs="Arial"/>
                <w:sz w:val="22"/>
                <w:szCs w:val="22"/>
              </w:rPr>
            </w:pPr>
            <w:r w:rsidRPr="004C3A0B">
              <w:rPr>
                <w:rFonts w:ascii="Arial" w:hAnsi="Arial" w:cs="Arial"/>
                <w:b/>
                <w:i/>
                <w:sz w:val="22"/>
                <w:szCs w:val="22"/>
              </w:rPr>
              <w:t>For students:</w:t>
            </w:r>
          </w:p>
        </w:tc>
      </w:tr>
      <w:tr w:rsidR="00D81C20" w:rsidRPr="004C3A0B" w14:paraId="7C7E34B3" w14:textId="77777777" w:rsidTr="00D81C20">
        <w:trPr>
          <w:trHeight w:val="513"/>
        </w:trPr>
        <w:tc>
          <w:tcPr>
            <w:tcW w:w="268" w:type="pct"/>
            <w:shd w:val="clear" w:color="auto" w:fill="F2F2F2"/>
            <w:vAlign w:val="center"/>
          </w:tcPr>
          <w:p w14:paraId="1B1BE12C" w14:textId="77777777" w:rsidR="00D81C20" w:rsidRPr="004C3A0B" w:rsidRDefault="00D81C20" w:rsidP="00A91894">
            <w:pPr>
              <w:rPr>
                <w:rFonts w:ascii="Arial" w:hAnsi="Arial" w:cs="Arial"/>
                <w:sz w:val="22"/>
                <w:szCs w:val="22"/>
              </w:rPr>
            </w:pPr>
            <w:r>
              <w:rPr>
                <w:rFonts w:ascii="Arial" w:hAnsi="Arial" w:cs="Arial"/>
                <w:sz w:val="22"/>
                <w:szCs w:val="22"/>
              </w:rPr>
              <w:t>7</w:t>
            </w:r>
          </w:p>
        </w:tc>
        <w:tc>
          <w:tcPr>
            <w:tcW w:w="1557" w:type="pct"/>
            <w:shd w:val="clear" w:color="auto" w:fill="F2F2F2"/>
            <w:vAlign w:val="center"/>
          </w:tcPr>
          <w:p w14:paraId="179A1979" w14:textId="77777777" w:rsidR="00D81C20" w:rsidRPr="004C3A0B" w:rsidRDefault="00D81C20" w:rsidP="00A91894">
            <w:pPr>
              <w:rPr>
                <w:rFonts w:ascii="Arial" w:hAnsi="Arial" w:cs="Arial"/>
                <w:sz w:val="22"/>
                <w:szCs w:val="22"/>
              </w:rPr>
            </w:pPr>
            <w:r w:rsidRPr="004C3A0B">
              <w:rPr>
                <w:rFonts w:ascii="Arial" w:hAnsi="Arial" w:cs="Arial"/>
                <w:sz w:val="22"/>
                <w:szCs w:val="22"/>
              </w:rPr>
              <w:t>Student Number:</w:t>
            </w:r>
          </w:p>
        </w:tc>
        <w:tc>
          <w:tcPr>
            <w:tcW w:w="3176" w:type="pct"/>
            <w:vAlign w:val="center"/>
          </w:tcPr>
          <w:p w14:paraId="0DCFEB2F" w14:textId="77777777" w:rsidR="00D81C20" w:rsidRPr="004C3A0B" w:rsidRDefault="00D81C20" w:rsidP="00A91894">
            <w:pPr>
              <w:rPr>
                <w:rFonts w:ascii="Arial" w:hAnsi="Arial" w:cs="Arial"/>
                <w:sz w:val="22"/>
                <w:szCs w:val="22"/>
              </w:rPr>
            </w:pPr>
            <w:r>
              <w:rPr>
                <w:rFonts w:ascii="Arial" w:hAnsi="Arial" w:cs="Arial"/>
                <w:sz w:val="22"/>
                <w:szCs w:val="22"/>
              </w:rPr>
              <w:t>2006254</w:t>
            </w:r>
          </w:p>
        </w:tc>
      </w:tr>
      <w:tr w:rsidR="00D81C20" w:rsidRPr="004C3A0B" w14:paraId="1FB888B9" w14:textId="77777777" w:rsidTr="00D81C20">
        <w:trPr>
          <w:trHeight w:val="549"/>
        </w:trPr>
        <w:tc>
          <w:tcPr>
            <w:tcW w:w="268" w:type="pct"/>
            <w:shd w:val="clear" w:color="auto" w:fill="F2F2F2"/>
            <w:vAlign w:val="center"/>
          </w:tcPr>
          <w:p w14:paraId="10B8B3F0" w14:textId="77777777" w:rsidR="00D81C20" w:rsidRPr="004C3A0B" w:rsidRDefault="00D81C20" w:rsidP="00A91894">
            <w:pPr>
              <w:rPr>
                <w:rFonts w:ascii="Arial" w:hAnsi="Arial" w:cs="Arial"/>
                <w:sz w:val="22"/>
                <w:szCs w:val="22"/>
              </w:rPr>
            </w:pPr>
            <w:r>
              <w:rPr>
                <w:rFonts w:ascii="Arial" w:hAnsi="Arial" w:cs="Arial"/>
                <w:sz w:val="22"/>
                <w:szCs w:val="22"/>
              </w:rPr>
              <w:t>8</w:t>
            </w:r>
          </w:p>
        </w:tc>
        <w:tc>
          <w:tcPr>
            <w:tcW w:w="1557" w:type="pct"/>
            <w:shd w:val="clear" w:color="auto" w:fill="F2F2F2"/>
            <w:vAlign w:val="center"/>
          </w:tcPr>
          <w:p w14:paraId="18DBA9E0" w14:textId="77777777" w:rsidR="00D81C20" w:rsidRPr="004C3A0B" w:rsidRDefault="00D81C20" w:rsidP="00A91894">
            <w:pPr>
              <w:rPr>
                <w:rFonts w:ascii="Arial" w:hAnsi="Arial" w:cs="Arial"/>
                <w:sz w:val="22"/>
                <w:szCs w:val="22"/>
              </w:rPr>
            </w:pPr>
            <w:r w:rsidRPr="004C3A0B">
              <w:rPr>
                <w:rFonts w:ascii="Arial" w:hAnsi="Arial" w:cs="Arial"/>
                <w:sz w:val="22"/>
                <w:szCs w:val="22"/>
              </w:rPr>
              <w:t>Programme of Study:</w:t>
            </w:r>
          </w:p>
        </w:tc>
        <w:tc>
          <w:tcPr>
            <w:tcW w:w="3176" w:type="pct"/>
            <w:vAlign w:val="center"/>
          </w:tcPr>
          <w:p w14:paraId="3E10A5E1" w14:textId="77777777" w:rsidR="00D81C20" w:rsidRPr="004C3A0B" w:rsidRDefault="00D81C20" w:rsidP="00A91894">
            <w:pPr>
              <w:rPr>
                <w:rFonts w:ascii="Arial" w:hAnsi="Arial" w:cs="Arial"/>
                <w:sz w:val="22"/>
                <w:szCs w:val="22"/>
              </w:rPr>
            </w:pPr>
            <w:r>
              <w:rPr>
                <w:rFonts w:ascii="Arial" w:hAnsi="Arial" w:cs="Arial"/>
                <w:sz w:val="22"/>
                <w:szCs w:val="22"/>
              </w:rPr>
              <w:t>MA Equity and Diversity in Society</w:t>
            </w:r>
          </w:p>
        </w:tc>
      </w:tr>
      <w:tr w:rsidR="00D81C20" w:rsidRPr="004C3A0B" w14:paraId="5E8571C8" w14:textId="77777777" w:rsidTr="00D81C20">
        <w:trPr>
          <w:trHeight w:val="557"/>
        </w:trPr>
        <w:tc>
          <w:tcPr>
            <w:tcW w:w="268" w:type="pct"/>
            <w:shd w:val="clear" w:color="auto" w:fill="F2F2F2"/>
            <w:vAlign w:val="center"/>
          </w:tcPr>
          <w:p w14:paraId="0561EED6" w14:textId="77777777" w:rsidR="00D81C20" w:rsidRPr="004C3A0B" w:rsidRDefault="00D81C20" w:rsidP="00A91894">
            <w:pPr>
              <w:rPr>
                <w:rFonts w:ascii="Arial" w:hAnsi="Arial" w:cs="Arial"/>
                <w:sz w:val="22"/>
                <w:szCs w:val="22"/>
              </w:rPr>
            </w:pPr>
            <w:r>
              <w:rPr>
                <w:rFonts w:ascii="Arial" w:hAnsi="Arial" w:cs="Arial"/>
                <w:sz w:val="22"/>
                <w:szCs w:val="22"/>
              </w:rPr>
              <w:t>9</w:t>
            </w:r>
          </w:p>
        </w:tc>
        <w:tc>
          <w:tcPr>
            <w:tcW w:w="1557" w:type="pct"/>
            <w:shd w:val="clear" w:color="auto" w:fill="F2F2F2"/>
            <w:vAlign w:val="center"/>
          </w:tcPr>
          <w:p w14:paraId="1914421D" w14:textId="77777777" w:rsidR="00D81C20" w:rsidRPr="004C3A0B" w:rsidRDefault="00D81C20" w:rsidP="00A91894">
            <w:pPr>
              <w:rPr>
                <w:rFonts w:ascii="Arial" w:hAnsi="Arial" w:cs="Arial"/>
                <w:sz w:val="22"/>
                <w:szCs w:val="22"/>
              </w:rPr>
            </w:pPr>
            <w:r w:rsidRPr="004C3A0B">
              <w:rPr>
                <w:rFonts w:ascii="Arial" w:hAnsi="Arial" w:cs="Arial"/>
                <w:sz w:val="22"/>
                <w:szCs w:val="22"/>
              </w:rPr>
              <w:t>Director of Studies/Supervisor:</w:t>
            </w:r>
          </w:p>
        </w:tc>
        <w:tc>
          <w:tcPr>
            <w:tcW w:w="3176" w:type="pct"/>
            <w:vAlign w:val="center"/>
          </w:tcPr>
          <w:p w14:paraId="3939191E" w14:textId="77777777" w:rsidR="00D81C20" w:rsidRPr="004C3A0B" w:rsidRDefault="00D81C20" w:rsidP="00A91894">
            <w:pPr>
              <w:rPr>
                <w:rFonts w:ascii="Arial" w:hAnsi="Arial" w:cs="Arial"/>
                <w:sz w:val="22"/>
                <w:szCs w:val="22"/>
              </w:rPr>
            </w:pPr>
            <w:r>
              <w:rPr>
                <w:rFonts w:ascii="Arial" w:hAnsi="Arial" w:cs="Arial"/>
                <w:sz w:val="22"/>
                <w:szCs w:val="22"/>
              </w:rPr>
              <w:t>Ken Dicks</w:t>
            </w:r>
          </w:p>
        </w:tc>
      </w:tr>
    </w:tbl>
    <w:p w14:paraId="6279955D" w14:textId="77777777" w:rsidR="00D81C20" w:rsidRDefault="00D81C20" w:rsidP="00A91894">
      <w:pPr>
        <w:autoSpaceDE w:val="0"/>
        <w:autoSpaceDN w:val="0"/>
        <w:adjustRightInd w:val="0"/>
        <w:jc w:val="both"/>
        <w:rPr>
          <w:rFonts w:ascii="Arial" w:hAnsi="Arial" w:cs="Arial"/>
          <w:b/>
          <w:sz w:val="22"/>
          <w:szCs w:val="22"/>
        </w:rPr>
      </w:pPr>
    </w:p>
    <w:p w14:paraId="6D63F33D" w14:textId="5C57D4F5" w:rsidR="00D81C20" w:rsidRDefault="00D81C20" w:rsidP="00A91894">
      <w:pPr>
        <w:rPr>
          <w:rFonts w:ascii="Arial" w:hAnsi="Arial" w:cs="Arial"/>
          <w:b/>
          <w:sz w:val="22"/>
          <w:szCs w:val="22"/>
        </w:rPr>
      </w:pPr>
    </w:p>
    <w:p w14:paraId="2E775EED" w14:textId="77777777" w:rsidR="00D81C20" w:rsidRPr="004C3A0B" w:rsidRDefault="00D81C20" w:rsidP="00A9189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B: Approval for Research Activity</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4"/>
        <w:gridCol w:w="2924"/>
        <w:gridCol w:w="2009"/>
        <w:gridCol w:w="786"/>
        <w:gridCol w:w="674"/>
        <w:gridCol w:w="785"/>
        <w:gridCol w:w="674"/>
      </w:tblGrid>
      <w:tr w:rsidR="00D81C20" w:rsidRPr="004C3A0B" w14:paraId="7EE36C65" w14:textId="77777777" w:rsidTr="00D81C20">
        <w:tc>
          <w:tcPr>
            <w:tcW w:w="268" w:type="pct"/>
            <w:shd w:val="clear" w:color="auto" w:fill="F2F2F2"/>
          </w:tcPr>
          <w:p w14:paraId="34817600" w14:textId="77777777" w:rsidR="00D81C20" w:rsidRPr="00D81C20" w:rsidRDefault="00D81C20" w:rsidP="00D81C20">
            <w:pPr>
              <w:autoSpaceDE w:val="0"/>
              <w:autoSpaceDN w:val="0"/>
              <w:adjustRightInd w:val="0"/>
              <w:rPr>
                <w:rFonts w:ascii="Arial" w:eastAsia="Calibri" w:hAnsi="Arial" w:cs="Arial"/>
                <w:sz w:val="22"/>
                <w:szCs w:val="22"/>
                <w:lang w:eastAsia="en-US"/>
              </w:rPr>
            </w:pPr>
            <w:r w:rsidRPr="00D81C20">
              <w:rPr>
                <w:rFonts w:ascii="Arial" w:eastAsia="Calibri" w:hAnsi="Arial" w:cs="Arial"/>
                <w:sz w:val="22"/>
                <w:szCs w:val="22"/>
                <w:lang w:eastAsia="en-US"/>
              </w:rPr>
              <w:t>1</w:t>
            </w:r>
          </w:p>
        </w:tc>
        <w:tc>
          <w:tcPr>
            <w:tcW w:w="2973" w:type="pct"/>
            <w:gridSpan w:val="2"/>
            <w:shd w:val="clear" w:color="auto" w:fill="F2F2F2"/>
            <w:vAlign w:val="center"/>
          </w:tcPr>
          <w:p w14:paraId="6598B7E9" w14:textId="77777777" w:rsidR="00D81C20" w:rsidRPr="00D81C20" w:rsidRDefault="00D81C20" w:rsidP="00D81C20">
            <w:pPr>
              <w:autoSpaceDE w:val="0"/>
              <w:autoSpaceDN w:val="0"/>
              <w:adjustRightInd w:val="0"/>
              <w:rPr>
                <w:rFonts w:ascii="Arial" w:eastAsia="Calibri" w:hAnsi="Arial" w:cs="Arial"/>
                <w:sz w:val="22"/>
                <w:szCs w:val="22"/>
                <w:lang w:eastAsia="en-US"/>
              </w:rPr>
            </w:pPr>
            <w:r w:rsidRPr="00D81C20">
              <w:rPr>
                <w:rFonts w:ascii="Arial" w:eastAsia="Calibri" w:hAnsi="Arial" w:cs="Arial"/>
                <w:sz w:val="22"/>
                <w:szCs w:val="22"/>
                <w:lang w:eastAsia="en-US"/>
              </w:rPr>
              <w:t>Has the research activity received approval in principle?</w:t>
            </w:r>
          </w:p>
          <w:p w14:paraId="2ED464A6" w14:textId="77777777" w:rsidR="00D81C20" w:rsidRPr="00D81C20" w:rsidRDefault="00D81C20" w:rsidP="00D81C20">
            <w:pPr>
              <w:autoSpaceDE w:val="0"/>
              <w:autoSpaceDN w:val="0"/>
              <w:adjustRightInd w:val="0"/>
              <w:rPr>
                <w:rFonts w:ascii="Arial" w:eastAsia="Calibri" w:hAnsi="Arial" w:cs="Arial"/>
                <w:sz w:val="22"/>
                <w:szCs w:val="22"/>
                <w:lang w:eastAsia="en-US"/>
              </w:rPr>
            </w:pPr>
            <w:r w:rsidRPr="00D81C20">
              <w:rPr>
                <w:rFonts w:ascii="Arial" w:eastAsia="Calibri" w:hAnsi="Arial" w:cs="Arial"/>
                <w:sz w:val="22"/>
                <w:szCs w:val="22"/>
                <w:lang w:eastAsia="en-US"/>
              </w:rPr>
              <w:t>(please check the Guidance Notes as to the appropriate approval process for different levels of research by different categories of individual)</w:t>
            </w:r>
          </w:p>
        </w:tc>
        <w:tc>
          <w:tcPr>
            <w:tcW w:w="474" w:type="pct"/>
            <w:shd w:val="clear" w:color="auto" w:fill="F2F2F2"/>
            <w:vAlign w:val="center"/>
          </w:tcPr>
          <w:p w14:paraId="25260993" w14:textId="77777777" w:rsidR="00D81C20" w:rsidRPr="00D81C20" w:rsidRDefault="00D81C20" w:rsidP="00D81C20">
            <w:pPr>
              <w:autoSpaceDE w:val="0"/>
              <w:autoSpaceDN w:val="0"/>
              <w:adjustRightInd w:val="0"/>
              <w:jc w:val="center"/>
              <w:rPr>
                <w:rFonts w:ascii="Arial" w:eastAsia="Calibri" w:hAnsi="Arial" w:cs="Arial"/>
                <w:b/>
                <w:sz w:val="22"/>
                <w:szCs w:val="22"/>
                <w:lang w:eastAsia="en-US"/>
              </w:rPr>
            </w:pPr>
            <w:r w:rsidRPr="00D81C20">
              <w:rPr>
                <w:rFonts w:ascii="Arial" w:eastAsia="Calibri" w:hAnsi="Arial" w:cs="Arial"/>
                <w:b/>
                <w:sz w:val="22"/>
                <w:szCs w:val="22"/>
                <w:lang w:eastAsia="en-US"/>
              </w:rPr>
              <w:t>YES</w:t>
            </w:r>
          </w:p>
        </w:tc>
        <w:tc>
          <w:tcPr>
            <w:tcW w:w="406" w:type="pct"/>
            <w:shd w:val="clear" w:color="auto" w:fill="BFBFBF"/>
            <w:vAlign w:val="center"/>
          </w:tcPr>
          <w:p w14:paraId="3F4A1B01" w14:textId="0D8F7951" w:rsidR="00D81C20" w:rsidRPr="00D81C20" w:rsidRDefault="00D81C20" w:rsidP="00D81C20">
            <w:pPr>
              <w:autoSpaceDE w:val="0"/>
              <w:autoSpaceDN w:val="0"/>
              <w:adjustRightInd w:val="0"/>
              <w:jc w:val="center"/>
              <w:rPr>
                <w:rFonts w:ascii="Arial" w:eastAsia="Calibri" w:hAnsi="Arial" w:cs="Arial"/>
                <w:b/>
                <w:sz w:val="22"/>
                <w:szCs w:val="22"/>
                <w:lang w:eastAsia="en-US"/>
              </w:rPr>
            </w:pPr>
            <w:r w:rsidRPr="00D81C20">
              <w:rPr>
                <w:rFonts w:ascii="MS Gothic" w:eastAsia="MS Gothic" w:hAnsi="MS Gothic" w:cs="Arial" w:hint="eastAsia"/>
                <w:bCs/>
                <w:sz w:val="22"/>
                <w:szCs w:val="22"/>
                <w:lang w:eastAsia="en-US"/>
              </w:rPr>
              <w:t>☒</w:t>
            </w:r>
          </w:p>
        </w:tc>
        <w:tc>
          <w:tcPr>
            <w:tcW w:w="473" w:type="pct"/>
            <w:shd w:val="clear" w:color="auto" w:fill="F2F2F2"/>
            <w:vAlign w:val="center"/>
          </w:tcPr>
          <w:p w14:paraId="18FABD99" w14:textId="77777777" w:rsidR="00D81C20" w:rsidRPr="00D81C20" w:rsidRDefault="00D81C20" w:rsidP="00D81C20">
            <w:pPr>
              <w:autoSpaceDE w:val="0"/>
              <w:autoSpaceDN w:val="0"/>
              <w:adjustRightInd w:val="0"/>
              <w:jc w:val="center"/>
              <w:rPr>
                <w:rFonts w:ascii="Arial" w:eastAsia="Calibri" w:hAnsi="Arial" w:cs="Arial"/>
                <w:b/>
                <w:sz w:val="22"/>
                <w:szCs w:val="22"/>
                <w:lang w:eastAsia="en-US"/>
              </w:rPr>
            </w:pPr>
            <w:r w:rsidRPr="00D81C20">
              <w:rPr>
                <w:rFonts w:ascii="Arial" w:eastAsia="Calibri" w:hAnsi="Arial" w:cs="Arial"/>
                <w:b/>
                <w:sz w:val="22"/>
                <w:szCs w:val="22"/>
                <w:lang w:eastAsia="en-US"/>
              </w:rPr>
              <w:t>NO</w:t>
            </w:r>
          </w:p>
        </w:tc>
        <w:tc>
          <w:tcPr>
            <w:tcW w:w="406" w:type="pct"/>
            <w:shd w:val="clear" w:color="auto" w:fill="BFBFBF"/>
            <w:vAlign w:val="center"/>
          </w:tcPr>
          <w:p w14:paraId="66484DF4" w14:textId="0BBF4B51" w:rsidR="00D81C20" w:rsidRPr="00D81C20" w:rsidRDefault="00D81C20" w:rsidP="00D81C20">
            <w:pPr>
              <w:autoSpaceDE w:val="0"/>
              <w:autoSpaceDN w:val="0"/>
              <w:adjustRightInd w:val="0"/>
              <w:jc w:val="center"/>
              <w:rPr>
                <w:rFonts w:ascii="Arial" w:eastAsia="Calibri" w:hAnsi="Arial" w:cs="Arial"/>
                <w:b/>
                <w:sz w:val="22"/>
                <w:szCs w:val="22"/>
                <w:lang w:eastAsia="en-US"/>
              </w:rPr>
            </w:pPr>
            <w:r w:rsidRPr="00D81C20">
              <w:rPr>
                <w:rFonts w:ascii="Segoe UI Symbol" w:eastAsia="Calibri" w:hAnsi="Segoe UI Symbol" w:cs="Segoe UI Symbol"/>
                <w:bCs/>
                <w:sz w:val="22"/>
                <w:szCs w:val="22"/>
                <w:lang w:eastAsia="en-US"/>
              </w:rPr>
              <w:t>☐</w:t>
            </w:r>
          </w:p>
        </w:tc>
      </w:tr>
      <w:tr w:rsidR="00D81C20" w:rsidRPr="004C3A0B" w14:paraId="6CEC69C9" w14:textId="77777777" w:rsidTr="00D81C20">
        <w:tc>
          <w:tcPr>
            <w:tcW w:w="268" w:type="pct"/>
            <w:shd w:val="clear" w:color="auto" w:fill="F2F2F2"/>
          </w:tcPr>
          <w:p w14:paraId="75C247F6" w14:textId="77777777" w:rsidR="00D81C20" w:rsidRPr="00D81C20" w:rsidRDefault="00D81C20" w:rsidP="00D81C20">
            <w:pPr>
              <w:autoSpaceDE w:val="0"/>
              <w:autoSpaceDN w:val="0"/>
              <w:adjustRightInd w:val="0"/>
              <w:rPr>
                <w:rFonts w:ascii="Arial" w:eastAsia="Calibri" w:hAnsi="Arial" w:cs="Arial"/>
                <w:b/>
                <w:bCs/>
                <w:sz w:val="22"/>
                <w:szCs w:val="22"/>
                <w:lang w:eastAsia="en-US"/>
              </w:rPr>
            </w:pPr>
          </w:p>
        </w:tc>
        <w:tc>
          <w:tcPr>
            <w:tcW w:w="3853" w:type="pct"/>
            <w:gridSpan w:val="4"/>
            <w:shd w:val="clear" w:color="auto" w:fill="F2F2F2"/>
          </w:tcPr>
          <w:p w14:paraId="394FB083" w14:textId="77777777" w:rsidR="00D81C20" w:rsidRPr="00D81C20" w:rsidRDefault="00D81C20" w:rsidP="00D81C20">
            <w:pPr>
              <w:autoSpaceDE w:val="0"/>
              <w:autoSpaceDN w:val="0"/>
              <w:adjustRightInd w:val="0"/>
              <w:rPr>
                <w:rFonts w:ascii="Arial" w:eastAsia="Calibri" w:hAnsi="Arial" w:cs="Arial"/>
                <w:b/>
                <w:bCs/>
                <w:sz w:val="22"/>
                <w:szCs w:val="22"/>
                <w:lang w:eastAsia="en-US"/>
              </w:rPr>
            </w:pPr>
          </w:p>
        </w:tc>
        <w:tc>
          <w:tcPr>
            <w:tcW w:w="879" w:type="pct"/>
            <w:gridSpan w:val="2"/>
            <w:shd w:val="clear" w:color="auto" w:fill="F2F2F2"/>
          </w:tcPr>
          <w:p w14:paraId="41336D14" w14:textId="77777777" w:rsidR="00D81C20" w:rsidRPr="00D81C20" w:rsidRDefault="00D81C20" w:rsidP="00D81C20">
            <w:pPr>
              <w:autoSpaceDE w:val="0"/>
              <w:autoSpaceDN w:val="0"/>
              <w:adjustRightInd w:val="0"/>
              <w:jc w:val="center"/>
              <w:rPr>
                <w:rFonts w:ascii="Arial" w:eastAsia="Calibri" w:hAnsi="Arial" w:cs="Arial"/>
                <w:b/>
                <w:bCs/>
                <w:i/>
                <w:sz w:val="22"/>
                <w:szCs w:val="22"/>
                <w:lang w:eastAsia="en-US"/>
              </w:rPr>
            </w:pPr>
            <w:r w:rsidRPr="00D81C20">
              <w:rPr>
                <w:rFonts w:ascii="Arial" w:eastAsia="Calibri" w:hAnsi="Arial" w:cs="Arial"/>
                <w:b/>
                <w:bCs/>
                <w:i/>
                <w:sz w:val="22"/>
                <w:szCs w:val="22"/>
                <w:lang w:eastAsia="en-US"/>
              </w:rPr>
              <w:t>Date</w:t>
            </w:r>
          </w:p>
        </w:tc>
      </w:tr>
      <w:tr w:rsidR="00D81C20" w:rsidRPr="004C3A0B" w14:paraId="6048A31B" w14:textId="77777777" w:rsidTr="00D81C20">
        <w:trPr>
          <w:trHeight w:val="437"/>
        </w:trPr>
        <w:tc>
          <w:tcPr>
            <w:tcW w:w="268" w:type="pct"/>
            <w:vMerge w:val="restart"/>
            <w:shd w:val="clear" w:color="auto" w:fill="F2F2F2"/>
          </w:tcPr>
          <w:p w14:paraId="44A335D6" w14:textId="77777777" w:rsidR="00D81C20" w:rsidRPr="00D81C20" w:rsidRDefault="00D81C20" w:rsidP="00D81C20">
            <w:pPr>
              <w:autoSpaceDE w:val="0"/>
              <w:autoSpaceDN w:val="0"/>
              <w:adjustRightInd w:val="0"/>
              <w:jc w:val="both"/>
              <w:rPr>
                <w:rFonts w:ascii="Arial" w:eastAsia="Calibri" w:hAnsi="Arial" w:cs="Arial"/>
                <w:sz w:val="22"/>
                <w:szCs w:val="22"/>
                <w:lang w:eastAsia="en-US"/>
              </w:rPr>
            </w:pPr>
            <w:r w:rsidRPr="00D81C20">
              <w:rPr>
                <w:rFonts w:ascii="Arial" w:eastAsia="Calibri" w:hAnsi="Arial" w:cs="Arial"/>
                <w:sz w:val="22"/>
                <w:szCs w:val="22"/>
                <w:lang w:eastAsia="en-US"/>
              </w:rPr>
              <w:t>2</w:t>
            </w:r>
          </w:p>
        </w:tc>
        <w:tc>
          <w:tcPr>
            <w:tcW w:w="1762" w:type="pct"/>
            <w:vMerge w:val="restart"/>
            <w:shd w:val="clear" w:color="auto" w:fill="F2F2F2"/>
          </w:tcPr>
          <w:p w14:paraId="44552949" w14:textId="77777777" w:rsidR="00D81C20" w:rsidRPr="00D81C20" w:rsidRDefault="00D81C20" w:rsidP="00D81C20">
            <w:pPr>
              <w:autoSpaceDE w:val="0"/>
              <w:autoSpaceDN w:val="0"/>
              <w:adjustRightInd w:val="0"/>
              <w:jc w:val="both"/>
              <w:rPr>
                <w:rFonts w:ascii="Arial" w:eastAsia="Calibri" w:hAnsi="Arial" w:cs="Arial"/>
                <w:sz w:val="22"/>
                <w:szCs w:val="22"/>
                <w:lang w:eastAsia="en-US"/>
              </w:rPr>
            </w:pPr>
            <w:r w:rsidRPr="00D81C20">
              <w:rPr>
                <w:rFonts w:ascii="Arial" w:eastAsia="Calibri" w:hAnsi="Arial" w:cs="Arial"/>
                <w:sz w:val="22"/>
                <w:szCs w:val="22"/>
                <w:lang w:eastAsia="en-US"/>
              </w:rPr>
              <w:t>If Yes, please indicate source of approval (and date where known):</w:t>
            </w:r>
            <w:r w:rsidRPr="00D81C20">
              <w:rPr>
                <w:rFonts w:ascii="Arial" w:eastAsia="Calibri" w:hAnsi="Arial" w:cs="Arial"/>
                <w:bCs/>
                <w:i/>
                <w:iCs/>
                <w:color w:val="FF0000"/>
                <w:sz w:val="22"/>
                <w:szCs w:val="22"/>
                <w:lang w:eastAsia="en-US"/>
              </w:rPr>
              <w:t xml:space="preserve"> </w:t>
            </w:r>
            <w:r w:rsidRPr="00D81C20">
              <w:rPr>
                <w:rFonts w:ascii="Arial" w:eastAsia="Calibri" w:hAnsi="Arial" w:cs="Arial"/>
                <w:b/>
                <w:bCs/>
                <w:i/>
                <w:iCs/>
                <w:sz w:val="22"/>
                <w:szCs w:val="22"/>
                <w:lang w:eastAsia="en-US"/>
              </w:rPr>
              <w:t>Approval in principle must be obtained from the relevant source prior to seeking ethical approval</w:t>
            </w:r>
          </w:p>
        </w:tc>
        <w:tc>
          <w:tcPr>
            <w:tcW w:w="1685" w:type="pct"/>
            <w:gridSpan w:val="2"/>
            <w:shd w:val="clear" w:color="auto" w:fill="F2F2F2"/>
            <w:vAlign w:val="center"/>
          </w:tcPr>
          <w:p w14:paraId="121DA77F" w14:textId="77777777" w:rsidR="00D81C20" w:rsidRPr="00D81C20" w:rsidRDefault="00D81C20" w:rsidP="00D81C20">
            <w:pPr>
              <w:autoSpaceDE w:val="0"/>
              <w:autoSpaceDN w:val="0"/>
              <w:adjustRightInd w:val="0"/>
              <w:rPr>
                <w:rFonts w:ascii="Arial" w:eastAsia="Calibri" w:hAnsi="Arial" w:cs="Arial"/>
                <w:sz w:val="22"/>
                <w:szCs w:val="22"/>
                <w:lang w:eastAsia="en-US"/>
              </w:rPr>
            </w:pPr>
            <w:r w:rsidRPr="00D81C20">
              <w:rPr>
                <w:rFonts w:ascii="Arial" w:eastAsia="Calibri" w:hAnsi="Arial" w:cs="Arial"/>
                <w:sz w:val="22"/>
                <w:szCs w:val="22"/>
                <w:lang w:eastAsia="en-US"/>
              </w:rPr>
              <w:t>Research Degrees Committee</w:t>
            </w:r>
          </w:p>
        </w:tc>
        <w:tc>
          <w:tcPr>
            <w:tcW w:w="406" w:type="pct"/>
            <w:shd w:val="clear" w:color="auto" w:fill="BFBFBF"/>
            <w:vAlign w:val="center"/>
          </w:tcPr>
          <w:p w14:paraId="16AF5BAD" w14:textId="352960A9" w:rsidR="00D81C20" w:rsidRPr="00D81C20" w:rsidRDefault="00D81C20" w:rsidP="00D81C20">
            <w:pPr>
              <w:autoSpaceDE w:val="0"/>
              <w:autoSpaceDN w:val="0"/>
              <w:adjustRightInd w:val="0"/>
              <w:jc w:val="center"/>
              <w:rPr>
                <w:rFonts w:ascii="Arial" w:eastAsia="Calibri" w:hAnsi="Arial" w:cs="Arial"/>
                <w:sz w:val="22"/>
                <w:szCs w:val="22"/>
                <w:lang w:eastAsia="en-US"/>
              </w:rPr>
            </w:pPr>
            <w:r w:rsidRPr="00D81C20">
              <w:rPr>
                <w:rFonts w:ascii="MS Gothic" w:eastAsia="MS Gothic" w:hAnsi="MS Gothic" w:cs="Arial" w:hint="eastAsia"/>
                <w:sz w:val="22"/>
                <w:szCs w:val="22"/>
                <w:lang w:eastAsia="en-US"/>
              </w:rPr>
              <w:t>☐</w:t>
            </w:r>
          </w:p>
        </w:tc>
        <w:tc>
          <w:tcPr>
            <w:tcW w:w="879" w:type="pct"/>
            <w:gridSpan w:val="2"/>
            <w:shd w:val="clear" w:color="auto" w:fill="auto"/>
            <w:vAlign w:val="center"/>
          </w:tcPr>
          <w:p w14:paraId="605CB996" w14:textId="77777777" w:rsidR="00D81C20" w:rsidRPr="00D81C20" w:rsidRDefault="00D81C20" w:rsidP="00D81C20">
            <w:pPr>
              <w:autoSpaceDE w:val="0"/>
              <w:autoSpaceDN w:val="0"/>
              <w:adjustRightInd w:val="0"/>
              <w:jc w:val="center"/>
              <w:rPr>
                <w:rFonts w:ascii="Arial" w:eastAsia="Calibri" w:hAnsi="Arial" w:cs="Arial"/>
                <w:b/>
                <w:bCs/>
                <w:sz w:val="22"/>
                <w:szCs w:val="22"/>
                <w:lang w:eastAsia="en-US"/>
              </w:rPr>
            </w:pPr>
          </w:p>
        </w:tc>
      </w:tr>
      <w:tr w:rsidR="00D81C20" w:rsidRPr="004C3A0B" w14:paraId="7B8B968C" w14:textId="77777777" w:rsidTr="00D81C20">
        <w:trPr>
          <w:trHeight w:val="415"/>
        </w:trPr>
        <w:tc>
          <w:tcPr>
            <w:tcW w:w="268" w:type="pct"/>
            <w:vMerge/>
            <w:shd w:val="clear" w:color="auto" w:fill="F2F2F2"/>
          </w:tcPr>
          <w:p w14:paraId="5DA62710" w14:textId="77777777" w:rsidR="00D81C20" w:rsidRPr="00D81C20" w:rsidRDefault="00D81C20" w:rsidP="00D81C20">
            <w:pPr>
              <w:autoSpaceDE w:val="0"/>
              <w:autoSpaceDN w:val="0"/>
              <w:adjustRightInd w:val="0"/>
              <w:jc w:val="both"/>
              <w:rPr>
                <w:rFonts w:ascii="Arial" w:eastAsia="Calibri" w:hAnsi="Arial" w:cs="Arial"/>
                <w:sz w:val="22"/>
                <w:szCs w:val="22"/>
                <w:lang w:eastAsia="en-US"/>
              </w:rPr>
            </w:pPr>
          </w:p>
        </w:tc>
        <w:tc>
          <w:tcPr>
            <w:tcW w:w="1762" w:type="pct"/>
            <w:vMerge/>
            <w:shd w:val="clear" w:color="auto" w:fill="F2F2F2"/>
          </w:tcPr>
          <w:p w14:paraId="4A356C00" w14:textId="77777777" w:rsidR="00D81C20" w:rsidRPr="00D81C20" w:rsidRDefault="00D81C20" w:rsidP="00D81C20">
            <w:pPr>
              <w:autoSpaceDE w:val="0"/>
              <w:autoSpaceDN w:val="0"/>
              <w:adjustRightInd w:val="0"/>
              <w:jc w:val="both"/>
              <w:rPr>
                <w:rFonts w:ascii="Arial" w:eastAsia="Calibri" w:hAnsi="Arial" w:cs="Arial"/>
                <w:sz w:val="22"/>
                <w:szCs w:val="22"/>
                <w:lang w:eastAsia="en-US"/>
              </w:rPr>
            </w:pPr>
          </w:p>
        </w:tc>
        <w:tc>
          <w:tcPr>
            <w:tcW w:w="1685" w:type="pct"/>
            <w:gridSpan w:val="2"/>
            <w:shd w:val="clear" w:color="auto" w:fill="F2F2F2"/>
            <w:vAlign w:val="center"/>
          </w:tcPr>
          <w:p w14:paraId="7E7D1802" w14:textId="77777777" w:rsidR="00D81C20" w:rsidRPr="00D81C20" w:rsidRDefault="00D81C20" w:rsidP="00D81C20">
            <w:pPr>
              <w:autoSpaceDE w:val="0"/>
              <w:autoSpaceDN w:val="0"/>
              <w:adjustRightInd w:val="0"/>
              <w:rPr>
                <w:rFonts w:ascii="Arial" w:eastAsia="Calibri" w:hAnsi="Arial" w:cs="Arial"/>
                <w:sz w:val="22"/>
                <w:szCs w:val="22"/>
                <w:lang w:eastAsia="en-US"/>
              </w:rPr>
            </w:pPr>
            <w:r w:rsidRPr="00D81C20">
              <w:rPr>
                <w:rFonts w:ascii="Arial" w:eastAsia="Calibri" w:hAnsi="Arial" w:cs="Arial"/>
                <w:sz w:val="22"/>
                <w:szCs w:val="22"/>
                <w:lang w:eastAsia="en-US"/>
              </w:rPr>
              <w:t>Institute Research Committee</w:t>
            </w:r>
          </w:p>
        </w:tc>
        <w:tc>
          <w:tcPr>
            <w:tcW w:w="406" w:type="pct"/>
            <w:shd w:val="clear" w:color="auto" w:fill="BFBFBF"/>
            <w:vAlign w:val="center"/>
          </w:tcPr>
          <w:p w14:paraId="200F0707" w14:textId="2F77E46F" w:rsidR="00D81C20" w:rsidRPr="00D81C20" w:rsidRDefault="00D81C20" w:rsidP="00D81C20">
            <w:pPr>
              <w:autoSpaceDE w:val="0"/>
              <w:autoSpaceDN w:val="0"/>
              <w:adjustRightInd w:val="0"/>
              <w:jc w:val="center"/>
              <w:rPr>
                <w:rFonts w:ascii="Arial" w:eastAsia="Calibri" w:hAnsi="Arial" w:cs="Arial"/>
                <w:sz w:val="22"/>
                <w:szCs w:val="22"/>
                <w:lang w:eastAsia="en-US"/>
              </w:rPr>
            </w:pPr>
            <w:r w:rsidRPr="00D81C20">
              <w:rPr>
                <w:rFonts w:ascii="MS Gothic" w:eastAsia="MS Gothic" w:hAnsi="MS Gothic" w:cs="Arial" w:hint="eastAsia"/>
                <w:sz w:val="22"/>
                <w:szCs w:val="22"/>
                <w:lang w:eastAsia="en-US"/>
              </w:rPr>
              <w:t>☐</w:t>
            </w:r>
          </w:p>
        </w:tc>
        <w:tc>
          <w:tcPr>
            <w:tcW w:w="879" w:type="pct"/>
            <w:gridSpan w:val="2"/>
            <w:shd w:val="clear" w:color="auto" w:fill="auto"/>
            <w:vAlign w:val="center"/>
          </w:tcPr>
          <w:p w14:paraId="7B8D6C95" w14:textId="77777777" w:rsidR="00D81C20" w:rsidRPr="00D81C20" w:rsidRDefault="00D81C20" w:rsidP="00D81C20">
            <w:pPr>
              <w:autoSpaceDE w:val="0"/>
              <w:autoSpaceDN w:val="0"/>
              <w:adjustRightInd w:val="0"/>
              <w:jc w:val="center"/>
              <w:rPr>
                <w:rFonts w:ascii="Arial" w:eastAsia="Calibri" w:hAnsi="Arial" w:cs="Arial"/>
                <w:b/>
                <w:bCs/>
                <w:sz w:val="22"/>
                <w:szCs w:val="22"/>
                <w:lang w:eastAsia="en-US"/>
              </w:rPr>
            </w:pPr>
          </w:p>
        </w:tc>
      </w:tr>
      <w:tr w:rsidR="00D81C20" w:rsidRPr="004C3A0B" w14:paraId="70B0736E" w14:textId="77777777" w:rsidTr="00D81C20">
        <w:tc>
          <w:tcPr>
            <w:tcW w:w="268" w:type="pct"/>
            <w:vMerge/>
            <w:shd w:val="clear" w:color="auto" w:fill="F2F2F2"/>
          </w:tcPr>
          <w:p w14:paraId="351B73F8" w14:textId="77777777" w:rsidR="00D81C20" w:rsidRPr="00D81C20" w:rsidRDefault="00D81C20" w:rsidP="00D81C20">
            <w:pPr>
              <w:autoSpaceDE w:val="0"/>
              <w:autoSpaceDN w:val="0"/>
              <w:adjustRightInd w:val="0"/>
              <w:jc w:val="both"/>
              <w:rPr>
                <w:rFonts w:ascii="Arial" w:eastAsia="Calibri" w:hAnsi="Arial" w:cs="Arial"/>
                <w:sz w:val="22"/>
                <w:szCs w:val="22"/>
                <w:lang w:eastAsia="en-US"/>
              </w:rPr>
            </w:pPr>
          </w:p>
        </w:tc>
        <w:tc>
          <w:tcPr>
            <w:tcW w:w="1762" w:type="pct"/>
            <w:vMerge/>
            <w:shd w:val="clear" w:color="auto" w:fill="F2F2F2"/>
          </w:tcPr>
          <w:p w14:paraId="793CB55A" w14:textId="77777777" w:rsidR="00D81C20" w:rsidRPr="00D81C20" w:rsidRDefault="00D81C20" w:rsidP="00D81C20">
            <w:pPr>
              <w:autoSpaceDE w:val="0"/>
              <w:autoSpaceDN w:val="0"/>
              <w:adjustRightInd w:val="0"/>
              <w:jc w:val="both"/>
              <w:rPr>
                <w:rFonts w:ascii="Arial" w:eastAsia="Calibri" w:hAnsi="Arial" w:cs="Arial"/>
                <w:sz w:val="22"/>
                <w:szCs w:val="22"/>
                <w:lang w:eastAsia="en-US"/>
              </w:rPr>
            </w:pPr>
          </w:p>
        </w:tc>
        <w:tc>
          <w:tcPr>
            <w:tcW w:w="1685" w:type="pct"/>
            <w:gridSpan w:val="2"/>
            <w:shd w:val="clear" w:color="auto" w:fill="F2F2F2"/>
            <w:vAlign w:val="center"/>
          </w:tcPr>
          <w:p w14:paraId="290629BE" w14:textId="4E77BBE4" w:rsidR="00D81C20" w:rsidRPr="00D81C20" w:rsidRDefault="00D81C20" w:rsidP="00D81C20">
            <w:pPr>
              <w:autoSpaceDE w:val="0"/>
              <w:autoSpaceDN w:val="0"/>
              <w:adjustRightInd w:val="0"/>
              <w:rPr>
                <w:rFonts w:ascii="Arial" w:eastAsia="Calibri" w:hAnsi="Arial" w:cs="Arial"/>
                <w:sz w:val="22"/>
                <w:szCs w:val="22"/>
                <w:lang w:eastAsia="en-US"/>
              </w:rPr>
            </w:pPr>
            <w:r w:rsidRPr="00D81C20">
              <w:rPr>
                <w:rFonts w:ascii="Arial" w:eastAsia="Calibri" w:hAnsi="Arial" w:cs="Arial"/>
                <w:sz w:val="22"/>
                <w:szCs w:val="22"/>
                <w:lang w:eastAsia="en-US"/>
              </w:rPr>
              <w:t xml:space="preserve">Other (write in) </w:t>
            </w:r>
            <w:r w:rsidR="00256836" w:rsidRPr="00D81C20">
              <w:rPr>
                <w:rFonts w:ascii="Arial" w:eastAsia="Calibri" w:hAnsi="Arial" w:cs="Arial"/>
                <w:sz w:val="22"/>
                <w:szCs w:val="22"/>
                <w:lang w:eastAsia="en-US"/>
              </w:rPr>
              <w:t>Supervisor.</w:t>
            </w:r>
            <w:r w:rsidRPr="00D81C20">
              <w:rPr>
                <w:rFonts w:ascii="Arial" w:eastAsia="Calibri" w:hAnsi="Arial" w:cs="Arial"/>
                <w:sz w:val="22"/>
                <w:szCs w:val="22"/>
                <w:lang w:eastAsia="en-US"/>
              </w:rPr>
              <w:t xml:space="preserve"> </w:t>
            </w:r>
          </w:p>
          <w:p w14:paraId="6C7C352A" w14:textId="77777777" w:rsidR="00D81C20" w:rsidRPr="00D81C20" w:rsidRDefault="00D81C20" w:rsidP="00D81C20">
            <w:pPr>
              <w:autoSpaceDE w:val="0"/>
              <w:autoSpaceDN w:val="0"/>
              <w:adjustRightInd w:val="0"/>
              <w:rPr>
                <w:rFonts w:ascii="Arial" w:eastAsia="Calibri" w:hAnsi="Arial" w:cs="Arial"/>
                <w:sz w:val="22"/>
                <w:szCs w:val="22"/>
                <w:lang w:eastAsia="en-US"/>
              </w:rPr>
            </w:pPr>
          </w:p>
        </w:tc>
        <w:tc>
          <w:tcPr>
            <w:tcW w:w="406" w:type="pct"/>
            <w:shd w:val="clear" w:color="auto" w:fill="BFBFBF"/>
            <w:vAlign w:val="center"/>
          </w:tcPr>
          <w:p w14:paraId="74106F9C" w14:textId="49B72133" w:rsidR="00D81C20" w:rsidRPr="00D81C20" w:rsidRDefault="00D81C20" w:rsidP="00D81C20">
            <w:pPr>
              <w:autoSpaceDE w:val="0"/>
              <w:autoSpaceDN w:val="0"/>
              <w:adjustRightInd w:val="0"/>
              <w:jc w:val="center"/>
              <w:rPr>
                <w:rFonts w:ascii="Arial" w:eastAsia="Calibri" w:hAnsi="Arial" w:cs="Arial"/>
                <w:sz w:val="22"/>
                <w:szCs w:val="22"/>
                <w:lang w:eastAsia="en-US"/>
              </w:rPr>
            </w:pPr>
            <w:r w:rsidRPr="00D81C20">
              <w:rPr>
                <w:rFonts w:ascii="MS Gothic" w:eastAsia="MS Gothic" w:hAnsi="MS Gothic" w:cs="Arial" w:hint="eastAsia"/>
                <w:sz w:val="22"/>
                <w:szCs w:val="22"/>
                <w:lang w:eastAsia="en-US"/>
              </w:rPr>
              <w:t>☒</w:t>
            </w:r>
          </w:p>
        </w:tc>
        <w:tc>
          <w:tcPr>
            <w:tcW w:w="879" w:type="pct"/>
            <w:gridSpan w:val="2"/>
            <w:shd w:val="clear" w:color="auto" w:fill="auto"/>
            <w:vAlign w:val="center"/>
          </w:tcPr>
          <w:p w14:paraId="3596AE7B" w14:textId="77777777" w:rsidR="00D81C20" w:rsidRPr="00D81C20" w:rsidRDefault="00D81C20" w:rsidP="00D81C20">
            <w:pPr>
              <w:autoSpaceDE w:val="0"/>
              <w:autoSpaceDN w:val="0"/>
              <w:adjustRightInd w:val="0"/>
              <w:jc w:val="center"/>
              <w:rPr>
                <w:rFonts w:ascii="Arial" w:eastAsia="Calibri" w:hAnsi="Arial" w:cs="Arial"/>
                <w:b/>
                <w:bCs/>
                <w:sz w:val="22"/>
                <w:szCs w:val="22"/>
                <w:lang w:eastAsia="en-US"/>
              </w:rPr>
            </w:pPr>
          </w:p>
        </w:tc>
      </w:tr>
    </w:tbl>
    <w:p w14:paraId="3C493F7E" w14:textId="77777777" w:rsidR="00D81C20" w:rsidRDefault="00D81C20" w:rsidP="00A91894">
      <w:pPr>
        <w:autoSpaceDE w:val="0"/>
        <w:autoSpaceDN w:val="0"/>
        <w:adjustRightInd w:val="0"/>
        <w:spacing w:after="240"/>
        <w:jc w:val="both"/>
        <w:rPr>
          <w:rFonts w:ascii="Arial" w:hAnsi="Arial" w:cs="Arial"/>
          <w:bCs/>
          <w:iCs/>
        </w:rPr>
      </w:pPr>
    </w:p>
    <w:p w14:paraId="61159A6A" w14:textId="77777777" w:rsidR="00D81C20" w:rsidRPr="004C3A0B" w:rsidRDefault="00D81C20" w:rsidP="00A9189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C:  </w:t>
      </w:r>
      <w:r>
        <w:rPr>
          <w:rFonts w:ascii="Arial" w:hAnsi="Arial" w:cs="Arial"/>
          <w:b/>
          <w:sz w:val="22"/>
          <w:szCs w:val="22"/>
        </w:rPr>
        <w:t xml:space="preserve">Internal and </w:t>
      </w:r>
      <w:r w:rsidRPr="004C3A0B">
        <w:rPr>
          <w:rFonts w:ascii="Arial" w:hAnsi="Arial" w:cs="Arial"/>
          <w:b/>
          <w:sz w:val="22"/>
          <w:szCs w:val="22"/>
        </w:rPr>
        <w:t>External Ethical Guidance Materials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4"/>
        <w:gridCol w:w="6954"/>
        <w:gridCol w:w="898"/>
      </w:tblGrid>
      <w:tr w:rsidR="00D81C20" w:rsidRPr="004C3A0B" w14:paraId="7E39714F" w14:textId="77777777" w:rsidTr="00D81C20">
        <w:tc>
          <w:tcPr>
            <w:tcW w:w="268" w:type="pct"/>
            <w:shd w:val="clear" w:color="auto" w:fill="F2F2F2"/>
          </w:tcPr>
          <w:p w14:paraId="14D1C5F4" w14:textId="77777777" w:rsidR="00D81C20" w:rsidRPr="00D81C20" w:rsidRDefault="00D81C20" w:rsidP="00D81C20">
            <w:pPr>
              <w:autoSpaceDE w:val="0"/>
              <w:autoSpaceDN w:val="0"/>
              <w:adjustRightInd w:val="0"/>
              <w:rPr>
                <w:rFonts w:ascii="Arial" w:eastAsia="Calibri" w:hAnsi="Arial" w:cs="Arial"/>
                <w:sz w:val="22"/>
                <w:szCs w:val="22"/>
                <w:lang w:eastAsia="en-US"/>
              </w:rPr>
            </w:pPr>
          </w:p>
        </w:tc>
        <w:tc>
          <w:tcPr>
            <w:tcW w:w="4732" w:type="pct"/>
            <w:gridSpan w:val="2"/>
            <w:shd w:val="clear" w:color="auto" w:fill="F2F2F2"/>
          </w:tcPr>
          <w:p w14:paraId="4EA3D544" w14:textId="77777777" w:rsidR="00D81C20" w:rsidRPr="00D81C20" w:rsidRDefault="00D81C20" w:rsidP="00D81C20">
            <w:pPr>
              <w:autoSpaceDE w:val="0"/>
              <w:autoSpaceDN w:val="0"/>
              <w:adjustRightInd w:val="0"/>
              <w:rPr>
                <w:rFonts w:ascii="Arial" w:eastAsia="Calibri" w:hAnsi="Arial" w:cs="Arial"/>
                <w:sz w:val="22"/>
                <w:szCs w:val="22"/>
                <w:lang w:eastAsia="en-US"/>
              </w:rPr>
            </w:pPr>
            <w:r w:rsidRPr="00D81C20">
              <w:rPr>
                <w:rFonts w:ascii="Arial" w:eastAsia="Calibri" w:hAnsi="Arial" w:cs="Arial"/>
                <w:sz w:val="22"/>
                <w:szCs w:val="22"/>
                <w:lang w:eastAsia="en-US"/>
              </w:rPr>
              <w:t>Please list the core ethical guidance documents that have been referred to during the completion of this form (including any discipline-specific codes of research ethics, location-specific codes of research ethics, and also any specific ethical guidance relating to the proposed methodology).  Please tick to confirm that your research proposal adheres to these codes and guidelines. You may add rows to this table if needed.</w:t>
            </w:r>
          </w:p>
        </w:tc>
      </w:tr>
      <w:tr w:rsidR="00D81C20" w:rsidRPr="004C3A0B" w14:paraId="7304196D" w14:textId="77777777" w:rsidTr="00D81C20">
        <w:trPr>
          <w:trHeight w:val="355"/>
        </w:trPr>
        <w:tc>
          <w:tcPr>
            <w:tcW w:w="268" w:type="pct"/>
            <w:shd w:val="clear" w:color="auto" w:fill="auto"/>
            <w:vAlign w:val="center"/>
          </w:tcPr>
          <w:p w14:paraId="7CBCDB35" w14:textId="77777777" w:rsidR="00D81C20" w:rsidRPr="00D81C20" w:rsidRDefault="00D81C20" w:rsidP="00D81C20">
            <w:pPr>
              <w:autoSpaceDE w:val="0"/>
              <w:autoSpaceDN w:val="0"/>
              <w:adjustRightInd w:val="0"/>
              <w:rPr>
                <w:rFonts w:ascii="Arial" w:eastAsia="Calibri" w:hAnsi="Arial" w:cs="Arial"/>
                <w:sz w:val="22"/>
                <w:szCs w:val="22"/>
                <w:lang w:eastAsia="en-US"/>
              </w:rPr>
            </w:pPr>
            <w:r w:rsidRPr="00D81C20">
              <w:rPr>
                <w:rFonts w:ascii="Arial" w:eastAsia="Calibri" w:hAnsi="Arial" w:cs="Arial"/>
                <w:sz w:val="22"/>
                <w:szCs w:val="22"/>
                <w:lang w:eastAsia="en-US"/>
              </w:rPr>
              <w:t>1</w:t>
            </w:r>
          </w:p>
        </w:tc>
        <w:tc>
          <w:tcPr>
            <w:tcW w:w="4191" w:type="pct"/>
            <w:shd w:val="clear" w:color="auto" w:fill="auto"/>
            <w:vAlign w:val="center"/>
          </w:tcPr>
          <w:p w14:paraId="743275AA" w14:textId="77777777" w:rsidR="00D81C20" w:rsidRPr="00D81C20" w:rsidRDefault="00000000" w:rsidP="00D81C20">
            <w:pPr>
              <w:autoSpaceDE w:val="0"/>
              <w:autoSpaceDN w:val="0"/>
              <w:adjustRightInd w:val="0"/>
              <w:rPr>
                <w:rFonts w:ascii="Arial" w:eastAsia="Calibri" w:hAnsi="Arial" w:cs="Arial"/>
                <w:b/>
                <w:bCs/>
                <w:sz w:val="22"/>
                <w:szCs w:val="22"/>
                <w:lang w:eastAsia="en-US"/>
              </w:rPr>
            </w:pPr>
            <w:hyperlink r:id="rId117" w:history="1">
              <w:r w:rsidR="00D81C20" w:rsidRPr="00D81C20">
                <w:rPr>
                  <w:rStyle w:val="Hyperlink"/>
                  <w:rFonts w:ascii="Arial" w:eastAsia="Calibri" w:hAnsi="Arial" w:cs="Arial"/>
                  <w:b/>
                  <w:bCs/>
                  <w:sz w:val="22"/>
                  <w:szCs w:val="22"/>
                  <w:lang w:eastAsia="en-US"/>
                </w:rPr>
                <w:t>UWTSD Research Ethics &amp; Integrity Code of Practice</w:t>
              </w:r>
            </w:hyperlink>
          </w:p>
        </w:tc>
        <w:tc>
          <w:tcPr>
            <w:tcW w:w="541" w:type="pct"/>
            <w:shd w:val="clear" w:color="auto" w:fill="BFBFBF"/>
            <w:vAlign w:val="center"/>
          </w:tcPr>
          <w:p w14:paraId="4ED8ECDF" w14:textId="12DE9698" w:rsidR="00D81C20" w:rsidRPr="00D81C20" w:rsidRDefault="00D81C20" w:rsidP="00D81C20">
            <w:pPr>
              <w:autoSpaceDE w:val="0"/>
              <w:autoSpaceDN w:val="0"/>
              <w:adjustRightInd w:val="0"/>
              <w:jc w:val="center"/>
              <w:rPr>
                <w:rFonts w:ascii="Arial" w:eastAsia="Calibri" w:hAnsi="Arial" w:cs="Arial"/>
                <w:sz w:val="22"/>
                <w:szCs w:val="22"/>
                <w:lang w:eastAsia="en-US"/>
              </w:rPr>
            </w:pPr>
            <w:r w:rsidRPr="00D81C20">
              <w:rPr>
                <w:rFonts w:ascii="MS Gothic" w:eastAsia="MS Gothic" w:hAnsi="MS Gothic" w:cs="Arial" w:hint="eastAsia"/>
                <w:sz w:val="22"/>
                <w:szCs w:val="22"/>
                <w:lang w:eastAsia="en-US"/>
              </w:rPr>
              <w:t>☒</w:t>
            </w:r>
          </w:p>
        </w:tc>
      </w:tr>
      <w:tr w:rsidR="00D81C20" w:rsidRPr="004C3A0B" w14:paraId="75D45B5B" w14:textId="77777777" w:rsidTr="00D81C20">
        <w:trPr>
          <w:trHeight w:val="417"/>
        </w:trPr>
        <w:tc>
          <w:tcPr>
            <w:tcW w:w="268" w:type="pct"/>
            <w:shd w:val="clear" w:color="auto" w:fill="auto"/>
            <w:vAlign w:val="center"/>
          </w:tcPr>
          <w:p w14:paraId="7F505272" w14:textId="77777777" w:rsidR="00D81C20" w:rsidRPr="00D81C20" w:rsidRDefault="00D81C20" w:rsidP="00D81C20">
            <w:pPr>
              <w:autoSpaceDE w:val="0"/>
              <w:autoSpaceDN w:val="0"/>
              <w:adjustRightInd w:val="0"/>
              <w:rPr>
                <w:rFonts w:ascii="Arial" w:eastAsia="Calibri" w:hAnsi="Arial" w:cs="Arial"/>
                <w:sz w:val="22"/>
                <w:szCs w:val="22"/>
                <w:lang w:eastAsia="en-US"/>
              </w:rPr>
            </w:pPr>
            <w:r w:rsidRPr="00D81C20">
              <w:rPr>
                <w:rFonts w:ascii="Arial" w:eastAsia="Calibri" w:hAnsi="Arial" w:cs="Arial"/>
                <w:sz w:val="22"/>
                <w:szCs w:val="22"/>
                <w:lang w:eastAsia="en-US"/>
              </w:rPr>
              <w:t>2</w:t>
            </w:r>
          </w:p>
        </w:tc>
        <w:tc>
          <w:tcPr>
            <w:tcW w:w="4191" w:type="pct"/>
            <w:shd w:val="clear" w:color="auto" w:fill="auto"/>
            <w:vAlign w:val="center"/>
          </w:tcPr>
          <w:p w14:paraId="4777D653" w14:textId="77777777" w:rsidR="00D81C20" w:rsidRPr="00D81C20" w:rsidRDefault="00D81C20" w:rsidP="00D81C20">
            <w:pPr>
              <w:autoSpaceDE w:val="0"/>
              <w:autoSpaceDN w:val="0"/>
              <w:adjustRightInd w:val="0"/>
              <w:rPr>
                <w:rFonts w:ascii="Arial" w:eastAsia="Calibri" w:hAnsi="Arial" w:cs="Arial"/>
                <w:b/>
                <w:bCs/>
                <w:color w:val="FF0000"/>
                <w:sz w:val="22"/>
                <w:szCs w:val="22"/>
                <w:lang w:eastAsia="en-US"/>
              </w:rPr>
            </w:pPr>
            <w:r w:rsidRPr="00D81C20">
              <w:rPr>
                <w:rFonts w:ascii="Arial" w:eastAsia="Calibri" w:hAnsi="Arial" w:cs="Arial"/>
                <w:b/>
                <w:bCs/>
                <w:sz w:val="22"/>
                <w:szCs w:val="22"/>
                <w:lang w:eastAsia="en-US"/>
              </w:rPr>
              <w:t>UWTSD Research Data Management Policy</w:t>
            </w:r>
          </w:p>
        </w:tc>
        <w:tc>
          <w:tcPr>
            <w:tcW w:w="541" w:type="pct"/>
            <w:shd w:val="clear" w:color="auto" w:fill="BFBFBF"/>
            <w:vAlign w:val="center"/>
          </w:tcPr>
          <w:p w14:paraId="5B66122E" w14:textId="1BE5874A" w:rsidR="00D81C20" w:rsidRPr="00D81C20" w:rsidRDefault="00D81C20" w:rsidP="00D81C20">
            <w:pPr>
              <w:autoSpaceDE w:val="0"/>
              <w:autoSpaceDN w:val="0"/>
              <w:adjustRightInd w:val="0"/>
              <w:jc w:val="center"/>
              <w:rPr>
                <w:rFonts w:ascii="Arial" w:eastAsia="Calibri" w:hAnsi="Arial" w:cs="Arial"/>
                <w:i/>
                <w:sz w:val="22"/>
                <w:szCs w:val="22"/>
                <w:lang w:eastAsia="en-US"/>
              </w:rPr>
            </w:pPr>
            <w:r w:rsidRPr="00D81C20">
              <w:rPr>
                <w:rFonts w:ascii="MS Gothic" w:eastAsia="MS Gothic" w:hAnsi="MS Gothic" w:cs="Arial" w:hint="eastAsia"/>
                <w:sz w:val="22"/>
                <w:szCs w:val="22"/>
                <w:lang w:eastAsia="en-US"/>
              </w:rPr>
              <w:t>☒</w:t>
            </w:r>
          </w:p>
        </w:tc>
      </w:tr>
      <w:tr w:rsidR="00D81C20" w:rsidRPr="004C3A0B" w14:paraId="39F0B831" w14:textId="77777777" w:rsidTr="00D81C20">
        <w:trPr>
          <w:trHeight w:val="409"/>
        </w:trPr>
        <w:tc>
          <w:tcPr>
            <w:tcW w:w="268" w:type="pct"/>
            <w:shd w:val="clear" w:color="auto" w:fill="auto"/>
            <w:vAlign w:val="center"/>
          </w:tcPr>
          <w:p w14:paraId="6EC19A6E" w14:textId="77777777" w:rsidR="00D81C20" w:rsidRPr="00D81C20" w:rsidRDefault="00D81C20" w:rsidP="00D81C20">
            <w:pPr>
              <w:autoSpaceDE w:val="0"/>
              <w:autoSpaceDN w:val="0"/>
              <w:adjustRightInd w:val="0"/>
              <w:rPr>
                <w:rFonts w:ascii="Arial" w:eastAsia="Calibri" w:hAnsi="Arial" w:cs="Arial"/>
                <w:sz w:val="22"/>
                <w:szCs w:val="22"/>
                <w:lang w:eastAsia="en-US"/>
              </w:rPr>
            </w:pPr>
            <w:r w:rsidRPr="00D81C20">
              <w:rPr>
                <w:rFonts w:ascii="Arial" w:eastAsia="Calibri" w:hAnsi="Arial" w:cs="Arial"/>
                <w:sz w:val="22"/>
                <w:szCs w:val="22"/>
                <w:lang w:eastAsia="en-US"/>
              </w:rPr>
              <w:t>3</w:t>
            </w:r>
          </w:p>
        </w:tc>
        <w:tc>
          <w:tcPr>
            <w:tcW w:w="4191" w:type="pct"/>
            <w:shd w:val="clear" w:color="auto" w:fill="auto"/>
            <w:vAlign w:val="center"/>
          </w:tcPr>
          <w:p w14:paraId="144E6F37" w14:textId="77777777" w:rsidR="00D81C20" w:rsidRPr="00D81C20" w:rsidRDefault="00D81C20" w:rsidP="00D81C20">
            <w:pPr>
              <w:autoSpaceDE w:val="0"/>
              <w:autoSpaceDN w:val="0"/>
              <w:adjustRightInd w:val="0"/>
              <w:rPr>
                <w:rFonts w:ascii="Arial" w:eastAsia="Calibri" w:hAnsi="Arial" w:cs="Arial"/>
                <w:i/>
                <w:sz w:val="22"/>
                <w:szCs w:val="22"/>
                <w:lang w:eastAsia="en-US"/>
              </w:rPr>
            </w:pPr>
            <w:r w:rsidRPr="00D81C20">
              <w:rPr>
                <w:rFonts w:ascii="Arial" w:eastAsia="Calibri" w:hAnsi="Arial" w:cs="Arial"/>
                <w:i/>
                <w:sz w:val="22"/>
                <w:szCs w:val="22"/>
                <w:lang w:eastAsia="en-US"/>
              </w:rPr>
              <w:t>[List any other relevant documents here]</w:t>
            </w:r>
          </w:p>
        </w:tc>
        <w:tc>
          <w:tcPr>
            <w:tcW w:w="541" w:type="pct"/>
            <w:shd w:val="clear" w:color="auto" w:fill="BFBFBF"/>
            <w:vAlign w:val="center"/>
          </w:tcPr>
          <w:p w14:paraId="200D5132" w14:textId="7C088FC2" w:rsidR="00D81C20" w:rsidRPr="00D81C20" w:rsidRDefault="00D81C20" w:rsidP="00D81C20">
            <w:pPr>
              <w:autoSpaceDE w:val="0"/>
              <w:autoSpaceDN w:val="0"/>
              <w:adjustRightInd w:val="0"/>
              <w:jc w:val="center"/>
              <w:rPr>
                <w:rFonts w:ascii="Arial" w:eastAsia="Calibri" w:hAnsi="Arial" w:cs="Arial"/>
                <w:i/>
                <w:sz w:val="22"/>
                <w:szCs w:val="22"/>
                <w:lang w:eastAsia="en-US"/>
              </w:rPr>
            </w:pPr>
            <w:r w:rsidRPr="00D81C20">
              <w:rPr>
                <w:rFonts w:ascii="MS Gothic" w:eastAsia="MS Gothic" w:hAnsi="MS Gothic" w:cs="Arial" w:hint="eastAsia"/>
                <w:sz w:val="22"/>
                <w:szCs w:val="22"/>
                <w:lang w:eastAsia="en-US"/>
              </w:rPr>
              <w:t>☐</w:t>
            </w:r>
          </w:p>
        </w:tc>
      </w:tr>
    </w:tbl>
    <w:p w14:paraId="62D6FF26" w14:textId="77777777" w:rsidR="00D81C20" w:rsidRPr="004C3A0B" w:rsidRDefault="00D81C20" w:rsidP="00A91894">
      <w:pPr>
        <w:autoSpaceDE w:val="0"/>
        <w:autoSpaceDN w:val="0"/>
        <w:adjustRightInd w:val="0"/>
        <w:spacing w:after="240"/>
        <w:jc w:val="both"/>
        <w:rPr>
          <w:rFonts w:ascii="Arial" w:hAnsi="Arial" w:cs="Arial"/>
          <w:b/>
          <w:sz w:val="22"/>
          <w:szCs w:val="22"/>
        </w:rPr>
      </w:pPr>
    </w:p>
    <w:p w14:paraId="6D073C5A" w14:textId="77777777" w:rsidR="00D81C20" w:rsidRDefault="00D81C20" w:rsidP="00A91894">
      <w:pPr>
        <w:autoSpaceDE w:val="0"/>
        <w:autoSpaceDN w:val="0"/>
        <w:adjustRightInd w:val="0"/>
        <w:jc w:val="both"/>
        <w:rPr>
          <w:rFonts w:ascii="Arial" w:hAnsi="Arial" w:cs="Arial"/>
          <w:b/>
          <w:sz w:val="22"/>
          <w:szCs w:val="22"/>
        </w:rPr>
      </w:pPr>
      <w:r w:rsidRPr="004C3A0B">
        <w:rPr>
          <w:rFonts w:ascii="Arial" w:hAnsi="Arial" w:cs="Arial"/>
          <w:b/>
          <w:sz w:val="22"/>
          <w:szCs w:val="22"/>
        </w:rPr>
        <w:t>SECTION D: External Collaborative Research Activity</w:t>
      </w:r>
    </w:p>
    <w:p w14:paraId="49A349F2" w14:textId="77777777" w:rsidR="00D81C20" w:rsidRPr="003F6F7B" w:rsidRDefault="00D81C20" w:rsidP="00A91894">
      <w:pPr>
        <w:autoSpaceDE w:val="0"/>
        <w:autoSpaceDN w:val="0"/>
        <w:adjustRightInd w:val="0"/>
        <w:spacing w:after="240"/>
        <w:jc w:val="both"/>
        <w:rPr>
          <w:rFonts w:ascii="Arial" w:hAnsi="Arial" w:cs="Arial"/>
          <w:sz w:val="22"/>
          <w:szCs w:val="22"/>
        </w:rPr>
      </w:pPr>
      <w:r>
        <w:rPr>
          <w:rFonts w:ascii="Arial" w:hAnsi="Arial" w:cs="Arial"/>
          <w:sz w:val="22"/>
          <w:szCs w:val="22"/>
        </w:rPr>
        <w:t xml:space="preserve">If there are external collaborators then you should gain consent from the contact persons to share their personal data with the university. </w:t>
      </w:r>
      <w:r w:rsidRPr="003F6F7B">
        <w:rPr>
          <w:rFonts w:ascii="Arial" w:hAnsi="Arial" w:cs="Arial"/>
          <w:sz w:val="22"/>
          <w:szCs w:val="22"/>
        </w:rPr>
        <w:t>If there are no external collaborator</w:t>
      </w:r>
      <w:r>
        <w:rPr>
          <w:rFonts w:ascii="Arial" w:hAnsi="Arial" w:cs="Arial"/>
          <w:sz w:val="22"/>
          <w:szCs w:val="22"/>
        </w:rPr>
        <w:t>s then leave this section blank and continue to section E.</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5"/>
        <w:gridCol w:w="3026"/>
        <w:gridCol w:w="1906"/>
        <w:gridCol w:w="786"/>
        <w:gridCol w:w="674"/>
        <w:gridCol w:w="785"/>
        <w:gridCol w:w="674"/>
      </w:tblGrid>
      <w:tr w:rsidR="00D81C20" w:rsidRPr="004C3A0B" w14:paraId="619BD9FE" w14:textId="77777777" w:rsidTr="00D81C20">
        <w:trPr>
          <w:trHeight w:val="227"/>
        </w:trPr>
        <w:tc>
          <w:tcPr>
            <w:tcW w:w="268" w:type="pct"/>
            <w:shd w:val="clear" w:color="auto" w:fill="F2F2F2"/>
          </w:tcPr>
          <w:p w14:paraId="1858AF7E" w14:textId="77777777" w:rsidR="00D81C20" w:rsidRPr="00D81C20" w:rsidRDefault="00D81C20" w:rsidP="00D81C20">
            <w:pPr>
              <w:autoSpaceDE w:val="0"/>
              <w:autoSpaceDN w:val="0"/>
              <w:adjustRightInd w:val="0"/>
              <w:rPr>
                <w:rFonts w:ascii="Arial" w:eastAsia="Calibri" w:hAnsi="Arial" w:cs="Arial"/>
                <w:sz w:val="22"/>
                <w:szCs w:val="22"/>
                <w:lang w:eastAsia="en-US"/>
              </w:rPr>
            </w:pPr>
            <w:r w:rsidRPr="00D81C20">
              <w:rPr>
                <w:rFonts w:ascii="Arial" w:eastAsia="Calibri" w:hAnsi="Arial" w:cs="Arial"/>
                <w:sz w:val="22"/>
                <w:szCs w:val="22"/>
                <w:lang w:eastAsia="en-US"/>
              </w:rPr>
              <w:t>1</w:t>
            </w:r>
          </w:p>
        </w:tc>
        <w:tc>
          <w:tcPr>
            <w:tcW w:w="1824" w:type="pct"/>
            <w:shd w:val="clear" w:color="auto" w:fill="F2F2F2"/>
          </w:tcPr>
          <w:p w14:paraId="1D5141CD" w14:textId="77777777" w:rsidR="00D81C20" w:rsidRPr="00D81C20" w:rsidRDefault="00D81C20" w:rsidP="00D81C20">
            <w:pPr>
              <w:autoSpaceDE w:val="0"/>
              <w:autoSpaceDN w:val="0"/>
              <w:adjustRightInd w:val="0"/>
              <w:jc w:val="both"/>
              <w:rPr>
                <w:rFonts w:ascii="Arial" w:eastAsia="Calibri" w:hAnsi="Arial" w:cs="Arial"/>
                <w:sz w:val="22"/>
                <w:szCs w:val="22"/>
                <w:lang w:eastAsia="en-US"/>
              </w:rPr>
            </w:pPr>
            <w:r w:rsidRPr="00D81C20">
              <w:rPr>
                <w:rFonts w:ascii="Arial" w:eastAsia="Calibri" w:hAnsi="Arial" w:cs="Arial"/>
                <w:sz w:val="22"/>
                <w:szCs w:val="22"/>
                <w:lang w:eastAsia="en-US"/>
              </w:rPr>
              <w:t>Institution</w:t>
            </w:r>
          </w:p>
        </w:tc>
        <w:tc>
          <w:tcPr>
            <w:tcW w:w="2908" w:type="pct"/>
            <w:gridSpan w:val="5"/>
            <w:shd w:val="clear" w:color="auto" w:fill="auto"/>
          </w:tcPr>
          <w:p w14:paraId="515624D2" w14:textId="77777777" w:rsidR="00D81C20" w:rsidRPr="00D81C20" w:rsidRDefault="00D81C20" w:rsidP="00D81C20">
            <w:pPr>
              <w:autoSpaceDE w:val="0"/>
              <w:autoSpaceDN w:val="0"/>
              <w:adjustRightInd w:val="0"/>
              <w:rPr>
                <w:rFonts w:ascii="Arial" w:eastAsia="Calibri" w:hAnsi="Arial" w:cs="Arial"/>
                <w:bCs/>
                <w:sz w:val="22"/>
                <w:szCs w:val="22"/>
                <w:lang w:eastAsia="en-US"/>
              </w:rPr>
            </w:pPr>
          </w:p>
          <w:p w14:paraId="70CF73D6" w14:textId="77777777" w:rsidR="00D81C20" w:rsidRPr="00D81C20" w:rsidRDefault="00D81C20" w:rsidP="00D81C20">
            <w:pPr>
              <w:autoSpaceDE w:val="0"/>
              <w:autoSpaceDN w:val="0"/>
              <w:adjustRightInd w:val="0"/>
              <w:rPr>
                <w:rFonts w:ascii="Arial" w:eastAsia="Calibri" w:hAnsi="Arial" w:cs="Arial"/>
                <w:bCs/>
                <w:sz w:val="22"/>
                <w:szCs w:val="22"/>
                <w:lang w:eastAsia="en-US"/>
              </w:rPr>
            </w:pPr>
          </w:p>
        </w:tc>
      </w:tr>
      <w:tr w:rsidR="00D81C20" w:rsidRPr="004C3A0B" w14:paraId="10AA051B" w14:textId="77777777" w:rsidTr="00D81C20">
        <w:trPr>
          <w:trHeight w:val="227"/>
        </w:trPr>
        <w:tc>
          <w:tcPr>
            <w:tcW w:w="268" w:type="pct"/>
            <w:shd w:val="clear" w:color="auto" w:fill="F2F2F2"/>
          </w:tcPr>
          <w:p w14:paraId="3306CBDA" w14:textId="77777777" w:rsidR="00D81C20" w:rsidRPr="00D81C20" w:rsidRDefault="00D81C20" w:rsidP="00D81C20">
            <w:pPr>
              <w:autoSpaceDE w:val="0"/>
              <w:autoSpaceDN w:val="0"/>
              <w:adjustRightInd w:val="0"/>
              <w:rPr>
                <w:rFonts w:ascii="Arial" w:eastAsia="Calibri" w:hAnsi="Arial" w:cs="Arial"/>
                <w:sz w:val="22"/>
                <w:szCs w:val="22"/>
                <w:lang w:eastAsia="en-US"/>
              </w:rPr>
            </w:pPr>
            <w:r w:rsidRPr="00D81C20">
              <w:rPr>
                <w:rFonts w:ascii="Arial" w:eastAsia="Calibri" w:hAnsi="Arial" w:cs="Arial"/>
                <w:sz w:val="22"/>
                <w:szCs w:val="22"/>
                <w:lang w:eastAsia="en-US"/>
              </w:rPr>
              <w:t>2</w:t>
            </w:r>
          </w:p>
        </w:tc>
        <w:tc>
          <w:tcPr>
            <w:tcW w:w="1824" w:type="pct"/>
            <w:shd w:val="clear" w:color="auto" w:fill="F2F2F2"/>
          </w:tcPr>
          <w:p w14:paraId="26C73739" w14:textId="77777777" w:rsidR="00D81C20" w:rsidRPr="00D81C20" w:rsidRDefault="00D81C20" w:rsidP="00D81C20">
            <w:pPr>
              <w:autoSpaceDE w:val="0"/>
              <w:autoSpaceDN w:val="0"/>
              <w:adjustRightInd w:val="0"/>
              <w:jc w:val="both"/>
              <w:rPr>
                <w:rFonts w:ascii="Arial" w:eastAsia="Calibri" w:hAnsi="Arial" w:cs="Arial"/>
                <w:sz w:val="22"/>
                <w:szCs w:val="22"/>
                <w:lang w:eastAsia="en-US"/>
              </w:rPr>
            </w:pPr>
            <w:r w:rsidRPr="00D81C20">
              <w:rPr>
                <w:rFonts w:ascii="Arial" w:eastAsia="Calibri" w:hAnsi="Arial" w:cs="Arial"/>
                <w:sz w:val="22"/>
                <w:szCs w:val="22"/>
                <w:lang w:eastAsia="en-US"/>
              </w:rPr>
              <w:t>Contact person name</w:t>
            </w:r>
          </w:p>
        </w:tc>
        <w:tc>
          <w:tcPr>
            <w:tcW w:w="2908" w:type="pct"/>
            <w:gridSpan w:val="5"/>
            <w:shd w:val="clear" w:color="auto" w:fill="auto"/>
          </w:tcPr>
          <w:p w14:paraId="439E550E" w14:textId="77777777" w:rsidR="00D81C20" w:rsidRPr="00D81C20" w:rsidRDefault="00D81C20" w:rsidP="00D81C20">
            <w:pPr>
              <w:autoSpaceDE w:val="0"/>
              <w:autoSpaceDN w:val="0"/>
              <w:adjustRightInd w:val="0"/>
              <w:rPr>
                <w:rFonts w:ascii="Arial" w:eastAsia="Calibri" w:hAnsi="Arial" w:cs="Arial"/>
                <w:bCs/>
                <w:sz w:val="22"/>
                <w:szCs w:val="22"/>
                <w:lang w:eastAsia="en-US"/>
              </w:rPr>
            </w:pPr>
          </w:p>
          <w:p w14:paraId="2C31E1A3" w14:textId="77777777" w:rsidR="00D81C20" w:rsidRPr="00D81C20" w:rsidRDefault="00D81C20" w:rsidP="00D81C20">
            <w:pPr>
              <w:autoSpaceDE w:val="0"/>
              <w:autoSpaceDN w:val="0"/>
              <w:adjustRightInd w:val="0"/>
              <w:rPr>
                <w:rFonts w:ascii="Arial" w:eastAsia="Calibri" w:hAnsi="Arial" w:cs="Arial"/>
                <w:bCs/>
                <w:sz w:val="22"/>
                <w:szCs w:val="22"/>
                <w:lang w:eastAsia="en-US"/>
              </w:rPr>
            </w:pPr>
          </w:p>
        </w:tc>
      </w:tr>
      <w:tr w:rsidR="00D81C20" w:rsidRPr="004C3A0B" w14:paraId="6AD7A6A7" w14:textId="77777777" w:rsidTr="00D81C20">
        <w:trPr>
          <w:trHeight w:val="227"/>
        </w:trPr>
        <w:tc>
          <w:tcPr>
            <w:tcW w:w="268" w:type="pct"/>
            <w:shd w:val="clear" w:color="auto" w:fill="F2F2F2"/>
          </w:tcPr>
          <w:p w14:paraId="65929CF2" w14:textId="77777777" w:rsidR="00D81C20" w:rsidRPr="00D81C20" w:rsidRDefault="00D81C20" w:rsidP="00D81C20">
            <w:pPr>
              <w:autoSpaceDE w:val="0"/>
              <w:autoSpaceDN w:val="0"/>
              <w:adjustRightInd w:val="0"/>
              <w:rPr>
                <w:rFonts w:ascii="Arial" w:eastAsia="Calibri" w:hAnsi="Arial" w:cs="Arial"/>
                <w:sz w:val="22"/>
                <w:szCs w:val="22"/>
                <w:lang w:eastAsia="en-US"/>
              </w:rPr>
            </w:pPr>
            <w:r w:rsidRPr="00D81C20">
              <w:rPr>
                <w:rFonts w:ascii="Arial" w:eastAsia="Calibri" w:hAnsi="Arial" w:cs="Arial"/>
                <w:sz w:val="22"/>
                <w:szCs w:val="22"/>
                <w:lang w:eastAsia="en-US"/>
              </w:rPr>
              <w:t>3</w:t>
            </w:r>
          </w:p>
        </w:tc>
        <w:tc>
          <w:tcPr>
            <w:tcW w:w="1824" w:type="pct"/>
            <w:shd w:val="clear" w:color="auto" w:fill="F2F2F2"/>
          </w:tcPr>
          <w:p w14:paraId="449BDC56" w14:textId="77777777" w:rsidR="00D81C20" w:rsidRPr="00D81C20" w:rsidRDefault="00D81C20" w:rsidP="00D81C20">
            <w:pPr>
              <w:autoSpaceDE w:val="0"/>
              <w:autoSpaceDN w:val="0"/>
              <w:adjustRightInd w:val="0"/>
              <w:jc w:val="both"/>
              <w:rPr>
                <w:rFonts w:ascii="Arial" w:eastAsia="Calibri" w:hAnsi="Arial" w:cs="Arial"/>
                <w:sz w:val="22"/>
                <w:szCs w:val="22"/>
                <w:lang w:eastAsia="en-US"/>
              </w:rPr>
            </w:pPr>
            <w:r w:rsidRPr="00D81C20">
              <w:rPr>
                <w:rFonts w:ascii="Arial" w:eastAsia="Calibri" w:hAnsi="Arial" w:cs="Arial"/>
                <w:sz w:val="22"/>
                <w:szCs w:val="22"/>
                <w:lang w:eastAsia="en-US"/>
              </w:rPr>
              <w:t>Contact person e-mail address</w:t>
            </w:r>
          </w:p>
          <w:p w14:paraId="2A60A2B7" w14:textId="77777777" w:rsidR="00D81C20" w:rsidRPr="00D81C20" w:rsidRDefault="00D81C20" w:rsidP="00D81C20">
            <w:pPr>
              <w:autoSpaceDE w:val="0"/>
              <w:autoSpaceDN w:val="0"/>
              <w:adjustRightInd w:val="0"/>
              <w:jc w:val="both"/>
              <w:rPr>
                <w:rFonts w:ascii="Arial" w:eastAsia="Calibri" w:hAnsi="Arial" w:cs="Arial"/>
                <w:sz w:val="22"/>
                <w:szCs w:val="22"/>
                <w:lang w:eastAsia="en-US"/>
              </w:rPr>
            </w:pPr>
          </w:p>
        </w:tc>
        <w:tc>
          <w:tcPr>
            <w:tcW w:w="2908" w:type="pct"/>
            <w:gridSpan w:val="5"/>
            <w:shd w:val="clear" w:color="auto" w:fill="auto"/>
          </w:tcPr>
          <w:p w14:paraId="584F074B" w14:textId="77777777" w:rsidR="00D81C20" w:rsidRPr="00D81C20" w:rsidRDefault="00D81C20" w:rsidP="00D81C20">
            <w:pPr>
              <w:autoSpaceDE w:val="0"/>
              <w:autoSpaceDN w:val="0"/>
              <w:adjustRightInd w:val="0"/>
              <w:rPr>
                <w:rFonts w:ascii="Arial" w:eastAsia="Calibri" w:hAnsi="Arial" w:cs="Arial"/>
                <w:bCs/>
                <w:sz w:val="22"/>
                <w:szCs w:val="22"/>
                <w:lang w:eastAsia="en-US"/>
              </w:rPr>
            </w:pPr>
          </w:p>
        </w:tc>
      </w:tr>
      <w:tr w:rsidR="00D81C20" w:rsidRPr="004C3A0B" w14:paraId="6B6B71AA" w14:textId="77777777" w:rsidTr="00D81C20">
        <w:tc>
          <w:tcPr>
            <w:tcW w:w="268" w:type="pct"/>
            <w:shd w:val="clear" w:color="auto" w:fill="F2F2F2"/>
          </w:tcPr>
          <w:p w14:paraId="6E214FC6" w14:textId="77777777" w:rsidR="00D81C20" w:rsidRPr="00D81C20" w:rsidRDefault="00D81C20" w:rsidP="00D81C20">
            <w:pPr>
              <w:autoSpaceDE w:val="0"/>
              <w:autoSpaceDN w:val="0"/>
              <w:adjustRightInd w:val="0"/>
              <w:rPr>
                <w:rFonts w:ascii="Arial" w:eastAsia="Calibri" w:hAnsi="Arial" w:cs="Arial"/>
                <w:sz w:val="22"/>
                <w:szCs w:val="22"/>
                <w:lang w:eastAsia="en-US"/>
              </w:rPr>
            </w:pPr>
            <w:r w:rsidRPr="00D81C20">
              <w:rPr>
                <w:rFonts w:ascii="Arial" w:eastAsia="Calibri" w:hAnsi="Arial" w:cs="Arial"/>
                <w:sz w:val="22"/>
                <w:szCs w:val="22"/>
                <w:lang w:eastAsia="en-US"/>
              </w:rPr>
              <w:t>4</w:t>
            </w:r>
          </w:p>
        </w:tc>
        <w:tc>
          <w:tcPr>
            <w:tcW w:w="2973" w:type="pct"/>
            <w:gridSpan w:val="2"/>
            <w:shd w:val="clear" w:color="auto" w:fill="F2F2F2"/>
          </w:tcPr>
          <w:p w14:paraId="0EFE498E" w14:textId="77777777" w:rsidR="00D81C20" w:rsidRPr="00D81C20" w:rsidRDefault="00D81C20" w:rsidP="00D81C20">
            <w:pPr>
              <w:autoSpaceDE w:val="0"/>
              <w:autoSpaceDN w:val="0"/>
              <w:adjustRightInd w:val="0"/>
              <w:rPr>
                <w:rFonts w:ascii="Arial" w:eastAsia="Calibri" w:hAnsi="Arial" w:cs="Arial"/>
                <w:sz w:val="22"/>
                <w:szCs w:val="22"/>
                <w:lang w:eastAsia="en-US"/>
              </w:rPr>
            </w:pPr>
            <w:r w:rsidRPr="00D81C20">
              <w:rPr>
                <w:rFonts w:ascii="Arial" w:eastAsia="Calibri" w:hAnsi="Arial" w:cs="Arial"/>
                <w:sz w:val="22"/>
                <w:szCs w:val="22"/>
                <w:lang w:eastAsia="en-US"/>
              </w:rPr>
              <w:t>Is your research externally funded?</w:t>
            </w:r>
          </w:p>
        </w:tc>
        <w:tc>
          <w:tcPr>
            <w:tcW w:w="474" w:type="pct"/>
            <w:shd w:val="clear" w:color="auto" w:fill="F2F2F2"/>
            <w:vAlign w:val="center"/>
          </w:tcPr>
          <w:p w14:paraId="4C589258" w14:textId="77777777" w:rsidR="00D81C20" w:rsidRPr="00D81C20" w:rsidRDefault="00D81C20" w:rsidP="00D81C20">
            <w:pPr>
              <w:autoSpaceDE w:val="0"/>
              <w:autoSpaceDN w:val="0"/>
              <w:adjustRightInd w:val="0"/>
              <w:jc w:val="center"/>
              <w:rPr>
                <w:rFonts w:ascii="Arial" w:eastAsia="Calibri" w:hAnsi="Arial" w:cs="Arial"/>
                <w:bCs/>
                <w:sz w:val="22"/>
                <w:szCs w:val="22"/>
                <w:lang w:eastAsia="en-US"/>
              </w:rPr>
            </w:pPr>
            <w:r w:rsidRPr="00D81C20">
              <w:rPr>
                <w:rFonts w:ascii="Arial" w:eastAsia="Calibri" w:hAnsi="Arial" w:cs="Arial"/>
                <w:b/>
                <w:sz w:val="22"/>
                <w:szCs w:val="22"/>
                <w:lang w:eastAsia="en-US"/>
              </w:rPr>
              <w:t>YES</w:t>
            </w:r>
          </w:p>
        </w:tc>
        <w:tc>
          <w:tcPr>
            <w:tcW w:w="406" w:type="pct"/>
            <w:shd w:val="clear" w:color="auto" w:fill="D9D9D9"/>
            <w:vAlign w:val="center"/>
          </w:tcPr>
          <w:p w14:paraId="7CF317ED" w14:textId="02149734" w:rsidR="00D81C20" w:rsidRPr="00D81C20" w:rsidRDefault="00D81C20" w:rsidP="00D81C20">
            <w:pPr>
              <w:autoSpaceDE w:val="0"/>
              <w:autoSpaceDN w:val="0"/>
              <w:adjustRightInd w:val="0"/>
              <w:jc w:val="center"/>
              <w:rPr>
                <w:rFonts w:ascii="Arial" w:eastAsia="Calibri" w:hAnsi="Arial" w:cs="Arial"/>
                <w:sz w:val="22"/>
                <w:szCs w:val="22"/>
                <w:lang w:eastAsia="en-US"/>
              </w:rPr>
            </w:pPr>
            <w:r w:rsidRPr="00D81C20">
              <w:rPr>
                <w:rFonts w:ascii="MS Gothic" w:eastAsia="MS Gothic" w:hAnsi="MS Gothic" w:cs="Arial" w:hint="eastAsia"/>
                <w:sz w:val="22"/>
                <w:szCs w:val="22"/>
                <w:lang w:eastAsia="en-US"/>
              </w:rPr>
              <w:t>☐</w:t>
            </w:r>
          </w:p>
        </w:tc>
        <w:tc>
          <w:tcPr>
            <w:tcW w:w="473" w:type="pct"/>
            <w:shd w:val="clear" w:color="auto" w:fill="F2F2F2"/>
            <w:vAlign w:val="center"/>
          </w:tcPr>
          <w:p w14:paraId="14E9D6C3" w14:textId="77777777" w:rsidR="00D81C20" w:rsidRPr="00D81C20" w:rsidRDefault="00D81C20" w:rsidP="00D81C20">
            <w:pPr>
              <w:autoSpaceDE w:val="0"/>
              <w:autoSpaceDN w:val="0"/>
              <w:adjustRightInd w:val="0"/>
              <w:jc w:val="center"/>
              <w:rPr>
                <w:rFonts w:ascii="Arial" w:eastAsia="Calibri" w:hAnsi="Arial" w:cs="Arial"/>
                <w:bCs/>
                <w:sz w:val="22"/>
                <w:szCs w:val="22"/>
                <w:lang w:eastAsia="en-US"/>
              </w:rPr>
            </w:pPr>
            <w:r w:rsidRPr="00D81C20">
              <w:rPr>
                <w:rFonts w:ascii="Arial" w:eastAsia="Calibri" w:hAnsi="Arial" w:cs="Arial"/>
                <w:b/>
                <w:sz w:val="22"/>
                <w:szCs w:val="22"/>
                <w:lang w:eastAsia="en-US"/>
              </w:rPr>
              <w:t>NO</w:t>
            </w:r>
          </w:p>
        </w:tc>
        <w:tc>
          <w:tcPr>
            <w:tcW w:w="406" w:type="pct"/>
            <w:shd w:val="clear" w:color="auto" w:fill="D9D9D9"/>
            <w:vAlign w:val="center"/>
          </w:tcPr>
          <w:p w14:paraId="69E0AD76" w14:textId="68C4DB77" w:rsidR="00D81C20" w:rsidRPr="00D81C20" w:rsidRDefault="00D81C20" w:rsidP="00D81C20">
            <w:pPr>
              <w:autoSpaceDE w:val="0"/>
              <w:autoSpaceDN w:val="0"/>
              <w:adjustRightInd w:val="0"/>
              <w:jc w:val="center"/>
              <w:rPr>
                <w:rFonts w:ascii="Arial" w:eastAsia="Calibri" w:hAnsi="Arial" w:cs="Arial"/>
                <w:bCs/>
                <w:sz w:val="22"/>
                <w:szCs w:val="22"/>
                <w:lang w:eastAsia="en-US"/>
              </w:rPr>
            </w:pPr>
            <w:r w:rsidRPr="00D81C20">
              <w:rPr>
                <w:rFonts w:ascii="MS Gothic" w:eastAsia="MS Gothic" w:hAnsi="MS Gothic" w:cs="Arial" w:hint="eastAsia"/>
                <w:bCs/>
                <w:sz w:val="22"/>
                <w:szCs w:val="22"/>
                <w:lang w:eastAsia="en-US"/>
              </w:rPr>
              <w:t>☒</w:t>
            </w:r>
          </w:p>
        </w:tc>
      </w:tr>
      <w:tr w:rsidR="00D81C20" w:rsidRPr="004C3A0B" w14:paraId="60D746C8" w14:textId="77777777" w:rsidTr="00D81C20">
        <w:tc>
          <w:tcPr>
            <w:tcW w:w="268" w:type="pct"/>
            <w:shd w:val="clear" w:color="auto" w:fill="F2F2F2"/>
          </w:tcPr>
          <w:p w14:paraId="13F472E2" w14:textId="77777777" w:rsidR="00D81C20" w:rsidRPr="00D81C20" w:rsidRDefault="00D81C20" w:rsidP="00D81C20">
            <w:pPr>
              <w:autoSpaceDE w:val="0"/>
              <w:autoSpaceDN w:val="0"/>
              <w:adjustRightInd w:val="0"/>
              <w:rPr>
                <w:rFonts w:ascii="Arial" w:eastAsia="Calibri" w:hAnsi="Arial" w:cs="Arial"/>
                <w:sz w:val="22"/>
                <w:szCs w:val="22"/>
                <w:lang w:eastAsia="en-US"/>
              </w:rPr>
            </w:pPr>
            <w:r w:rsidRPr="00D81C20">
              <w:rPr>
                <w:rFonts w:ascii="Arial" w:eastAsia="Calibri" w:hAnsi="Arial" w:cs="Arial"/>
                <w:sz w:val="22"/>
                <w:szCs w:val="22"/>
                <w:lang w:eastAsia="en-US"/>
              </w:rPr>
              <w:t>5</w:t>
            </w:r>
          </w:p>
        </w:tc>
        <w:tc>
          <w:tcPr>
            <w:tcW w:w="2973" w:type="pct"/>
            <w:gridSpan w:val="2"/>
            <w:shd w:val="clear" w:color="auto" w:fill="F2F2F2"/>
          </w:tcPr>
          <w:p w14:paraId="23E7FFC6" w14:textId="77777777" w:rsidR="00D81C20" w:rsidRPr="00D81C20" w:rsidRDefault="00D81C20" w:rsidP="00D81C20">
            <w:pPr>
              <w:autoSpaceDE w:val="0"/>
              <w:autoSpaceDN w:val="0"/>
              <w:adjustRightInd w:val="0"/>
              <w:rPr>
                <w:rFonts w:ascii="Arial" w:eastAsia="Calibri" w:hAnsi="Arial" w:cs="Arial"/>
                <w:sz w:val="22"/>
                <w:szCs w:val="22"/>
                <w:lang w:eastAsia="en-US"/>
              </w:rPr>
            </w:pPr>
            <w:r w:rsidRPr="00D81C20">
              <w:rPr>
                <w:rFonts w:ascii="Arial" w:eastAsia="Calibri" w:hAnsi="Arial" w:cs="Arial"/>
                <w:sz w:val="22"/>
                <w:szCs w:val="22"/>
                <w:lang w:eastAsia="en-US"/>
              </w:rPr>
              <w:t>Are you in receipt of a KESS scholarship?</w:t>
            </w:r>
          </w:p>
        </w:tc>
        <w:tc>
          <w:tcPr>
            <w:tcW w:w="474" w:type="pct"/>
            <w:shd w:val="clear" w:color="auto" w:fill="F2F2F2"/>
            <w:vAlign w:val="center"/>
          </w:tcPr>
          <w:p w14:paraId="164C2733" w14:textId="77777777" w:rsidR="00D81C20" w:rsidRPr="00D81C20" w:rsidRDefault="00D81C20" w:rsidP="00D81C20">
            <w:pPr>
              <w:autoSpaceDE w:val="0"/>
              <w:autoSpaceDN w:val="0"/>
              <w:adjustRightInd w:val="0"/>
              <w:jc w:val="center"/>
              <w:rPr>
                <w:rFonts w:ascii="Arial" w:eastAsia="Calibri" w:hAnsi="Arial" w:cs="Arial"/>
                <w:bCs/>
                <w:sz w:val="22"/>
                <w:szCs w:val="22"/>
                <w:lang w:eastAsia="en-US"/>
              </w:rPr>
            </w:pPr>
            <w:r w:rsidRPr="00D81C20">
              <w:rPr>
                <w:rFonts w:ascii="Arial" w:eastAsia="Calibri" w:hAnsi="Arial" w:cs="Arial"/>
                <w:b/>
                <w:sz w:val="22"/>
                <w:szCs w:val="22"/>
                <w:lang w:eastAsia="en-US"/>
              </w:rPr>
              <w:t>YES</w:t>
            </w:r>
          </w:p>
        </w:tc>
        <w:tc>
          <w:tcPr>
            <w:tcW w:w="406" w:type="pct"/>
            <w:shd w:val="clear" w:color="auto" w:fill="D9D9D9"/>
            <w:vAlign w:val="center"/>
          </w:tcPr>
          <w:p w14:paraId="028881F5" w14:textId="1DCF3ADB" w:rsidR="00D81C20" w:rsidRPr="00D81C20" w:rsidRDefault="00D81C20" w:rsidP="00D81C20">
            <w:pPr>
              <w:autoSpaceDE w:val="0"/>
              <w:autoSpaceDN w:val="0"/>
              <w:adjustRightInd w:val="0"/>
              <w:jc w:val="center"/>
              <w:rPr>
                <w:rFonts w:ascii="Arial" w:eastAsia="Calibri" w:hAnsi="Arial" w:cs="Arial"/>
                <w:sz w:val="22"/>
                <w:szCs w:val="22"/>
                <w:lang w:eastAsia="en-US"/>
              </w:rPr>
            </w:pPr>
            <w:r w:rsidRPr="00D81C20">
              <w:rPr>
                <w:rFonts w:ascii="MS Gothic" w:eastAsia="MS Gothic" w:hAnsi="MS Gothic" w:cs="Arial" w:hint="eastAsia"/>
                <w:sz w:val="22"/>
                <w:szCs w:val="22"/>
                <w:lang w:eastAsia="en-US"/>
              </w:rPr>
              <w:t>☐</w:t>
            </w:r>
          </w:p>
        </w:tc>
        <w:tc>
          <w:tcPr>
            <w:tcW w:w="473" w:type="pct"/>
            <w:shd w:val="clear" w:color="auto" w:fill="F2F2F2"/>
            <w:vAlign w:val="center"/>
          </w:tcPr>
          <w:p w14:paraId="49EE50D8" w14:textId="77777777" w:rsidR="00D81C20" w:rsidRPr="00D81C20" w:rsidRDefault="00D81C20" w:rsidP="00D81C20">
            <w:pPr>
              <w:autoSpaceDE w:val="0"/>
              <w:autoSpaceDN w:val="0"/>
              <w:adjustRightInd w:val="0"/>
              <w:jc w:val="center"/>
              <w:rPr>
                <w:rFonts w:ascii="Arial" w:eastAsia="Calibri" w:hAnsi="Arial" w:cs="Arial"/>
                <w:bCs/>
                <w:sz w:val="22"/>
                <w:szCs w:val="22"/>
                <w:lang w:eastAsia="en-US"/>
              </w:rPr>
            </w:pPr>
            <w:r w:rsidRPr="00D81C20">
              <w:rPr>
                <w:rFonts w:ascii="Arial" w:eastAsia="Calibri" w:hAnsi="Arial" w:cs="Arial"/>
                <w:b/>
                <w:sz w:val="22"/>
                <w:szCs w:val="22"/>
                <w:lang w:eastAsia="en-US"/>
              </w:rPr>
              <w:t>NO</w:t>
            </w:r>
          </w:p>
        </w:tc>
        <w:tc>
          <w:tcPr>
            <w:tcW w:w="406" w:type="pct"/>
            <w:shd w:val="clear" w:color="auto" w:fill="D9D9D9"/>
            <w:vAlign w:val="center"/>
          </w:tcPr>
          <w:p w14:paraId="56A05B31" w14:textId="1B091C2A" w:rsidR="00D81C20" w:rsidRPr="00D81C20" w:rsidRDefault="00D81C20" w:rsidP="00D81C20">
            <w:pPr>
              <w:autoSpaceDE w:val="0"/>
              <w:autoSpaceDN w:val="0"/>
              <w:adjustRightInd w:val="0"/>
              <w:jc w:val="center"/>
              <w:rPr>
                <w:rFonts w:ascii="Arial" w:eastAsia="Calibri" w:hAnsi="Arial" w:cs="Arial"/>
                <w:bCs/>
                <w:sz w:val="22"/>
                <w:szCs w:val="22"/>
                <w:lang w:eastAsia="en-US"/>
              </w:rPr>
            </w:pPr>
            <w:r w:rsidRPr="00D81C20">
              <w:rPr>
                <w:rFonts w:ascii="MS Gothic" w:eastAsia="MS Gothic" w:hAnsi="MS Gothic" w:cs="Arial" w:hint="eastAsia"/>
                <w:bCs/>
                <w:sz w:val="22"/>
                <w:szCs w:val="22"/>
                <w:lang w:eastAsia="en-US"/>
              </w:rPr>
              <w:t>☒</w:t>
            </w:r>
          </w:p>
        </w:tc>
      </w:tr>
      <w:tr w:rsidR="00D81C20" w:rsidRPr="004C3A0B" w14:paraId="16BA66FD" w14:textId="77777777" w:rsidTr="00D81C20">
        <w:trPr>
          <w:trHeight w:val="386"/>
        </w:trPr>
        <w:tc>
          <w:tcPr>
            <w:tcW w:w="268" w:type="pct"/>
            <w:shd w:val="clear" w:color="auto" w:fill="F2F2F2"/>
          </w:tcPr>
          <w:p w14:paraId="3DC35AA5" w14:textId="77777777" w:rsidR="00D81C20" w:rsidRPr="00D81C20" w:rsidRDefault="00D81C20" w:rsidP="00D81C20">
            <w:pPr>
              <w:autoSpaceDE w:val="0"/>
              <w:autoSpaceDN w:val="0"/>
              <w:adjustRightInd w:val="0"/>
              <w:rPr>
                <w:rFonts w:ascii="Arial" w:eastAsia="Calibri" w:hAnsi="Arial" w:cs="Arial"/>
                <w:sz w:val="22"/>
                <w:szCs w:val="22"/>
                <w:lang w:eastAsia="en-US"/>
              </w:rPr>
            </w:pPr>
            <w:r w:rsidRPr="00D81C20">
              <w:rPr>
                <w:rFonts w:ascii="Arial" w:eastAsia="Calibri" w:hAnsi="Arial" w:cs="Arial"/>
                <w:sz w:val="22"/>
                <w:szCs w:val="22"/>
                <w:lang w:eastAsia="en-US"/>
              </w:rPr>
              <w:t>6</w:t>
            </w:r>
          </w:p>
        </w:tc>
        <w:tc>
          <w:tcPr>
            <w:tcW w:w="1824" w:type="pct"/>
            <w:vMerge w:val="restart"/>
            <w:shd w:val="clear" w:color="auto" w:fill="F2F2F2"/>
          </w:tcPr>
          <w:p w14:paraId="0A794CAD" w14:textId="77777777" w:rsidR="00D81C20" w:rsidRPr="00D81C20" w:rsidRDefault="00D81C20" w:rsidP="00D81C20">
            <w:pPr>
              <w:autoSpaceDE w:val="0"/>
              <w:autoSpaceDN w:val="0"/>
              <w:adjustRightInd w:val="0"/>
              <w:rPr>
                <w:rFonts w:ascii="Arial" w:eastAsia="Calibri" w:hAnsi="Arial" w:cs="Arial"/>
                <w:sz w:val="22"/>
                <w:szCs w:val="22"/>
                <w:lang w:eastAsia="en-US"/>
              </w:rPr>
            </w:pPr>
            <w:r w:rsidRPr="00D81C20">
              <w:rPr>
                <w:rFonts w:ascii="Arial" w:eastAsia="Calibri" w:hAnsi="Arial" w:cs="Arial"/>
                <w:sz w:val="22"/>
                <w:szCs w:val="22"/>
                <w:lang w:eastAsia="en-US"/>
              </w:rPr>
              <w:t>Are you specifically employed to undertake this research in either a paid or voluntary capacity?</w:t>
            </w:r>
          </w:p>
        </w:tc>
        <w:tc>
          <w:tcPr>
            <w:tcW w:w="1149" w:type="pct"/>
            <w:shd w:val="clear" w:color="auto" w:fill="auto"/>
          </w:tcPr>
          <w:p w14:paraId="6A7F4F6E" w14:textId="77777777" w:rsidR="00D81C20" w:rsidRPr="00D81C20" w:rsidRDefault="00D81C20" w:rsidP="00D81C20">
            <w:pPr>
              <w:autoSpaceDE w:val="0"/>
              <w:autoSpaceDN w:val="0"/>
              <w:adjustRightInd w:val="0"/>
              <w:rPr>
                <w:rFonts w:ascii="Arial" w:eastAsia="Calibri" w:hAnsi="Arial" w:cs="Arial"/>
                <w:bCs/>
                <w:sz w:val="22"/>
                <w:szCs w:val="22"/>
                <w:lang w:eastAsia="en-US"/>
              </w:rPr>
            </w:pPr>
            <w:r w:rsidRPr="00D81C20">
              <w:rPr>
                <w:rFonts w:ascii="Arial" w:eastAsia="Calibri" w:hAnsi="Arial" w:cs="Arial"/>
                <w:bCs/>
                <w:sz w:val="22"/>
                <w:szCs w:val="22"/>
                <w:lang w:eastAsia="en-US"/>
              </w:rPr>
              <w:t>Voluntary</w:t>
            </w:r>
          </w:p>
        </w:tc>
        <w:tc>
          <w:tcPr>
            <w:tcW w:w="474" w:type="pct"/>
            <w:shd w:val="clear" w:color="auto" w:fill="F2F2F2"/>
            <w:vAlign w:val="center"/>
          </w:tcPr>
          <w:p w14:paraId="31170CD9" w14:textId="77777777" w:rsidR="00D81C20" w:rsidRPr="00D81C20" w:rsidRDefault="00D81C20" w:rsidP="00D81C20">
            <w:pPr>
              <w:autoSpaceDE w:val="0"/>
              <w:autoSpaceDN w:val="0"/>
              <w:adjustRightInd w:val="0"/>
              <w:jc w:val="center"/>
              <w:rPr>
                <w:rFonts w:ascii="Arial" w:eastAsia="Calibri" w:hAnsi="Arial" w:cs="Arial"/>
                <w:b/>
                <w:bCs/>
                <w:sz w:val="22"/>
                <w:szCs w:val="22"/>
                <w:lang w:eastAsia="en-US"/>
              </w:rPr>
            </w:pPr>
            <w:r w:rsidRPr="00D81C20">
              <w:rPr>
                <w:rFonts w:ascii="Arial" w:eastAsia="Calibri" w:hAnsi="Arial" w:cs="Arial"/>
                <w:b/>
                <w:sz w:val="22"/>
                <w:szCs w:val="22"/>
                <w:lang w:eastAsia="en-US"/>
              </w:rPr>
              <w:t>YES</w:t>
            </w:r>
          </w:p>
        </w:tc>
        <w:tc>
          <w:tcPr>
            <w:tcW w:w="406" w:type="pct"/>
            <w:shd w:val="clear" w:color="auto" w:fill="D9D9D9"/>
            <w:vAlign w:val="center"/>
          </w:tcPr>
          <w:p w14:paraId="5C54AB29" w14:textId="123B43A6" w:rsidR="00D81C20" w:rsidRPr="00D81C20" w:rsidRDefault="00D81C20" w:rsidP="00D81C20">
            <w:pPr>
              <w:autoSpaceDE w:val="0"/>
              <w:autoSpaceDN w:val="0"/>
              <w:adjustRightInd w:val="0"/>
              <w:jc w:val="center"/>
              <w:rPr>
                <w:rFonts w:ascii="Arial" w:eastAsia="Calibri" w:hAnsi="Arial" w:cs="Arial"/>
                <w:sz w:val="22"/>
                <w:szCs w:val="22"/>
                <w:lang w:eastAsia="en-US"/>
              </w:rPr>
            </w:pPr>
            <w:r w:rsidRPr="00D81C20">
              <w:rPr>
                <w:rFonts w:ascii="MS Gothic" w:eastAsia="MS Gothic" w:hAnsi="MS Gothic" w:cs="Arial" w:hint="eastAsia"/>
                <w:sz w:val="22"/>
                <w:szCs w:val="22"/>
                <w:lang w:eastAsia="en-US"/>
              </w:rPr>
              <w:t>☐</w:t>
            </w:r>
          </w:p>
        </w:tc>
        <w:tc>
          <w:tcPr>
            <w:tcW w:w="469" w:type="pct"/>
            <w:shd w:val="clear" w:color="auto" w:fill="F2F2F2"/>
            <w:vAlign w:val="center"/>
          </w:tcPr>
          <w:p w14:paraId="373724ED" w14:textId="77777777" w:rsidR="00D81C20" w:rsidRPr="00D81C20" w:rsidRDefault="00D81C20" w:rsidP="00D81C20">
            <w:pPr>
              <w:autoSpaceDE w:val="0"/>
              <w:autoSpaceDN w:val="0"/>
              <w:adjustRightInd w:val="0"/>
              <w:jc w:val="center"/>
              <w:rPr>
                <w:rFonts w:ascii="Arial" w:eastAsia="Calibri" w:hAnsi="Arial" w:cs="Arial"/>
                <w:b/>
                <w:bCs/>
                <w:sz w:val="22"/>
                <w:szCs w:val="22"/>
                <w:lang w:eastAsia="en-US"/>
              </w:rPr>
            </w:pPr>
            <w:r w:rsidRPr="00D81C20">
              <w:rPr>
                <w:rFonts w:ascii="Arial" w:eastAsia="Calibri" w:hAnsi="Arial" w:cs="Arial"/>
                <w:b/>
                <w:sz w:val="22"/>
                <w:szCs w:val="22"/>
                <w:lang w:eastAsia="en-US"/>
              </w:rPr>
              <w:t>NO</w:t>
            </w:r>
          </w:p>
        </w:tc>
        <w:tc>
          <w:tcPr>
            <w:tcW w:w="411" w:type="pct"/>
            <w:shd w:val="clear" w:color="auto" w:fill="D9D9D9"/>
            <w:vAlign w:val="center"/>
          </w:tcPr>
          <w:p w14:paraId="59907A8D" w14:textId="79C4C77F" w:rsidR="00D81C20" w:rsidRPr="00D81C20" w:rsidRDefault="00D81C20" w:rsidP="00D81C20">
            <w:pPr>
              <w:autoSpaceDE w:val="0"/>
              <w:autoSpaceDN w:val="0"/>
              <w:adjustRightInd w:val="0"/>
              <w:jc w:val="center"/>
              <w:rPr>
                <w:rFonts w:ascii="Arial" w:eastAsia="Calibri" w:hAnsi="Arial" w:cs="Arial"/>
                <w:bCs/>
                <w:sz w:val="22"/>
                <w:szCs w:val="22"/>
                <w:lang w:eastAsia="en-US"/>
              </w:rPr>
            </w:pPr>
            <w:r w:rsidRPr="00D81C20">
              <w:rPr>
                <w:rFonts w:ascii="MS Gothic" w:eastAsia="MS Gothic" w:hAnsi="MS Gothic" w:cs="Arial" w:hint="eastAsia"/>
                <w:bCs/>
                <w:sz w:val="22"/>
                <w:szCs w:val="22"/>
                <w:lang w:eastAsia="en-US"/>
              </w:rPr>
              <w:t>☒</w:t>
            </w:r>
          </w:p>
        </w:tc>
      </w:tr>
      <w:tr w:rsidR="00D81C20" w:rsidRPr="004C3A0B" w14:paraId="1259518A" w14:textId="77777777" w:rsidTr="00D81C20">
        <w:trPr>
          <w:trHeight w:val="386"/>
        </w:trPr>
        <w:tc>
          <w:tcPr>
            <w:tcW w:w="268" w:type="pct"/>
            <w:shd w:val="clear" w:color="auto" w:fill="F2F2F2"/>
          </w:tcPr>
          <w:p w14:paraId="080DC3BE" w14:textId="77777777" w:rsidR="00D81C20" w:rsidRPr="00D81C20" w:rsidRDefault="00D81C20" w:rsidP="00D81C20">
            <w:pPr>
              <w:autoSpaceDE w:val="0"/>
              <w:autoSpaceDN w:val="0"/>
              <w:adjustRightInd w:val="0"/>
              <w:rPr>
                <w:rFonts w:ascii="Arial" w:eastAsia="Calibri" w:hAnsi="Arial" w:cs="Arial"/>
                <w:sz w:val="22"/>
                <w:szCs w:val="22"/>
                <w:lang w:eastAsia="en-US"/>
              </w:rPr>
            </w:pPr>
            <w:r w:rsidRPr="00D81C20">
              <w:rPr>
                <w:rFonts w:ascii="Arial" w:eastAsia="Calibri" w:hAnsi="Arial" w:cs="Arial"/>
                <w:sz w:val="22"/>
                <w:szCs w:val="22"/>
                <w:lang w:eastAsia="en-US"/>
              </w:rPr>
              <w:t>7</w:t>
            </w:r>
          </w:p>
        </w:tc>
        <w:tc>
          <w:tcPr>
            <w:tcW w:w="1824" w:type="pct"/>
            <w:vMerge/>
            <w:shd w:val="clear" w:color="auto" w:fill="F2F2F2"/>
          </w:tcPr>
          <w:p w14:paraId="131AFC9C" w14:textId="77777777" w:rsidR="00D81C20" w:rsidRPr="00D81C20" w:rsidRDefault="00D81C20" w:rsidP="00D81C20">
            <w:pPr>
              <w:autoSpaceDE w:val="0"/>
              <w:autoSpaceDN w:val="0"/>
              <w:adjustRightInd w:val="0"/>
              <w:rPr>
                <w:rFonts w:ascii="Arial" w:eastAsia="Calibri" w:hAnsi="Arial" w:cs="Arial"/>
                <w:sz w:val="22"/>
                <w:szCs w:val="22"/>
                <w:lang w:eastAsia="en-US"/>
              </w:rPr>
            </w:pPr>
          </w:p>
        </w:tc>
        <w:tc>
          <w:tcPr>
            <w:tcW w:w="1149" w:type="pct"/>
            <w:shd w:val="clear" w:color="auto" w:fill="auto"/>
          </w:tcPr>
          <w:p w14:paraId="0D59A313" w14:textId="77777777" w:rsidR="00D81C20" w:rsidRPr="00D81C20" w:rsidRDefault="00D81C20" w:rsidP="00D81C20">
            <w:pPr>
              <w:autoSpaceDE w:val="0"/>
              <w:autoSpaceDN w:val="0"/>
              <w:adjustRightInd w:val="0"/>
              <w:rPr>
                <w:rFonts w:ascii="Arial" w:eastAsia="Calibri" w:hAnsi="Arial" w:cs="Arial"/>
                <w:bCs/>
                <w:sz w:val="22"/>
                <w:szCs w:val="22"/>
                <w:lang w:eastAsia="en-US"/>
              </w:rPr>
            </w:pPr>
            <w:r w:rsidRPr="00D81C20">
              <w:rPr>
                <w:rFonts w:ascii="Arial" w:eastAsia="Calibri" w:hAnsi="Arial" w:cs="Arial"/>
                <w:bCs/>
                <w:sz w:val="22"/>
                <w:szCs w:val="22"/>
                <w:lang w:eastAsia="en-US"/>
              </w:rPr>
              <w:t>Employed</w:t>
            </w:r>
          </w:p>
        </w:tc>
        <w:tc>
          <w:tcPr>
            <w:tcW w:w="474" w:type="pct"/>
            <w:shd w:val="clear" w:color="auto" w:fill="F2F2F2"/>
            <w:vAlign w:val="center"/>
          </w:tcPr>
          <w:p w14:paraId="42D1BE6F" w14:textId="77777777" w:rsidR="00D81C20" w:rsidRPr="00D81C20" w:rsidRDefault="00D81C20" w:rsidP="00D81C20">
            <w:pPr>
              <w:autoSpaceDE w:val="0"/>
              <w:autoSpaceDN w:val="0"/>
              <w:adjustRightInd w:val="0"/>
              <w:jc w:val="center"/>
              <w:rPr>
                <w:rFonts w:ascii="Arial" w:eastAsia="Calibri" w:hAnsi="Arial" w:cs="Arial"/>
                <w:b/>
                <w:bCs/>
                <w:sz w:val="22"/>
                <w:szCs w:val="22"/>
                <w:lang w:eastAsia="en-US"/>
              </w:rPr>
            </w:pPr>
            <w:r w:rsidRPr="00D81C20">
              <w:rPr>
                <w:rFonts w:ascii="Arial" w:eastAsia="Calibri" w:hAnsi="Arial" w:cs="Arial"/>
                <w:b/>
                <w:sz w:val="22"/>
                <w:szCs w:val="22"/>
                <w:lang w:eastAsia="en-US"/>
              </w:rPr>
              <w:t>YES</w:t>
            </w:r>
          </w:p>
        </w:tc>
        <w:tc>
          <w:tcPr>
            <w:tcW w:w="406" w:type="pct"/>
            <w:shd w:val="clear" w:color="auto" w:fill="D9D9D9"/>
            <w:vAlign w:val="center"/>
          </w:tcPr>
          <w:p w14:paraId="03837A73" w14:textId="173A5599" w:rsidR="00D81C20" w:rsidRPr="00D81C20" w:rsidRDefault="00D81C20" w:rsidP="00D81C20">
            <w:pPr>
              <w:autoSpaceDE w:val="0"/>
              <w:autoSpaceDN w:val="0"/>
              <w:adjustRightInd w:val="0"/>
              <w:jc w:val="center"/>
              <w:rPr>
                <w:rFonts w:ascii="Arial" w:eastAsia="Calibri" w:hAnsi="Arial" w:cs="Arial"/>
                <w:sz w:val="22"/>
                <w:szCs w:val="22"/>
                <w:lang w:eastAsia="en-US"/>
              </w:rPr>
            </w:pPr>
            <w:r w:rsidRPr="00D81C20">
              <w:rPr>
                <w:rFonts w:ascii="MS Gothic" w:eastAsia="MS Gothic" w:hAnsi="MS Gothic" w:cs="Arial" w:hint="eastAsia"/>
                <w:sz w:val="22"/>
                <w:szCs w:val="22"/>
                <w:lang w:eastAsia="en-US"/>
              </w:rPr>
              <w:t>☐</w:t>
            </w:r>
          </w:p>
        </w:tc>
        <w:tc>
          <w:tcPr>
            <w:tcW w:w="469" w:type="pct"/>
            <w:shd w:val="clear" w:color="auto" w:fill="F2F2F2"/>
            <w:vAlign w:val="center"/>
          </w:tcPr>
          <w:p w14:paraId="65FD4440" w14:textId="77777777" w:rsidR="00D81C20" w:rsidRPr="00D81C20" w:rsidRDefault="00D81C20" w:rsidP="00D81C20">
            <w:pPr>
              <w:autoSpaceDE w:val="0"/>
              <w:autoSpaceDN w:val="0"/>
              <w:adjustRightInd w:val="0"/>
              <w:jc w:val="center"/>
              <w:rPr>
                <w:rFonts w:ascii="Arial" w:eastAsia="Calibri" w:hAnsi="Arial" w:cs="Arial"/>
                <w:b/>
                <w:bCs/>
                <w:sz w:val="22"/>
                <w:szCs w:val="22"/>
                <w:lang w:eastAsia="en-US"/>
              </w:rPr>
            </w:pPr>
            <w:r w:rsidRPr="00D81C20">
              <w:rPr>
                <w:rFonts w:ascii="Arial" w:eastAsia="Calibri" w:hAnsi="Arial" w:cs="Arial"/>
                <w:b/>
                <w:sz w:val="22"/>
                <w:szCs w:val="22"/>
                <w:lang w:eastAsia="en-US"/>
              </w:rPr>
              <w:t>NO</w:t>
            </w:r>
          </w:p>
        </w:tc>
        <w:tc>
          <w:tcPr>
            <w:tcW w:w="411" w:type="pct"/>
            <w:shd w:val="clear" w:color="auto" w:fill="D9D9D9"/>
            <w:vAlign w:val="center"/>
          </w:tcPr>
          <w:p w14:paraId="4030271D" w14:textId="67388390" w:rsidR="00D81C20" w:rsidRPr="00D81C20" w:rsidRDefault="00D81C20" w:rsidP="00D81C20">
            <w:pPr>
              <w:autoSpaceDE w:val="0"/>
              <w:autoSpaceDN w:val="0"/>
              <w:adjustRightInd w:val="0"/>
              <w:jc w:val="center"/>
              <w:rPr>
                <w:rFonts w:ascii="Arial" w:eastAsia="Calibri" w:hAnsi="Arial" w:cs="Arial"/>
                <w:bCs/>
                <w:sz w:val="22"/>
                <w:szCs w:val="22"/>
                <w:lang w:eastAsia="en-US"/>
              </w:rPr>
            </w:pPr>
            <w:r w:rsidRPr="00D81C20">
              <w:rPr>
                <w:rFonts w:ascii="MS Gothic" w:eastAsia="MS Gothic" w:hAnsi="MS Gothic" w:cs="Arial" w:hint="eastAsia"/>
                <w:bCs/>
                <w:sz w:val="22"/>
                <w:szCs w:val="22"/>
                <w:lang w:eastAsia="en-US"/>
              </w:rPr>
              <w:t>☒</w:t>
            </w:r>
          </w:p>
        </w:tc>
      </w:tr>
      <w:tr w:rsidR="00D81C20" w:rsidRPr="004C3A0B" w14:paraId="6F5DF9F1" w14:textId="77777777" w:rsidTr="00D81C20">
        <w:tc>
          <w:tcPr>
            <w:tcW w:w="268" w:type="pct"/>
            <w:shd w:val="clear" w:color="auto" w:fill="F2F2F2"/>
          </w:tcPr>
          <w:p w14:paraId="0799D1FC" w14:textId="77777777" w:rsidR="00D81C20" w:rsidRPr="00D81C20" w:rsidRDefault="00D81C20" w:rsidP="00D81C20">
            <w:pPr>
              <w:autoSpaceDE w:val="0"/>
              <w:autoSpaceDN w:val="0"/>
              <w:adjustRightInd w:val="0"/>
              <w:rPr>
                <w:rFonts w:ascii="Arial" w:eastAsia="Calibri" w:hAnsi="Arial" w:cs="Arial"/>
                <w:sz w:val="22"/>
                <w:szCs w:val="22"/>
                <w:lang w:eastAsia="en-US"/>
              </w:rPr>
            </w:pPr>
            <w:r w:rsidRPr="00D81C20">
              <w:rPr>
                <w:rFonts w:ascii="Arial" w:eastAsia="Calibri" w:hAnsi="Arial" w:cs="Arial"/>
                <w:sz w:val="22"/>
                <w:szCs w:val="22"/>
                <w:lang w:eastAsia="en-US"/>
              </w:rPr>
              <w:t>8</w:t>
            </w:r>
          </w:p>
        </w:tc>
        <w:tc>
          <w:tcPr>
            <w:tcW w:w="1824" w:type="pct"/>
            <w:shd w:val="clear" w:color="auto" w:fill="F2F2F2"/>
          </w:tcPr>
          <w:p w14:paraId="33196286" w14:textId="77777777" w:rsidR="00D81C20" w:rsidRPr="00D81C20" w:rsidRDefault="00D81C20" w:rsidP="00D81C20">
            <w:pPr>
              <w:autoSpaceDE w:val="0"/>
              <w:autoSpaceDN w:val="0"/>
              <w:adjustRightInd w:val="0"/>
              <w:rPr>
                <w:rFonts w:ascii="Arial" w:eastAsia="Calibri" w:hAnsi="Arial" w:cs="Arial"/>
                <w:sz w:val="22"/>
                <w:szCs w:val="22"/>
                <w:lang w:eastAsia="en-US"/>
              </w:rPr>
            </w:pPr>
            <w:r w:rsidRPr="00D81C20">
              <w:rPr>
                <w:rFonts w:ascii="Arial" w:eastAsia="Calibri" w:hAnsi="Arial" w:cs="Arial"/>
                <w:sz w:val="22"/>
                <w:szCs w:val="22"/>
                <w:lang w:eastAsia="en-US"/>
              </w:rPr>
              <w:t xml:space="preserve">Is the research being undertaken within an existing UWTSD Athrofa </w:t>
            </w:r>
            <w:r w:rsidRPr="00D81C20">
              <w:rPr>
                <w:rFonts w:ascii="Arial" w:eastAsia="Calibri" w:hAnsi="Arial" w:cs="Arial"/>
                <w:sz w:val="22"/>
                <w:szCs w:val="22"/>
                <w:lang w:eastAsia="en-US"/>
              </w:rPr>
              <w:lastRenderedPageBreak/>
              <w:t>Professional Learning Partnership (APLP)?</w:t>
            </w:r>
          </w:p>
        </w:tc>
        <w:tc>
          <w:tcPr>
            <w:tcW w:w="1149" w:type="pct"/>
            <w:shd w:val="clear" w:color="auto" w:fill="auto"/>
          </w:tcPr>
          <w:p w14:paraId="6FE58E6F" w14:textId="77777777" w:rsidR="00D81C20" w:rsidRPr="00D81C20" w:rsidRDefault="00D81C20" w:rsidP="00D81C20">
            <w:pPr>
              <w:autoSpaceDE w:val="0"/>
              <w:autoSpaceDN w:val="0"/>
              <w:adjustRightInd w:val="0"/>
              <w:rPr>
                <w:rFonts w:ascii="Arial" w:eastAsia="Calibri" w:hAnsi="Arial" w:cs="Arial"/>
                <w:bCs/>
                <w:sz w:val="22"/>
                <w:szCs w:val="22"/>
                <w:lang w:eastAsia="en-US"/>
              </w:rPr>
            </w:pPr>
            <w:r w:rsidRPr="00D81C20">
              <w:rPr>
                <w:rFonts w:ascii="Arial" w:eastAsia="Calibri" w:hAnsi="Arial" w:cs="Arial"/>
                <w:bCs/>
                <w:sz w:val="22"/>
                <w:szCs w:val="22"/>
                <w:lang w:eastAsia="en-US"/>
              </w:rPr>
              <w:lastRenderedPageBreak/>
              <w:t xml:space="preserve">If YES then the permission question below </w:t>
            </w:r>
            <w:r w:rsidRPr="00D81C20">
              <w:rPr>
                <w:rFonts w:ascii="Arial" w:eastAsia="Calibri" w:hAnsi="Arial" w:cs="Arial"/>
                <w:bCs/>
                <w:sz w:val="22"/>
                <w:szCs w:val="22"/>
                <w:lang w:eastAsia="en-US"/>
              </w:rPr>
              <w:lastRenderedPageBreak/>
              <w:t>does not need to be answered.</w:t>
            </w:r>
          </w:p>
        </w:tc>
        <w:tc>
          <w:tcPr>
            <w:tcW w:w="474" w:type="pct"/>
            <w:shd w:val="clear" w:color="auto" w:fill="F2F2F2"/>
            <w:vAlign w:val="center"/>
          </w:tcPr>
          <w:p w14:paraId="54963DC5" w14:textId="77777777" w:rsidR="00D81C20" w:rsidRPr="00D81C20" w:rsidRDefault="00D81C20" w:rsidP="00D81C20">
            <w:pPr>
              <w:autoSpaceDE w:val="0"/>
              <w:autoSpaceDN w:val="0"/>
              <w:adjustRightInd w:val="0"/>
              <w:jc w:val="center"/>
              <w:rPr>
                <w:rFonts w:ascii="Arial" w:eastAsia="Calibri" w:hAnsi="Arial" w:cs="Arial"/>
                <w:b/>
                <w:bCs/>
                <w:sz w:val="22"/>
                <w:szCs w:val="22"/>
                <w:lang w:eastAsia="en-US"/>
              </w:rPr>
            </w:pPr>
            <w:r w:rsidRPr="00D81C20">
              <w:rPr>
                <w:rFonts w:ascii="Arial" w:eastAsia="Calibri" w:hAnsi="Arial" w:cs="Arial"/>
                <w:b/>
                <w:sz w:val="22"/>
                <w:szCs w:val="22"/>
                <w:lang w:eastAsia="en-US"/>
              </w:rPr>
              <w:lastRenderedPageBreak/>
              <w:t>YES</w:t>
            </w:r>
          </w:p>
        </w:tc>
        <w:tc>
          <w:tcPr>
            <w:tcW w:w="406" w:type="pct"/>
            <w:shd w:val="clear" w:color="auto" w:fill="D9D9D9"/>
            <w:vAlign w:val="center"/>
          </w:tcPr>
          <w:p w14:paraId="22CC9BBD" w14:textId="410889DE" w:rsidR="00D81C20" w:rsidRPr="00D81C20" w:rsidRDefault="00D81C20" w:rsidP="00D81C20">
            <w:pPr>
              <w:autoSpaceDE w:val="0"/>
              <w:autoSpaceDN w:val="0"/>
              <w:adjustRightInd w:val="0"/>
              <w:jc w:val="center"/>
              <w:rPr>
                <w:rFonts w:ascii="Arial" w:eastAsia="Calibri" w:hAnsi="Arial" w:cs="Arial"/>
                <w:sz w:val="22"/>
                <w:szCs w:val="22"/>
                <w:lang w:eastAsia="en-US"/>
              </w:rPr>
            </w:pPr>
            <w:r w:rsidRPr="00D81C20">
              <w:rPr>
                <w:rFonts w:ascii="MS Gothic" w:eastAsia="MS Gothic" w:hAnsi="MS Gothic" w:cs="Arial" w:hint="eastAsia"/>
                <w:sz w:val="22"/>
                <w:szCs w:val="22"/>
                <w:lang w:eastAsia="en-US"/>
              </w:rPr>
              <w:t>☐</w:t>
            </w:r>
          </w:p>
        </w:tc>
        <w:tc>
          <w:tcPr>
            <w:tcW w:w="473" w:type="pct"/>
            <w:shd w:val="clear" w:color="auto" w:fill="F2F2F2"/>
            <w:vAlign w:val="center"/>
          </w:tcPr>
          <w:p w14:paraId="1E7F6E17" w14:textId="77777777" w:rsidR="00D81C20" w:rsidRPr="00D81C20" w:rsidRDefault="00D81C20" w:rsidP="00D81C20">
            <w:pPr>
              <w:autoSpaceDE w:val="0"/>
              <w:autoSpaceDN w:val="0"/>
              <w:adjustRightInd w:val="0"/>
              <w:jc w:val="center"/>
              <w:rPr>
                <w:rFonts w:ascii="Arial" w:eastAsia="Calibri" w:hAnsi="Arial" w:cs="Arial"/>
                <w:b/>
                <w:bCs/>
                <w:sz w:val="22"/>
                <w:szCs w:val="22"/>
                <w:lang w:eastAsia="en-US"/>
              </w:rPr>
            </w:pPr>
            <w:r w:rsidRPr="00D81C20">
              <w:rPr>
                <w:rFonts w:ascii="Arial" w:eastAsia="Calibri" w:hAnsi="Arial" w:cs="Arial"/>
                <w:b/>
                <w:sz w:val="22"/>
                <w:szCs w:val="22"/>
                <w:lang w:eastAsia="en-US"/>
              </w:rPr>
              <w:t>NO</w:t>
            </w:r>
          </w:p>
        </w:tc>
        <w:tc>
          <w:tcPr>
            <w:tcW w:w="406" w:type="pct"/>
            <w:shd w:val="clear" w:color="auto" w:fill="D9D9D9"/>
            <w:vAlign w:val="center"/>
          </w:tcPr>
          <w:p w14:paraId="19AF2653" w14:textId="626D987D" w:rsidR="00D81C20" w:rsidRPr="00D81C20" w:rsidRDefault="00D81C20" w:rsidP="00D81C20">
            <w:pPr>
              <w:autoSpaceDE w:val="0"/>
              <w:autoSpaceDN w:val="0"/>
              <w:adjustRightInd w:val="0"/>
              <w:jc w:val="center"/>
              <w:rPr>
                <w:rFonts w:ascii="Arial" w:eastAsia="Calibri" w:hAnsi="Arial" w:cs="Arial"/>
                <w:bCs/>
                <w:sz w:val="22"/>
                <w:szCs w:val="22"/>
                <w:lang w:eastAsia="en-US"/>
              </w:rPr>
            </w:pPr>
            <w:r w:rsidRPr="00D81C20">
              <w:rPr>
                <w:rFonts w:ascii="MS Gothic" w:eastAsia="MS Gothic" w:hAnsi="MS Gothic" w:cs="Arial" w:hint="eastAsia"/>
                <w:bCs/>
                <w:sz w:val="22"/>
                <w:szCs w:val="22"/>
                <w:lang w:eastAsia="en-US"/>
              </w:rPr>
              <w:t>☒</w:t>
            </w:r>
          </w:p>
        </w:tc>
      </w:tr>
      <w:tr w:rsidR="00D81C20" w:rsidRPr="004C3A0B" w14:paraId="741F7A42" w14:textId="77777777" w:rsidTr="00D81C20">
        <w:tc>
          <w:tcPr>
            <w:tcW w:w="268" w:type="pct"/>
            <w:shd w:val="clear" w:color="auto" w:fill="F2F2F2"/>
          </w:tcPr>
          <w:p w14:paraId="034A90CF" w14:textId="77777777" w:rsidR="00D81C20" w:rsidRPr="00D81C20" w:rsidRDefault="00D81C20" w:rsidP="00D81C20">
            <w:pPr>
              <w:autoSpaceDE w:val="0"/>
              <w:autoSpaceDN w:val="0"/>
              <w:adjustRightInd w:val="0"/>
              <w:rPr>
                <w:rFonts w:ascii="Arial" w:eastAsia="Calibri" w:hAnsi="Arial" w:cs="Arial"/>
                <w:sz w:val="22"/>
                <w:szCs w:val="22"/>
                <w:lang w:eastAsia="en-US"/>
              </w:rPr>
            </w:pPr>
            <w:r w:rsidRPr="00D81C20">
              <w:rPr>
                <w:rFonts w:ascii="Arial" w:eastAsia="Calibri" w:hAnsi="Arial" w:cs="Arial"/>
                <w:sz w:val="22"/>
                <w:szCs w:val="22"/>
                <w:lang w:eastAsia="en-US"/>
              </w:rPr>
              <w:t>9</w:t>
            </w:r>
          </w:p>
        </w:tc>
        <w:tc>
          <w:tcPr>
            <w:tcW w:w="1824" w:type="pct"/>
            <w:shd w:val="clear" w:color="auto" w:fill="F2F2F2"/>
          </w:tcPr>
          <w:p w14:paraId="5EA20B39" w14:textId="77777777" w:rsidR="00D81C20" w:rsidRPr="00D81C20" w:rsidRDefault="00D81C20" w:rsidP="00D81C20">
            <w:pPr>
              <w:autoSpaceDE w:val="0"/>
              <w:autoSpaceDN w:val="0"/>
              <w:adjustRightInd w:val="0"/>
              <w:rPr>
                <w:rFonts w:ascii="Arial" w:eastAsia="Calibri" w:hAnsi="Arial" w:cs="Arial"/>
                <w:sz w:val="22"/>
                <w:szCs w:val="22"/>
                <w:lang w:eastAsia="en-US"/>
              </w:rPr>
            </w:pPr>
            <w:r w:rsidRPr="00D81C20">
              <w:rPr>
                <w:rFonts w:ascii="Arial" w:eastAsia="Calibri" w:hAnsi="Arial" w:cs="Arial"/>
                <w:sz w:val="22"/>
                <w:szCs w:val="22"/>
                <w:lang w:eastAsia="en-US"/>
              </w:rPr>
              <w:t>Has permission to undertake the research has been provided by the partner organisation?</w:t>
            </w:r>
          </w:p>
        </w:tc>
        <w:tc>
          <w:tcPr>
            <w:tcW w:w="1149" w:type="pct"/>
            <w:shd w:val="clear" w:color="auto" w:fill="auto"/>
          </w:tcPr>
          <w:p w14:paraId="09956221" w14:textId="77777777" w:rsidR="00D81C20" w:rsidRPr="00D81C20" w:rsidRDefault="00D81C20" w:rsidP="00D81C20">
            <w:pPr>
              <w:autoSpaceDE w:val="0"/>
              <w:autoSpaceDN w:val="0"/>
              <w:adjustRightInd w:val="0"/>
              <w:rPr>
                <w:rFonts w:ascii="Arial" w:eastAsia="Calibri" w:hAnsi="Arial" w:cs="Arial"/>
                <w:bCs/>
                <w:sz w:val="22"/>
                <w:szCs w:val="22"/>
                <w:lang w:eastAsia="en-US"/>
              </w:rPr>
            </w:pPr>
            <w:r w:rsidRPr="00D81C20">
              <w:rPr>
                <w:rFonts w:ascii="Arial" w:eastAsia="Calibri" w:hAnsi="Arial" w:cs="Arial"/>
                <w:bCs/>
                <w:sz w:val="22"/>
                <w:szCs w:val="22"/>
                <w:lang w:eastAsia="en-US"/>
              </w:rPr>
              <w:t>(If YES attach copy)</w:t>
            </w:r>
          </w:p>
          <w:p w14:paraId="42E23CFE" w14:textId="77777777" w:rsidR="00D81C20" w:rsidRPr="00D81C20" w:rsidDel="008461DD" w:rsidRDefault="00D81C20" w:rsidP="00D81C20">
            <w:pPr>
              <w:autoSpaceDE w:val="0"/>
              <w:autoSpaceDN w:val="0"/>
              <w:adjustRightInd w:val="0"/>
              <w:rPr>
                <w:rFonts w:ascii="Arial" w:eastAsia="Calibri" w:hAnsi="Arial" w:cs="Arial"/>
                <w:bCs/>
                <w:sz w:val="22"/>
                <w:szCs w:val="22"/>
                <w:lang w:eastAsia="en-US"/>
              </w:rPr>
            </w:pPr>
            <w:r w:rsidRPr="00D81C20">
              <w:rPr>
                <w:rFonts w:ascii="Arial" w:eastAsia="Calibri" w:hAnsi="Arial" w:cs="Arial"/>
                <w:bCs/>
                <w:sz w:val="22"/>
                <w:szCs w:val="22"/>
                <w:lang w:eastAsia="en-US"/>
              </w:rPr>
              <w:t>If NO the application cannot continue</w:t>
            </w:r>
          </w:p>
        </w:tc>
        <w:tc>
          <w:tcPr>
            <w:tcW w:w="474" w:type="pct"/>
            <w:shd w:val="clear" w:color="auto" w:fill="F2F2F2"/>
            <w:vAlign w:val="center"/>
          </w:tcPr>
          <w:p w14:paraId="7C4AAE2B" w14:textId="77777777" w:rsidR="00D81C20" w:rsidRPr="00D81C20" w:rsidRDefault="00D81C20" w:rsidP="00D81C20">
            <w:pPr>
              <w:autoSpaceDE w:val="0"/>
              <w:autoSpaceDN w:val="0"/>
              <w:adjustRightInd w:val="0"/>
              <w:jc w:val="center"/>
              <w:rPr>
                <w:rFonts w:ascii="Arial" w:eastAsia="Calibri" w:hAnsi="Arial" w:cs="Arial"/>
                <w:b/>
                <w:sz w:val="22"/>
                <w:szCs w:val="22"/>
                <w:lang w:eastAsia="en-US"/>
              </w:rPr>
            </w:pPr>
            <w:r w:rsidRPr="00D81C20">
              <w:rPr>
                <w:rFonts w:ascii="Arial" w:eastAsia="Calibri" w:hAnsi="Arial" w:cs="Arial"/>
                <w:b/>
                <w:sz w:val="22"/>
                <w:szCs w:val="22"/>
                <w:lang w:eastAsia="en-US"/>
              </w:rPr>
              <w:t>YES</w:t>
            </w:r>
          </w:p>
        </w:tc>
        <w:tc>
          <w:tcPr>
            <w:tcW w:w="406" w:type="pct"/>
            <w:shd w:val="clear" w:color="auto" w:fill="D9D9D9"/>
            <w:vAlign w:val="center"/>
          </w:tcPr>
          <w:p w14:paraId="580895EA" w14:textId="4098A7B3" w:rsidR="00D81C20" w:rsidRPr="00D81C20" w:rsidRDefault="00D81C20" w:rsidP="00D81C20">
            <w:pPr>
              <w:autoSpaceDE w:val="0"/>
              <w:autoSpaceDN w:val="0"/>
              <w:adjustRightInd w:val="0"/>
              <w:jc w:val="center"/>
              <w:rPr>
                <w:rFonts w:ascii="Arial" w:eastAsia="Calibri" w:hAnsi="Arial" w:cs="Arial"/>
                <w:sz w:val="22"/>
                <w:szCs w:val="22"/>
                <w:lang w:eastAsia="en-US"/>
              </w:rPr>
            </w:pPr>
            <w:r w:rsidRPr="00D81C20">
              <w:rPr>
                <w:rFonts w:ascii="MS Gothic" w:eastAsia="MS Gothic" w:hAnsi="MS Gothic" w:cs="Arial" w:hint="eastAsia"/>
                <w:sz w:val="22"/>
                <w:szCs w:val="22"/>
                <w:lang w:eastAsia="en-US"/>
              </w:rPr>
              <w:t>☐</w:t>
            </w:r>
          </w:p>
        </w:tc>
        <w:tc>
          <w:tcPr>
            <w:tcW w:w="473" w:type="pct"/>
            <w:shd w:val="clear" w:color="auto" w:fill="F2F2F2"/>
            <w:vAlign w:val="center"/>
          </w:tcPr>
          <w:p w14:paraId="5C6C1A3B" w14:textId="77777777" w:rsidR="00D81C20" w:rsidRPr="00D81C20" w:rsidRDefault="00D81C20" w:rsidP="00D81C20">
            <w:pPr>
              <w:autoSpaceDE w:val="0"/>
              <w:autoSpaceDN w:val="0"/>
              <w:adjustRightInd w:val="0"/>
              <w:jc w:val="center"/>
              <w:rPr>
                <w:rFonts w:ascii="Arial" w:eastAsia="Calibri" w:hAnsi="Arial" w:cs="Arial"/>
                <w:b/>
                <w:sz w:val="22"/>
                <w:szCs w:val="22"/>
                <w:lang w:eastAsia="en-US"/>
              </w:rPr>
            </w:pPr>
            <w:r w:rsidRPr="00D81C20">
              <w:rPr>
                <w:rFonts w:ascii="Arial" w:eastAsia="Calibri" w:hAnsi="Arial" w:cs="Arial"/>
                <w:b/>
                <w:sz w:val="22"/>
                <w:szCs w:val="22"/>
                <w:lang w:eastAsia="en-US"/>
              </w:rPr>
              <w:t>NO</w:t>
            </w:r>
          </w:p>
        </w:tc>
        <w:tc>
          <w:tcPr>
            <w:tcW w:w="406" w:type="pct"/>
            <w:shd w:val="clear" w:color="auto" w:fill="D9D9D9"/>
            <w:vAlign w:val="center"/>
          </w:tcPr>
          <w:p w14:paraId="3A373CAD" w14:textId="0CC9F100" w:rsidR="00D81C20" w:rsidRPr="00D81C20" w:rsidRDefault="00D81C20" w:rsidP="00D81C20">
            <w:pPr>
              <w:autoSpaceDE w:val="0"/>
              <w:autoSpaceDN w:val="0"/>
              <w:adjustRightInd w:val="0"/>
              <w:jc w:val="center"/>
              <w:rPr>
                <w:rFonts w:ascii="Arial" w:eastAsia="Calibri" w:hAnsi="Arial" w:cs="Arial"/>
                <w:bCs/>
                <w:sz w:val="22"/>
                <w:szCs w:val="22"/>
                <w:lang w:eastAsia="en-US"/>
              </w:rPr>
            </w:pPr>
            <w:r w:rsidRPr="00D81C20">
              <w:rPr>
                <w:rFonts w:ascii="MS Gothic" w:eastAsia="MS Gothic" w:hAnsi="MS Gothic" w:cs="Arial" w:hint="eastAsia"/>
                <w:bCs/>
                <w:sz w:val="22"/>
                <w:szCs w:val="22"/>
                <w:lang w:eastAsia="en-US"/>
              </w:rPr>
              <w:t>☒</w:t>
            </w:r>
          </w:p>
        </w:tc>
      </w:tr>
    </w:tbl>
    <w:p w14:paraId="76A225C4" w14:textId="77777777" w:rsidR="00D81C20" w:rsidRPr="004C3A0B" w:rsidRDefault="00D81C20" w:rsidP="00A91894">
      <w:pPr>
        <w:rPr>
          <w:rFonts w:ascii="Arial" w:hAnsi="Arial" w:cs="Arial"/>
          <w:bCs/>
          <w:iCs/>
          <w:sz w:val="16"/>
          <w:szCs w:val="16"/>
        </w:rPr>
      </w:pPr>
    </w:p>
    <w:p w14:paraId="458FD0B5" w14:textId="77777777" w:rsidR="00D81C20" w:rsidRDefault="00D81C20" w:rsidP="00A91894">
      <w:pPr>
        <w:rPr>
          <w:rFonts w:ascii="Arial" w:hAnsi="Arial" w:cs="Arial"/>
          <w:b/>
          <w:bCs/>
          <w:iCs/>
          <w:sz w:val="22"/>
          <w:szCs w:val="22"/>
        </w:rPr>
      </w:pPr>
    </w:p>
    <w:p w14:paraId="39467703" w14:textId="77777777" w:rsidR="00D81C20" w:rsidRPr="00354F34" w:rsidRDefault="00D81C20" w:rsidP="00A9189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Where research activity is carried out in collaboration with an external organisation</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1"/>
        <w:gridCol w:w="4930"/>
        <w:gridCol w:w="782"/>
        <w:gridCol w:w="705"/>
        <w:gridCol w:w="746"/>
        <w:gridCol w:w="672"/>
      </w:tblGrid>
      <w:tr w:rsidR="00D81C20" w:rsidRPr="004C3A0B" w14:paraId="3DFFD9F2" w14:textId="77777777" w:rsidTr="00D81C20">
        <w:trPr>
          <w:trHeight w:val="507"/>
        </w:trPr>
        <w:tc>
          <w:tcPr>
            <w:tcW w:w="270" w:type="pct"/>
            <w:shd w:val="clear" w:color="auto" w:fill="F2F2F2"/>
            <w:vAlign w:val="center"/>
          </w:tcPr>
          <w:p w14:paraId="5F507DF6" w14:textId="77777777" w:rsidR="00D81C20" w:rsidRPr="00D81C20" w:rsidRDefault="00D81C20" w:rsidP="00D81C20">
            <w:pPr>
              <w:autoSpaceDE w:val="0"/>
              <w:autoSpaceDN w:val="0"/>
              <w:adjustRightInd w:val="0"/>
              <w:rPr>
                <w:rFonts w:ascii="Arial" w:eastAsia="Calibri" w:hAnsi="Arial" w:cs="Arial"/>
                <w:bCs/>
                <w:sz w:val="22"/>
                <w:szCs w:val="22"/>
                <w:lang w:eastAsia="en-US"/>
              </w:rPr>
            </w:pPr>
            <w:r w:rsidRPr="00D81C20">
              <w:rPr>
                <w:rFonts w:ascii="Arial" w:eastAsia="Calibri" w:hAnsi="Arial" w:cs="Arial"/>
                <w:bCs/>
                <w:sz w:val="22"/>
                <w:szCs w:val="22"/>
                <w:lang w:eastAsia="en-US"/>
              </w:rPr>
              <w:t>10</w:t>
            </w:r>
          </w:p>
        </w:tc>
        <w:tc>
          <w:tcPr>
            <w:tcW w:w="2973" w:type="pct"/>
            <w:shd w:val="clear" w:color="auto" w:fill="F2F2F2"/>
            <w:vAlign w:val="center"/>
          </w:tcPr>
          <w:p w14:paraId="2DFD3856" w14:textId="77777777" w:rsidR="00D81C20" w:rsidRPr="00D81C20" w:rsidRDefault="00D81C20" w:rsidP="00D81C20">
            <w:pPr>
              <w:autoSpaceDE w:val="0"/>
              <w:autoSpaceDN w:val="0"/>
              <w:adjustRightInd w:val="0"/>
              <w:rPr>
                <w:rFonts w:ascii="Arial" w:eastAsia="Calibri" w:hAnsi="Arial" w:cs="Arial"/>
                <w:bCs/>
                <w:sz w:val="22"/>
                <w:szCs w:val="22"/>
                <w:lang w:eastAsia="en-US"/>
              </w:rPr>
            </w:pPr>
            <w:r w:rsidRPr="00D81C20">
              <w:rPr>
                <w:rFonts w:ascii="Arial" w:eastAsia="Calibri" w:hAnsi="Arial" w:cs="Arial"/>
                <w:bCs/>
                <w:sz w:val="22"/>
                <w:szCs w:val="22"/>
                <w:lang w:eastAsia="en-US"/>
              </w:rPr>
              <w:t>Does this organisation have its own ethics approval system?</w:t>
            </w:r>
          </w:p>
        </w:tc>
        <w:tc>
          <w:tcPr>
            <w:tcW w:w="473" w:type="pct"/>
            <w:shd w:val="clear" w:color="auto" w:fill="F2F2F2"/>
            <w:vAlign w:val="center"/>
          </w:tcPr>
          <w:p w14:paraId="6666F948" w14:textId="77777777" w:rsidR="00D81C20" w:rsidRPr="00D81C20" w:rsidRDefault="00D81C20" w:rsidP="00D81C20">
            <w:pPr>
              <w:autoSpaceDE w:val="0"/>
              <w:autoSpaceDN w:val="0"/>
              <w:adjustRightInd w:val="0"/>
              <w:jc w:val="center"/>
              <w:rPr>
                <w:rFonts w:ascii="Arial" w:eastAsia="Calibri" w:hAnsi="Arial" w:cs="Arial"/>
                <w:b/>
                <w:bCs/>
                <w:sz w:val="22"/>
                <w:szCs w:val="22"/>
                <w:lang w:eastAsia="en-US"/>
              </w:rPr>
            </w:pPr>
            <w:r w:rsidRPr="00D81C20">
              <w:rPr>
                <w:rFonts w:ascii="Arial" w:eastAsia="Calibri" w:hAnsi="Arial" w:cs="Arial"/>
                <w:b/>
                <w:bCs/>
                <w:sz w:val="22"/>
                <w:szCs w:val="22"/>
                <w:lang w:eastAsia="en-US"/>
              </w:rPr>
              <w:t>YES</w:t>
            </w:r>
          </w:p>
        </w:tc>
        <w:tc>
          <w:tcPr>
            <w:tcW w:w="427" w:type="pct"/>
            <w:shd w:val="clear" w:color="auto" w:fill="BFBFBF"/>
            <w:vAlign w:val="center"/>
          </w:tcPr>
          <w:p w14:paraId="17762849" w14:textId="217CFA49" w:rsidR="00D81C20" w:rsidRPr="00D81C20" w:rsidRDefault="00D81C20" w:rsidP="00D81C20">
            <w:pPr>
              <w:autoSpaceDE w:val="0"/>
              <w:autoSpaceDN w:val="0"/>
              <w:adjustRightInd w:val="0"/>
              <w:jc w:val="center"/>
              <w:rPr>
                <w:rFonts w:ascii="Arial" w:eastAsia="Calibri" w:hAnsi="Arial" w:cs="Arial"/>
                <w:bCs/>
                <w:sz w:val="22"/>
                <w:szCs w:val="22"/>
                <w:lang w:eastAsia="en-US"/>
              </w:rPr>
            </w:pPr>
            <w:r w:rsidRPr="00D81C20">
              <w:rPr>
                <w:rFonts w:ascii="MS Gothic" w:eastAsia="MS Gothic" w:hAnsi="MS Gothic" w:cs="Arial" w:hint="eastAsia"/>
                <w:sz w:val="22"/>
                <w:szCs w:val="22"/>
                <w:lang w:eastAsia="en-US"/>
              </w:rPr>
              <w:t>☐</w:t>
            </w:r>
          </w:p>
        </w:tc>
        <w:tc>
          <w:tcPr>
            <w:tcW w:w="451" w:type="pct"/>
            <w:shd w:val="clear" w:color="auto" w:fill="F2F2F2"/>
            <w:vAlign w:val="center"/>
          </w:tcPr>
          <w:p w14:paraId="2AF425ED" w14:textId="77777777" w:rsidR="00D81C20" w:rsidRPr="00D81C20" w:rsidRDefault="00D81C20" w:rsidP="00D81C20">
            <w:pPr>
              <w:autoSpaceDE w:val="0"/>
              <w:autoSpaceDN w:val="0"/>
              <w:adjustRightInd w:val="0"/>
              <w:jc w:val="center"/>
              <w:rPr>
                <w:rFonts w:ascii="Arial" w:eastAsia="Calibri" w:hAnsi="Arial" w:cs="Arial"/>
                <w:b/>
                <w:bCs/>
                <w:sz w:val="22"/>
                <w:szCs w:val="22"/>
                <w:lang w:eastAsia="en-US"/>
              </w:rPr>
            </w:pPr>
            <w:r w:rsidRPr="00D81C20">
              <w:rPr>
                <w:rFonts w:ascii="Arial" w:eastAsia="Calibri" w:hAnsi="Arial" w:cs="Arial"/>
                <w:b/>
                <w:bCs/>
                <w:sz w:val="22"/>
                <w:szCs w:val="22"/>
                <w:lang w:eastAsia="en-US"/>
              </w:rPr>
              <w:t>NO</w:t>
            </w:r>
          </w:p>
        </w:tc>
        <w:tc>
          <w:tcPr>
            <w:tcW w:w="406" w:type="pct"/>
            <w:shd w:val="clear" w:color="auto" w:fill="BFBFBF"/>
            <w:vAlign w:val="center"/>
          </w:tcPr>
          <w:p w14:paraId="735FD1C8" w14:textId="296A1F93" w:rsidR="00D81C20" w:rsidRPr="00D81C20" w:rsidRDefault="00D81C20" w:rsidP="00D81C20">
            <w:pPr>
              <w:autoSpaceDE w:val="0"/>
              <w:autoSpaceDN w:val="0"/>
              <w:adjustRightInd w:val="0"/>
              <w:jc w:val="center"/>
              <w:rPr>
                <w:rFonts w:ascii="Arial" w:eastAsia="Calibri" w:hAnsi="Arial" w:cs="Arial"/>
                <w:bCs/>
                <w:sz w:val="22"/>
                <w:szCs w:val="22"/>
                <w:lang w:eastAsia="en-US"/>
              </w:rPr>
            </w:pPr>
            <w:r w:rsidRPr="00D81C20">
              <w:rPr>
                <w:rFonts w:ascii="MS Gothic" w:eastAsia="MS Gothic" w:hAnsi="MS Gothic" w:cs="Arial" w:hint="eastAsia"/>
                <w:sz w:val="22"/>
                <w:szCs w:val="22"/>
                <w:lang w:eastAsia="en-US"/>
              </w:rPr>
              <w:t>☒</w:t>
            </w:r>
          </w:p>
        </w:tc>
      </w:tr>
      <w:tr w:rsidR="00D81C20" w:rsidRPr="004C3A0B" w14:paraId="5015C38D" w14:textId="77777777" w:rsidTr="00D81C20">
        <w:tc>
          <w:tcPr>
            <w:tcW w:w="270" w:type="pct"/>
            <w:shd w:val="clear" w:color="auto" w:fill="auto"/>
          </w:tcPr>
          <w:p w14:paraId="1B58EF29" w14:textId="77777777" w:rsidR="00D81C20" w:rsidRPr="00D81C20" w:rsidRDefault="00D81C20" w:rsidP="00D81C20">
            <w:pPr>
              <w:autoSpaceDE w:val="0"/>
              <w:autoSpaceDN w:val="0"/>
              <w:adjustRightInd w:val="0"/>
              <w:rPr>
                <w:rFonts w:ascii="Arial" w:eastAsia="Calibri" w:hAnsi="Arial" w:cs="Arial"/>
                <w:bCs/>
                <w:sz w:val="22"/>
                <w:szCs w:val="22"/>
                <w:lang w:eastAsia="en-US"/>
              </w:rPr>
            </w:pPr>
          </w:p>
        </w:tc>
        <w:tc>
          <w:tcPr>
            <w:tcW w:w="4730" w:type="pct"/>
            <w:gridSpan w:val="5"/>
            <w:shd w:val="clear" w:color="auto" w:fill="auto"/>
          </w:tcPr>
          <w:p w14:paraId="3DDBADFE" w14:textId="77777777" w:rsidR="00D81C20" w:rsidRPr="00D81C20" w:rsidRDefault="00D81C20" w:rsidP="00D81C20">
            <w:pPr>
              <w:autoSpaceDE w:val="0"/>
              <w:autoSpaceDN w:val="0"/>
              <w:adjustRightInd w:val="0"/>
              <w:rPr>
                <w:rFonts w:ascii="Arial" w:eastAsia="Calibri" w:hAnsi="Arial" w:cs="Arial"/>
                <w:bCs/>
                <w:sz w:val="22"/>
                <w:szCs w:val="22"/>
                <w:lang w:eastAsia="en-US"/>
              </w:rPr>
            </w:pPr>
          </w:p>
          <w:p w14:paraId="2FAEC8A9" w14:textId="77777777" w:rsidR="00D81C20" w:rsidRPr="00D81C20" w:rsidRDefault="00D81C20" w:rsidP="00D81C20">
            <w:pPr>
              <w:autoSpaceDE w:val="0"/>
              <w:autoSpaceDN w:val="0"/>
              <w:adjustRightInd w:val="0"/>
              <w:rPr>
                <w:rFonts w:ascii="Arial" w:eastAsia="Calibri" w:hAnsi="Arial" w:cs="Arial"/>
                <w:bCs/>
                <w:sz w:val="22"/>
                <w:szCs w:val="22"/>
                <w:lang w:eastAsia="en-US"/>
              </w:rPr>
            </w:pPr>
            <w:r w:rsidRPr="00D81C20">
              <w:rPr>
                <w:rFonts w:ascii="Arial" w:eastAsia="Calibri" w:hAnsi="Arial" w:cs="Arial"/>
                <w:bCs/>
                <w:sz w:val="22"/>
                <w:szCs w:val="22"/>
                <w:lang w:eastAsia="en-US"/>
              </w:rPr>
              <w:t>If Yes, please attach a copy of any final approval (or interim approval) from the organisation (this may be a copy of an email if appropriate).</w:t>
            </w:r>
          </w:p>
          <w:p w14:paraId="5F54B7A3" w14:textId="77777777" w:rsidR="00D81C20" w:rsidRPr="00D81C20" w:rsidRDefault="00D81C20" w:rsidP="00D81C20">
            <w:pPr>
              <w:autoSpaceDE w:val="0"/>
              <w:autoSpaceDN w:val="0"/>
              <w:adjustRightInd w:val="0"/>
              <w:rPr>
                <w:rFonts w:ascii="Arial" w:eastAsia="Calibri" w:hAnsi="Arial" w:cs="Arial"/>
                <w:b/>
                <w:bCs/>
                <w:sz w:val="22"/>
                <w:szCs w:val="22"/>
                <w:lang w:eastAsia="en-US"/>
              </w:rPr>
            </w:pPr>
          </w:p>
        </w:tc>
      </w:tr>
    </w:tbl>
    <w:p w14:paraId="6DFBE22B" w14:textId="77777777" w:rsidR="00D81C20" w:rsidRDefault="00D81C20" w:rsidP="00A91894">
      <w:pPr>
        <w:autoSpaceDE w:val="0"/>
        <w:autoSpaceDN w:val="0"/>
        <w:adjustRightInd w:val="0"/>
        <w:spacing w:after="240"/>
        <w:jc w:val="both"/>
        <w:rPr>
          <w:rFonts w:ascii="Arial" w:hAnsi="Arial" w:cs="Arial"/>
          <w:b/>
          <w:sz w:val="22"/>
          <w:szCs w:val="22"/>
        </w:rPr>
      </w:pPr>
    </w:p>
    <w:p w14:paraId="732085AD" w14:textId="77777777" w:rsidR="00D81C20" w:rsidRPr="004C3A0B" w:rsidRDefault="00D81C20" w:rsidP="00A9189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494"/>
        <w:gridCol w:w="2112"/>
        <w:gridCol w:w="2140"/>
        <w:gridCol w:w="2140"/>
        <w:gridCol w:w="1422"/>
      </w:tblGrid>
      <w:tr w:rsidR="00D81C20" w:rsidRPr="004C3A0B" w14:paraId="341618CC" w14:textId="77777777" w:rsidTr="00D81C20">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vAlign w:val="center"/>
          </w:tcPr>
          <w:p w14:paraId="41B53A01" w14:textId="77777777" w:rsidR="00D81C20" w:rsidRPr="00D66471" w:rsidRDefault="00D81C20" w:rsidP="00A91894">
            <w:pPr>
              <w:rPr>
                <w:rFonts w:ascii="Arial" w:hAnsi="Arial" w:cs="Arial"/>
                <w:sz w:val="22"/>
                <w:szCs w:val="22"/>
              </w:rPr>
            </w:pPr>
            <w:r w:rsidRPr="00D66471">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vAlign w:val="center"/>
          </w:tcPr>
          <w:p w14:paraId="607F1174" w14:textId="77777777" w:rsidR="00D81C20" w:rsidRPr="004C3A0B" w:rsidRDefault="00D81C20" w:rsidP="00A91894">
            <w:pPr>
              <w:rPr>
                <w:rFonts w:ascii="Arial" w:hAnsi="Arial" w:cs="Arial"/>
                <w:sz w:val="22"/>
                <w:szCs w:val="22"/>
              </w:rPr>
            </w:pPr>
            <w:r w:rsidRPr="004C3A0B">
              <w:rPr>
                <w:rFonts w:ascii="Arial" w:hAnsi="Arial"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05CD67DC" w14:textId="77777777" w:rsidR="00D81C20" w:rsidRPr="004C3A0B" w:rsidRDefault="00D81C20" w:rsidP="00A91894">
            <w:pPr>
              <w:rPr>
                <w:rFonts w:ascii="Arial" w:hAnsi="Arial" w:cs="Arial"/>
                <w:sz w:val="22"/>
                <w:szCs w:val="22"/>
              </w:rPr>
            </w:pPr>
            <w:r>
              <w:rPr>
                <w:rFonts w:ascii="Arial" w:hAnsi="Arial" w:cs="Arial"/>
                <w:sz w:val="22"/>
                <w:szCs w:val="22"/>
              </w:rPr>
              <w:t>How did the British Empire impact LGBTQIA+ rights in former colonial countries?</w:t>
            </w:r>
          </w:p>
        </w:tc>
      </w:tr>
      <w:tr w:rsidR="00D81C20" w:rsidRPr="004C3A0B" w14:paraId="01C41D4E" w14:textId="77777777" w:rsidTr="00D81C20">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vAlign w:val="center"/>
          </w:tcPr>
          <w:p w14:paraId="4EC21496" w14:textId="77777777" w:rsidR="00D81C20" w:rsidRPr="00D66471" w:rsidRDefault="00D81C20" w:rsidP="00A91894">
            <w:pPr>
              <w:rPr>
                <w:rFonts w:ascii="Arial" w:hAnsi="Arial" w:cs="Arial"/>
                <w:sz w:val="22"/>
                <w:szCs w:val="22"/>
              </w:rPr>
            </w:pPr>
            <w:r w:rsidRPr="00D66471">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vAlign w:val="center"/>
          </w:tcPr>
          <w:p w14:paraId="069CAD77" w14:textId="77777777" w:rsidR="00D81C20" w:rsidRPr="00D839CD" w:rsidRDefault="00D81C20" w:rsidP="00A91894">
            <w:pPr>
              <w:rPr>
                <w:rFonts w:ascii="Arial" w:hAnsi="Arial" w:cs="Arial"/>
                <w:sz w:val="22"/>
                <w:szCs w:val="22"/>
              </w:rPr>
            </w:pPr>
            <w:r w:rsidRPr="00D839CD">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43B76215" w14:textId="77777777" w:rsidR="00D81C20" w:rsidRPr="00D839CD" w:rsidRDefault="00D81C20" w:rsidP="00A91894">
            <w:pPr>
              <w:rPr>
                <w:rFonts w:ascii="Arial" w:hAnsi="Arial" w:cs="Arial"/>
                <w:sz w:val="22"/>
                <w:szCs w:val="22"/>
              </w:rPr>
            </w:pPr>
            <w:r>
              <w:rPr>
                <w:rFonts w:ascii="Arial" w:hAnsi="Arial" w:cs="Arial"/>
                <w:sz w:val="22"/>
                <w:szCs w:val="22"/>
              </w:rPr>
              <w:t>09/2022</w:t>
            </w:r>
          </w:p>
        </w:tc>
        <w:tc>
          <w:tcPr>
            <w:tcW w:w="1288" w:type="pct"/>
            <w:tcBorders>
              <w:top w:val="single" w:sz="4" w:space="0" w:color="auto"/>
              <w:left w:val="single" w:sz="4" w:space="0" w:color="auto"/>
              <w:bottom w:val="single" w:sz="4" w:space="0" w:color="auto"/>
              <w:right w:val="single" w:sz="4" w:space="0" w:color="auto"/>
            </w:tcBorders>
            <w:shd w:val="clear" w:color="auto" w:fill="F2F2F2"/>
            <w:vAlign w:val="center"/>
          </w:tcPr>
          <w:p w14:paraId="6D3A8DC7" w14:textId="77777777" w:rsidR="00D81C20" w:rsidRPr="00D839CD" w:rsidRDefault="00D81C20" w:rsidP="00A91894">
            <w:pPr>
              <w:rPr>
                <w:rFonts w:ascii="Arial" w:hAnsi="Arial" w:cs="Arial"/>
                <w:sz w:val="22"/>
                <w:szCs w:val="22"/>
              </w:rPr>
            </w:pPr>
            <w:r w:rsidRPr="00D839CD">
              <w:rPr>
                <w:rFonts w:ascii="Arial" w:hAnsi="Arial" w:cs="Arial"/>
                <w:sz w:val="22"/>
                <w:szCs w:val="22"/>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7A5DF670" w14:textId="77777777" w:rsidR="00D81C20" w:rsidRPr="004C3A0B" w:rsidRDefault="00D81C20" w:rsidP="00A91894">
            <w:pPr>
              <w:rPr>
                <w:rFonts w:ascii="Arial" w:hAnsi="Arial" w:cs="Arial"/>
                <w:sz w:val="22"/>
                <w:szCs w:val="22"/>
              </w:rPr>
            </w:pPr>
            <w:r>
              <w:rPr>
                <w:rFonts w:ascii="Arial" w:hAnsi="Arial" w:cs="Arial"/>
                <w:sz w:val="22"/>
                <w:szCs w:val="22"/>
              </w:rPr>
              <w:t>09/2023</w:t>
            </w:r>
          </w:p>
        </w:tc>
      </w:tr>
      <w:tr w:rsidR="00D81C20" w:rsidRPr="004C3A0B" w14:paraId="66443A00" w14:textId="77777777" w:rsidTr="00D81C20">
        <w:trPr>
          <w:trHeight w:val="454"/>
        </w:trPr>
        <w:tc>
          <w:tcPr>
            <w:tcW w:w="297" w:type="pct"/>
            <w:tcBorders>
              <w:top w:val="single" w:sz="4" w:space="0" w:color="auto"/>
            </w:tcBorders>
            <w:shd w:val="clear" w:color="auto" w:fill="F2F2F2"/>
            <w:vAlign w:val="center"/>
          </w:tcPr>
          <w:p w14:paraId="5BA4DB21" w14:textId="77777777" w:rsidR="00D81C20" w:rsidRPr="002132F9" w:rsidRDefault="00D81C20" w:rsidP="00A91894">
            <w:pPr>
              <w:spacing w:before="120" w:after="120"/>
              <w:rPr>
                <w:rFonts w:ascii="Arial" w:hAnsi="Arial" w:cs="Arial"/>
                <w:sz w:val="22"/>
                <w:szCs w:val="22"/>
              </w:rPr>
            </w:pPr>
          </w:p>
        </w:tc>
        <w:tc>
          <w:tcPr>
            <w:tcW w:w="4703" w:type="pct"/>
            <w:gridSpan w:val="4"/>
            <w:tcBorders>
              <w:top w:val="single" w:sz="4" w:space="0" w:color="auto"/>
            </w:tcBorders>
            <w:shd w:val="clear" w:color="auto" w:fill="F2F2F2"/>
            <w:vAlign w:val="center"/>
          </w:tcPr>
          <w:p w14:paraId="5E7757C2" w14:textId="77777777" w:rsidR="00D81C20" w:rsidRDefault="00D81C20" w:rsidP="00A91894">
            <w:pPr>
              <w:spacing w:before="120" w:after="120"/>
              <w:rPr>
                <w:rFonts w:ascii="Arial" w:hAnsi="Arial" w:cs="Arial"/>
                <w:b/>
                <w:sz w:val="22"/>
                <w:szCs w:val="22"/>
              </w:rPr>
            </w:pPr>
            <w:r>
              <w:rPr>
                <w:rFonts w:ascii="Arial" w:hAnsi="Arial" w:cs="Arial"/>
                <w:b/>
                <w:sz w:val="22"/>
                <w:szCs w:val="22"/>
              </w:rPr>
              <w:t>Introduction to the Research (maximum 300 words per section)</w:t>
            </w:r>
          </w:p>
          <w:p w14:paraId="236E84FF" w14:textId="77777777" w:rsidR="00D81C20" w:rsidRPr="009D2E0B" w:rsidRDefault="00D81C20" w:rsidP="00A91894">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points below:</w:t>
            </w:r>
          </w:p>
          <w:p w14:paraId="61F0E41B" w14:textId="77777777" w:rsidR="00D81C20" w:rsidRPr="006C1FDD" w:rsidRDefault="00D81C20" w:rsidP="00D81C20">
            <w:pPr>
              <w:pStyle w:val="ListParagraph"/>
              <w:numPr>
                <w:ilvl w:val="0"/>
                <w:numId w:val="33"/>
              </w:numPr>
              <w:spacing w:after="0" w:line="240" w:lineRule="auto"/>
              <w:ind w:left="0"/>
              <w:contextualSpacing w:val="0"/>
              <w:rPr>
                <w:rFonts w:ascii="Arial" w:hAnsi="Arial" w:cs="Arial"/>
                <w:i/>
              </w:rPr>
            </w:pPr>
            <w:r w:rsidRPr="006C1FDD">
              <w:rPr>
                <w:rFonts w:ascii="Arial" w:hAnsi="Arial" w:cs="Arial"/>
                <w:i/>
              </w:rPr>
              <w:t>Purpose of Research Activity</w:t>
            </w:r>
          </w:p>
          <w:p w14:paraId="716BC5DC" w14:textId="77777777" w:rsidR="00D81C20" w:rsidRPr="006C1FDD" w:rsidRDefault="00D81C20" w:rsidP="00D81C20">
            <w:pPr>
              <w:pStyle w:val="ListParagraph"/>
              <w:numPr>
                <w:ilvl w:val="0"/>
                <w:numId w:val="33"/>
              </w:numPr>
              <w:spacing w:after="0" w:line="240" w:lineRule="auto"/>
              <w:ind w:left="0"/>
              <w:contextualSpacing w:val="0"/>
              <w:rPr>
                <w:rFonts w:ascii="Arial" w:hAnsi="Arial" w:cs="Arial"/>
                <w:i/>
              </w:rPr>
            </w:pPr>
            <w:r w:rsidRPr="006C1FDD">
              <w:rPr>
                <w:rFonts w:ascii="Arial" w:hAnsi="Arial" w:cs="Arial"/>
                <w:i/>
              </w:rPr>
              <w:t>Proposed Research Question</w:t>
            </w:r>
          </w:p>
          <w:p w14:paraId="4E9271E5" w14:textId="77777777" w:rsidR="00D81C20" w:rsidRPr="009D2E0B" w:rsidRDefault="00D81C20" w:rsidP="00D81C20">
            <w:pPr>
              <w:pStyle w:val="ListParagraph"/>
              <w:numPr>
                <w:ilvl w:val="0"/>
                <w:numId w:val="33"/>
              </w:numPr>
              <w:spacing w:after="0" w:line="240" w:lineRule="auto"/>
              <w:ind w:left="0"/>
              <w:contextualSpacing w:val="0"/>
              <w:rPr>
                <w:rFonts w:ascii="Arial" w:hAnsi="Arial" w:cs="Arial"/>
                <w:i/>
              </w:rPr>
            </w:pPr>
            <w:r w:rsidRPr="009D2E0B">
              <w:rPr>
                <w:rFonts w:ascii="Arial" w:hAnsi="Arial" w:cs="Arial"/>
                <w:i/>
              </w:rPr>
              <w:t>Aims of Research Activity</w:t>
            </w:r>
          </w:p>
          <w:p w14:paraId="63284A76" w14:textId="77777777" w:rsidR="00D81C20" w:rsidRPr="009D2E0B" w:rsidRDefault="00D81C20" w:rsidP="00D81C20">
            <w:pPr>
              <w:pStyle w:val="ListParagraph"/>
              <w:numPr>
                <w:ilvl w:val="0"/>
                <w:numId w:val="33"/>
              </w:numPr>
              <w:spacing w:after="240" w:line="240" w:lineRule="auto"/>
              <w:ind w:left="0" w:hanging="357"/>
              <w:contextualSpacing w:val="0"/>
              <w:rPr>
                <w:rFonts w:ascii="Arial" w:hAnsi="Arial" w:cs="Arial"/>
                <w:i/>
              </w:rPr>
            </w:pPr>
            <w:r w:rsidRPr="009D2E0B">
              <w:rPr>
                <w:rFonts w:ascii="Arial" w:hAnsi="Arial" w:cs="Arial"/>
                <w:i/>
              </w:rPr>
              <w:t>Objectives of Research Activity</w:t>
            </w:r>
          </w:p>
          <w:p w14:paraId="1BBD7CC4" w14:textId="77777777" w:rsidR="00D81C20" w:rsidRDefault="00D81C20" w:rsidP="00A91894">
            <w:pPr>
              <w:spacing w:after="120"/>
              <w:rPr>
                <w:rFonts w:ascii="Arial" w:hAnsi="Arial" w:cs="Arial"/>
                <w:sz w:val="22"/>
                <w:szCs w:val="22"/>
              </w:rPr>
            </w:pPr>
            <w:r>
              <w:rPr>
                <w:rFonts w:ascii="Arial" w:hAnsi="Arial" w:cs="Arial"/>
                <w:sz w:val="22"/>
                <w:szCs w:val="22"/>
              </w:rPr>
              <w:t>Demonstrate,</w:t>
            </w:r>
            <w:r w:rsidRPr="004C3A0B">
              <w:rPr>
                <w:rFonts w:ascii="Arial" w:hAnsi="Arial" w:cs="Arial"/>
                <w:sz w:val="22"/>
                <w:szCs w:val="22"/>
              </w:rPr>
              <w:t xml:space="preserve"> briefly</w:t>
            </w:r>
            <w:r>
              <w:rPr>
                <w:rFonts w:ascii="Arial" w:hAnsi="Arial" w:cs="Arial"/>
                <w:sz w:val="22"/>
                <w:szCs w:val="22"/>
              </w:rPr>
              <w:t>,</w:t>
            </w:r>
            <w:r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has informed the proposed activity and explain</w:t>
            </w:r>
          </w:p>
          <w:p w14:paraId="4F683442" w14:textId="77777777" w:rsidR="00D81C20" w:rsidRPr="009D2E0B" w:rsidRDefault="00D81C20" w:rsidP="00D81C20">
            <w:pPr>
              <w:pStyle w:val="ListParagraph"/>
              <w:numPr>
                <w:ilvl w:val="0"/>
                <w:numId w:val="33"/>
              </w:numPr>
              <w:spacing w:after="0" w:line="240" w:lineRule="auto"/>
              <w:ind w:left="0"/>
              <w:contextualSpacing w:val="0"/>
              <w:rPr>
                <w:rFonts w:ascii="Arial" w:hAnsi="Arial" w:cs="Arial"/>
                <w:i/>
              </w:rPr>
            </w:pPr>
            <w:r w:rsidRPr="009D2E0B">
              <w:rPr>
                <w:rFonts w:ascii="Arial" w:hAnsi="Arial" w:cs="Arial"/>
                <w:i/>
              </w:rPr>
              <w:t xml:space="preserve">What the research activity will add to the body of knowledge </w:t>
            </w:r>
          </w:p>
          <w:p w14:paraId="6BA9A5A2" w14:textId="77777777" w:rsidR="00D81C20" w:rsidRPr="009D2E0B" w:rsidRDefault="00D81C20" w:rsidP="00D81C20">
            <w:pPr>
              <w:pStyle w:val="ListParagraph"/>
              <w:numPr>
                <w:ilvl w:val="0"/>
                <w:numId w:val="33"/>
              </w:numPr>
              <w:spacing w:after="0" w:line="240" w:lineRule="auto"/>
              <w:ind w:left="0"/>
              <w:contextualSpacing w:val="0"/>
              <w:rPr>
                <w:rFonts w:ascii="Arial" w:hAnsi="Arial" w:cs="Arial"/>
              </w:rPr>
            </w:pPr>
            <w:r w:rsidRPr="009D2E0B">
              <w:rPr>
                <w:rFonts w:ascii="Arial" w:hAnsi="Arial" w:cs="Arial"/>
                <w:i/>
              </w:rPr>
              <w:t xml:space="preserve">How it addresses an area of importance. </w:t>
            </w:r>
          </w:p>
        </w:tc>
      </w:tr>
      <w:tr w:rsidR="00D81C20" w:rsidRPr="004C3A0B" w:rsidDel="002A152D" w14:paraId="2A8168B6" w14:textId="77777777" w:rsidTr="005078BE">
        <w:trPr>
          <w:trHeight w:val="454"/>
        </w:trPr>
        <w:tc>
          <w:tcPr>
            <w:tcW w:w="297" w:type="pct"/>
            <w:vAlign w:val="center"/>
          </w:tcPr>
          <w:p w14:paraId="6271FF78" w14:textId="77777777" w:rsidR="00D81C20" w:rsidRPr="002132F9" w:rsidRDefault="00D81C20" w:rsidP="00A91894">
            <w:pPr>
              <w:autoSpaceDE w:val="0"/>
              <w:autoSpaceDN w:val="0"/>
              <w:adjustRightInd w:val="0"/>
              <w:rPr>
                <w:rFonts w:ascii="Arial" w:hAnsi="Arial" w:cs="Arial"/>
                <w:sz w:val="22"/>
                <w:szCs w:val="22"/>
              </w:rPr>
            </w:pPr>
            <w:r>
              <w:rPr>
                <w:rFonts w:ascii="Arial" w:hAnsi="Arial" w:cs="Arial"/>
                <w:sz w:val="22"/>
                <w:szCs w:val="22"/>
              </w:rPr>
              <w:t>3</w:t>
            </w:r>
          </w:p>
        </w:tc>
        <w:tc>
          <w:tcPr>
            <w:tcW w:w="4703" w:type="pct"/>
            <w:gridSpan w:val="4"/>
            <w:vAlign w:val="center"/>
          </w:tcPr>
          <w:p w14:paraId="4A6286E5" w14:textId="77777777" w:rsidR="00D81C20" w:rsidRPr="009D2E0B" w:rsidRDefault="00D81C20" w:rsidP="00A91894">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40DDD309" w14:textId="77777777" w:rsidR="00D81C20" w:rsidRDefault="00D81C20" w:rsidP="00A91894">
            <w:pPr>
              <w:rPr>
                <w:rFonts w:ascii="Arial" w:hAnsi="Arial" w:cs="Arial"/>
              </w:rPr>
            </w:pPr>
          </w:p>
          <w:p w14:paraId="18F5E3ED" w14:textId="617A3A7A" w:rsidR="00D81C20" w:rsidRDefault="00D81C20" w:rsidP="00A91894">
            <w:pPr>
              <w:rPr>
                <w:rFonts w:ascii="Arial" w:hAnsi="Arial" w:cs="Arial"/>
              </w:rPr>
            </w:pPr>
            <w:r>
              <w:rPr>
                <w:color w:val="000000"/>
                <w:sz w:val="27"/>
                <w:szCs w:val="27"/>
              </w:rPr>
              <w:t xml:space="preserve">Thirty-six out of fifty-four former </w:t>
            </w:r>
            <w:r w:rsidR="00BA2220">
              <w:rPr>
                <w:color w:val="000000"/>
                <w:sz w:val="27"/>
                <w:szCs w:val="27"/>
              </w:rPr>
              <w:t xml:space="preserve">British Colonies </w:t>
            </w:r>
            <w:r>
              <w:rPr>
                <w:color w:val="000000"/>
                <w:sz w:val="27"/>
                <w:szCs w:val="27"/>
              </w:rPr>
              <w:t xml:space="preserve">discriminate against same-sex sexual behaviour (BBC, 2021), although trans rights are not coded in some countries’ legislation many see trans people as deviant from heteronormative practices, which were heavily influenced by the British Empire views of morality (Human Rights Watch, 2008). The anti-same-sex legislation is an impact of the British Empire (ibid.) which introduced anti-same-sex legislation in the British Empire’s colonies (ibid). This thesis explores pre-colonisation, during colonisation and the current context to ascertain an understanding of </w:t>
            </w:r>
            <w:r>
              <w:rPr>
                <w:color w:val="000000"/>
                <w:sz w:val="27"/>
                <w:szCs w:val="27"/>
              </w:rPr>
              <w:lastRenderedPageBreak/>
              <w:t>the impact the British Empire had on LGBTQIA+ rights in former colonial countries.</w:t>
            </w:r>
          </w:p>
          <w:p w14:paraId="2C35C4E7" w14:textId="77777777" w:rsidR="00D81C20" w:rsidRDefault="00D81C20" w:rsidP="00A91894">
            <w:pPr>
              <w:rPr>
                <w:rFonts w:ascii="Arial" w:hAnsi="Arial" w:cs="Arial"/>
              </w:rPr>
            </w:pPr>
          </w:p>
          <w:p w14:paraId="25CFA889" w14:textId="77777777" w:rsidR="00D81C20" w:rsidRPr="002A152D" w:rsidDel="00425DA7" w:rsidRDefault="00D81C20" w:rsidP="00A91894">
            <w:pPr>
              <w:rPr>
                <w:rFonts w:ascii="Arial" w:hAnsi="Arial" w:cs="Arial"/>
              </w:rPr>
            </w:pPr>
            <w:r w:rsidRPr="004C3A0B">
              <w:rPr>
                <w:rFonts w:ascii="Arial" w:hAnsi="Arial" w:cs="Arial"/>
                <w:color w:val="808080"/>
                <w:sz w:val="18"/>
                <w:szCs w:val="18"/>
              </w:rPr>
              <w:t>(this box should expand as you type)</w:t>
            </w:r>
          </w:p>
        </w:tc>
      </w:tr>
      <w:tr w:rsidR="00D81C20" w:rsidRPr="006C1FDD" w:rsidDel="002A152D" w14:paraId="79AF4A03" w14:textId="77777777" w:rsidTr="005078BE">
        <w:trPr>
          <w:trHeight w:val="454"/>
        </w:trPr>
        <w:tc>
          <w:tcPr>
            <w:tcW w:w="297" w:type="pct"/>
            <w:vAlign w:val="center"/>
          </w:tcPr>
          <w:p w14:paraId="419AD8E5" w14:textId="77777777" w:rsidR="00D81C20" w:rsidRPr="002132F9" w:rsidRDefault="00D81C20" w:rsidP="00A91894">
            <w:pPr>
              <w:autoSpaceDE w:val="0"/>
              <w:autoSpaceDN w:val="0"/>
              <w:adjustRightInd w:val="0"/>
              <w:rPr>
                <w:rFonts w:ascii="Arial" w:hAnsi="Arial" w:cs="Arial"/>
                <w:sz w:val="22"/>
                <w:szCs w:val="22"/>
              </w:rPr>
            </w:pPr>
            <w:r>
              <w:rPr>
                <w:rFonts w:ascii="Arial" w:hAnsi="Arial" w:cs="Arial"/>
                <w:sz w:val="22"/>
                <w:szCs w:val="22"/>
              </w:rPr>
              <w:lastRenderedPageBreak/>
              <w:t>4</w:t>
            </w:r>
          </w:p>
        </w:tc>
        <w:tc>
          <w:tcPr>
            <w:tcW w:w="4703" w:type="pct"/>
            <w:gridSpan w:val="4"/>
            <w:vAlign w:val="center"/>
          </w:tcPr>
          <w:p w14:paraId="6C7FADAB" w14:textId="77777777" w:rsidR="00D81C20" w:rsidRPr="006C1FDD" w:rsidRDefault="00D81C20" w:rsidP="00A91894">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79366936" w14:textId="77777777" w:rsidR="00D81C20" w:rsidRPr="006C1FDD" w:rsidRDefault="00D81C20" w:rsidP="00A91894">
            <w:pPr>
              <w:rPr>
                <w:rFonts w:ascii="Arial" w:hAnsi="Arial" w:cs="Arial"/>
              </w:rPr>
            </w:pPr>
          </w:p>
          <w:p w14:paraId="376F32A1" w14:textId="77777777" w:rsidR="00D81C20" w:rsidRPr="006C1FDD" w:rsidRDefault="00D81C20" w:rsidP="00A91894">
            <w:pPr>
              <w:rPr>
                <w:rFonts w:ascii="Arial" w:hAnsi="Arial" w:cs="Arial"/>
              </w:rPr>
            </w:pPr>
            <w:r>
              <w:rPr>
                <w:rFonts w:ascii="Arial" w:hAnsi="Arial" w:cs="Arial"/>
              </w:rPr>
              <w:t xml:space="preserve">The research question is: </w:t>
            </w:r>
            <w:r>
              <w:rPr>
                <w:rFonts w:ascii="Arial" w:hAnsi="Arial" w:cs="Arial"/>
                <w:sz w:val="22"/>
                <w:szCs w:val="22"/>
              </w:rPr>
              <w:t>How did the British Empire impact LGBTQIA+ rights in former colonial countries?</w:t>
            </w:r>
          </w:p>
          <w:p w14:paraId="3FF627A0" w14:textId="77777777" w:rsidR="00D81C20" w:rsidRPr="006C1FDD" w:rsidRDefault="00D81C20" w:rsidP="00A91894">
            <w:pPr>
              <w:rPr>
                <w:rFonts w:ascii="Arial" w:hAnsi="Arial" w:cs="Arial"/>
                <w:sz w:val="22"/>
                <w:szCs w:val="22"/>
              </w:rPr>
            </w:pPr>
          </w:p>
          <w:p w14:paraId="615AF67F" w14:textId="77777777" w:rsidR="00D81C20" w:rsidRPr="006C1FDD" w:rsidRDefault="00D81C20" w:rsidP="00A91894">
            <w:pPr>
              <w:autoSpaceDE w:val="0"/>
              <w:autoSpaceDN w:val="0"/>
              <w:adjustRightInd w:val="0"/>
              <w:rPr>
                <w:rFonts w:ascii="Arial" w:hAnsi="Arial" w:cs="Arial"/>
                <w:b/>
                <w:bCs/>
                <w:sz w:val="22"/>
                <w:szCs w:val="22"/>
              </w:rPr>
            </w:pPr>
            <w:r w:rsidRPr="006C1FDD">
              <w:rPr>
                <w:rFonts w:ascii="Arial" w:hAnsi="Arial" w:cs="Arial"/>
                <w:sz w:val="18"/>
                <w:szCs w:val="18"/>
              </w:rPr>
              <w:t>(this box should expand as you type)</w:t>
            </w:r>
          </w:p>
        </w:tc>
      </w:tr>
      <w:tr w:rsidR="00D81C20" w:rsidRPr="004C3A0B" w14:paraId="3B43169C" w14:textId="77777777" w:rsidTr="005078BE">
        <w:trPr>
          <w:trHeight w:val="454"/>
        </w:trPr>
        <w:tc>
          <w:tcPr>
            <w:tcW w:w="297" w:type="pct"/>
            <w:vAlign w:val="center"/>
          </w:tcPr>
          <w:p w14:paraId="54B75A29" w14:textId="77777777" w:rsidR="00D81C20" w:rsidRPr="002132F9" w:rsidRDefault="00D81C20" w:rsidP="00A91894">
            <w:pPr>
              <w:autoSpaceDE w:val="0"/>
              <w:autoSpaceDN w:val="0"/>
              <w:adjustRightInd w:val="0"/>
              <w:rPr>
                <w:rFonts w:ascii="Arial" w:hAnsi="Arial" w:cs="Arial"/>
                <w:sz w:val="22"/>
                <w:szCs w:val="22"/>
              </w:rPr>
            </w:pPr>
            <w:r>
              <w:rPr>
                <w:rFonts w:ascii="Arial" w:hAnsi="Arial" w:cs="Arial"/>
                <w:sz w:val="22"/>
                <w:szCs w:val="22"/>
              </w:rPr>
              <w:t>5</w:t>
            </w:r>
          </w:p>
        </w:tc>
        <w:tc>
          <w:tcPr>
            <w:tcW w:w="4703" w:type="pct"/>
            <w:gridSpan w:val="4"/>
            <w:vAlign w:val="center"/>
          </w:tcPr>
          <w:p w14:paraId="190AC784" w14:textId="77777777" w:rsidR="00D81C20" w:rsidRPr="009D2E0B" w:rsidRDefault="00D81C20" w:rsidP="00A91894">
            <w:pPr>
              <w:autoSpaceDE w:val="0"/>
              <w:autoSpaceDN w:val="0"/>
              <w:adjustRightInd w:val="0"/>
              <w:rPr>
                <w:rFonts w:ascii="Arial" w:hAnsi="Arial" w:cs="Arial"/>
                <w:b/>
                <w:bCs/>
                <w:sz w:val="22"/>
                <w:szCs w:val="22"/>
              </w:rPr>
            </w:pPr>
            <w:r w:rsidRPr="009D2E0B">
              <w:rPr>
                <w:rFonts w:ascii="Arial" w:hAnsi="Arial" w:cs="Arial"/>
                <w:b/>
                <w:bCs/>
                <w:sz w:val="22"/>
                <w:szCs w:val="22"/>
              </w:rPr>
              <w:t>Aims of Research Activity</w:t>
            </w:r>
          </w:p>
          <w:p w14:paraId="4D94C6A7" w14:textId="77777777" w:rsidR="00D81C20" w:rsidRDefault="00D81C20" w:rsidP="00A91894">
            <w:pPr>
              <w:rPr>
                <w:rFonts w:ascii="Arial" w:hAnsi="Arial" w:cs="Arial"/>
              </w:rPr>
            </w:pPr>
          </w:p>
          <w:p w14:paraId="5F95DB3E" w14:textId="77777777" w:rsidR="00D81C20" w:rsidRDefault="00D81C20" w:rsidP="00A91894">
            <w:pPr>
              <w:rPr>
                <w:rFonts w:ascii="Arial" w:hAnsi="Arial" w:cs="Arial"/>
              </w:rPr>
            </w:pPr>
            <w:r>
              <w:rPr>
                <w:color w:val="000000"/>
                <w:sz w:val="27"/>
                <w:szCs w:val="27"/>
              </w:rPr>
              <w:t>An exploration of the impact that the British Empire had on former colonial countries LGBTQIA+ rights.</w:t>
            </w:r>
          </w:p>
          <w:p w14:paraId="1308CCEB" w14:textId="77777777" w:rsidR="00D81C20" w:rsidRPr="004C3A0B" w:rsidRDefault="00D81C20" w:rsidP="00A91894">
            <w:pPr>
              <w:rPr>
                <w:rFonts w:ascii="Arial" w:hAnsi="Arial" w:cs="Arial"/>
                <w:sz w:val="22"/>
                <w:szCs w:val="22"/>
              </w:rPr>
            </w:pPr>
          </w:p>
          <w:p w14:paraId="53A9FC5B" w14:textId="77777777" w:rsidR="00D81C20" w:rsidRPr="002A152D" w:rsidRDefault="00D81C20" w:rsidP="00A91894">
            <w:pPr>
              <w:rPr>
                <w:rFonts w:ascii="Arial" w:hAnsi="Arial" w:cs="Arial"/>
              </w:rPr>
            </w:pPr>
            <w:r w:rsidRPr="004C3A0B">
              <w:rPr>
                <w:rFonts w:ascii="Arial" w:hAnsi="Arial" w:cs="Arial"/>
                <w:color w:val="808080"/>
                <w:sz w:val="18"/>
                <w:szCs w:val="18"/>
              </w:rPr>
              <w:t>(this box should expand as you type)</w:t>
            </w:r>
          </w:p>
        </w:tc>
      </w:tr>
      <w:tr w:rsidR="00D81C20" w:rsidRPr="004C3A0B" w14:paraId="57637F33" w14:textId="77777777" w:rsidTr="005078BE">
        <w:trPr>
          <w:trHeight w:val="454"/>
        </w:trPr>
        <w:tc>
          <w:tcPr>
            <w:tcW w:w="297" w:type="pct"/>
            <w:vAlign w:val="center"/>
          </w:tcPr>
          <w:p w14:paraId="17C73990" w14:textId="77777777" w:rsidR="00D81C20" w:rsidRPr="002132F9" w:rsidRDefault="00D81C20" w:rsidP="00A91894">
            <w:pPr>
              <w:autoSpaceDE w:val="0"/>
              <w:autoSpaceDN w:val="0"/>
              <w:adjustRightInd w:val="0"/>
              <w:rPr>
                <w:rFonts w:ascii="Arial" w:hAnsi="Arial" w:cs="Arial"/>
                <w:sz w:val="22"/>
                <w:szCs w:val="22"/>
              </w:rPr>
            </w:pPr>
            <w:r>
              <w:rPr>
                <w:rFonts w:ascii="Arial" w:hAnsi="Arial" w:cs="Arial"/>
                <w:sz w:val="22"/>
                <w:szCs w:val="22"/>
              </w:rPr>
              <w:t>6</w:t>
            </w:r>
          </w:p>
        </w:tc>
        <w:tc>
          <w:tcPr>
            <w:tcW w:w="4703" w:type="pct"/>
            <w:gridSpan w:val="4"/>
            <w:vAlign w:val="center"/>
          </w:tcPr>
          <w:p w14:paraId="50F80973" w14:textId="77777777" w:rsidR="00D81C20" w:rsidRPr="009D2E0B" w:rsidRDefault="00D81C20" w:rsidP="00A91894">
            <w:pPr>
              <w:autoSpaceDE w:val="0"/>
              <w:autoSpaceDN w:val="0"/>
              <w:adjustRightInd w:val="0"/>
              <w:rPr>
                <w:rFonts w:ascii="Arial" w:hAnsi="Arial" w:cs="Arial"/>
                <w:b/>
                <w:bCs/>
                <w:sz w:val="22"/>
                <w:szCs w:val="22"/>
              </w:rPr>
            </w:pPr>
            <w:r w:rsidRPr="009D2E0B">
              <w:rPr>
                <w:rFonts w:ascii="Arial" w:hAnsi="Arial" w:cs="Arial"/>
                <w:b/>
                <w:bCs/>
                <w:sz w:val="22"/>
                <w:szCs w:val="22"/>
              </w:rPr>
              <w:t>Objectives of Research Activity</w:t>
            </w:r>
          </w:p>
          <w:p w14:paraId="568F6D33" w14:textId="77777777" w:rsidR="00D81C20" w:rsidRDefault="00D81C20" w:rsidP="00A91894">
            <w:pPr>
              <w:rPr>
                <w:rFonts w:ascii="Arial" w:hAnsi="Arial" w:cs="Arial"/>
              </w:rPr>
            </w:pPr>
          </w:p>
          <w:p w14:paraId="575D10FF" w14:textId="77777777" w:rsidR="00D81C20" w:rsidRDefault="00D81C20" w:rsidP="00A91894">
            <w:pPr>
              <w:rPr>
                <w:rFonts w:ascii="Arial" w:hAnsi="Arial" w:cs="Arial"/>
                <w:sz w:val="22"/>
                <w:szCs w:val="22"/>
              </w:rPr>
            </w:pPr>
            <w:r>
              <w:rPr>
                <w:color w:val="000000"/>
                <w:sz w:val="27"/>
                <w:szCs w:val="27"/>
              </w:rPr>
              <w:t xml:space="preserve">Desk research will be undertaken to establish themes using thematic analysis. The themes which are identified will be synthesised to establish if there is a correlation. </w:t>
            </w:r>
          </w:p>
          <w:p w14:paraId="2861EDD1" w14:textId="77777777" w:rsidR="00D81C20" w:rsidRPr="004C3A0B" w:rsidRDefault="00D81C20" w:rsidP="00A91894">
            <w:pPr>
              <w:rPr>
                <w:rFonts w:ascii="Arial" w:hAnsi="Arial" w:cs="Arial"/>
                <w:sz w:val="22"/>
                <w:szCs w:val="22"/>
              </w:rPr>
            </w:pPr>
          </w:p>
          <w:p w14:paraId="4FED22F9" w14:textId="77777777" w:rsidR="00D81C20" w:rsidRPr="004C3A0B" w:rsidRDefault="00D81C20" w:rsidP="00A91894">
            <w:pPr>
              <w:rPr>
                <w:rFonts w:ascii="Arial" w:hAnsi="Arial" w:cs="Arial"/>
                <w:sz w:val="22"/>
                <w:szCs w:val="22"/>
              </w:rPr>
            </w:pPr>
            <w:r w:rsidRPr="004C3A0B">
              <w:rPr>
                <w:rFonts w:ascii="Arial" w:hAnsi="Arial" w:cs="Arial"/>
                <w:color w:val="808080"/>
                <w:sz w:val="18"/>
                <w:szCs w:val="18"/>
              </w:rPr>
              <w:t>(this box should expand as you type)</w:t>
            </w:r>
          </w:p>
        </w:tc>
      </w:tr>
      <w:tr w:rsidR="00D81C20" w:rsidRPr="004C3A0B" w14:paraId="0F94AFA8" w14:textId="77777777" w:rsidTr="00D81C20">
        <w:trPr>
          <w:trHeight w:val="454"/>
        </w:trPr>
        <w:tc>
          <w:tcPr>
            <w:tcW w:w="297" w:type="pct"/>
            <w:shd w:val="clear" w:color="auto" w:fill="F2F2F2"/>
            <w:vAlign w:val="center"/>
          </w:tcPr>
          <w:p w14:paraId="1F13B214" w14:textId="77777777" w:rsidR="00D81C20" w:rsidRPr="002132F9" w:rsidRDefault="00D81C20" w:rsidP="00A91894">
            <w:pPr>
              <w:spacing w:before="120" w:after="120"/>
              <w:rPr>
                <w:rFonts w:ascii="Arial" w:hAnsi="Arial" w:cs="Arial"/>
                <w:sz w:val="22"/>
                <w:szCs w:val="22"/>
              </w:rPr>
            </w:pPr>
          </w:p>
        </w:tc>
        <w:tc>
          <w:tcPr>
            <w:tcW w:w="4703" w:type="pct"/>
            <w:gridSpan w:val="4"/>
            <w:shd w:val="clear" w:color="auto" w:fill="F2F2F2"/>
            <w:vAlign w:val="center"/>
          </w:tcPr>
          <w:p w14:paraId="51A367FB" w14:textId="77777777" w:rsidR="00D81C20" w:rsidRPr="004C3A0B" w:rsidRDefault="00D81C20" w:rsidP="00A91894">
            <w:pPr>
              <w:spacing w:before="120" w:after="120"/>
              <w:rPr>
                <w:rFonts w:ascii="Arial" w:hAnsi="Arial" w:cs="Arial"/>
                <w:b/>
                <w:sz w:val="22"/>
                <w:szCs w:val="22"/>
              </w:rPr>
            </w:pPr>
            <w:r w:rsidRPr="004C3A0B">
              <w:rPr>
                <w:rFonts w:ascii="Arial" w:hAnsi="Arial" w:cs="Arial"/>
                <w:b/>
                <w:sz w:val="22"/>
                <w:szCs w:val="22"/>
              </w:rPr>
              <w:t>Proposed methods</w:t>
            </w:r>
            <w:r>
              <w:rPr>
                <w:rFonts w:ascii="Arial" w:hAnsi="Arial" w:cs="Arial"/>
                <w:b/>
                <w:sz w:val="22"/>
                <w:szCs w:val="22"/>
              </w:rPr>
              <w:t xml:space="preserve"> (maximum 600 words)</w:t>
            </w:r>
          </w:p>
          <w:p w14:paraId="04D8E34D" w14:textId="77777777" w:rsidR="00D81C20" w:rsidRPr="004C3A0B" w:rsidRDefault="00D81C20" w:rsidP="00A91894">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w:t>
            </w:r>
            <w:r>
              <w:rPr>
                <w:rFonts w:ascii="Arial" w:hAnsi="Arial" w:cs="Arial"/>
                <w:sz w:val="22"/>
                <w:szCs w:val="22"/>
              </w:rPr>
              <w:t>ll be needed. You do not need to justify the methods here, but should instead describe how you intend to collect the data necessary for you to complete your project.</w:t>
            </w:r>
          </w:p>
        </w:tc>
      </w:tr>
      <w:tr w:rsidR="00D81C20" w:rsidRPr="004C3A0B" w14:paraId="3E24BD75" w14:textId="77777777" w:rsidTr="005078BE">
        <w:trPr>
          <w:trHeight w:val="454"/>
        </w:trPr>
        <w:tc>
          <w:tcPr>
            <w:tcW w:w="297" w:type="pct"/>
            <w:vAlign w:val="center"/>
          </w:tcPr>
          <w:p w14:paraId="562379BA" w14:textId="77777777" w:rsidR="00D81C20" w:rsidRPr="00D66471" w:rsidRDefault="00D81C20" w:rsidP="00A91894">
            <w:pPr>
              <w:rPr>
                <w:rFonts w:ascii="Arial" w:hAnsi="Arial" w:cs="Arial"/>
                <w:sz w:val="22"/>
                <w:szCs w:val="22"/>
              </w:rPr>
            </w:pPr>
            <w:r>
              <w:rPr>
                <w:rFonts w:ascii="Arial" w:hAnsi="Arial" w:cs="Arial"/>
                <w:sz w:val="22"/>
                <w:szCs w:val="22"/>
              </w:rPr>
              <w:t>7</w:t>
            </w:r>
          </w:p>
        </w:tc>
        <w:tc>
          <w:tcPr>
            <w:tcW w:w="4703" w:type="pct"/>
            <w:gridSpan w:val="4"/>
            <w:vAlign w:val="center"/>
          </w:tcPr>
          <w:p w14:paraId="2A01A92B" w14:textId="77777777" w:rsidR="00D81C20" w:rsidRPr="004C3A0B" w:rsidRDefault="00D81C20" w:rsidP="00A91894">
            <w:pPr>
              <w:rPr>
                <w:rFonts w:ascii="Arial" w:hAnsi="Arial" w:cs="Arial"/>
                <w:sz w:val="22"/>
                <w:szCs w:val="22"/>
              </w:rPr>
            </w:pPr>
          </w:p>
          <w:p w14:paraId="1CC38CDF" w14:textId="77777777" w:rsidR="00D81C20" w:rsidRPr="004C3A0B" w:rsidRDefault="00D81C20" w:rsidP="00A91894">
            <w:pPr>
              <w:rPr>
                <w:rFonts w:ascii="Arial" w:hAnsi="Arial" w:cs="Arial"/>
                <w:sz w:val="22"/>
                <w:szCs w:val="22"/>
              </w:rPr>
            </w:pPr>
            <w:r>
              <w:rPr>
                <w:rFonts w:ascii="Arial" w:hAnsi="Arial" w:cs="Arial"/>
                <w:sz w:val="22"/>
                <w:szCs w:val="22"/>
              </w:rPr>
              <w:t>This critical study’s method collects secondary source information only and is non-empirical research. The data collected will be primarily qualitative and is based on interpretive methodology/ I shall be using thematic analysis to highlight themes for discussions, as I will be interpreting legal texts and academic research on this subject.</w:t>
            </w:r>
          </w:p>
          <w:p w14:paraId="15000DF9" w14:textId="77777777" w:rsidR="00D81C20" w:rsidRPr="004C3A0B" w:rsidRDefault="00D81C20" w:rsidP="00A91894">
            <w:pPr>
              <w:rPr>
                <w:rFonts w:ascii="Arial" w:hAnsi="Arial" w:cs="Arial"/>
                <w:b/>
                <w:sz w:val="22"/>
                <w:szCs w:val="22"/>
              </w:rPr>
            </w:pPr>
            <w:r w:rsidRPr="004C3A0B">
              <w:rPr>
                <w:rFonts w:ascii="Arial" w:hAnsi="Arial" w:cs="Arial"/>
                <w:color w:val="808080"/>
                <w:sz w:val="18"/>
                <w:szCs w:val="18"/>
              </w:rPr>
              <w:t>(this box should expand as you type)</w:t>
            </w:r>
          </w:p>
        </w:tc>
      </w:tr>
      <w:tr w:rsidR="00D81C20" w:rsidRPr="004C3A0B" w14:paraId="501C9A67" w14:textId="77777777" w:rsidTr="00D81C20">
        <w:trPr>
          <w:trHeight w:val="454"/>
        </w:trPr>
        <w:tc>
          <w:tcPr>
            <w:tcW w:w="297" w:type="pct"/>
            <w:shd w:val="clear" w:color="auto" w:fill="F2F2F2"/>
            <w:vAlign w:val="center"/>
          </w:tcPr>
          <w:p w14:paraId="22850D98" w14:textId="77777777" w:rsidR="00D81C20" w:rsidRPr="002132F9" w:rsidRDefault="00D81C20" w:rsidP="00A91894">
            <w:pPr>
              <w:spacing w:before="120"/>
              <w:rPr>
                <w:rFonts w:ascii="Arial" w:hAnsi="Arial" w:cs="Arial"/>
                <w:bCs/>
                <w:sz w:val="22"/>
                <w:szCs w:val="22"/>
              </w:rPr>
            </w:pPr>
            <w:r>
              <w:br w:type="page"/>
            </w:r>
          </w:p>
        </w:tc>
        <w:tc>
          <w:tcPr>
            <w:tcW w:w="4703" w:type="pct"/>
            <w:gridSpan w:val="4"/>
            <w:shd w:val="clear" w:color="auto" w:fill="F2F2F2"/>
            <w:vAlign w:val="center"/>
          </w:tcPr>
          <w:p w14:paraId="65673CC2" w14:textId="77777777" w:rsidR="00D81C20" w:rsidRPr="004C3A0B" w:rsidRDefault="00D81C20" w:rsidP="00A91894">
            <w:pPr>
              <w:spacing w:before="120"/>
              <w:rPr>
                <w:rFonts w:ascii="Arial" w:hAnsi="Arial" w:cs="Arial"/>
                <w:b/>
                <w:sz w:val="22"/>
                <w:szCs w:val="22"/>
              </w:rPr>
            </w:pPr>
            <w:r w:rsidRPr="004C3A0B">
              <w:rPr>
                <w:rFonts w:ascii="Arial" w:hAnsi="Arial" w:cs="Arial"/>
                <w:b/>
                <w:sz w:val="22"/>
                <w:szCs w:val="22"/>
              </w:rPr>
              <w:t>Location of research activity</w:t>
            </w:r>
          </w:p>
          <w:p w14:paraId="4492D5B0" w14:textId="77777777" w:rsidR="00D81C20" w:rsidRPr="004C3A0B" w:rsidRDefault="00D81C20" w:rsidP="00A91894">
            <w:pPr>
              <w:rPr>
                <w:rFonts w:ascii="Arial" w:hAnsi="Arial" w:cs="Arial"/>
                <w:sz w:val="22"/>
                <w:szCs w:val="22"/>
              </w:rPr>
            </w:pPr>
            <w:r w:rsidRPr="004C3A0B">
              <w:rPr>
                <w:rFonts w:ascii="Arial" w:hAnsi="Arial" w:cs="Arial"/>
                <w:sz w:val="22"/>
                <w:szCs w:val="22"/>
              </w:rPr>
              <w:t>Identify all locations where research activity will take place.</w:t>
            </w:r>
          </w:p>
        </w:tc>
      </w:tr>
      <w:tr w:rsidR="00D81C20" w:rsidRPr="004C3A0B" w14:paraId="59C414B4" w14:textId="77777777" w:rsidTr="005078BE">
        <w:trPr>
          <w:trHeight w:val="454"/>
        </w:trPr>
        <w:tc>
          <w:tcPr>
            <w:tcW w:w="297" w:type="pct"/>
            <w:vAlign w:val="center"/>
          </w:tcPr>
          <w:p w14:paraId="745C369C" w14:textId="77777777" w:rsidR="00D81C20" w:rsidRPr="00F87E26" w:rsidRDefault="00D81C20" w:rsidP="00A91894">
            <w:pPr>
              <w:rPr>
                <w:rFonts w:ascii="Arial" w:hAnsi="Arial" w:cs="Arial"/>
                <w:bCs/>
                <w:sz w:val="22"/>
                <w:szCs w:val="22"/>
              </w:rPr>
            </w:pPr>
            <w:r>
              <w:rPr>
                <w:rFonts w:ascii="Arial" w:hAnsi="Arial" w:cs="Arial"/>
                <w:bCs/>
                <w:sz w:val="22"/>
                <w:szCs w:val="22"/>
              </w:rPr>
              <w:t>8</w:t>
            </w:r>
          </w:p>
        </w:tc>
        <w:tc>
          <w:tcPr>
            <w:tcW w:w="4703" w:type="pct"/>
            <w:gridSpan w:val="4"/>
            <w:vAlign w:val="center"/>
          </w:tcPr>
          <w:p w14:paraId="10A7ECAB" w14:textId="77777777" w:rsidR="00D81C20" w:rsidRPr="004C3A0B" w:rsidRDefault="00D81C20" w:rsidP="00A91894">
            <w:pPr>
              <w:rPr>
                <w:rFonts w:ascii="Arial" w:hAnsi="Arial" w:cs="Arial"/>
                <w:sz w:val="22"/>
                <w:szCs w:val="22"/>
              </w:rPr>
            </w:pPr>
          </w:p>
          <w:p w14:paraId="152F287A" w14:textId="77777777" w:rsidR="00D81C20" w:rsidRPr="004C3A0B" w:rsidRDefault="00D81C20" w:rsidP="00A91894">
            <w:pPr>
              <w:rPr>
                <w:rFonts w:ascii="Arial" w:hAnsi="Arial" w:cs="Arial"/>
                <w:sz w:val="22"/>
                <w:szCs w:val="22"/>
              </w:rPr>
            </w:pPr>
            <w:r>
              <w:rPr>
                <w:rFonts w:ascii="Arial" w:hAnsi="Arial" w:cs="Arial"/>
                <w:sz w:val="22"/>
                <w:szCs w:val="22"/>
              </w:rPr>
              <w:t>At the student’s home</w:t>
            </w:r>
          </w:p>
          <w:p w14:paraId="4D308751" w14:textId="77777777" w:rsidR="00D81C20" w:rsidRPr="004C3A0B" w:rsidRDefault="00D81C20" w:rsidP="00A91894">
            <w:pPr>
              <w:rPr>
                <w:rFonts w:ascii="Arial" w:hAnsi="Arial" w:cs="Arial"/>
                <w:b/>
                <w:sz w:val="22"/>
                <w:szCs w:val="22"/>
              </w:rPr>
            </w:pPr>
            <w:r w:rsidRPr="004C3A0B">
              <w:rPr>
                <w:rFonts w:ascii="Arial" w:hAnsi="Arial" w:cs="Arial"/>
                <w:color w:val="808080"/>
                <w:sz w:val="18"/>
                <w:szCs w:val="18"/>
              </w:rPr>
              <w:t>(this box should expand as you type)</w:t>
            </w:r>
          </w:p>
        </w:tc>
      </w:tr>
      <w:tr w:rsidR="00D81C20" w:rsidRPr="004C3A0B" w14:paraId="1F7E1178" w14:textId="77777777" w:rsidTr="00D81C20">
        <w:trPr>
          <w:trHeight w:val="454"/>
        </w:trPr>
        <w:tc>
          <w:tcPr>
            <w:tcW w:w="297" w:type="pct"/>
            <w:shd w:val="clear" w:color="auto" w:fill="F2F2F2"/>
            <w:vAlign w:val="center"/>
          </w:tcPr>
          <w:p w14:paraId="525B14E8" w14:textId="77777777" w:rsidR="00D81C20" w:rsidRPr="002132F9" w:rsidRDefault="00D81C20" w:rsidP="00A91894">
            <w:pPr>
              <w:spacing w:before="120"/>
              <w:rPr>
                <w:rFonts w:ascii="Arial" w:hAnsi="Arial" w:cs="Arial"/>
                <w:bCs/>
                <w:sz w:val="22"/>
                <w:szCs w:val="22"/>
              </w:rPr>
            </w:pPr>
          </w:p>
        </w:tc>
        <w:tc>
          <w:tcPr>
            <w:tcW w:w="4703" w:type="pct"/>
            <w:gridSpan w:val="4"/>
            <w:shd w:val="clear" w:color="auto" w:fill="F2F2F2"/>
            <w:vAlign w:val="center"/>
          </w:tcPr>
          <w:p w14:paraId="0B3DE81E" w14:textId="77777777" w:rsidR="00D81C20" w:rsidRPr="004C3A0B" w:rsidRDefault="00D81C20" w:rsidP="00A91894">
            <w:pPr>
              <w:spacing w:before="120"/>
              <w:rPr>
                <w:rFonts w:ascii="Arial" w:hAnsi="Arial" w:cs="Arial"/>
                <w:b/>
                <w:sz w:val="22"/>
                <w:szCs w:val="22"/>
              </w:rPr>
            </w:pPr>
            <w:r w:rsidRPr="004C3A0B">
              <w:rPr>
                <w:rFonts w:ascii="Arial" w:hAnsi="Arial" w:cs="Arial"/>
                <w:b/>
                <w:sz w:val="22"/>
                <w:szCs w:val="22"/>
              </w:rPr>
              <w:t>Research activity outside of the UK</w:t>
            </w:r>
          </w:p>
          <w:p w14:paraId="60FE8696" w14:textId="77777777" w:rsidR="00D81C20" w:rsidRPr="004C3A0B" w:rsidRDefault="00D81C20" w:rsidP="00A91894">
            <w:pPr>
              <w:autoSpaceDE w:val="0"/>
              <w:autoSpaceDN w:val="0"/>
              <w:adjustRightInd w:val="0"/>
              <w:rPr>
                <w:rFonts w:ascii="Arial" w:hAnsi="Arial" w:cs="Arial"/>
                <w:sz w:val="22"/>
                <w:szCs w:val="22"/>
              </w:rPr>
            </w:pPr>
            <w:r w:rsidRPr="004C3A0B">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w:t>
            </w:r>
            <w:r w:rsidRPr="004C3A0B">
              <w:rPr>
                <w:rFonts w:ascii="Arial" w:hAnsi="Arial" w:cs="Arial"/>
                <w:sz w:val="22"/>
                <w:szCs w:val="22"/>
              </w:rPr>
              <w:lastRenderedPageBreak/>
              <w:t xml:space="preserve">any specific ethical issues raised by the local context in which the research activity is taking place, for example, particular cultural </w:t>
            </w:r>
            <w:r>
              <w:rPr>
                <w:rFonts w:ascii="Arial" w:hAnsi="Arial" w:cs="Arial"/>
                <w:sz w:val="22"/>
                <w:szCs w:val="22"/>
              </w:rPr>
              <w:t xml:space="preserve">and/or legal </w:t>
            </w:r>
            <w:r w:rsidRPr="004C3A0B">
              <w:rPr>
                <w:rFonts w:ascii="Arial" w:hAnsi="Arial" w:cs="Arial"/>
                <w:sz w:val="22"/>
                <w:szCs w:val="22"/>
              </w:rPr>
              <w:t>sensitivities or vulnerabilities of participants.</w:t>
            </w:r>
            <w:r>
              <w:rPr>
                <w:rFonts w:ascii="Arial" w:hAnsi="Arial" w:cs="Arial"/>
                <w:sz w:val="22"/>
                <w:szCs w:val="22"/>
              </w:rPr>
              <w:t xml:space="preserve"> If you live in the country where you will do the research then please state this.</w:t>
            </w:r>
          </w:p>
        </w:tc>
      </w:tr>
      <w:tr w:rsidR="00D81C20" w:rsidRPr="004C3A0B" w14:paraId="3346BDF6" w14:textId="77777777" w:rsidTr="005078BE">
        <w:trPr>
          <w:trHeight w:val="454"/>
        </w:trPr>
        <w:tc>
          <w:tcPr>
            <w:tcW w:w="297" w:type="pct"/>
            <w:vAlign w:val="center"/>
          </w:tcPr>
          <w:p w14:paraId="4270EE6D" w14:textId="77777777" w:rsidR="00D81C20" w:rsidRPr="00F87E26" w:rsidRDefault="00D81C20" w:rsidP="00A91894">
            <w:pPr>
              <w:rPr>
                <w:rFonts w:ascii="Arial" w:hAnsi="Arial" w:cs="Arial"/>
                <w:bCs/>
                <w:sz w:val="22"/>
                <w:szCs w:val="22"/>
              </w:rPr>
            </w:pPr>
            <w:r>
              <w:rPr>
                <w:rFonts w:ascii="Arial" w:hAnsi="Arial" w:cs="Arial"/>
                <w:bCs/>
                <w:sz w:val="22"/>
                <w:szCs w:val="22"/>
              </w:rPr>
              <w:lastRenderedPageBreak/>
              <w:t>9</w:t>
            </w:r>
          </w:p>
        </w:tc>
        <w:tc>
          <w:tcPr>
            <w:tcW w:w="4703" w:type="pct"/>
            <w:gridSpan w:val="4"/>
            <w:vAlign w:val="center"/>
          </w:tcPr>
          <w:p w14:paraId="0177B088" w14:textId="77777777" w:rsidR="00D81C20" w:rsidRDefault="00D81C20" w:rsidP="00A91894">
            <w:pPr>
              <w:rPr>
                <w:rFonts w:ascii="Arial" w:hAnsi="Arial" w:cs="Arial"/>
                <w:sz w:val="22"/>
                <w:szCs w:val="22"/>
              </w:rPr>
            </w:pPr>
          </w:p>
          <w:p w14:paraId="67BBF838" w14:textId="77777777" w:rsidR="00D81C20" w:rsidRDefault="00D81C20" w:rsidP="00A91894">
            <w:pPr>
              <w:rPr>
                <w:rFonts w:ascii="Arial" w:hAnsi="Arial" w:cs="Arial"/>
                <w:sz w:val="22"/>
                <w:szCs w:val="22"/>
              </w:rPr>
            </w:pPr>
            <w:r>
              <w:rPr>
                <w:rFonts w:ascii="Arial" w:hAnsi="Arial" w:cs="Arial"/>
                <w:sz w:val="22"/>
                <w:szCs w:val="22"/>
              </w:rPr>
              <w:t>N/S</w:t>
            </w:r>
          </w:p>
          <w:p w14:paraId="312E59A2" w14:textId="77777777" w:rsidR="00D81C20" w:rsidRPr="004C3A0B" w:rsidRDefault="00D81C20" w:rsidP="00A91894">
            <w:pPr>
              <w:rPr>
                <w:rFonts w:ascii="Arial" w:hAnsi="Arial" w:cs="Arial"/>
                <w:sz w:val="22"/>
                <w:szCs w:val="22"/>
              </w:rPr>
            </w:pPr>
          </w:p>
          <w:p w14:paraId="5A316043" w14:textId="77777777" w:rsidR="00D81C20" w:rsidRPr="003257BD" w:rsidRDefault="00D81C20" w:rsidP="00A91894">
            <w:pPr>
              <w:rPr>
                <w:rFonts w:ascii="Arial" w:hAnsi="Arial" w:cs="Arial"/>
                <w:b/>
                <w:i/>
                <w:sz w:val="22"/>
                <w:szCs w:val="22"/>
              </w:rPr>
            </w:pPr>
            <w:r w:rsidRPr="003257BD">
              <w:rPr>
                <w:rFonts w:ascii="Arial" w:hAnsi="Arial" w:cs="Arial"/>
                <w:i/>
                <w:color w:val="808080"/>
                <w:sz w:val="18"/>
                <w:szCs w:val="18"/>
              </w:rPr>
              <w:t>(this box should expand as you type)</w:t>
            </w:r>
          </w:p>
        </w:tc>
      </w:tr>
    </w:tbl>
    <w:p w14:paraId="3BF2551E" w14:textId="77777777" w:rsidR="00D81C20" w:rsidRDefault="00D81C20" w:rsidP="00A91894"/>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1"/>
        <w:gridCol w:w="5824"/>
        <w:gridCol w:w="1005"/>
        <w:gridCol w:w="1006"/>
      </w:tblGrid>
      <w:tr w:rsidR="00D81C20" w:rsidRPr="00090CF7" w14:paraId="04336691" w14:textId="77777777" w:rsidTr="00D81C20">
        <w:trPr>
          <w:trHeight w:val="383"/>
        </w:trPr>
        <w:tc>
          <w:tcPr>
            <w:tcW w:w="270" w:type="pct"/>
            <w:vMerge w:val="restart"/>
            <w:shd w:val="clear" w:color="auto" w:fill="F2F2F2"/>
            <w:vAlign w:val="center"/>
          </w:tcPr>
          <w:p w14:paraId="5AB83611" w14:textId="77777777" w:rsidR="00D81C20" w:rsidRPr="00D81C20" w:rsidRDefault="00D81C20" w:rsidP="00D81C20">
            <w:pPr>
              <w:autoSpaceDE w:val="0"/>
              <w:autoSpaceDN w:val="0"/>
              <w:adjustRightInd w:val="0"/>
              <w:rPr>
                <w:rFonts w:ascii="Arial" w:eastAsia="Calibri" w:hAnsi="Arial" w:cs="Arial"/>
                <w:sz w:val="22"/>
                <w:szCs w:val="22"/>
                <w:lang w:eastAsia="en-US"/>
              </w:rPr>
            </w:pPr>
            <w:r w:rsidRPr="00D81C20">
              <w:rPr>
                <w:rFonts w:ascii="Arial" w:eastAsia="Calibri" w:hAnsi="Arial" w:cs="Arial"/>
                <w:sz w:val="22"/>
                <w:szCs w:val="22"/>
                <w:lang w:eastAsia="en-US"/>
              </w:rPr>
              <w:t>10</w:t>
            </w:r>
          </w:p>
        </w:tc>
        <w:tc>
          <w:tcPr>
            <w:tcW w:w="3513" w:type="pct"/>
            <w:vMerge w:val="restart"/>
            <w:shd w:val="clear" w:color="auto" w:fill="F2F2F2"/>
            <w:vAlign w:val="center"/>
          </w:tcPr>
          <w:p w14:paraId="67FEFFAB" w14:textId="77777777" w:rsidR="00D81C20" w:rsidRPr="00D81C20" w:rsidRDefault="00D81C20" w:rsidP="00D81C20">
            <w:pPr>
              <w:autoSpaceDE w:val="0"/>
              <w:autoSpaceDN w:val="0"/>
              <w:adjustRightInd w:val="0"/>
              <w:rPr>
                <w:rFonts w:ascii="Arial" w:eastAsia="Calibri" w:hAnsi="Arial" w:cs="Arial"/>
                <w:sz w:val="22"/>
                <w:szCs w:val="22"/>
                <w:lang w:eastAsia="en-US"/>
              </w:rPr>
            </w:pPr>
            <w:r w:rsidRPr="00D81C20">
              <w:rPr>
                <w:rFonts w:ascii="Arial" w:eastAsia="Calibri" w:hAnsi="Arial" w:cs="Arial"/>
                <w:sz w:val="22"/>
                <w:szCs w:val="22"/>
                <w:lang w:eastAsia="en-US"/>
              </w:rPr>
              <w:t xml:space="preserve">Use of documentation not in the public domain: Are any documents </w:t>
            </w:r>
            <w:r w:rsidRPr="00D81C20">
              <w:rPr>
                <w:rFonts w:ascii="Arial" w:eastAsia="Calibri" w:hAnsi="Arial" w:cs="Arial"/>
                <w:b/>
                <w:sz w:val="22"/>
                <w:szCs w:val="22"/>
                <w:u w:val="single"/>
                <w:lang w:eastAsia="en-US"/>
              </w:rPr>
              <w:t>NOT</w:t>
            </w:r>
            <w:r w:rsidRPr="00D81C20">
              <w:rPr>
                <w:rFonts w:ascii="Arial" w:eastAsia="Calibri" w:hAnsi="Arial" w:cs="Arial"/>
                <w:sz w:val="22"/>
                <w:szCs w:val="22"/>
                <w:lang w:eastAsia="en-US"/>
              </w:rPr>
              <w:t xml:space="preserve"> publicly available? </w:t>
            </w:r>
          </w:p>
          <w:p w14:paraId="3CA326A0" w14:textId="77777777" w:rsidR="00D81C20" w:rsidRPr="00D81C20" w:rsidRDefault="00D81C20" w:rsidP="00D81C20">
            <w:pPr>
              <w:autoSpaceDE w:val="0"/>
              <w:autoSpaceDN w:val="0"/>
              <w:adjustRightInd w:val="0"/>
              <w:rPr>
                <w:rFonts w:ascii="Arial" w:eastAsia="Calibri" w:hAnsi="Arial" w:cs="Arial"/>
                <w:bCs/>
                <w:sz w:val="22"/>
                <w:szCs w:val="22"/>
                <w:lang w:eastAsia="en-US"/>
              </w:rPr>
            </w:pPr>
          </w:p>
        </w:tc>
        <w:tc>
          <w:tcPr>
            <w:tcW w:w="608" w:type="pct"/>
            <w:shd w:val="clear" w:color="auto" w:fill="F2F2F2"/>
            <w:vAlign w:val="center"/>
          </w:tcPr>
          <w:p w14:paraId="5A0DAA5B" w14:textId="77777777" w:rsidR="00D81C20" w:rsidRPr="00D81C20" w:rsidRDefault="00D81C20" w:rsidP="00D81C20">
            <w:pPr>
              <w:autoSpaceDE w:val="0"/>
              <w:autoSpaceDN w:val="0"/>
              <w:adjustRightInd w:val="0"/>
              <w:jc w:val="center"/>
              <w:rPr>
                <w:rFonts w:ascii="Arial" w:eastAsia="Calibri" w:hAnsi="Arial" w:cs="Arial"/>
                <w:b/>
                <w:sz w:val="22"/>
                <w:szCs w:val="22"/>
                <w:lang w:eastAsia="en-US"/>
              </w:rPr>
            </w:pPr>
            <w:r w:rsidRPr="00D81C20">
              <w:rPr>
                <w:rFonts w:ascii="Arial" w:eastAsia="Calibri" w:hAnsi="Arial" w:cs="Arial"/>
                <w:b/>
                <w:sz w:val="22"/>
                <w:szCs w:val="22"/>
                <w:lang w:eastAsia="en-US"/>
              </w:rPr>
              <w:t>NO</w:t>
            </w:r>
          </w:p>
        </w:tc>
        <w:tc>
          <w:tcPr>
            <w:tcW w:w="608" w:type="pct"/>
            <w:shd w:val="clear" w:color="auto" w:fill="D9D9D9"/>
            <w:vAlign w:val="center"/>
          </w:tcPr>
          <w:p w14:paraId="594D43EB" w14:textId="460EE72B" w:rsidR="00D81C20" w:rsidRPr="00D81C20" w:rsidRDefault="00D81C20" w:rsidP="00D81C20">
            <w:pPr>
              <w:autoSpaceDE w:val="0"/>
              <w:autoSpaceDN w:val="0"/>
              <w:adjustRightInd w:val="0"/>
              <w:jc w:val="center"/>
              <w:rPr>
                <w:rFonts w:ascii="Arial" w:eastAsia="Calibri" w:hAnsi="Arial" w:cs="Arial"/>
                <w:bCs/>
                <w:sz w:val="22"/>
                <w:szCs w:val="22"/>
                <w:lang w:eastAsia="en-US"/>
              </w:rPr>
            </w:pPr>
            <w:r w:rsidRPr="00D81C20">
              <w:rPr>
                <w:rFonts w:ascii="MS Gothic" w:eastAsia="MS Gothic" w:hAnsi="MS Gothic" w:cs="Arial" w:hint="eastAsia"/>
                <w:bCs/>
                <w:sz w:val="22"/>
                <w:szCs w:val="22"/>
                <w:lang w:eastAsia="en-US"/>
              </w:rPr>
              <w:t>☒</w:t>
            </w:r>
          </w:p>
        </w:tc>
      </w:tr>
      <w:tr w:rsidR="00D81C20" w:rsidRPr="00090CF7" w14:paraId="5365570E" w14:textId="77777777" w:rsidTr="00D81C20">
        <w:trPr>
          <w:trHeight w:val="218"/>
        </w:trPr>
        <w:tc>
          <w:tcPr>
            <w:tcW w:w="270" w:type="pct"/>
            <w:vMerge/>
            <w:shd w:val="clear" w:color="auto" w:fill="F2F2F2"/>
            <w:vAlign w:val="center"/>
          </w:tcPr>
          <w:p w14:paraId="42F27422" w14:textId="77777777" w:rsidR="00D81C20" w:rsidRPr="00D81C20" w:rsidRDefault="00D81C20" w:rsidP="00D81C20">
            <w:pPr>
              <w:autoSpaceDE w:val="0"/>
              <w:autoSpaceDN w:val="0"/>
              <w:adjustRightInd w:val="0"/>
              <w:rPr>
                <w:rFonts w:ascii="Arial" w:eastAsia="Calibri" w:hAnsi="Arial" w:cs="Arial"/>
                <w:bCs/>
                <w:sz w:val="22"/>
                <w:szCs w:val="22"/>
                <w:lang w:eastAsia="en-US"/>
              </w:rPr>
            </w:pPr>
          </w:p>
        </w:tc>
        <w:tc>
          <w:tcPr>
            <w:tcW w:w="3513" w:type="pct"/>
            <w:vMerge/>
            <w:shd w:val="clear" w:color="auto" w:fill="F2F2F2"/>
          </w:tcPr>
          <w:p w14:paraId="6A5E23AD" w14:textId="77777777" w:rsidR="00D81C20" w:rsidRPr="00D81C20" w:rsidRDefault="00D81C20" w:rsidP="00D81C20">
            <w:pPr>
              <w:autoSpaceDE w:val="0"/>
              <w:autoSpaceDN w:val="0"/>
              <w:adjustRightInd w:val="0"/>
              <w:rPr>
                <w:rFonts w:ascii="Arial" w:eastAsia="Calibri" w:hAnsi="Arial" w:cs="Arial"/>
                <w:bCs/>
                <w:sz w:val="22"/>
                <w:szCs w:val="22"/>
                <w:lang w:eastAsia="en-US"/>
              </w:rPr>
            </w:pPr>
          </w:p>
        </w:tc>
        <w:tc>
          <w:tcPr>
            <w:tcW w:w="608" w:type="pct"/>
            <w:shd w:val="clear" w:color="auto" w:fill="F2F2F2"/>
            <w:vAlign w:val="center"/>
          </w:tcPr>
          <w:p w14:paraId="388B9032" w14:textId="77777777" w:rsidR="00D81C20" w:rsidRPr="00D81C20" w:rsidRDefault="00D81C20" w:rsidP="00D81C20">
            <w:pPr>
              <w:autoSpaceDE w:val="0"/>
              <w:autoSpaceDN w:val="0"/>
              <w:adjustRightInd w:val="0"/>
              <w:jc w:val="center"/>
              <w:rPr>
                <w:rFonts w:ascii="Arial" w:eastAsia="Calibri" w:hAnsi="Arial" w:cs="Arial"/>
                <w:b/>
                <w:sz w:val="22"/>
                <w:szCs w:val="22"/>
                <w:lang w:eastAsia="en-US"/>
              </w:rPr>
            </w:pPr>
            <w:r w:rsidRPr="00D81C20">
              <w:rPr>
                <w:rFonts w:ascii="Arial" w:eastAsia="Calibri" w:hAnsi="Arial" w:cs="Arial"/>
                <w:b/>
                <w:sz w:val="22"/>
                <w:szCs w:val="22"/>
                <w:lang w:eastAsia="en-US"/>
              </w:rPr>
              <w:t>YES</w:t>
            </w:r>
          </w:p>
        </w:tc>
        <w:tc>
          <w:tcPr>
            <w:tcW w:w="608" w:type="pct"/>
            <w:shd w:val="clear" w:color="auto" w:fill="D9D9D9"/>
            <w:vAlign w:val="center"/>
          </w:tcPr>
          <w:p w14:paraId="5D279AAA" w14:textId="1FD2F16C" w:rsidR="00D81C20" w:rsidRPr="00D81C20" w:rsidRDefault="00D81C20" w:rsidP="00D81C20">
            <w:pPr>
              <w:autoSpaceDE w:val="0"/>
              <w:autoSpaceDN w:val="0"/>
              <w:adjustRightInd w:val="0"/>
              <w:jc w:val="center"/>
              <w:rPr>
                <w:rFonts w:ascii="Arial" w:eastAsia="Calibri" w:hAnsi="Arial" w:cs="Arial"/>
                <w:bCs/>
                <w:sz w:val="22"/>
                <w:szCs w:val="22"/>
                <w:lang w:eastAsia="en-US"/>
              </w:rPr>
            </w:pPr>
            <w:r w:rsidRPr="00D81C20">
              <w:rPr>
                <w:rFonts w:ascii="MS Gothic" w:eastAsia="MS Gothic" w:hAnsi="MS Gothic" w:cs="Arial" w:hint="eastAsia"/>
                <w:bCs/>
                <w:sz w:val="22"/>
                <w:szCs w:val="22"/>
                <w:lang w:eastAsia="en-US"/>
              </w:rPr>
              <w:t>☐</w:t>
            </w:r>
          </w:p>
        </w:tc>
      </w:tr>
      <w:tr w:rsidR="00D81C20" w:rsidRPr="00090CF7" w14:paraId="1DBF2BC8" w14:textId="77777777" w:rsidTr="00D81C20">
        <w:tc>
          <w:tcPr>
            <w:tcW w:w="270" w:type="pct"/>
            <w:shd w:val="clear" w:color="auto" w:fill="FFFFFF"/>
            <w:vAlign w:val="center"/>
          </w:tcPr>
          <w:p w14:paraId="71C9921E" w14:textId="77777777" w:rsidR="00D81C20" w:rsidRPr="00D81C20" w:rsidRDefault="00D81C20" w:rsidP="00D81C20">
            <w:pPr>
              <w:autoSpaceDE w:val="0"/>
              <w:autoSpaceDN w:val="0"/>
              <w:adjustRightInd w:val="0"/>
              <w:rPr>
                <w:rFonts w:ascii="Arial" w:eastAsia="Calibri" w:hAnsi="Arial" w:cs="Arial"/>
                <w:sz w:val="22"/>
                <w:szCs w:val="22"/>
                <w:lang w:eastAsia="en-US"/>
              </w:rPr>
            </w:pPr>
            <w:r w:rsidRPr="00D81C20">
              <w:rPr>
                <w:rFonts w:ascii="Arial" w:eastAsia="Calibri" w:hAnsi="Arial" w:cs="Arial"/>
                <w:sz w:val="22"/>
                <w:szCs w:val="22"/>
                <w:lang w:eastAsia="en-US"/>
              </w:rPr>
              <w:t>11</w:t>
            </w:r>
          </w:p>
        </w:tc>
        <w:tc>
          <w:tcPr>
            <w:tcW w:w="4730" w:type="pct"/>
            <w:gridSpan w:val="3"/>
            <w:shd w:val="clear" w:color="auto" w:fill="FFFFFF"/>
          </w:tcPr>
          <w:p w14:paraId="5CF78787" w14:textId="77777777" w:rsidR="00D81C20" w:rsidRPr="00D81C20" w:rsidRDefault="00D81C20" w:rsidP="00D81C20">
            <w:pPr>
              <w:autoSpaceDE w:val="0"/>
              <w:autoSpaceDN w:val="0"/>
              <w:adjustRightInd w:val="0"/>
              <w:rPr>
                <w:rFonts w:ascii="Arial" w:eastAsia="Calibri" w:hAnsi="Arial" w:cs="Arial"/>
                <w:sz w:val="22"/>
                <w:szCs w:val="22"/>
                <w:lang w:eastAsia="en-US"/>
              </w:rPr>
            </w:pPr>
            <w:r w:rsidRPr="00D81C20">
              <w:rPr>
                <w:rFonts w:ascii="Arial" w:eastAsia="Calibri" w:hAnsi="Arial" w:cs="Arial"/>
                <w:sz w:val="22"/>
                <w:szCs w:val="22"/>
                <w:lang w:eastAsia="en-US"/>
              </w:rPr>
              <w:t>If Yes, please provide details here of how you will gain access to specific documentation that is not in the public domain and that this is in accordance with the current data protection law of the country in question and that of England and Wales.</w:t>
            </w:r>
          </w:p>
          <w:p w14:paraId="1F171EFC" w14:textId="77777777" w:rsidR="00D81C20" w:rsidRPr="00D81C20" w:rsidRDefault="00D81C20" w:rsidP="00A91894">
            <w:pPr>
              <w:rPr>
                <w:rFonts w:ascii="Arial" w:eastAsia="Calibri" w:hAnsi="Arial" w:cs="Arial"/>
                <w:sz w:val="22"/>
                <w:szCs w:val="22"/>
                <w:lang w:eastAsia="en-US"/>
              </w:rPr>
            </w:pPr>
          </w:p>
          <w:p w14:paraId="550C7453" w14:textId="77777777" w:rsidR="00D81C20" w:rsidRPr="00D81C20" w:rsidRDefault="00D81C20" w:rsidP="00A91894">
            <w:pPr>
              <w:rPr>
                <w:rFonts w:ascii="Arial" w:eastAsia="Calibri" w:hAnsi="Arial" w:cs="Arial"/>
                <w:sz w:val="22"/>
                <w:szCs w:val="22"/>
                <w:lang w:eastAsia="en-US"/>
              </w:rPr>
            </w:pPr>
          </w:p>
          <w:p w14:paraId="59D778A1" w14:textId="77777777" w:rsidR="00D81C20" w:rsidRPr="00D81C20" w:rsidRDefault="00D81C20" w:rsidP="00A91894">
            <w:pPr>
              <w:rPr>
                <w:rFonts w:ascii="Arial" w:eastAsia="Calibri" w:hAnsi="Arial" w:cs="Arial"/>
                <w:sz w:val="22"/>
                <w:szCs w:val="22"/>
                <w:lang w:eastAsia="en-US"/>
              </w:rPr>
            </w:pPr>
          </w:p>
          <w:p w14:paraId="3A3BA895" w14:textId="77777777" w:rsidR="00D81C20" w:rsidRPr="00D81C20" w:rsidRDefault="00D81C20" w:rsidP="00D81C20">
            <w:pPr>
              <w:autoSpaceDE w:val="0"/>
              <w:autoSpaceDN w:val="0"/>
              <w:adjustRightInd w:val="0"/>
              <w:rPr>
                <w:rFonts w:ascii="Arial" w:eastAsia="Calibri" w:hAnsi="Arial" w:cs="Arial"/>
                <w:bCs/>
                <w:sz w:val="22"/>
                <w:szCs w:val="22"/>
                <w:lang w:eastAsia="en-US"/>
              </w:rPr>
            </w:pPr>
            <w:r w:rsidRPr="00D81C20">
              <w:rPr>
                <w:rFonts w:ascii="Arial" w:eastAsia="Calibri" w:hAnsi="Arial" w:cs="Arial"/>
                <w:i/>
                <w:sz w:val="18"/>
                <w:szCs w:val="18"/>
                <w:lang w:eastAsia="en-US"/>
              </w:rPr>
              <w:t>(this box should expand as you type)</w:t>
            </w:r>
          </w:p>
        </w:tc>
      </w:tr>
    </w:tbl>
    <w:p w14:paraId="49FF4E5B" w14:textId="77777777" w:rsidR="00D81C20" w:rsidRDefault="00D81C20" w:rsidP="00A91894">
      <w:pPr>
        <w:autoSpaceDE w:val="0"/>
        <w:autoSpaceDN w:val="0"/>
        <w:adjustRightInd w:val="0"/>
        <w:spacing w:after="240"/>
        <w:jc w:val="both"/>
        <w:rPr>
          <w:rFonts w:ascii="Arial" w:hAnsi="Arial" w:cs="Arial"/>
          <w:b/>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1"/>
        <w:gridCol w:w="6517"/>
        <w:gridCol w:w="670"/>
        <w:gridCol w:w="648"/>
      </w:tblGrid>
      <w:tr w:rsidR="00D81C20" w:rsidRPr="004C3A0B" w14:paraId="52B2F7E4" w14:textId="77777777" w:rsidTr="00D81C20">
        <w:tc>
          <w:tcPr>
            <w:tcW w:w="269" w:type="pct"/>
            <w:shd w:val="clear" w:color="auto" w:fill="F2F2F2"/>
            <w:vAlign w:val="center"/>
          </w:tcPr>
          <w:p w14:paraId="626DC376" w14:textId="77777777" w:rsidR="00D81C20" w:rsidRPr="00D81C20" w:rsidRDefault="00D81C20" w:rsidP="00D81C20">
            <w:pPr>
              <w:autoSpaceDE w:val="0"/>
              <w:autoSpaceDN w:val="0"/>
              <w:adjustRightInd w:val="0"/>
              <w:jc w:val="center"/>
              <w:rPr>
                <w:rFonts w:ascii="Arial" w:eastAsia="Calibri" w:hAnsi="Arial" w:cs="Arial"/>
                <w:b/>
                <w:sz w:val="22"/>
                <w:szCs w:val="22"/>
                <w:lang w:eastAsia="en-US"/>
              </w:rPr>
            </w:pPr>
          </w:p>
        </w:tc>
        <w:tc>
          <w:tcPr>
            <w:tcW w:w="3931" w:type="pct"/>
            <w:shd w:val="clear" w:color="auto" w:fill="F2F2F2"/>
          </w:tcPr>
          <w:p w14:paraId="27F06DDF" w14:textId="77777777" w:rsidR="00D81C20" w:rsidRPr="00D81C20" w:rsidRDefault="00D81C20" w:rsidP="00D81C20">
            <w:pPr>
              <w:autoSpaceDE w:val="0"/>
              <w:autoSpaceDN w:val="0"/>
              <w:adjustRightInd w:val="0"/>
              <w:jc w:val="both"/>
              <w:rPr>
                <w:rFonts w:ascii="Arial" w:eastAsia="Calibri" w:hAnsi="Arial" w:cs="Arial"/>
                <w:b/>
                <w:sz w:val="22"/>
                <w:szCs w:val="22"/>
                <w:lang w:eastAsia="en-US"/>
              </w:rPr>
            </w:pPr>
            <w:r w:rsidRPr="00D81C20">
              <w:rPr>
                <w:rFonts w:ascii="Arial" w:eastAsia="Calibri" w:hAnsi="Arial" w:cs="Arial"/>
                <w:b/>
                <w:sz w:val="22"/>
                <w:szCs w:val="22"/>
                <w:lang w:eastAsia="en-US"/>
              </w:rPr>
              <w:t>Does your research relate to one or more of the seven aims of the Well-being of Future Generations (Wales) Act 2015?</w:t>
            </w:r>
          </w:p>
        </w:tc>
        <w:tc>
          <w:tcPr>
            <w:tcW w:w="407" w:type="pct"/>
            <w:shd w:val="clear" w:color="auto" w:fill="F2F2F2"/>
          </w:tcPr>
          <w:p w14:paraId="4DB3BBFC" w14:textId="77777777" w:rsidR="00D81C20" w:rsidRPr="00D81C20" w:rsidRDefault="00D81C20" w:rsidP="00D81C20">
            <w:pPr>
              <w:autoSpaceDE w:val="0"/>
              <w:autoSpaceDN w:val="0"/>
              <w:adjustRightInd w:val="0"/>
              <w:jc w:val="center"/>
              <w:rPr>
                <w:rFonts w:ascii="Arial" w:eastAsia="Calibri" w:hAnsi="Arial" w:cs="Arial"/>
                <w:b/>
                <w:bCs/>
                <w:sz w:val="22"/>
                <w:szCs w:val="22"/>
                <w:lang w:eastAsia="en-US"/>
              </w:rPr>
            </w:pPr>
          </w:p>
          <w:p w14:paraId="033F8054" w14:textId="77777777" w:rsidR="00D81C20" w:rsidRPr="00D81C20" w:rsidRDefault="00D81C20" w:rsidP="00D81C20">
            <w:pPr>
              <w:autoSpaceDE w:val="0"/>
              <w:autoSpaceDN w:val="0"/>
              <w:adjustRightInd w:val="0"/>
              <w:jc w:val="center"/>
              <w:rPr>
                <w:rFonts w:ascii="Arial" w:eastAsia="Calibri" w:hAnsi="Arial" w:cs="Arial"/>
                <w:b/>
                <w:bCs/>
                <w:sz w:val="22"/>
                <w:szCs w:val="22"/>
                <w:lang w:eastAsia="en-US"/>
              </w:rPr>
            </w:pPr>
            <w:r w:rsidRPr="00D81C20">
              <w:rPr>
                <w:rFonts w:ascii="Arial" w:eastAsia="Calibri" w:hAnsi="Arial" w:cs="Arial"/>
                <w:b/>
                <w:bCs/>
                <w:sz w:val="22"/>
                <w:szCs w:val="22"/>
                <w:lang w:eastAsia="en-US"/>
              </w:rPr>
              <w:t>YES</w:t>
            </w:r>
          </w:p>
        </w:tc>
        <w:tc>
          <w:tcPr>
            <w:tcW w:w="393" w:type="pct"/>
            <w:shd w:val="clear" w:color="auto" w:fill="F2F2F2"/>
          </w:tcPr>
          <w:p w14:paraId="362AB876" w14:textId="77777777" w:rsidR="00D81C20" w:rsidRPr="00D81C20" w:rsidRDefault="00D81C20" w:rsidP="00D81C20">
            <w:pPr>
              <w:autoSpaceDE w:val="0"/>
              <w:autoSpaceDN w:val="0"/>
              <w:adjustRightInd w:val="0"/>
              <w:jc w:val="center"/>
              <w:rPr>
                <w:rFonts w:ascii="Arial" w:eastAsia="Calibri" w:hAnsi="Arial" w:cs="Arial"/>
                <w:b/>
                <w:bCs/>
                <w:sz w:val="22"/>
                <w:szCs w:val="22"/>
                <w:lang w:eastAsia="en-US"/>
              </w:rPr>
            </w:pPr>
          </w:p>
          <w:p w14:paraId="1FF34536" w14:textId="77777777" w:rsidR="00D81C20" w:rsidRPr="00D81C20" w:rsidRDefault="00D81C20" w:rsidP="00D81C20">
            <w:pPr>
              <w:autoSpaceDE w:val="0"/>
              <w:autoSpaceDN w:val="0"/>
              <w:adjustRightInd w:val="0"/>
              <w:jc w:val="center"/>
              <w:rPr>
                <w:rFonts w:ascii="Arial" w:eastAsia="Calibri" w:hAnsi="Arial" w:cs="Arial"/>
                <w:b/>
                <w:bCs/>
                <w:sz w:val="22"/>
                <w:szCs w:val="22"/>
                <w:lang w:eastAsia="en-US"/>
              </w:rPr>
            </w:pPr>
            <w:r w:rsidRPr="00D81C20">
              <w:rPr>
                <w:rFonts w:ascii="Arial" w:eastAsia="Calibri" w:hAnsi="Arial" w:cs="Arial"/>
                <w:b/>
                <w:bCs/>
                <w:sz w:val="22"/>
                <w:szCs w:val="22"/>
                <w:lang w:eastAsia="en-US"/>
              </w:rPr>
              <w:t>NO</w:t>
            </w:r>
          </w:p>
        </w:tc>
      </w:tr>
      <w:tr w:rsidR="00D81C20" w:rsidRPr="004C3A0B" w14:paraId="63164DA9" w14:textId="77777777" w:rsidTr="00D81C20">
        <w:trPr>
          <w:trHeight w:val="439"/>
        </w:trPr>
        <w:tc>
          <w:tcPr>
            <w:tcW w:w="269" w:type="pct"/>
            <w:shd w:val="clear" w:color="auto" w:fill="F2F2F2"/>
            <w:vAlign w:val="center"/>
          </w:tcPr>
          <w:p w14:paraId="36DCC669" w14:textId="77777777" w:rsidR="00D81C20" w:rsidRPr="00D81C20" w:rsidRDefault="00D81C20" w:rsidP="00D81C20">
            <w:pPr>
              <w:autoSpaceDE w:val="0"/>
              <w:autoSpaceDN w:val="0"/>
              <w:adjustRightInd w:val="0"/>
              <w:jc w:val="center"/>
              <w:rPr>
                <w:rFonts w:ascii="Arial" w:eastAsia="Calibri" w:hAnsi="Arial" w:cs="Arial"/>
                <w:sz w:val="22"/>
                <w:szCs w:val="22"/>
                <w:lang w:eastAsia="en-US"/>
              </w:rPr>
            </w:pPr>
            <w:r w:rsidRPr="00D81C20">
              <w:rPr>
                <w:rFonts w:ascii="Arial" w:eastAsia="Calibri" w:hAnsi="Arial" w:cs="Arial"/>
                <w:sz w:val="22"/>
                <w:szCs w:val="22"/>
                <w:lang w:eastAsia="en-US"/>
              </w:rPr>
              <w:t>12</w:t>
            </w:r>
          </w:p>
        </w:tc>
        <w:tc>
          <w:tcPr>
            <w:tcW w:w="3931" w:type="pct"/>
            <w:shd w:val="clear" w:color="auto" w:fill="F2F2F2"/>
            <w:vAlign w:val="center"/>
          </w:tcPr>
          <w:p w14:paraId="4EB48927" w14:textId="77777777" w:rsidR="00D81C20" w:rsidRPr="00D81C20" w:rsidRDefault="00D81C20" w:rsidP="00D81C20">
            <w:pPr>
              <w:autoSpaceDE w:val="0"/>
              <w:autoSpaceDN w:val="0"/>
              <w:adjustRightInd w:val="0"/>
              <w:rPr>
                <w:rFonts w:ascii="Arial" w:eastAsia="Calibri" w:hAnsi="Arial" w:cs="Arial"/>
                <w:sz w:val="22"/>
                <w:szCs w:val="22"/>
                <w:lang w:eastAsia="en-US"/>
              </w:rPr>
            </w:pPr>
            <w:r w:rsidRPr="00D81C20">
              <w:rPr>
                <w:rFonts w:ascii="Arial" w:eastAsia="Calibri" w:hAnsi="Arial" w:cs="Arial"/>
                <w:sz w:val="22"/>
                <w:szCs w:val="22"/>
                <w:lang w:eastAsia="en-US"/>
              </w:rPr>
              <w:t>A prosperous Wales</w:t>
            </w:r>
          </w:p>
        </w:tc>
        <w:tc>
          <w:tcPr>
            <w:tcW w:w="407" w:type="pct"/>
            <w:shd w:val="clear" w:color="auto" w:fill="BFBFBF"/>
            <w:vAlign w:val="center"/>
          </w:tcPr>
          <w:p w14:paraId="7EFE834B" w14:textId="3035C938" w:rsidR="00D81C20" w:rsidRPr="00D81C20" w:rsidRDefault="00D81C20" w:rsidP="00D81C20">
            <w:pPr>
              <w:autoSpaceDE w:val="0"/>
              <w:autoSpaceDN w:val="0"/>
              <w:adjustRightInd w:val="0"/>
              <w:jc w:val="center"/>
              <w:rPr>
                <w:rFonts w:ascii="Arial" w:eastAsia="Calibri" w:hAnsi="Arial" w:cs="Arial"/>
                <w:sz w:val="22"/>
                <w:szCs w:val="22"/>
                <w:lang w:eastAsia="en-US"/>
              </w:rPr>
            </w:pPr>
            <w:r w:rsidRPr="00D81C20">
              <w:rPr>
                <w:rFonts w:ascii="MS Gothic" w:eastAsia="MS Gothic" w:hAnsi="MS Gothic" w:cs="Arial" w:hint="eastAsia"/>
                <w:sz w:val="22"/>
                <w:szCs w:val="22"/>
                <w:lang w:eastAsia="en-US"/>
              </w:rPr>
              <w:t>☐</w:t>
            </w:r>
          </w:p>
        </w:tc>
        <w:tc>
          <w:tcPr>
            <w:tcW w:w="393" w:type="pct"/>
            <w:shd w:val="clear" w:color="auto" w:fill="BFBFBF"/>
            <w:vAlign w:val="center"/>
          </w:tcPr>
          <w:p w14:paraId="04FFC431" w14:textId="5FCD3E7E" w:rsidR="00D81C20" w:rsidRPr="00D81C20" w:rsidRDefault="00D81C20" w:rsidP="00D81C20">
            <w:pPr>
              <w:autoSpaceDE w:val="0"/>
              <w:autoSpaceDN w:val="0"/>
              <w:adjustRightInd w:val="0"/>
              <w:jc w:val="center"/>
              <w:rPr>
                <w:rFonts w:ascii="Arial" w:eastAsia="Calibri" w:hAnsi="Arial" w:cs="Arial"/>
                <w:sz w:val="22"/>
                <w:szCs w:val="22"/>
                <w:lang w:eastAsia="en-US"/>
              </w:rPr>
            </w:pPr>
            <w:r w:rsidRPr="00D81C20">
              <w:rPr>
                <w:rFonts w:ascii="MS Gothic" w:eastAsia="MS Gothic" w:hAnsi="MS Gothic" w:cs="Arial" w:hint="eastAsia"/>
                <w:sz w:val="22"/>
                <w:szCs w:val="22"/>
                <w:lang w:eastAsia="en-US"/>
              </w:rPr>
              <w:t>☐</w:t>
            </w:r>
          </w:p>
        </w:tc>
      </w:tr>
      <w:tr w:rsidR="00D81C20" w:rsidRPr="004C3A0B" w14:paraId="4560DBC6" w14:textId="77777777" w:rsidTr="00D81C20">
        <w:trPr>
          <w:trHeight w:val="403"/>
        </w:trPr>
        <w:tc>
          <w:tcPr>
            <w:tcW w:w="269" w:type="pct"/>
            <w:shd w:val="clear" w:color="auto" w:fill="F2F2F2"/>
            <w:vAlign w:val="center"/>
          </w:tcPr>
          <w:p w14:paraId="69AE3FA2" w14:textId="77777777" w:rsidR="00D81C20" w:rsidRPr="00D81C20" w:rsidRDefault="00D81C20" w:rsidP="00D81C20">
            <w:pPr>
              <w:autoSpaceDE w:val="0"/>
              <w:autoSpaceDN w:val="0"/>
              <w:adjustRightInd w:val="0"/>
              <w:jc w:val="center"/>
              <w:rPr>
                <w:rFonts w:ascii="Arial" w:eastAsia="Calibri" w:hAnsi="Arial" w:cs="Arial"/>
                <w:sz w:val="22"/>
                <w:szCs w:val="22"/>
                <w:lang w:eastAsia="en-US"/>
              </w:rPr>
            </w:pPr>
            <w:r w:rsidRPr="00D81C20">
              <w:rPr>
                <w:rFonts w:ascii="Arial" w:eastAsia="Calibri" w:hAnsi="Arial" w:cs="Arial"/>
                <w:sz w:val="22"/>
                <w:szCs w:val="22"/>
                <w:lang w:eastAsia="en-US"/>
              </w:rPr>
              <w:t>13</w:t>
            </w:r>
          </w:p>
        </w:tc>
        <w:tc>
          <w:tcPr>
            <w:tcW w:w="3931" w:type="pct"/>
            <w:shd w:val="clear" w:color="auto" w:fill="F2F2F2"/>
            <w:vAlign w:val="center"/>
          </w:tcPr>
          <w:p w14:paraId="5CCC11A0" w14:textId="77777777" w:rsidR="00D81C20" w:rsidRPr="00D81C20" w:rsidRDefault="00D81C20" w:rsidP="00D81C20">
            <w:pPr>
              <w:autoSpaceDE w:val="0"/>
              <w:autoSpaceDN w:val="0"/>
              <w:adjustRightInd w:val="0"/>
              <w:rPr>
                <w:rFonts w:ascii="Arial" w:eastAsia="Calibri" w:hAnsi="Arial" w:cs="Arial"/>
                <w:sz w:val="22"/>
                <w:szCs w:val="22"/>
                <w:lang w:eastAsia="en-US"/>
              </w:rPr>
            </w:pPr>
            <w:r w:rsidRPr="00D81C20">
              <w:rPr>
                <w:rFonts w:ascii="Arial" w:eastAsia="Calibri" w:hAnsi="Arial" w:cs="Arial"/>
                <w:sz w:val="22"/>
                <w:szCs w:val="22"/>
                <w:lang w:eastAsia="en-US"/>
              </w:rPr>
              <w:t>A resilient Wales</w:t>
            </w:r>
          </w:p>
        </w:tc>
        <w:tc>
          <w:tcPr>
            <w:tcW w:w="407" w:type="pct"/>
            <w:shd w:val="clear" w:color="auto" w:fill="BFBFBF"/>
            <w:vAlign w:val="center"/>
          </w:tcPr>
          <w:p w14:paraId="1BCD16EC" w14:textId="60625925" w:rsidR="00D81C20" w:rsidRPr="00D81C20" w:rsidRDefault="00D81C20" w:rsidP="00D81C20">
            <w:pPr>
              <w:autoSpaceDE w:val="0"/>
              <w:autoSpaceDN w:val="0"/>
              <w:adjustRightInd w:val="0"/>
              <w:jc w:val="center"/>
              <w:rPr>
                <w:rFonts w:ascii="Arial" w:eastAsia="Calibri" w:hAnsi="Arial" w:cs="Arial"/>
                <w:sz w:val="22"/>
                <w:szCs w:val="22"/>
                <w:lang w:eastAsia="en-US"/>
              </w:rPr>
            </w:pPr>
            <w:r w:rsidRPr="00D81C20">
              <w:rPr>
                <w:rFonts w:ascii="MS Gothic" w:eastAsia="MS Gothic" w:hAnsi="MS Gothic" w:cs="Arial" w:hint="eastAsia"/>
                <w:sz w:val="22"/>
                <w:szCs w:val="22"/>
                <w:lang w:eastAsia="en-US"/>
              </w:rPr>
              <w:t>☐</w:t>
            </w:r>
          </w:p>
        </w:tc>
        <w:tc>
          <w:tcPr>
            <w:tcW w:w="393" w:type="pct"/>
            <w:shd w:val="clear" w:color="auto" w:fill="BFBFBF"/>
            <w:vAlign w:val="center"/>
          </w:tcPr>
          <w:p w14:paraId="25F50F83" w14:textId="218E80C8" w:rsidR="00D81C20" w:rsidRPr="00D81C20" w:rsidRDefault="00D81C20" w:rsidP="00D81C20">
            <w:pPr>
              <w:autoSpaceDE w:val="0"/>
              <w:autoSpaceDN w:val="0"/>
              <w:adjustRightInd w:val="0"/>
              <w:jc w:val="center"/>
              <w:rPr>
                <w:rFonts w:ascii="Arial" w:eastAsia="Calibri" w:hAnsi="Arial" w:cs="Arial"/>
                <w:sz w:val="22"/>
                <w:szCs w:val="22"/>
                <w:lang w:eastAsia="en-US"/>
              </w:rPr>
            </w:pPr>
            <w:r w:rsidRPr="00D81C20">
              <w:rPr>
                <w:rFonts w:ascii="MS Gothic" w:eastAsia="MS Gothic" w:hAnsi="MS Gothic" w:cs="Arial" w:hint="eastAsia"/>
                <w:sz w:val="22"/>
                <w:szCs w:val="22"/>
                <w:lang w:eastAsia="en-US"/>
              </w:rPr>
              <w:t>☐</w:t>
            </w:r>
          </w:p>
        </w:tc>
      </w:tr>
      <w:tr w:rsidR="00D81C20" w:rsidRPr="004C3A0B" w14:paraId="587E6523" w14:textId="77777777" w:rsidTr="00D81C20">
        <w:trPr>
          <w:trHeight w:val="439"/>
        </w:trPr>
        <w:tc>
          <w:tcPr>
            <w:tcW w:w="269" w:type="pct"/>
            <w:shd w:val="clear" w:color="auto" w:fill="F2F2F2"/>
            <w:vAlign w:val="center"/>
          </w:tcPr>
          <w:p w14:paraId="2FDC03D6" w14:textId="77777777" w:rsidR="00D81C20" w:rsidRPr="00D81C20" w:rsidRDefault="00D81C20" w:rsidP="00D81C20">
            <w:pPr>
              <w:autoSpaceDE w:val="0"/>
              <w:autoSpaceDN w:val="0"/>
              <w:adjustRightInd w:val="0"/>
              <w:jc w:val="center"/>
              <w:rPr>
                <w:rFonts w:ascii="Arial" w:eastAsia="Calibri" w:hAnsi="Arial" w:cs="Arial"/>
                <w:sz w:val="22"/>
                <w:szCs w:val="22"/>
                <w:lang w:eastAsia="en-US"/>
              </w:rPr>
            </w:pPr>
            <w:r w:rsidRPr="00D81C20">
              <w:rPr>
                <w:rFonts w:ascii="Arial" w:eastAsia="Calibri" w:hAnsi="Arial" w:cs="Arial"/>
                <w:sz w:val="22"/>
                <w:szCs w:val="22"/>
                <w:lang w:eastAsia="en-US"/>
              </w:rPr>
              <w:t>14</w:t>
            </w:r>
          </w:p>
        </w:tc>
        <w:tc>
          <w:tcPr>
            <w:tcW w:w="3931" w:type="pct"/>
            <w:shd w:val="clear" w:color="auto" w:fill="F2F2F2"/>
            <w:vAlign w:val="center"/>
          </w:tcPr>
          <w:p w14:paraId="268BF878" w14:textId="77777777" w:rsidR="00D81C20" w:rsidRPr="00D81C20" w:rsidRDefault="00D81C20" w:rsidP="00D81C20">
            <w:pPr>
              <w:autoSpaceDE w:val="0"/>
              <w:autoSpaceDN w:val="0"/>
              <w:adjustRightInd w:val="0"/>
              <w:rPr>
                <w:rFonts w:ascii="Arial" w:eastAsia="Calibri" w:hAnsi="Arial" w:cs="Arial"/>
                <w:sz w:val="22"/>
                <w:szCs w:val="22"/>
                <w:lang w:eastAsia="en-US"/>
              </w:rPr>
            </w:pPr>
            <w:r w:rsidRPr="00D81C20">
              <w:rPr>
                <w:rFonts w:ascii="Arial" w:eastAsia="Calibri" w:hAnsi="Arial" w:cs="Arial"/>
                <w:sz w:val="22"/>
                <w:szCs w:val="22"/>
                <w:lang w:eastAsia="en-US"/>
              </w:rPr>
              <w:t>A healthier Wales</w:t>
            </w:r>
          </w:p>
        </w:tc>
        <w:tc>
          <w:tcPr>
            <w:tcW w:w="407" w:type="pct"/>
            <w:shd w:val="clear" w:color="auto" w:fill="BFBFBF"/>
            <w:vAlign w:val="center"/>
          </w:tcPr>
          <w:p w14:paraId="62C7D142" w14:textId="616AA209" w:rsidR="00D81C20" w:rsidRPr="00D81C20" w:rsidRDefault="00D81C20" w:rsidP="00D81C20">
            <w:pPr>
              <w:autoSpaceDE w:val="0"/>
              <w:autoSpaceDN w:val="0"/>
              <w:adjustRightInd w:val="0"/>
              <w:jc w:val="center"/>
              <w:rPr>
                <w:rFonts w:ascii="Arial" w:eastAsia="Calibri" w:hAnsi="Arial" w:cs="Arial"/>
                <w:sz w:val="22"/>
                <w:szCs w:val="22"/>
                <w:lang w:eastAsia="en-US"/>
              </w:rPr>
            </w:pPr>
            <w:r w:rsidRPr="00D81C20">
              <w:rPr>
                <w:rFonts w:ascii="MS Gothic" w:eastAsia="MS Gothic" w:hAnsi="MS Gothic" w:cs="Arial" w:hint="eastAsia"/>
                <w:sz w:val="22"/>
                <w:szCs w:val="22"/>
                <w:lang w:eastAsia="en-US"/>
              </w:rPr>
              <w:t>☐</w:t>
            </w:r>
          </w:p>
        </w:tc>
        <w:tc>
          <w:tcPr>
            <w:tcW w:w="393" w:type="pct"/>
            <w:shd w:val="clear" w:color="auto" w:fill="BFBFBF"/>
            <w:vAlign w:val="center"/>
          </w:tcPr>
          <w:p w14:paraId="26B3BDA0" w14:textId="4B455C31" w:rsidR="00D81C20" w:rsidRPr="00D81C20" w:rsidRDefault="00D81C20" w:rsidP="00D81C20">
            <w:pPr>
              <w:autoSpaceDE w:val="0"/>
              <w:autoSpaceDN w:val="0"/>
              <w:adjustRightInd w:val="0"/>
              <w:jc w:val="center"/>
              <w:rPr>
                <w:rFonts w:ascii="Arial" w:eastAsia="Calibri" w:hAnsi="Arial" w:cs="Arial"/>
                <w:sz w:val="22"/>
                <w:szCs w:val="22"/>
                <w:lang w:eastAsia="en-US"/>
              </w:rPr>
            </w:pPr>
            <w:r w:rsidRPr="00D81C20">
              <w:rPr>
                <w:rFonts w:ascii="MS Gothic" w:eastAsia="MS Gothic" w:hAnsi="MS Gothic" w:cs="Arial" w:hint="eastAsia"/>
                <w:sz w:val="22"/>
                <w:szCs w:val="22"/>
                <w:lang w:eastAsia="en-US"/>
              </w:rPr>
              <w:t>☐</w:t>
            </w:r>
          </w:p>
        </w:tc>
      </w:tr>
      <w:tr w:rsidR="00D81C20" w:rsidRPr="004C3A0B" w14:paraId="6615ED6C" w14:textId="77777777" w:rsidTr="00D81C20">
        <w:trPr>
          <w:trHeight w:val="403"/>
        </w:trPr>
        <w:tc>
          <w:tcPr>
            <w:tcW w:w="269" w:type="pct"/>
            <w:shd w:val="clear" w:color="auto" w:fill="F2F2F2"/>
            <w:vAlign w:val="center"/>
          </w:tcPr>
          <w:p w14:paraId="03FACA88" w14:textId="77777777" w:rsidR="00D81C20" w:rsidRPr="00D81C20" w:rsidRDefault="00D81C20" w:rsidP="00D81C20">
            <w:pPr>
              <w:autoSpaceDE w:val="0"/>
              <w:autoSpaceDN w:val="0"/>
              <w:adjustRightInd w:val="0"/>
              <w:jc w:val="center"/>
              <w:rPr>
                <w:rFonts w:ascii="Arial" w:eastAsia="Calibri" w:hAnsi="Arial" w:cs="Arial"/>
                <w:sz w:val="22"/>
                <w:szCs w:val="22"/>
                <w:lang w:eastAsia="en-US"/>
              </w:rPr>
            </w:pPr>
            <w:r w:rsidRPr="00D81C20">
              <w:rPr>
                <w:rFonts w:ascii="Arial" w:eastAsia="Calibri" w:hAnsi="Arial" w:cs="Arial"/>
                <w:sz w:val="22"/>
                <w:szCs w:val="22"/>
                <w:lang w:eastAsia="en-US"/>
              </w:rPr>
              <w:t>15</w:t>
            </w:r>
          </w:p>
        </w:tc>
        <w:tc>
          <w:tcPr>
            <w:tcW w:w="3931" w:type="pct"/>
            <w:shd w:val="clear" w:color="auto" w:fill="F2F2F2"/>
            <w:vAlign w:val="center"/>
          </w:tcPr>
          <w:p w14:paraId="47387C94" w14:textId="77777777" w:rsidR="00D81C20" w:rsidRPr="00D81C20" w:rsidRDefault="00D81C20" w:rsidP="00D81C20">
            <w:pPr>
              <w:autoSpaceDE w:val="0"/>
              <w:autoSpaceDN w:val="0"/>
              <w:adjustRightInd w:val="0"/>
              <w:rPr>
                <w:rFonts w:ascii="Arial" w:eastAsia="Calibri" w:hAnsi="Arial" w:cs="Arial"/>
                <w:sz w:val="22"/>
                <w:szCs w:val="22"/>
                <w:lang w:eastAsia="en-US"/>
              </w:rPr>
            </w:pPr>
            <w:r w:rsidRPr="00D81C20">
              <w:rPr>
                <w:rFonts w:ascii="Arial" w:eastAsia="Calibri" w:hAnsi="Arial" w:cs="Arial"/>
                <w:sz w:val="22"/>
                <w:szCs w:val="22"/>
                <w:lang w:eastAsia="en-US"/>
              </w:rPr>
              <w:t>A more equal Wales</w:t>
            </w:r>
          </w:p>
        </w:tc>
        <w:tc>
          <w:tcPr>
            <w:tcW w:w="407" w:type="pct"/>
            <w:shd w:val="clear" w:color="auto" w:fill="BFBFBF"/>
            <w:vAlign w:val="center"/>
          </w:tcPr>
          <w:p w14:paraId="5D1003F1" w14:textId="711DE257" w:rsidR="00D81C20" w:rsidRPr="00D81C20" w:rsidRDefault="00D81C20" w:rsidP="00D81C20">
            <w:pPr>
              <w:autoSpaceDE w:val="0"/>
              <w:autoSpaceDN w:val="0"/>
              <w:adjustRightInd w:val="0"/>
              <w:jc w:val="center"/>
              <w:rPr>
                <w:rFonts w:ascii="Arial" w:eastAsia="Calibri" w:hAnsi="Arial" w:cs="Arial"/>
                <w:sz w:val="22"/>
                <w:szCs w:val="22"/>
                <w:lang w:eastAsia="en-US"/>
              </w:rPr>
            </w:pPr>
            <w:r w:rsidRPr="00D81C20">
              <w:rPr>
                <w:rFonts w:ascii="MS Gothic" w:eastAsia="MS Gothic" w:hAnsi="MS Gothic" w:cs="Arial" w:hint="eastAsia"/>
                <w:sz w:val="22"/>
                <w:szCs w:val="22"/>
                <w:lang w:eastAsia="en-US"/>
              </w:rPr>
              <w:t>☒</w:t>
            </w:r>
          </w:p>
        </w:tc>
        <w:tc>
          <w:tcPr>
            <w:tcW w:w="393" w:type="pct"/>
            <w:shd w:val="clear" w:color="auto" w:fill="BFBFBF"/>
            <w:vAlign w:val="center"/>
          </w:tcPr>
          <w:p w14:paraId="4A742E02" w14:textId="3816666C" w:rsidR="00D81C20" w:rsidRPr="00D81C20" w:rsidRDefault="00D81C20" w:rsidP="00D81C20">
            <w:pPr>
              <w:autoSpaceDE w:val="0"/>
              <w:autoSpaceDN w:val="0"/>
              <w:adjustRightInd w:val="0"/>
              <w:jc w:val="center"/>
              <w:rPr>
                <w:rFonts w:ascii="Arial" w:eastAsia="Calibri" w:hAnsi="Arial" w:cs="Arial"/>
                <w:sz w:val="22"/>
                <w:szCs w:val="22"/>
                <w:lang w:eastAsia="en-US"/>
              </w:rPr>
            </w:pPr>
            <w:r w:rsidRPr="00D81C20">
              <w:rPr>
                <w:rFonts w:ascii="MS Gothic" w:eastAsia="MS Gothic" w:hAnsi="MS Gothic" w:cs="Arial" w:hint="eastAsia"/>
                <w:sz w:val="22"/>
                <w:szCs w:val="22"/>
                <w:lang w:eastAsia="en-US"/>
              </w:rPr>
              <w:t>☐</w:t>
            </w:r>
          </w:p>
        </w:tc>
      </w:tr>
      <w:tr w:rsidR="00D81C20" w:rsidRPr="004C3A0B" w14:paraId="279224D9" w14:textId="77777777" w:rsidTr="00D81C20">
        <w:trPr>
          <w:trHeight w:val="403"/>
        </w:trPr>
        <w:tc>
          <w:tcPr>
            <w:tcW w:w="269" w:type="pct"/>
            <w:shd w:val="clear" w:color="auto" w:fill="F2F2F2"/>
            <w:vAlign w:val="center"/>
          </w:tcPr>
          <w:p w14:paraId="72423B3F" w14:textId="77777777" w:rsidR="00D81C20" w:rsidRPr="00D81C20" w:rsidRDefault="00D81C20" w:rsidP="00D81C20">
            <w:pPr>
              <w:autoSpaceDE w:val="0"/>
              <w:autoSpaceDN w:val="0"/>
              <w:adjustRightInd w:val="0"/>
              <w:jc w:val="center"/>
              <w:rPr>
                <w:rFonts w:ascii="Arial" w:eastAsia="Calibri" w:hAnsi="Arial" w:cs="Arial"/>
                <w:sz w:val="22"/>
                <w:szCs w:val="22"/>
                <w:lang w:eastAsia="en-US"/>
              </w:rPr>
            </w:pPr>
            <w:r w:rsidRPr="00D81C20">
              <w:rPr>
                <w:rFonts w:ascii="Arial" w:eastAsia="Calibri" w:hAnsi="Arial" w:cs="Arial"/>
                <w:sz w:val="22"/>
                <w:szCs w:val="22"/>
                <w:lang w:eastAsia="en-US"/>
              </w:rPr>
              <w:t>16</w:t>
            </w:r>
          </w:p>
        </w:tc>
        <w:tc>
          <w:tcPr>
            <w:tcW w:w="3931" w:type="pct"/>
            <w:shd w:val="clear" w:color="auto" w:fill="F2F2F2"/>
            <w:vAlign w:val="center"/>
          </w:tcPr>
          <w:p w14:paraId="71E7D91E" w14:textId="77777777" w:rsidR="00D81C20" w:rsidRPr="00D81C20" w:rsidRDefault="00D81C20" w:rsidP="00D81C20">
            <w:pPr>
              <w:autoSpaceDE w:val="0"/>
              <w:autoSpaceDN w:val="0"/>
              <w:adjustRightInd w:val="0"/>
              <w:rPr>
                <w:rFonts w:ascii="Arial" w:eastAsia="Calibri" w:hAnsi="Arial" w:cs="Arial"/>
                <w:sz w:val="22"/>
                <w:szCs w:val="22"/>
                <w:lang w:eastAsia="en-US"/>
              </w:rPr>
            </w:pPr>
            <w:r w:rsidRPr="00D81C20">
              <w:rPr>
                <w:rFonts w:ascii="Arial" w:eastAsia="Calibri" w:hAnsi="Arial" w:cs="Arial"/>
                <w:sz w:val="22"/>
                <w:szCs w:val="22"/>
                <w:lang w:eastAsia="en-US"/>
              </w:rPr>
              <w:t>A Wales of cohesive communities</w:t>
            </w:r>
          </w:p>
        </w:tc>
        <w:tc>
          <w:tcPr>
            <w:tcW w:w="407" w:type="pct"/>
            <w:shd w:val="clear" w:color="auto" w:fill="BFBFBF"/>
            <w:vAlign w:val="center"/>
          </w:tcPr>
          <w:p w14:paraId="66815034" w14:textId="37E45A4F" w:rsidR="00D81C20" w:rsidRPr="00D81C20" w:rsidRDefault="00D81C20" w:rsidP="00D81C20">
            <w:pPr>
              <w:autoSpaceDE w:val="0"/>
              <w:autoSpaceDN w:val="0"/>
              <w:adjustRightInd w:val="0"/>
              <w:jc w:val="center"/>
              <w:rPr>
                <w:rFonts w:ascii="Arial" w:eastAsia="Calibri" w:hAnsi="Arial" w:cs="Arial"/>
                <w:sz w:val="22"/>
                <w:szCs w:val="22"/>
                <w:lang w:eastAsia="en-US"/>
              </w:rPr>
            </w:pPr>
            <w:r w:rsidRPr="00D81C20">
              <w:rPr>
                <w:rFonts w:ascii="MS Gothic" w:eastAsia="MS Gothic" w:hAnsi="MS Gothic" w:cs="Arial" w:hint="eastAsia"/>
                <w:sz w:val="22"/>
                <w:szCs w:val="22"/>
                <w:lang w:eastAsia="en-US"/>
              </w:rPr>
              <w:t>☒</w:t>
            </w:r>
          </w:p>
        </w:tc>
        <w:tc>
          <w:tcPr>
            <w:tcW w:w="393" w:type="pct"/>
            <w:shd w:val="clear" w:color="auto" w:fill="BFBFBF"/>
            <w:vAlign w:val="center"/>
          </w:tcPr>
          <w:p w14:paraId="09EEC1EC" w14:textId="773D6FB5" w:rsidR="00D81C20" w:rsidRPr="00D81C20" w:rsidRDefault="00D81C20" w:rsidP="00D81C20">
            <w:pPr>
              <w:autoSpaceDE w:val="0"/>
              <w:autoSpaceDN w:val="0"/>
              <w:adjustRightInd w:val="0"/>
              <w:jc w:val="center"/>
              <w:rPr>
                <w:rFonts w:ascii="Arial" w:eastAsia="Calibri" w:hAnsi="Arial" w:cs="Arial"/>
                <w:sz w:val="22"/>
                <w:szCs w:val="22"/>
                <w:lang w:eastAsia="en-US"/>
              </w:rPr>
            </w:pPr>
            <w:r w:rsidRPr="00D81C20">
              <w:rPr>
                <w:rFonts w:ascii="MS Gothic" w:eastAsia="MS Gothic" w:hAnsi="MS Gothic" w:cs="Arial" w:hint="eastAsia"/>
                <w:sz w:val="22"/>
                <w:szCs w:val="22"/>
                <w:lang w:eastAsia="en-US"/>
              </w:rPr>
              <w:t>☐</w:t>
            </w:r>
          </w:p>
        </w:tc>
      </w:tr>
      <w:tr w:rsidR="00D81C20" w:rsidRPr="004C3A0B" w14:paraId="1E65B9B2" w14:textId="77777777" w:rsidTr="00D81C20">
        <w:trPr>
          <w:trHeight w:val="439"/>
        </w:trPr>
        <w:tc>
          <w:tcPr>
            <w:tcW w:w="269" w:type="pct"/>
            <w:shd w:val="clear" w:color="auto" w:fill="F2F2F2"/>
            <w:vAlign w:val="center"/>
          </w:tcPr>
          <w:p w14:paraId="2C9C4F75" w14:textId="77777777" w:rsidR="00D81C20" w:rsidRPr="00D81C20" w:rsidRDefault="00D81C20" w:rsidP="00D81C20">
            <w:pPr>
              <w:autoSpaceDE w:val="0"/>
              <w:autoSpaceDN w:val="0"/>
              <w:adjustRightInd w:val="0"/>
              <w:jc w:val="center"/>
              <w:rPr>
                <w:rFonts w:ascii="Arial" w:eastAsia="Calibri" w:hAnsi="Arial" w:cs="Arial"/>
                <w:sz w:val="22"/>
                <w:szCs w:val="22"/>
                <w:lang w:eastAsia="en-US"/>
              </w:rPr>
            </w:pPr>
            <w:r w:rsidRPr="00D81C20">
              <w:rPr>
                <w:rFonts w:ascii="Arial" w:eastAsia="Calibri" w:hAnsi="Arial" w:cs="Arial"/>
                <w:sz w:val="22"/>
                <w:szCs w:val="22"/>
                <w:lang w:eastAsia="en-US"/>
              </w:rPr>
              <w:t>17</w:t>
            </w:r>
          </w:p>
        </w:tc>
        <w:tc>
          <w:tcPr>
            <w:tcW w:w="3931" w:type="pct"/>
            <w:shd w:val="clear" w:color="auto" w:fill="F2F2F2"/>
            <w:vAlign w:val="center"/>
          </w:tcPr>
          <w:p w14:paraId="03A0FEF2" w14:textId="77777777" w:rsidR="00D81C20" w:rsidRPr="00D81C20" w:rsidRDefault="00D81C20" w:rsidP="00D81C20">
            <w:pPr>
              <w:autoSpaceDE w:val="0"/>
              <w:autoSpaceDN w:val="0"/>
              <w:adjustRightInd w:val="0"/>
              <w:rPr>
                <w:rFonts w:ascii="Arial" w:eastAsia="Calibri" w:hAnsi="Arial" w:cs="Arial"/>
                <w:sz w:val="22"/>
                <w:szCs w:val="22"/>
                <w:lang w:eastAsia="en-US"/>
              </w:rPr>
            </w:pPr>
            <w:r w:rsidRPr="00D81C20">
              <w:rPr>
                <w:rFonts w:ascii="Arial" w:eastAsia="Calibri" w:hAnsi="Arial" w:cs="Arial"/>
                <w:sz w:val="22"/>
                <w:szCs w:val="22"/>
                <w:lang w:eastAsia="en-US"/>
              </w:rPr>
              <w:t>A Wales of vibrant culture and thriving Welsh language</w:t>
            </w:r>
          </w:p>
        </w:tc>
        <w:tc>
          <w:tcPr>
            <w:tcW w:w="407" w:type="pct"/>
            <w:shd w:val="clear" w:color="auto" w:fill="BFBFBF"/>
            <w:vAlign w:val="center"/>
          </w:tcPr>
          <w:p w14:paraId="5261294F" w14:textId="04C18B7D" w:rsidR="00D81C20" w:rsidRPr="00D81C20" w:rsidRDefault="00D81C20" w:rsidP="00D81C20">
            <w:pPr>
              <w:autoSpaceDE w:val="0"/>
              <w:autoSpaceDN w:val="0"/>
              <w:adjustRightInd w:val="0"/>
              <w:jc w:val="center"/>
              <w:rPr>
                <w:rFonts w:ascii="Arial" w:eastAsia="Calibri" w:hAnsi="Arial" w:cs="Arial"/>
                <w:sz w:val="22"/>
                <w:szCs w:val="22"/>
                <w:lang w:eastAsia="en-US"/>
              </w:rPr>
            </w:pPr>
            <w:r w:rsidRPr="00D81C20">
              <w:rPr>
                <w:rFonts w:ascii="MS Gothic" w:eastAsia="MS Gothic" w:hAnsi="MS Gothic" w:cs="Arial" w:hint="eastAsia"/>
                <w:sz w:val="22"/>
                <w:szCs w:val="22"/>
                <w:lang w:eastAsia="en-US"/>
              </w:rPr>
              <w:t>☐</w:t>
            </w:r>
          </w:p>
        </w:tc>
        <w:tc>
          <w:tcPr>
            <w:tcW w:w="393" w:type="pct"/>
            <w:shd w:val="clear" w:color="auto" w:fill="BFBFBF"/>
            <w:vAlign w:val="center"/>
          </w:tcPr>
          <w:p w14:paraId="747A99A8" w14:textId="335A158E" w:rsidR="00D81C20" w:rsidRPr="00D81C20" w:rsidRDefault="00D81C20" w:rsidP="00D81C20">
            <w:pPr>
              <w:autoSpaceDE w:val="0"/>
              <w:autoSpaceDN w:val="0"/>
              <w:adjustRightInd w:val="0"/>
              <w:jc w:val="center"/>
              <w:rPr>
                <w:rFonts w:ascii="Arial" w:eastAsia="Calibri" w:hAnsi="Arial" w:cs="Arial"/>
                <w:sz w:val="22"/>
                <w:szCs w:val="22"/>
                <w:lang w:eastAsia="en-US"/>
              </w:rPr>
            </w:pPr>
            <w:r w:rsidRPr="00D81C20">
              <w:rPr>
                <w:rFonts w:ascii="MS Gothic" w:eastAsia="MS Gothic" w:hAnsi="MS Gothic" w:cs="Arial" w:hint="eastAsia"/>
                <w:sz w:val="22"/>
                <w:szCs w:val="22"/>
                <w:lang w:eastAsia="en-US"/>
              </w:rPr>
              <w:t>☐</w:t>
            </w:r>
          </w:p>
        </w:tc>
      </w:tr>
      <w:tr w:rsidR="00D81C20" w:rsidRPr="004C3A0B" w14:paraId="4613E296" w14:textId="77777777" w:rsidTr="00D81C20">
        <w:trPr>
          <w:trHeight w:val="403"/>
        </w:trPr>
        <w:tc>
          <w:tcPr>
            <w:tcW w:w="269" w:type="pct"/>
            <w:shd w:val="clear" w:color="auto" w:fill="F2F2F2"/>
            <w:vAlign w:val="center"/>
          </w:tcPr>
          <w:p w14:paraId="3F91984A" w14:textId="77777777" w:rsidR="00D81C20" w:rsidRPr="00D81C20" w:rsidRDefault="00D81C20" w:rsidP="00D81C20">
            <w:pPr>
              <w:autoSpaceDE w:val="0"/>
              <w:autoSpaceDN w:val="0"/>
              <w:adjustRightInd w:val="0"/>
              <w:jc w:val="center"/>
              <w:rPr>
                <w:rFonts w:ascii="Arial" w:eastAsia="Calibri" w:hAnsi="Arial" w:cs="Arial"/>
                <w:sz w:val="22"/>
                <w:szCs w:val="22"/>
                <w:lang w:eastAsia="en-US"/>
              </w:rPr>
            </w:pPr>
            <w:r w:rsidRPr="00D81C20">
              <w:rPr>
                <w:rFonts w:ascii="Arial" w:eastAsia="Calibri" w:hAnsi="Arial" w:cs="Arial"/>
                <w:sz w:val="22"/>
                <w:szCs w:val="22"/>
                <w:lang w:eastAsia="en-US"/>
              </w:rPr>
              <w:t>18</w:t>
            </w:r>
          </w:p>
        </w:tc>
        <w:tc>
          <w:tcPr>
            <w:tcW w:w="3931" w:type="pct"/>
            <w:shd w:val="clear" w:color="auto" w:fill="F2F2F2"/>
            <w:vAlign w:val="center"/>
          </w:tcPr>
          <w:p w14:paraId="4F8C1251" w14:textId="77777777" w:rsidR="00D81C20" w:rsidRPr="00D81C20" w:rsidRDefault="00D81C20" w:rsidP="00D81C20">
            <w:pPr>
              <w:autoSpaceDE w:val="0"/>
              <w:autoSpaceDN w:val="0"/>
              <w:adjustRightInd w:val="0"/>
              <w:rPr>
                <w:rFonts w:ascii="Arial" w:eastAsia="Calibri" w:hAnsi="Arial" w:cs="Arial"/>
                <w:sz w:val="22"/>
                <w:szCs w:val="22"/>
                <w:lang w:eastAsia="en-US"/>
              </w:rPr>
            </w:pPr>
            <w:r w:rsidRPr="00D81C20">
              <w:rPr>
                <w:rFonts w:ascii="Arial" w:eastAsia="Calibri" w:hAnsi="Arial" w:cs="Arial"/>
                <w:sz w:val="22"/>
                <w:szCs w:val="22"/>
                <w:lang w:eastAsia="en-US"/>
              </w:rPr>
              <w:t>A globally responsible Wales</w:t>
            </w:r>
          </w:p>
        </w:tc>
        <w:tc>
          <w:tcPr>
            <w:tcW w:w="407" w:type="pct"/>
            <w:shd w:val="clear" w:color="auto" w:fill="BFBFBF"/>
            <w:vAlign w:val="center"/>
          </w:tcPr>
          <w:p w14:paraId="4BA7998C" w14:textId="2F580158" w:rsidR="00D81C20" w:rsidRPr="00D81C20" w:rsidRDefault="00D81C20" w:rsidP="00D81C20">
            <w:pPr>
              <w:autoSpaceDE w:val="0"/>
              <w:autoSpaceDN w:val="0"/>
              <w:adjustRightInd w:val="0"/>
              <w:jc w:val="center"/>
              <w:rPr>
                <w:rFonts w:ascii="Arial" w:eastAsia="Calibri" w:hAnsi="Arial" w:cs="Arial"/>
                <w:sz w:val="22"/>
                <w:szCs w:val="22"/>
                <w:lang w:eastAsia="en-US"/>
              </w:rPr>
            </w:pPr>
            <w:r w:rsidRPr="00D81C20">
              <w:rPr>
                <w:rFonts w:ascii="MS Gothic" w:eastAsia="MS Gothic" w:hAnsi="MS Gothic" w:cs="Arial" w:hint="eastAsia"/>
                <w:sz w:val="22"/>
                <w:szCs w:val="22"/>
                <w:lang w:eastAsia="en-US"/>
              </w:rPr>
              <w:t>☒</w:t>
            </w:r>
          </w:p>
        </w:tc>
        <w:tc>
          <w:tcPr>
            <w:tcW w:w="393" w:type="pct"/>
            <w:shd w:val="clear" w:color="auto" w:fill="BFBFBF"/>
            <w:vAlign w:val="center"/>
          </w:tcPr>
          <w:p w14:paraId="77BA6DD1" w14:textId="14CD0ABB" w:rsidR="00D81C20" w:rsidRPr="00D81C20" w:rsidRDefault="00D81C20" w:rsidP="00D81C20">
            <w:pPr>
              <w:autoSpaceDE w:val="0"/>
              <w:autoSpaceDN w:val="0"/>
              <w:adjustRightInd w:val="0"/>
              <w:jc w:val="center"/>
              <w:rPr>
                <w:rFonts w:ascii="Arial" w:eastAsia="Calibri" w:hAnsi="Arial" w:cs="Arial"/>
                <w:sz w:val="22"/>
                <w:szCs w:val="22"/>
                <w:lang w:eastAsia="en-US"/>
              </w:rPr>
            </w:pPr>
            <w:r w:rsidRPr="00D81C20">
              <w:rPr>
                <w:rFonts w:ascii="MS Gothic" w:eastAsia="MS Gothic" w:hAnsi="MS Gothic" w:cs="Arial" w:hint="eastAsia"/>
                <w:sz w:val="22"/>
                <w:szCs w:val="22"/>
                <w:lang w:eastAsia="en-US"/>
              </w:rPr>
              <w:t>☐</w:t>
            </w:r>
          </w:p>
        </w:tc>
      </w:tr>
      <w:tr w:rsidR="00D81C20" w:rsidRPr="004C3A0B" w14:paraId="12C04E06" w14:textId="77777777" w:rsidTr="00D81C20">
        <w:trPr>
          <w:trHeight w:val="403"/>
        </w:trPr>
        <w:tc>
          <w:tcPr>
            <w:tcW w:w="269" w:type="pct"/>
            <w:shd w:val="clear" w:color="auto" w:fill="F2F2F2"/>
            <w:vAlign w:val="center"/>
          </w:tcPr>
          <w:p w14:paraId="03E8717B" w14:textId="77777777" w:rsidR="00D81C20" w:rsidRPr="00D81C20" w:rsidRDefault="00D81C20" w:rsidP="00D81C20">
            <w:pPr>
              <w:autoSpaceDE w:val="0"/>
              <w:autoSpaceDN w:val="0"/>
              <w:adjustRightInd w:val="0"/>
              <w:jc w:val="center"/>
              <w:rPr>
                <w:rFonts w:ascii="Arial" w:eastAsia="Calibri" w:hAnsi="Arial" w:cs="Arial"/>
                <w:sz w:val="22"/>
                <w:szCs w:val="22"/>
                <w:lang w:eastAsia="en-US"/>
              </w:rPr>
            </w:pPr>
            <w:r w:rsidRPr="00D81C20">
              <w:rPr>
                <w:rFonts w:ascii="Arial" w:eastAsia="Calibri" w:hAnsi="Arial" w:cs="Arial"/>
                <w:sz w:val="22"/>
                <w:szCs w:val="22"/>
                <w:lang w:eastAsia="en-US"/>
              </w:rPr>
              <w:t>19</w:t>
            </w:r>
          </w:p>
        </w:tc>
        <w:tc>
          <w:tcPr>
            <w:tcW w:w="4731" w:type="pct"/>
            <w:gridSpan w:val="3"/>
            <w:shd w:val="clear" w:color="auto" w:fill="F2F2F2"/>
            <w:vAlign w:val="center"/>
          </w:tcPr>
          <w:p w14:paraId="07563F1F" w14:textId="77777777" w:rsidR="00D81C20" w:rsidRPr="00D81C20" w:rsidRDefault="00D81C20" w:rsidP="00D81C20">
            <w:pPr>
              <w:autoSpaceDE w:val="0"/>
              <w:autoSpaceDN w:val="0"/>
              <w:adjustRightInd w:val="0"/>
              <w:rPr>
                <w:rFonts w:ascii="Arial" w:eastAsia="Calibri" w:hAnsi="Arial" w:cs="Arial"/>
                <w:bCs/>
                <w:sz w:val="22"/>
                <w:szCs w:val="22"/>
                <w:lang w:eastAsia="en-US"/>
              </w:rPr>
            </w:pPr>
            <w:r w:rsidRPr="00D81C20">
              <w:rPr>
                <w:rFonts w:ascii="Arial" w:eastAsia="Calibri" w:hAnsi="Arial" w:cs="Arial"/>
                <w:sz w:val="22"/>
                <w:szCs w:val="22"/>
                <w:lang w:eastAsia="en-US"/>
              </w:rPr>
              <w:t>If YES to any of the above, please give details:</w:t>
            </w:r>
          </w:p>
        </w:tc>
      </w:tr>
      <w:tr w:rsidR="00D81C20" w:rsidRPr="004C3A0B" w14:paraId="2966E398" w14:textId="77777777" w:rsidTr="00D81C20">
        <w:trPr>
          <w:trHeight w:val="403"/>
        </w:trPr>
        <w:tc>
          <w:tcPr>
            <w:tcW w:w="269" w:type="pct"/>
            <w:shd w:val="clear" w:color="auto" w:fill="auto"/>
            <w:vAlign w:val="center"/>
          </w:tcPr>
          <w:p w14:paraId="767DF3C6" w14:textId="77777777" w:rsidR="00D81C20" w:rsidRPr="00D81C20" w:rsidRDefault="00D81C20" w:rsidP="00D81C20">
            <w:pPr>
              <w:autoSpaceDE w:val="0"/>
              <w:autoSpaceDN w:val="0"/>
              <w:adjustRightInd w:val="0"/>
              <w:jc w:val="center"/>
              <w:rPr>
                <w:rFonts w:ascii="Arial" w:eastAsia="Calibri" w:hAnsi="Arial" w:cs="Arial"/>
                <w:sz w:val="22"/>
                <w:szCs w:val="22"/>
                <w:lang w:eastAsia="en-US"/>
              </w:rPr>
            </w:pPr>
          </w:p>
        </w:tc>
        <w:tc>
          <w:tcPr>
            <w:tcW w:w="4731" w:type="pct"/>
            <w:gridSpan w:val="3"/>
            <w:shd w:val="clear" w:color="auto" w:fill="auto"/>
            <w:vAlign w:val="center"/>
          </w:tcPr>
          <w:p w14:paraId="58FDEA97" w14:textId="3255DD90" w:rsidR="00D81C20" w:rsidRPr="00D81C20" w:rsidRDefault="00D81C20" w:rsidP="00A91894">
            <w:pPr>
              <w:rPr>
                <w:rFonts w:ascii="Arial" w:eastAsia="Calibri" w:hAnsi="Arial" w:cs="Arial"/>
                <w:sz w:val="22"/>
                <w:szCs w:val="22"/>
                <w:lang w:eastAsia="en-US"/>
              </w:rPr>
            </w:pPr>
            <w:r w:rsidRPr="00D81C20">
              <w:rPr>
                <w:rFonts w:ascii="Arial" w:eastAsia="Calibri" w:hAnsi="Arial" w:cs="Arial"/>
                <w:sz w:val="22"/>
                <w:szCs w:val="22"/>
                <w:lang w:eastAsia="en-US"/>
              </w:rPr>
              <w:t xml:space="preserve">This thesis will explore the impact that British Colonialism  had on former British colonial countries </w:t>
            </w:r>
            <w:r w:rsidR="0011030E" w:rsidRPr="00D81C20">
              <w:rPr>
                <w:rFonts w:ascii="Arial" w:eastAsia="Calibri" w:hAnsi="Arial" w:cs="Arial"/>
                <w:sz w:val="22"/>
                <w:szCs w:val="22"/>
                <w:lang w:eastAsia="en-US"/>
              </w:rPr>
              <w:t>perception</w:t>
            </w:r>
            <w:r w:rsidRPr="00D81C20">
              <w:rPr>
                <w:rFonts w:ascii="Arial" w:eastAsia="Calibri" w:hAnsi="Arial" w:cs="Arial"/>
                <w:sz w:val="22"/>
                <w:szCs w:val="22"/>
                <w:lang w:eastAsia="en-US"/>
              </w:rPr>
              <w:t xml:space="preserve"> of LGBTQIA+ people, in which Wales was a part. This research will help Wales and the UK to address the issues of the past and help towards a more equal Wales and a cohesive community. </w:t>
            </w:r>
          </w:p>
          <w:p w14:paraId="201D7FD8" w14:textId="77777777" w:rsidR="00D81C20" w:rsidRPr="00D81C20" w:rsidRDefault="00D81C20" w:rsidP="00A91894">
            <w:pPr>
              <w:rPr>
                <w:rFonts w:ascii="Arial" w:eastAsia="Calibri" w:hAnsi="Arial" w:cs="Arial"/>
                <w:sz w:val="22"/>
                <w:szCs w:val="22"/>
                <w:lang w:eastAsia="en-US"/>
              </w:rPr>
            </w:pPr>
          </w:p>
          <w:p w14:paraId="26BE44E8" w14:textId="77777777" w:rsidR="00D81C20" w:rsidRPr="00D81C20" w:rsidRDefault="00D81C20" w:rsidP="00A91894">
            <w:pPr>
              <w:rPr>
                <w:rFonts w:ascii="Arial" w:eastAsia="Calibri" w:hAnsi="Arial" w:cs="Arial"/>
                <w:sz w:val="22"/>
                <w:szCs w:val="22"/>
                <w:lang w:eastAsia="en-US"/>
              </w:rPr>
            </w:pPr>
          </w:p>
          <w:p w14:paraId="6C663E09" w14:textId="77777777" w:rsidR="00D81C20" w:rsidRPr="00D81C20" w:rsidRDefault="00D81C20" w:rsidP="00D81C20">
            <w:pPr>
              <w:autoSpaceDE w:val="0"/>
              <w:autoSpaceDN w:val="0"/>
              <w:adjustRightInd w:val="0"/>
              <w:rPr>
                <w:rFonts w:ascii="Arial" w:eastAsia="Calibri" w:hAnsi="Arial" w:cs="Arial"/>
                <w:b/>
                <w:bCs/>
                <w:sz w:val="22"/>
                <w:szCs w:val="22"/>
                <w:lang w:eastAsia="en-US"/>
              </w:rPr>
            </w:pPr>
            <w:r w:rsidRPr="00D81C20">
              <w:rPr>
                <w:rFonts w:ascii="Arial" w:eastAsia="Calibri" w:hAnsi="Arial" w:cs="Arial"/>
                <w:color w:val="808080"/>
                <w:sz w:val="18"/>
                <w:szCs w:val="18"/>
                <w:lang w:eastAsia="en-US"/>
              </w:rPr>
              <w:t>(this box should expand as you type)</w:t>
            </w:r>
          </w:p>
        </w:tc>
      </w:tr>
    </w:tbl>
    <w:p w14:paraId="6B360FAA" w14:textId="77777777" w:rsidR="00D81C20" w:rsidRDefault="00D81C20" w:rsidP="00A91894">
      <w:pPr>
        <w:autoSpaceDE w:val="0"/>
        <w:autoSpaceDN w:val="0"/>
        <w:adjustRightInd w:val="0"/>
        <w:spacing w:after="240"/>
        <w:jc w:val="both"/>
        <w:rPr>
          <w:rFonts w:ascii="Arial" w:hAnsi="Arial" w:cs="Arial"/>
          <w:b/>
          <w:sz w:val="22"/>
          <w:szCs w:val="22"/>
        </w:rPr>
      </w:pPr>
    </w:p>
    <w:p w14:paraId="1403D79C" w14:textId="77777777" w:rsidR="00D81C20" w:rsidRPr="004C3A0B" w:rsidRDefault="00D81C20" w:rsidP="00A91894">
      <w:pPr>
        <w:spacing w:after="240"/>
        <w:rPr>
          <w:rFonts w:ascii="Arial" w:hAnsi="Arial" w:cs="Arial"/>
          <w:b/>
          <w:sz w:val="22"/>
          <w:szCs w:val="22"/>
        </w:rPr>
      </w:pPr>
      <w:r w:rsidRPr="004C3A0B">
        <w:rPr>
          <w:rFonts w:ascii="Arial" w:hAnsi="Arial" w:cs="Arial"/>
          <w:b/>
          <w:sz w:val="22"/>
          <w:szCs w:val="22"/>
        </w:rPr>
        <w:t>SECTION F: Scope of Research Activity</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1"/>
        <w:gridCol w:w="6526"/>
        <w:gridCol w:w="667"/>
        <w:gridCol w:w="642"/>
      </w:tblGrid>
      <w:tr w:rsidR="00D81C20" w:rsidRPr="004C3A0B" w14:paraId="1C2D02EF" w14:textId="77777777" w:rsidTr="00D81C20">
        <w:trPr>
          <w:trHeight w:val="558"/>
        </w:trPr>
        <w:tc>
          <w:tcPr>
            <w:tcW w:w="269" w:type="pct"/>
            <w:shd w:val="clear" w:color="auto" w:fill="F2F2F2"/>
            <w:vAlign w:val="center"/>
          </w:tcPr>
          <w:p w14:paraId="7273300B" w14:textId="77777777" w:rsidR="00D81C20" w:rsidRPr="00D81C20" w:rsidRDefault="00D81C20" w:rsidP="00D81C20">
            <w:pPr>
              <w:autoSpaceDE w:val="0"/>
              <w:autoSpaceDN w:val="0"/>
              <w:adjustRightInd w:val="0"/>
              <w:rPr>
                <w:rFonts w:ascii="Arial" w:eastAsia="Calibri" w:hAnsi="Arial" w:cs="Arial"/>
                <w:b/>
                <w:sz w:val="22"/>
                <w:szCs w:val="22"/>
                <w:lang w:eastAsia="en-US"/>
              </w:rPr>
            </w:pPr>
          </w:p>
        </w:tc>
        <w:tc>
          <w:tcPr>
            <w:tcW w:w="3936" w:type="pct"/>
            <w:shd w:val="clear" w:color="auto" w:fill="F2F2F2"/>
            <w:vAlign w:val="center"/>
          </w:tcPr>
          <w:p w14:paraId="480714ED" w14:textId="77777777" w:rsidR="00D81C20" w:rsidRPr="00D81C20" w:rsidRDefault="00D81C20" w:rsidP="00D81C20">
            <w:pPr>
              <w:autoSpaceDE w:val="0"/>
              <w:autoSpaceDN w:val="0"/>
              <w:adjustRightInd w:val="0"/>
              <w:rPr>
                <w:rFonts w:ascii="Arial" w:eastAsia="Calibri" w:hAnsi="Arial" w:cs="Arial"/>
                <w:b/>
                <w:sz w:val="22"/>
                <w:szCs w:val="22"/>
                <w:lang w:eastAsia="en-US"/>
              </w:rPr>
            </w:pPr>
            <w:r w:rsidRPr="00D81C20">
              <w:rPr>
                <w:rFonts w:ascii="Arial" w:eastAsia="Calibri" w:hAnsi="Arial" w:cs="Arial"/>
                <w:b/>
                <w:sz w:val="22"/>
                <w:szCs w:val="22"/>
                <w:lang w:eastAsia="en-US"/>
              </w:rPr>
              <w:t>Will the research activity include:</w:t>
            </w:r>
          </w:p>
        </w:tc>
        <w:tc>
          <w:tcPr>
            <w:tcW w:w="405" w:type="pct"/>
            <w:shd w:val="clear" w:color="auto" w:fill="F2F2F2"/>
            <w:vAlign w:val="center"/>
          </w:tcPr>
          <w:p w14:paraId="52BA968C" w14:textId="77777777" w:rsidR="00D81C20" w:rsidRPr="00D81C20" w:rsidRDefault="00D81C20" w:rsidP="00D81C20">
            <w:pPr>
              <w:autoSpaceDE w:val="0"/>
              <w:autoSpaceDN w:val="0"/>
              <w:adjustRightInd w:val="0"/>
              <w:jc w:val="center"/>
              <w:rPr>
                <w:rFonts w:ascii="Arial" w:eastAsia="Calibri" w:hAnsi="Arial" w:cs="Arial"/>
                <w:b/>
                <w:bCs/>
                <w:sz w:val="22"/>
                <w:szCs w:val="22"/>
                <w:lang w:eastAsia="en-US"/>
              </w:rPr>
            </w:pPr>
            <w:r w:rsidRPr="00D81C20">
              <w:rPr>
                <w:rFonts w:ascii="Arial" w:eastAsia="Calibri" w:hAnsi="Arial" w:cs="Arial"/>
                <w:b/>
                <w:bCs/>
                <w:sz w:val="22"/>
                <w:szCs w:val="22"/>
                <w:lang w:eastAsia="en-US"/>
              </w:rPr>
              <w:t>YES</w:t>
            </w:r>
          </w:p>
        </w:tc>
        <w:tc>
          <w:tcPr>
            <w:tcW w:w="390" w:type="pct"/>
            <w:shd w:val="clear" w:color="auto" w:fill="F2F2F2"/>
            <w:vAlign w:val="center"/>
          </w:tcPr>
          <w:p w14:paraId="5B2E5984" w14:textId="77777777" w:rsidR="00D81C20" w:rsidRPr="00D81C20" w:rsidRDefault="00D81C20" w:rsidP="00D81C20">
            <w:pPr>
              <w:autoSpaceDE w:val="0"/>
              <w:autoSpaceDN w:val="0"/>
              <w:adjustRightInd w:val="0"/>
              <w:jc w:val="center"/>
              <w:rPr>
                <w:rFonts w:ascii="Arial" w:eastAsia="Calibri" w:hAnsi="Arial" w:cs="Arial"/>
                <w:b/>
                <w:bCs/>
                <w:sz w:val="22"/>
                <w:szCs w:val="22"/>
                <w:lang w:eastAsia="en-US"/>
              </w:rPr>
            </w:pPr>
            <w:r w:rsidRPr="00D81C20">
              <w:rPr>
                <w:rFonts w:ascii="Arial" w:eastAsia="Calibri" w:hAnsi="Arial" w:cs="Arial"/>
                <w:b/>
                <w:bCs/>
                <w:sz w:val="22"/>
                <w:szCs w:val="22"/>
                <w:lang w:eastAsia="en-US"/>
              </w:rPr>
              <w:t>NO</w:t>
            </w:r>
          </w:p>
        </w:tc>
      </w:tr>
      <w:tr w:rsidR="00D81C20" w:rsidRPr="004C3A0B" w14:paraId="11E9D9C9" w14:textId="77777777" w:rsidTr="00D81C20">
        <w:trPr>
          <w:trHeight w:val="439"/>
        </w:trPr>
        <w:tc>
          <w:tcPr>
            <w:tcW w:w="269" w:type="pct"/>
            <w:shd w:val="clear" w:color="auto" w:fill="F2F2F2"/>
            <w:vAlign w:val="center"/>
          </w:tcPr>
          <w:p w14:paraId="05D64679" w14:textId="77777777" w:rsidR="00D81C20" w:rsidRPr="00D81C20" w:rsidRDefault="00D81C20" w:rsidP="00D81C20">
            <w:pPr>
              <w:autoSpaceDE w:val="0"/>
              <w:autoSpaceDN w:val="0"/>
              <w:adjustRightInd w:val="0"/>
              <w:rPr>
                <w:rFonts w:ascii="Arial" w:eastAsia="Calibri" w:hAnsi="Arial" w:cs="Arial"/>
                <w:sz w:val="22"/>
                <w:szCs w:val="22"/>
                <w:lang w:eastAsia="en-US"/>
              </w:rPr>
            </w:pPr>
            <w:r w:rsidRPr="00D81C20">
              <w:rPr>
                <w:rFonts w:ascii="Arial" w:eastAsia="Calibri" w:hAnsi="Arial" w:cs="Arial"/>
                <w:sz w:val="22"/>
                <w:szCs w:val="22"/>
                <w:lang w:eastAsia="en-US"/>
              </w:rPr>
              <w:t>1</w:t>
            </w:r>
          </w:p>
        </w:tc>
        <w:tc>
          <w:tcPr>
            <w:tcW w:w="3936" w:type="pct"/>
            <w:shd w:val="clear" w:color="auto" w:fill="F2F2F2"/>
            <w:vAlign w:val="center"/>
          </w:tcPr>
          <w:p w14:paraId="085A338D" w14:textId="77777777" w:rsidR="00D81C20" w:rsidRPr="00D81C20" w:rsidRDefault="00D81C20" w:rsidP="00D81C20">
            <w:pPr>
              <w:autoSpaceDE w:val="0"/>
              <w:autoSpaceDN w:val="0"/>
              <w:adjustRightInd w:val="0"/>
              <w:rPr>
                <w:rFonts w:ascii="Arial" w:eastAsia="Calibri" w:hAnsi="Arial" w:cs="Arial"/>
                <w:sz w:val="22"/>
                <w:szCs w:val="22"/>
                <w:lang w:eastAsia="en-US"/>
              </w:rPr>
            </w:pPr>
            <w:r w:rsidRPr="00D81C20">
              <w:rPr>
                <w:rFonts w:ascii="Arial" w:eastAsia="Calibri" w:hAnsi="Arial" w:cs="Arial"/>
                <w:sz w:val="22"/>
                <w:szCs w:val="22"/>
                <w:lang w:eastAsia="en-US"/>
              </w:rPr>
              <w:t>Use of a questionnaire or similar research instrument?</w:t>
            </w:r>
          </w:p>
        </w:tc>
        <w:tc>
          <w:tcPr>
            <w:tcW w:w="405" w:type="pct"/>
            <w:shd w:val="clear" w:color="auto" w:fill="BFBFBF"/>
            <w:vAlign w:val="center"/>
          </w:tcPr>
          <w:p w14:paraId="0778666B" w14:textId="0446C377" w:rsidR="00D81C20" w:rsidRPr="00D81C20" w:rsidRDefault="00D81C20" w:rsidP="00D81C20">
            <w:pPr>
              <w:autoSpaceDE w:val="0"/>
              <w:autoSpaceDN w:val="0"/>
              <w:adjustRightInd w:val="0"/>
              <w:jc w:val="center"/>
              <w:rPr>
                <w:rFonts w:ascii="Arial" w:eastAsia="Calibri" w:hAnsi="Arial" w:cs="Arial"/>
                <w:sz w:val="22"/>
                <w:szCs w:val="22"/>
                <w:lang w:eastAsia="en-US"/>
              </w:rPr>
            </w:pPr>
            <w:r w:rsidRPr="00D81C20">
              <w:rPr>
                <w:rFonts w:ascii="MS Gothic" w:eastAsia="MS Gothic" w:hAnsi="MS Gothic" w:cs="Arial" w:hint="eastAsia"/>
                <w:sz w:val="22"/>
                <w:szCs w:val="22"/>
                <w:lang w:eastAsia="en-US"/>
              </w:rPr>
              <w:t>☐</w:t>
            </w:r>
          </w:p>
        </w:tc>
        <w:tc>
          <w:tcPr>
            <w:tcW w:w="390" w:type="pct"/>
            <w:shd w:val="clear" w:color="auto" w:fill="BFBFBF"/>
            <w:vAlign w:val="center"/>
          </w:tcPr>
          <w:p w14:paraId="30FDC135" w14:textId="4CFB2D20" w:rsidR="00D81C20" w:rsidRPr="00D81C20" w:rsidRDefault="00D81C20" w:rsidP="00D81C20">
            <w:pPr>
              <w:autoSpaceDE w:val="0"/>
              <w:autoSpaceDN w:val="0"/>
              <w:adjustRightInd w:val="0"/>
              <w:jc w:val="center"/>
              <w:rPr>
                <w:rFonts w:ascii="Arial" w:eastAsia="Calibri" w:hAnsi="Arial" w:cs="Arial"/>
                <w:sz w:val="22"/>
                <w:szCs w:val="22"/>
                <w:lang w:eastAsia="en-US"/>
              </w:rPr>
            </w:pPr>
            <w:r w:rsidRPr="00D81C20">
              <w:rPr>
                <w:rFonts w:ascii="MS Gothic" w:eastAsia="MS Gothic" w:hAnsi="MS Gothic" w:cs="Arial" w:hint="eastAsia"/>
                <w:sz w:val="22"/>
                <w:szCs w:val="22"/>
                <w:lang w:eastAsia="en-US"/>
              </w:rPr>
              <w:t>☒</w:t>
            </w:r>
          </w:p>
        </w:tc>
      </w:tr>
      <w:tr w:rsidR="00D81C20" w:rsidRPr="004C3A0B" w14:paraId="0D6067F8" w14:textId="77777777" w:rsidTr="00D81C20">
        <w:trPr>
          <w:trHeight w:val="439"/>
        </w:trPr>
        <w:tc>
          <w:tcPr>
            <w:tcW w:w="269" w:type="pct"/>
            <w:shd w:val="clear" w:color="auto" w:fill="F2F2F2"/>
            <w:vAlign w:val="center"/>
          </w:tcPr>
          <w:p w14:paraId="5354AB17" w14:textId="77777777" w:rsidR="00D81C20" w:rsidRPr="00D81C20" w:rsidRDefault="00D81C20" w:rsidP="00D81C20">
            <w:pPr>
              <w:autoSpaceDE w:val="0"/>
              <w:autoSpaceDN w:val="0"/>
              <w:adjustRightInd w:val="0"/>
              <w:rPr>
                <w:rFonts w:ascii="Arial" w:eastAsia="Calibri" w:hAnsi="Arial" w:cs="Arial"/>
                <w:sz w:val="22"/>
                <w:szCs w:val="22"/>
                <w:lang w:eastAsia="en-US"/>
              </w:rPr>
            </w:pPr>
            <w:r w:rsidRPr="00D81C20">
              <w:rPr>
                <w:rFonts w:ascii="Arial" w:eastAsia="Calibri" w:hAnsi="Arial" w:cs="Arial"/>
                <w:sz w:val="22"/>
                <w:szCs w:val="22"/>
                <w:lang w:eastAsia="en-US"/>
              </w:rPr>
              <w:t>2</w:t>
            </w:r>
          </w:p>
        </w:tc>
        <w:tc>
          <w:tcPr>
            <w:tcW w:w="3936" w:type="pct"/>
            <w:shd w:val="clear" w:color="auto" w:fill="F2F2F2"/>
            <w:vAlign w:val="center"/>
          </w:tcPr>
          <w:p w14:paraId="72347E99" w14:textId="77777777" w:rsidR="00D81C20" w:rsidRPr="00D81C20" w:rsidRDefault="00D81C20" w:rsidP="00D81C20">
            <w:pPr>
              <w:autoSpaceDE w:val="0"/>
              <w:autoSpaceDN w:val="0"/>
              <w:adjustRightInd w:val="0"/>
              <w:rPr>
                <w:rFonts w:ascii="Arial" w:eastAsia="Calibri" w:hAnsi="Arial" w:cs="Arial"/>
                <w:sz w:val="22"/>
                <w:szCs w:val="22"/>
                <w:lang w:eastAsia="en-US"/>
              </w:rPr>
            </w:pPr>
            <w:r w:rsidRPr="00D81C20">
              <w:rPr>
                <w:rFonts w:ascii="Arial" w:eastAsia="Calibri" w:hAnsi="Arial" w:cs="Arial"/>
                <w:sz w:val="22"/>
                <w:szCs w:val="22"/>
                <w:lang w:eastAsia="en-US"/>
              </w:rPr>
              <w:t>Use of interviews?</w:t>
            </w:r>
          </w:p>
        </w:tc>
        <w:tc>
          <w:tcPr>
            <w:tcW w:w="405" w:type="pct"/>
            <w:shd w:val="clear" w:color="auto" w:fill="BFBFBF"/>
            <w:vAlign w:val="center"/>
          </w:tcPr>
          <w:p w14:paraId="62E9AD57" w14:textId="2C26BB8E" w:rsidR="00D81C20" w:rsidRPr="00D81C20" w:rsidRDefault="00D81C20" w:rsidP="00D81C20">
            <w:pPr>
              <w:autoSpaceDE w:val="0"/>
              <w:autoSpaceDN w:val="0"/>
              <w:adjustRightInd w:val="0"/>
              <w:jc w:val="center"/>
              <w:rPr>
                <w:rFonts w:ascii="Arial" w:eastAsia="Calibri" w:hAnsi="Arial" w:cs="Arial"/>
                <w:sz w:val="22"/>
                <w:szCs w:val="22"/>
                <w:lang w:eastAsia="en-US"/>
              </w:rPr>
            </w:pPr>
            <w:r w:rsidRPr="00D81C20">
              <w:rPr>
                <w:rFonts w:ascii="MS Gothic" w:eastAsia="MS Gothic" w:hAnsi="MS Gothic" w:cs="Arial" w:hint="eastAsia"/>
                <w:sz w:val="22"/>
                <w:szCs w:val="22"/>
                <w:lang w:eastAsia="en-US"/>
              </w:rPr>
              <w:t>☐</w:t>
            </w:r>
          </w:p>
        </w:tc>
        <w:tc>
          <w:tcPr>
            <w:tcW w:w="390" w:type="pct"/>
            <w:shd w:val="clear" w:color="auto" w:fill="BFBFBF"/>
            <w:vAlign w:val="center"/>
          </w:tcPr>
          <w:p w14:paraId="39ABC2E4" w14:textId="73C6D9E8" w:rsidR="00D81C20" w:rsidRPr="00D81C20" w:rsidRDefault="00D81C20" w:rsidP="00D81C20">
            <w:pPr>
              <w:autoSpaceDE w:val="0"/>
              <w:autoSpaceDN w:val="0"/>
              <w:adjustRightInd w:val="0"/>
              <w:jc w:val="center"/>
              <w:rPr>
                <w:rFonts w:ascii="Arial" w:eastAsia="Calibri" w:hAnsi="Arial" w:cs="Arial"/>
                <w:sz w:val="22"/>
                <w:szCs w:val="22"/>
                <w:lang w:eastAsia="en-US"/>
              </w:rPr>
            </w:pPr>
            <w:r w:rsidRPr="00D81C20">
              <w:rPr>
                <w:rFonts w:ascii="MS Gothic" w:eastAsia="MS Gothic" w:hAnsi="MS Gothic" w:cs="Arial" w:hint="eastAsia"/>
                <w:sz w:val="22"/>
                <w:szCs w:val="22"/>
                <w:lang w:eastAsia="en-US"/>
              </w:rPr>
              <w:t>☒</w:t>
            </w:r>
          </w:p>
        </w:tc>
      </w:tr>
      <w:tr w:rsidR="00D81C20" w:rsidRPr="004C3A0B" w14:paraId="6EE79CA9" w14:textId="77777777" w:rsidTr="00D81C20">
        <w:trPr>
          <w:trHeight w:val="439"/>
        </w:trPr>
        <w:tc>
          <w:tcPr>
            <w:tcW w:w="269" w:type="pct"/>
            <w:shd w:val="clear" w:color="auto" w:fill="F2F2F2"/>
            <w:vAlign w:val="center"/>
          </w:tcPr>
          <w:p w14:paraId="46813EFB" w14:textId="77777777" w:rsidR="00D81C20" w:rsidRPr="00D81C20" w:rsidRDefault="00D81C20" w:rsidP="00D81C20">
            <w:pPr>
              <w:autoSpaceDE w:val="0"/>
              <w:autoSpaceDN w:val="0"/>
              <w:adjustRightInd w:val="0"/>
              <w:rPr>
                <w:rFonts w:ascii="Arial" w:eastAsia="Calibri" w:hAnsi="Arial" w:cs="Arial"/>
                <w:sz w:val="22"/>
                <w:szCs w:val="22"/>
                <w:lang w:eastAsia="en-US"/>
              </w:rPr>
            </w:pPr>
            <w:r w:rsidRPr="00D81C20">
              <w:rPr>
                <w:rFonts w:ascii="Arial" w:eastAsia="Calibri" w:hAnsi="Arial" w:cs="Arial"/>
                <w:sz w:val="22"/>
                <w:szCs w:val="22"/>
                <w:lang w:eastAsia="en-US"/>
              </w:rPr>
              <w:lastRenderedPageBreak/>
              <w:t>3</w:t>
            </w:r>
          </w:p>
        </w:tc>
        <w:tc>
          <w:tcPr>
            <w:tcW w:w="3936" w:type="pct"/>
            <w:shd w:val="clear" w:color="auto" w:fill="F2F2F2"/>
            <w:vAlign w:val="center"/>
          </w:tcPr>
          <w:p w14:paraId="6759EB43" w14:textId="77777777" w:rsidR="00D81C20" w:rsidRPr="00D81C20" w:rsidRDefault="00D81C20" w:rsidP="00D81C20">
            <w:pPr>
              <w:autoSpaceDE w:val="0"/>
              <w:autoSpaceDN w:val="0"/>
              <w:adjustRightInd w:val="0"/>
              <w:rPr>
                <w:rFonts w:ascii="Arial" w:eastAsia="Calibri" w:hAnsi="Arial" w:cs="Arial"/>
                <w:sz w:val="22"/>
                <w:szCs w:val="22"/>
                <w:lang w:eastAsia="en-US"/>
              </w:rPr>
            </w:pPr>
            <w:r w:rsidRPr="00D81C20">
              <w:rPr>
                <w:rFonts w:ascii="Arial" w:eastAsia="Calibri" w:hAnsi="Arial" w:cs="Arial"/>
                <w:sz w:val="22"/>
                <w:szCs w:val="22"/>
                <w:lang w:eastAsia="en-US"/>
              </w:rPr>
              <w:t>Use of focus groups?</w:t>
            </w:r>
          </w:p>
        </w:tc>
        <w:tc>
          <w:tcPr>
            <w:tcW w:w="405" w:type="pct"/>
            <w:shd w:val="clear" w:color="auto" w:fill="BFBFBF"/>
            <w:vAlign w:val="center"/>
          </w:tcPr>
          <w:p w14:paraId="7FA35F80" w14:textId="4574F9B0" w:rsidR="00D81C20" w:rsidRPr="00D81C20" w:rsidRDefault="00D81C20" w:rsidP="00D81C20">
            <w:pPr>
              <w:autoSpaceDE w:val="0"/>
              <w:autoSpaceDN w:val="0"/>
              <w:adjustRightInd w:val="0"/>
              <w:jc w:val="center"/>
              <w:rPr>
                <w:rFonts w:ascii="Arial" w:eastAsia="Calibri" w:hAnsi="Arial" w:cs="Arial"/>
                <w:sz w:val="22"/>
                <w:szCs w:val="22"/>
                <w:lang w:eastAsia="en-US"/>
              </w:rPr>
            </w:pPr>
            <w:r w:rsidRPr="00D81C20">
              <w:rPr>
                <w:rFonts w:ascii="MS Gothic" w:eastAsia="MS Gothic" w:hAnsi="MS Gothic" w:cs="Arial" w:hint="eastAsia"/>
                <w:sz w:val="22"/>
                <w:szCs w:val="22"/>
                <w:lang w:eastAsia="en-US"/>
              </w:rPr>
              <w:t>☐</w:t>
            </w:r>
          </w:p>
        </w:tc>
        <w:tc>
          <w:tcPr>
            <w:tcW w:w="390" w:type="pct"/>
            <w:shd w:val="clear" w:color="auto" w:fill="BFBFBF"/>
            <w:vAlign w:val="center"/>
          </w:tcPr>
          <w:p w14:paraId="39939C80" w14:textId="7D5266E2" w:rsidR="00D81C20" w:rsidRPr="00D81C20" w:rsidRDefault="00D81C20" w:rsidP="00D81C20">
            <w:pPr>
              <w:autoSpaceDE w:val="0"/>
              <w:autoSpaceDN w:val="0"/>
              <w:adjustRightInd w:val="0"/>
              <w:jc w:val="center"/>
              <w:rPr>
                <w:rFonts w:ascii="Arial" w:eastAsia="Calibri" w:hAnsi="Arial" w:cs="Arial"/>
                <w:sz w:val="22"/>
                <w:szCs w:val="22"/>
                <w:lang w:eastAsia="en-US"/>
              </w:rPr>
            </w:pPr>
            <w:r w:rsidRPr="00D81C20">
              <w:rPr>
                <w:rFonts w:ascii="MS Gothic" w:eastAsia="MS Gothic" w:hAnsi="MS Gothic" w:cs="Arial" w:hint="eastAsia"/>
                <w:sz w:val="22"/>
                <w:szCs w:val="22"/>
                <w:lang w:eastAsia="en-US"/>
              </w:rPr>
              <w:t>☒</w:t>
            </w:r>
          </w:p>
        </w:tc>
      </w:tr>
      <w:tr w:rsidR="00D81C20" w:rsidRPr="004C3A0B" w14:paraId="04CDD786" w14:textId="77777777" w:rsidTr="00D81C20">
        <w:trPr>
          <w:trHeight w:val="403"/>
        </w:trPr>
        <w:tc>
          <w:tcPr>
            <w:tcW w:w="269" w:type="pct"/>
            <w:shd w:val="clear" w:color="auto" w:fill="F2F2F2"/>
            <w:vAlign w:val="center"/>
          </w:tcPr>
          <w:p w14:paraId="4671E825" w14:textId="77777777" w:rsidR="00D81C20" w:rsidRPr="00D81C20" w:rsidRDefault="00D81C20" w:rsidP="00D81C20">
            <w:pPr>
              <w:autoSpaceDE w:val="0"/>
              <w:autoSpaceDN w:val="0"/>
              <w:adjustRightInd w:val="0"/>
              <w:rPr>
                <w:rFonts w:ascii="Arial" w:eastAsia="Calibri" w:hAnsi="Arial" w:cs="Arial"/>
                <w:sz w:val="22"/>
                <w:szCs w:val="22"/>
                <w:lang w:eastAsia="en-US"/>
              </w:rPr>
            </w:pPr>
            <w:r w:rsidRPr="00D81C20">
              <w:rPr>
                <w:rFonts w:ascii="Arial" w:eastAsia="Calibri" w:hAnsi="Arial" w:cs="Arial"/>
                <w:sz w:val="22"/>
                <w:szCs w:val="22"/>
                <w:lang w:eastAsia="en-US"/>
              </w:rPr>
              <w:t>4</w:t>
            </w:r>
          </w:p>
        </w:tc>
        <w:tc>
          <w:tcPr>
            <w:tcW w:w="3936" w:type="pct"/>
            <w:shd w:val="clear" w:color="auto" w:fill="F2F2F2"/>
            <w:vAlign w:val="center"/>
          </w:tcPr>
          <w:p w14:paraId="1AE3AAE3" w14:textId="77777777" w:rsidR="00D81C20" w:rsidRPr="00D81C20" w:rsidRDefault="00D81C20" w:rsidP="00D81C20">
            <w:pPr>
              <w:autoSpaceDE w:val="0"/>
              <w:autoSpaceDN w:val="0"/>
              <w:adjustRightInd w:val="0"/>
              <w:rPr>
                <w:rFonts w:ascii="Arial" w:eastAsia="Calibri" w:hAnsi="Arial" w:cs="Arial"/>
                <w:sz w:val="22"/>
                <w:szCs w:val="22"/>
                <w:lang w:eastAsia="en-US"/>
              </w:rPr>
            </w:pPr>
            <w:r w:rsidRPr="00D81C20">
              <w:rPr>
                <w:rFonts w:ascii="Arial" w:eastAsia="Calibri" w:hAnsi="Arial" w:cs="Arial"/>
                <w:sz w:val="22"/>
                <w:szCs w:val="22"/>
                <w:lang w:eastAsia="en-US"/>
              </w:rPr>
              <w:t xml:space="preserve">Use of participant diaries? </w:t>
            </w:r>
          </w:p>
        </w:tc>
        <w:tc>
          <w:tcPr>
            <w:tcW w:w="405" w:type="pct"/>
            <w:shd w:val="clear" w:color="auto" w:fill="BFBFBF"/>
            <w:vAlign w:val="center"/>
          </w:tcPr>
          <w:p w14:paraId="2B1F78F8" w14:textId="6EB6C150" w:rsidR="00D81C20" w:rsidRPr="00D81C20" w:rsidRDefault="00D81C20" w:rsidP="00D81C20">
            <w:pPr>
              <w:autoSpaceDE w:val="0"/>
              <w:autoSpaceDN w:val="0"/>
              <w:adjustRightInd w:val="0"/>
              <w:jc w:val="center"/>
              <w:rPr>
                <w:rFonts w:ascii="Arial" w:eastAsia="Calibri" w:hAnsi="Arial" w:cs="Arial"/>
                <w:sz w:val="22"/>
                <w:szCs w:val="22"/>
                <w:lang w:eastAsia="en-US"/>
              </w:rPr>
            </w:pPr>
            <w:r w:rsidRPr="00D81C20">
              <w:rPr>
                <w:rFonts w:ascii="MS Gothic" w:eastAsia="MS Gothic" w:hAnsi="MS Gothic" w:cs="Arial" w:hint="eastAsia"/>
                <w:sz w:val="22"/>
                <w:szCs w:val="22"/>
                <w:lang w:eastAsia="en-US"/>
              </w:rPr>
              <w:t>☐</w:t>
            </w:r>
          </w:p>
        </w:tc>
        <w:tc>
          <w:tcPr>
            <w:tcW w:w="390" w:type="pct"/>
            <w:shd w:val="clear" w:color="auto" w:fill="BFBFBF"/>
            <w:vAlign w:val="center"/>
          </w:tcPr>
          <w:p w14:paraId="717085E7" w14:textId="125A19E0" w:rsidR="00D81C20" w:rsidRPr="00D81C20" w:rsidRDefault="00D81C20" w:rsidP="00D81C20">
            <w:pPr>
              <w:autoSpaceDE w:val="0"/>
              <w:autoSpaceDN w:val="0"/>
              <w:adjustRightInd w:val="0"/>
              <w:jc w:val="center"/>
              <w:rPr>
                <w:rFonts w:ascii="Arial" w:eastAsia="Calibri" w:hAnsi="Arial" w:cs="Arial"/>
                <w:sz w:val="22"/>
                <w:szCs w:val="22"/>
                <w:lang w:eastAsia="en-US"/>
              </w:rPr>
            </w:pPr>
            <w:r w:rsidRPr="00D81C20">
              <w:rPr>
                <w:rFonts w:ascii="MS Gothic" w:eastAsia="MS Gothic" w:hAnsi="MS Gothic" w:cs="Arial" w:hint="eastAsia"/>
                <w:sz w:val="22"/>
                <w:szCs w:val="22"/>
                <w:lang w:eastAsia="en-US"/>
              </w:rPr>
              <w:t>☒</w:t>
            </w:r>
          </w:p>
        </w:tc>
      </w:tr>
      <w:tr w:rsidR="00D81C20" w:rsidRPr="004C3A0B" w14:paraId="5BDDA50B" w14:textId="77777777" w:rsidTr="00D81C20">
        <w:trPr>
          <w:trHeight w:val="403"/>
        </w:trPr>
        <w:tc>
          <w:tcPr>
            <w:tcW w:w="269" w:type="pct"/>
            <w:shd w:val="clear" w:color="auto" w:fill="F2F2F2"/>
            <w:vAlign w:val="center"/>
          </w:tcPr>
          <w:p w14:paraId="67D1D2AB" w14:textId="77777777" w:rsidR="00D81C20" w:rsidRPr="00D81C20" w:rsidRDefault="00D81C20" w:rsidP="00D81C20">
            <w:pPr>
              <w:autoSpaceDE w:val="0"/>
              <w:autoSpaceDN w:val="0"/>
              <w:adjustRightInd w:val="0"/>
              <w:rPr>
                <w:rFonts w:ascii="Arial" w:eastAsia="Calibri" w:hAnsi="Arial" w:cs="Arial"/>
                <w:sz w:val="22"/>
                <w:szCs w:val="22"/>
                <w:lang w:eastAsia="en-US"/>
              </w:rPr>
            </w:pPr>
            <w:r w:rsidRPr="00D81C20">
              <w:rPr>
                <w:rFonts w:ascii="Arial" w:eastAsia="Calibri" w:hAnsi="Arial" w:cs="Arial"/>
                <w:sz w:val="22"/>
                <w:szCs w:val="22"/>
                <w:lang w:eastAsia="en-US"/>
              </w:rPr>
              <w:t>5</w:t>
            </w:r>
          </w:p>
        </w:tc>
        <w:tc>
          <w:tcPr>
            <w:tcW w:w="3936" w:type="pct"/>
            <w:shd w:val="clear" w:color="auto" w:fill="F2F2F2"/>
            <w:vAlign w:val="center"/>
          </w:tcPr>
          <w:p w14:paraId="778BE3A7" w14:textId="77777777" w:rsidR="00D81C20" w:rsidRPr="00D81C20" w:rsidRDefault="00D81C20" w:rsidP="00D81C20">
            <w:pPr>
              <w:autoSpaceDE w:val="0"/>
              <w:autoSpaceDN w:val="0"/>
              <w:adjustRightInd w:val="0"/>
              <w:rPr>
                <w:rFonts w:ascii="Arial" w:eastAsia="Calibri" w:hAnsi="Arial" w:cs="Arial"/>
                <w:sz w:val="22"/>
                <w:szCs w:val="22"/>
                <w:lang w:eastAsia="en-US"/>
              </w:rPr>
            </w:pPr>
            <w:r w:rsidRPr="00D81C20">
              <w:rPr>
                <w:rFonts w:ascii="Arial" w:eastAsia="Calibri" w:hAnsi="Arial" w:cs="Arial"/>
                <w:sz w:val="22"/>
                <w:szCs w:val="22"/>
                <w:lang w:eastAsia="en-US"/>
              </w:rPr>
              <w:t>Use of video or audio recording?</w:t>
            </w:r>
          </w:p>
        </w:tc>
        <w:tc>
          <w:tcPr>
            <w:tcW w:w="405" w:type="pct"/>
            <w:shd w:val="clear" w:color="auto" w:fill="BFBFBF"/>
            <w:vAlign w:val="center"/>
          </w:tcPr>
          <w:p w14:paraId="4CA96F55" w14:textId="3A0E1A3C" w:rsidR="00D81C20" w:rsidRPr="00D81C20" w:rsidRDefault="00D81C20" w:rsidP="00D81C20">
            <w:pPr>
              <w:autoSpaceDE w:val="0"/>
              <w:autoSpaceDN w:val="0"/>
              <w:adjustRightInd w:val="0"/>
              <w:jc w:val="center"/>
              <w:rPr>
                <w:rFonts w:ascii="Arial" w:eastAsia="Calibri" w:hAnsi="Arial" w:cs="Arial"/>
                <w:sz w:val="22"/>
                <w:szCs w:val="22"/>
                <w:lang w:eastAsia="en-US"/>
              </w:rPr>
            </w:pPr>
            <w:r w:rsidRPr="00D81C20">
              <w:rPr>
                <w:rFonts w:ascii="MS Gothic" w:eastAsia="MS Gothic" w:hAnsi="MS Gothic" w:cs="Arial" w:hint="eastAsia"/>
                <w:sz w:val="22"/>
                <w:szCs w:val="22"/>
                <w:lang w:eastAsia="en-US"/>
              </w:rPr>
              <w:t>☐</w:t>
            </w:r>
          </w:p>
        </w:tc>
        <w:tc>
          <w:tcPr>
            <w:tcW w:w="390" w:type="pct"/>
            <w:shd w:val="clear" w:color="auto" w:fill="BFBFBF"/>
            <w:vAlign w:val="center"/>
          </w:tcPr>
          <w:p w14:paraId="1B20FEDA" w14:textId="5F07568E" w:rsidR="00D81C20" w:rsidRPr="00D81C20" w:rsidRDefault="00D81C20" w:rsidP="00D81C20">
            <w:pPr>
              <w:autoSpaceDE w:val="0"/>
              <w:autoSpaceDN w:val="0"/>
              <w:adjustRightInd w:val="0"/>
              <w:jc w:val="center"/>
              <w:rPr>
                <w:rFonts w:ascii="Arial" w:eastAsia="Calibri" w:hAnsi="Arial" w:cs="Arial"/>
                <w:sz w:val="22"/>
                <w:szCs w:val="22"/>
                <w:lang w:eastAsia="en-US"/>
              </w:rPr>
            </w:pPr>
            <w:r w:rsidRPr="00D81C20">
              <w:rPr>
                <w:rFonts w:ascii="MS Gothic" w:eastAsia="MS Gothic" w:hAnsi="MS Gothic" w:cs="Arial" w:hint="eastAsia"/>
                <w:sz w:val="22"/>
                <w:szCs w:val="22"/>
                <w:lang w:eastAsia="en-US"/>
              </w:rPr>
              <w:t>☒</w:t>
            </w:r>
          </w:p>
        </w:tc>
      </w:tr>
      <w:tr w:rsidR="00D81C20" w:rsidRPr="004C3A0B" w14:paraId="3165E6A5" w14:textId="77777777" w:rsidTr="00D81C20">
        <w:trPr>
          <w:trHeight w:val="403"/>
        </w:trPr>
        <w:tc>
          <w:tcPr>
            <w:tcW w:w="269" w:type="pct"/>
            <w:shd w:val="clear" w:color="auto" w:fill="F2F2F2"/>
            <w:vAlign w:val="center"/>
          </w:tcPr>
          <w:p w14:paraId="61118B82" w14:textId="77777777" w:rsidR="00D81C20" w:rsidRPr="00D81C20" w:rsidRDefault="00D81C20" w:rsidP="00D81C20">
            <w:pPr>
              <w:autoSpaceDE w:val="0"/>
              <w:autoSpaceDN w:val="0"/>
              <w:adjustRightInd w:val="0"/>
              <w:rPr>
                <w:rFonts w:ascii="Arial" w:eastAsia="Calibri" w:hAnsi="Arial" w:cs="Arial"/>
                <w:sz w:val="22"/>
                <w:szCs w:val="22"/>
                <w:lang w:eastAsia="en-US"/>
              </w:rPr>
            </w:pPr>
            <w:r w:rsidRPr="00D81C20">
              <w:rPr>
                <w:rFonts w:ascii="Arial" w:eastAsia="Calibri" w:hAnsi="Arial" w:cs="Arial"/>
                <w:sz w:val="22"/>
                <w:szCs w:val="22"/>
                <w:lang w:eastAsia="en-US"/>
              </w:rPr>
              <w:t>6</w:t>
            </w:r>
          </w:p>
        </w:tc>
        <w:tc>
          <w:tcPr>
            <w:tcW w:w="3936" w:type="pct"/>
            <w:shd w:val="clear" w:color="auto" w:fill="F2F2F2"/>
            <w:vAlign w:val="center"/>
          </w:tcPr>
          <w:p w14:paraId="7921E55F" w14:textId="77777777" w:rsidR="00D81C20" w:rsidRPr="00D81C20" w:rsidRDefault="00D81C20" w:rsidP="00D81C20">
            <w:pPr>
              <w:autoSpaceDE w:val="0"/>
              <w:autoSpaceDN w:val="0"/>
              <w:adjustRightInd w:val="0"/>
              <w:rPr>
                <w:rFonts w:ascii="Arial" w:eastAsia="Calibri" w:hAnsi="Arial" w:cs="Arial"/>
                <w:sz w:val="22"/>
                <w:szCs w:val="22"/>
                <w:lang w:eastAsia="en-US"/>
              </w:rPr>
            </w:pPr>
            <w:r w:rsidRPr="00D81C20">
              <w:rPr>
                <w:rFonts w:ascii="Arial" w:eastAsia="Calibri" w:hAnsi="Arial" w:cs="Arial"/>
                <w:sz w:val="22"/>
                <w:szCs w:val="22"/>
                <w:lang w:eastAsia="en-US"/>
              </w:rPr>
              <w:t>Use of computer-generated log files?</w:t>
            </w:r>
          </w:p>
        </w:tc>
        <w:tc>
          <w:tcPr>
            <w:tcW w:w="405" w:type="pct"/>
            <w:shd w:val="clear" w:color="auto" w:fill="BFBFBF"/>
            <w:vAlign w:val="center"/>
          </w:tcPr>
          <w:p w14:paraId="246963FA" w14:textId="4C51CC2D" w:rsidR="00D81C20" w:rsidRPr="00D81C20" w:rsidRDefault="00D81C20" w:rsidP="00D81C20">
            <w:pPr>
              <w:autoSpaceDE w:val="0"/>
              <w:autoSpaceDN w:val="0"/>
              <w:adjustRightInd w:val="0"/>
              <w:jc w:val="center"/>
              <w:rPr>
                <w:rFonts w:ascii="Arial" w:eastAsia="Calibri" w:hAnsi="Arial" w:cs="Arial"/>
                <w:sz w:val="22"/>
                <w:szCs w:val="22"/>
                <w:lang w:eastAsia="en-US"/>
              </w:rPr>
            </w:pPr>
            <w:r w:rsidRPr="00D81C20">
              <w:rPr>
                <w:rFonts w:ascii="MS Gothic" w:eastAsia="MS Gothic" w:hAnsi="MS Gothic" w:cs="Arial" w:hint="eastAsia"/>
                <w:sz w:val="22"/>
                <w:szCs w:val="22"/>
                <w:lang w:eastAsia="en-US"/>
              </w:rPr>
              <w:t>☐</w:t>
            </w:r>
          </w:p>
        </w:tc>
        <w:tc>
          <w:tcPr>
            <w:tcW w:w="390" w:type="pct"/>
            <w:shd w:val="clear" w:color="auto" w:fill="BFBFBF"/>
            <w:vAlign w:val="center"/>
          </w:tcPr>
          <w:p w14:paraId="7A2D2809" w14:textId="1E09BBA4" w:rsidR="00D81C20" w:rsidRPr="00D81C20" w:rsidRDefault="00D81C20" w:rsidP="00D81C20">
            <w:pPr>
              <w:autoSpaceDE w:val="0"/>
              <w:autoSpaceDN w:val="0"/>
              <w:adjustRightInd w:val="0"/>
              <w:jc w:val="center"/>
              <w:rPr>
                <w:rFonts w:ascii="Arial" w:eastAsia="Calibri" w:hAnsi="Arial" w:cs="Arial"/>
                <w:sz w:val="22"/>
                <w:szCs w:val="22"/>
                <w:lang w:eastAsia="en-US"/>
              </w:rPr>
            </w:pPr>
            <w:r w:rsidRPr="00D81C20">
              <w:rPr>
                <w:rFonts w:ascii="MS Gothic" w:eastAsia="MS Gothic" w:hAnsi="MS Gothic" w:cs="Arial" w:hint="eastAsia"/>
                <w:sz w:val="22"/>
                <w:szCs w:val="22"/>
                <w:lang w:eastAsia="en-US"/>
              </w:rPr>
              <w:t>☒</w:t>
            </w:r>
          </w:p>
        </w:tc>
      </w:tr>
      <w:tr w:rsidR="00D81C20" w:rsidRPr="004C3A0B" w14:paraId="67109691" w14:textId="77777777" w:rsidTr="00D81C20">
        <w:trPr>
          <w:trHeight w:val="439"/>
        </w:trPr>
        <w:tc>
          <w:tcPr>
            <w:tcW w:w="269" w:type="pct"/>
            <w:shd w:val="clear" w:color="auto" w:fill="F2F2F2"/>
            <w:vAlign w:val="center"/>
          </w:tcPr>
          <w:p w14:paraId="2D4E07B5" w14:textId="77777777" w:rsidR="00D81C20" w:rsidRPr="00D81C20" w:rsidRDefault="00D81C20" w:rsidP="00D81C20">
            <w:pPr>
              <w:autoSpaceDE w:val="0"/>
              <w:autoSpaceDN w:val="0"/>
              <w:adjustRightInd w:val="0"/>
              <w:rPr>
                <w:rFonts w:ascii="Arial" w:eastAsia="Calibri" w:hAnsi="Arial" w:cs="Arial"/>
                <w:sz w:val="22"/>
                <w:szCs w:val="22"/>
                <w:lang w:eastAsia="en-US"/>
              </w:rPr>
            </w:pPr>
            <w:r w:rsidRPr="00D81C20">
              <w:rPr>
                <w:rFonts w:ascii="Arial" w:eastAsia="Calibri" w:hAnsi="Arial" w:cs="Arial"/>
                <w:sz w:val="22"/>
                <w:szCs w:val="22"/>
                <w:lang w:eastAsia="en-US"/>
              </w:rPr>
              <w:t>7</w:t>
            </w:r>
          </w:p>
        </w:tc>
        <w:tc>
          <w:tcPr>
            <w:tcW w:w="3936" w:type="pct"/>
            <w:shd w:val="clear" w:color="auto" w:fill="F2F2F2"/>
            <w:vAlign w:val="center"/>
          </w:tcPr>
          <w:p w14:paraId="258A7456" w14:textId="77777777" w:rsidR="00D81C20" w:rsidRPr="00D81C20" w:rsidRDefault="00D81C20" w:rsidP="00D81C20">
            <w:pPr>
              <w:autoSpaceDE w:val="0"/>
              <w:autoSpaceDN w:val="0"/>
              <w:adjustRightInd w:val="0"/>
              <w:rPr>
                <w:rFonts w:ascii="Arial" w:eastAsia="Calibri" w:hAnsi="Arial" w:cs="Arial"/>
                <w:sz w:val="22"/>
                <w:szCs w:val="22"/>
                <w:lang w:eastAsia="en-US"/>
              </w:rPr>
            </w:pPr>
            <w:r w:rsidRPr="00D81C20">
              <w:rPr>
                <w:rFonts w:ascii="Arial" w:eastAsia="Calibri" w:hAnsi="Arial" w:cs="Arial"/>
                <w:sz w:val="22"/>
                <w:szCs w:val="22"/>
                <w:lang w:eastAsia="en-US"/>
              </w:rPr>
              <w:t>Participant observation with their knowledge?</w:t>
            </w:r>
          </w:p>
        </w:tc>
        <w:tc>
          <w:tcPr>
            <w:tcW w:w="405" w:type="pct"/>
            <w:shd w:val="clear" w:color="auto" w:fill="BFBFBF"/>
            <w:vAlign w:val="center"/>
          </w:tcPr>
          <w:p w14:paraId="4B9DC8F4" w14:textId="4F44A3D3" w:rsidR="00D81C20" w:rsidRPr="00D81C20" w:rsidRDefault="00D81C20" w:rsidP="00D81C20">
            <w:pPr>
              <w:autoSpaceDE w:val="0"/>
              <w:autoSpaceDN w:val="0"/>
              <w:adjustRightInd w:val="0"/>
              <w:jc w:val="center"/>
              <w:rPr>
                <w:rFonts w:ascii="Arial" w:eastAsia="Calibri" w:hAnsi="Arial" w:cs="Arial"/>
                <w:sz w:val="22"/>
                <w:szCs w:val="22"/>
                <w:lang w:eastAsia="en-US"/>
              </w:rPr>
            </w:pPr>
            <w:r w:rsidRPr="00D81C20">
              <w:rPr>
                <w:rFonts w:ascii="MS Gothic" w:eastAsia="MS Gothic" w:hAnsi="MS Gothic" w:cs="Arial" w:hint="eastAsia"/>
                <w:sz w:val="22"/>
                <w:szCs w:val="22"/>
                <w:lang w:eastAsia="en-US"/>
              </w:rPr>
              <w:t>☐</w:t>
            </w:r>
          </w:p>
        </w:tc>
        <w:tc>
          <w:tcPr>
            <w:tcW w:w="390" w:type="pct"/>
            <w:shd w:val="clear" w:color="auto" w:fill="BFBFBF"/>
            <w:vAlign w:val="center"/>
          </w:tcPr>
          <w:p w14:paraId="7F331DF1" w14:textId="026CC688" w:rsidR="00D81C20" w:rsidRPr="00D81C20" w:rsidRDefault="00D81C20" w:rsidP="00D81C20">
            <w:pPr>
              <w:autoSpaceDE w:val="0"/>
              <w:autoSpaceDN w:val="0"/>
              <w:adjustRightInd w:val="0"/>
              <w:jc w:val="center"/>
              <w:rPr>
                <w:rFonts w:ascii="Arial" w:eastAsia="Calibri" w:hAnsi="Arial" w:cs="Arial"/>
                <w:sz w:val="22"/>
                <w:szCs w:val="22"/>
                <w:lang w:eastAsia="en-US"/>
              </w:rPr>
            </w:pPr>
            <w:r w:rsidRPr="00D81C20">
              <w:rPr>
                <w:rFonts w:ascii="MS Gothic" w:eastAsia="MS Gothic" w:hAnsi="MS Gothic" w:cs="Arial" w:hint="eastAsia"/>
                <w:sz w:val="22"/>
                <w:szCs w:val="22"/>
                <w:lang w:eastAsia="en-US"/>
              </w:rPr>
              <w:t>☒</w:t>
            </w:r>
          </w:p>
        </w:tc>
      </w:tr>
      <w:tr w:rsidR="00D81C20" w:rsidRPr="004C3A0B" w14:paraId="4E34EDA1" w14:textId="77777777" w:rsidTr="00D81C20">
        <w:trPr>
          <w:trHeight w:val="403"/>
        </w:trPr>
        <w:tc>
          <w:tcPr>
            <w:tcW w:w="269" w:type="pct"/>
            <w:shd w:val="clear" w:color="auto" w:fill="F2F2F2"/>
            <w:vAlign w:val="center"/>
          </w:tcPr>
          <w:p w14:paraId="026D27CC" w14:textId="77777777" w:rsidR="00D81C20" w:rsidRPr="00D81C20" w:rsidRDefault="00D81C20" w:rsidP="00D81C20">
            <w:pPr>
              <w:autoSpaceDE w:val="0"/>
              <w:autoSpaceDN w:val="0"/>
              <w:adjustRightInd w:val="0"/>
              <w:rPr>
                <w:rFonts w:ascii="Arial" w:eastAsia="Calibri" w:hAnsi="Arial" w:cs="Arial"/>
                <w:sz w:val="22"/>
                <w:szCs w:val="22"/>
                <w:lang w:eastAsia="en-US"/>
              </w:rPr>
            </w:pPr>
            <w:r w:rsidRPr="00D81C20">
              <w:rPr>
                <w:rFonts w:ascii="Arial" w:eastAsia="Calibri" w:hAnsi="Arial" w:cs="Arial"/>
                <w:sz w:val="22"/>
                <w:szCs w:val="22"/>
                <w:lang w:eastAsia="en-US"/>
              </w:rPr>
              <w:t>8</w:t>
            </w:r>
          </w:p>
        </w:tc>
        <w:tc>
          <w:tcPr>
            <w:tcW w:w="3936" w:type="pct"/>
            <w:shd w:val="clear" w:color="auto" w:fill="F2F2F2"/>
            <w:vAlign w:val="center"/>
          </w:tcPr>
          <w:p w14:paraId="309C7EE6" w14:textId="77777777" w:rsidR="00D81C20" w:rsidRPr="00D81C20" w:rsidRDefault="00D81C20" w:rsidP="00D81C20">
            <w:pPr>
              <w:autoSpaceDE w:val="0"/>
              <w:autoSpaceDN w:val="0"/>
              <w:adjustRightInd w:val="0"/>
              <w:rPr>
                <w:rFonts w:ascii="Arial" w:eastAsia="Calibri" w:hAnsi="Arial" w:cs="Arial"/>
                <w:sz w:val="22"/>
                <w:szCs w:val="22"/>
                <w:lang w:eastAsia="en-US"/>
              </w:rPr>
            </w:pPr>
            <w:r w:rsidRPr="00D81C20">
              <w:rPr>
                <w:rFonts w:ascii="Arial" w:eastAsia="Calibri" w:hAnsi="Arial" w:cs="Arial"/>
                <w:sz w:val="22"/>
                <w:szCs w:val="22"/>
                <w:lang w:eastAsia="en-US"/>
              </w:rPr>
              <w:t>Participant observation without their knowledge?</w:t>
            </w:r>
          </w:p>
        </w:tc>
        <w:tc>
          <w:tcPr>
            <w:tcW w:w="405" w:type="pct"/>
            <w:shd w:val="clear" w:color="auto" w:fill="BFBFBF"/>
            <w:vAlign w:val="center"/>
          </w:tcPr>
          <w:p w14:paraId="7EBD0376" w14:textId="3B3945C4" w:rsidR="00D81C20" w:rsidRPr="00D81C20" w:rsidRDefault="00D81C20" w:rsidP="00D81C20">
            <w:pPr>
              <w:autoSpaceDE w:val="0"/>
              <w:autoSpaceDN w:val="0"/>
              <w:adjustRightInd w:val="0"/>
              <w:jc w:val="center"/>
              <w:rPr>
                <w:rFonts w:ascii="Arial" w:eastAsia="Calibri" w:hAnsi="Arial" w:cs="Arial"/>
                <w:sz w:val="22"/>
                <w:szCs w:val="22"/>
                <w:lang w:eastAsia="en-US"/>
              </w:rPr>
            </w:pPr>
            <w:r w:rsidRPr="00D81C20">
              <w:rPr>
                <w:rFonts w:ascii="MS Gothic" w:eastAsia="MS Gothic" w:hAnsi="MS Gothic" w:cs="Arial" w:hint="eastAsia"/>
                <w:sz w:val="22"/>
                <w:szCs w:val="22"/>
                <w:lang w:eastAsia="en-US"/>
              </w:rPr>
              <w:t>☐</w:t>
            </w:r>
          </w:p>
        </w:tc>
        <w:tc>
          <w:tcPr>
            <w:tcW w:w="390" w:type="pct"/>
            <w:shd w:val="clear" w:color="auto" w:fill="BFBFBF"/>
            <w:vAlign w:val="center"/>
          </w:tcPr>
          <w:p w14:paraId="343AC8C5" w14:textId="280A02B6" w:rsidR="00D81C20" w:rsidRPr="00D81C20" w:rsidRDefault="00D81C20" w:rsidP="00D81C20">
            <w:pPr>
              <w:autoSpaceDE w:val="0"/>
              <w:autoSpaceDN w:val="0"/>
              <w:adjustRightInd w:val="0"/>
              <w:jc w:val="center"/>
              <w:rPr>
                <w:rFonts w:ascii="Arial" w:eastAsia="Calibri" w:hAnsi="Arial" w:cs="Arial"/>
                <w:sz w:val="22"/>
                <w:szCs w:val="22"/>
                <w:lang w:eastAsia="en-US"/>
              </w:rPr>
            </w:pPr>
            <w:r w:rsidRPr="00D81C20">
              <w:rPr>
                <w:rFonts w:ascii="MS Gothic" w:eastAsia="MS Gothic" w:hAnsi="MS Gothic" w:cs="Arial" w:hint="eastAsia"/>
                <w:sz w:val="22"/>
                <w:szCs w:val="22"/>
                <w:lang w:eastAsia="en-US"/>
              </w:rPr>
              <w:t>☒</w:t>
            </w:r>
          </w:p>
        </w:tc>
      </w:tr>
      <w:tr w:rsidR="00D81C20" w:rsidRPr="004C3A0B" w14:paraId="5D2A4878" w14:textId="77777777" w:rsidTr="00D81C20">
        <w:trPr>
          <w:trHeight w:val="439"/>
        </w:trPr>
        <w:tc>
          <w:tcPr>
            <w:tcW w:w="269" w:type="pct"/>
            <w:shd w:val="clear" w:color="auto" w:fill="F2F2F2"/>
            <w:vAlign w:val="center"/>
          </w:tcPr>
          <w:p w14:paraId="5F8D1EF1" w14:textId="77777777" w:rsidR="00D81C20" w:rsidRPr="00D81C20" w:rsidRDefault="00D81C20" w:rsidP="00D81C20">
            <w:pPr>
              <w:autoSpaceDE w:val="0"/>
              <w:autoSpaceDN w:val="0"/>
              <w:adjustRightInd w:val="0"/>
              <w:rPr>
                <w:rFonts w:ascii="Arial" w:eastAsia="Calibri" w:hAnsi="Arial" w:cs="Arial"/>
                <w:sz w:val="22"/>
                <w:szCs w:val="22"/>
                <w:lang w:eastAsia="en-US"/>
              </w:rPr>
            </w:pPr>
            <w:r w:rsidRPr="00D81C20">
              <w:rPr>
                <w:rFonts w:ascii="Arial" w:eastAsia="Calibri" w:hAnsi="Arial" w:cs="Arial"/>
                <w:sz w:val="22"/>
                <w:szCs w:val="22"/>
                <w:lang w:eastAsia="en-US"/>
              </w:rPr>
              <w:t>9</w:t>
            </w:r>
          </w:p>
        </w:tc>
        <w:tc>
          <w:tcPr>
            <w:tcW w:w="3936" w:type="pct"/>
            <w:shd w:val="clear" w:color="auto" w:fill="F2F2F2"/>
            <w:vAlign w:val="center"/>
          </w:tcPr>
          <w:p w14:paraId="43E8DB24" w14:textId="77777777" w:rsidR="00D81C20" w:rsidRPr="00D81C20" w:rsidRDefault="00D81C20" w:rsidP="00D81C20">
            <w:pPr>
              <w:autoSpaceDE w:val="0"/>
              <w:autoSpaceDN w:val="0"/>
              <w:adjustRightInd w:val="0"/>
              <w:rPr>
                <w:rFonts w:ascii="Arial" w:eastAsia="Calibri" w:hAnsi="Arial" w:cs="Arial"/>
                <w:sz w:val="22"/>
                <w:szCs w:val="22"/>
                <w:lang w:eastAsia="en-US"/>
              </w:rPr>
            </w:pPr>
            <w:r w:rsidRPr="00D81C20">
              <w:rPr>
                <w:rFonts w:ascii="Arial" w:eastAsia="Calibri" w:hAnsi="Arial" w:cs="Arial"/>
                <w:sz w:val="22"/>
                <w:szCs w:val="22"/>
                <w:lang w:eastAsia="en-US"/>
              </w:rPr>
              <w:t>Access to personal or confidential information without the participants’ specific consent?</w:t>
            </w:r>
          </w:p>
        </w:tc>
        <w:tc>
          <w:tcPr>
            <w:tcW w:w="405" w:type="pct"/>
            <w:shd w:val="clear" w:color="auto" w:fill="BFBFBF"/>
            <w:vAlign w:val="center"/>
          </w:tcPr>
          <w:p w14:paraId="572BDAE1" w14:textId="75CDD529" w:rsidR="00D81C20" w:rsidRPr="00D81C20" w:rsidRDefault="00D81C20" w:rsidP="00D81C20">
            <w:pPr>
              <w:autoSpaceDE w:val="0"/>
              <w:autoSpaceDN w:val="0"/>
              <w:adjustRightInd w:val="0"/>
              <w:jc w:val="center"/>
              <w:rPr>
                <w:rFonts w:ascii="Arial" w:eastAsia="Calibri" w:hAnsi="Arial" w:cs="Arial"/>
                <w:sz w:val="22"/>
                <w:szCs w:val="22"/>
                <w:lang w:eastAsia="en-US"/>
              </w:rPr>
            </w:pPr>
            <w:r w:rsidRPr="00D81C20">
              <w:rPr>
                <w:rFonts w:ascii="MS Gothic" w:eastAsia="MS Gothic" w:hAnsi="MS Gothic" w:cs="Arial" w:hint="eastAsia"/>
                <w:sz w:val="22"/>
                <w:szCs w:val="22"/>
                <w:lang w:eastAsia="en-US"/>
              </w:rPr>
              <w:t>☐</w:t>
            </w:r>
          </w:p>
        </w:tc>
        <w:tc>
          <w:tcPr>
            <w:tcW w:w="390" w:type="pct"/>
            <w:shd w:val="clear" w:color="auto" w:fill="BFBFBF"/>
            <w:vAlign w:val="center"/>
          </w:tcPr>
          <w:p w14:paraId="4878CBAB" w14:textId="319775B6" w:rsidR="00D81C20" w:rsidRPr="00D81C20" w:rsidRDefault="00D81C20" w:rsidP="00D81C20">
            <w:pPr>
              <w:autoSpaceDE w:val="0"/>
              <w:autoSpaceDN w:val="0"/>
              <w:adjustRightInd w:val="0"/>
              <w:jc w:val="center"/>
              <w:rPr>
                <w:rFonts w:ascii="Arial" w:eastAsia="Calibri" w:hAnsi="Arial" w:cs="Arial"/>
                <w:sz w:val="22"/>
                <w:szCs w:val="22"/>
                <w:lang w:eastAsia="en-US"/>
              </w:rPr>
            </w:pPr>
            <w:r w:rsidRPr="00D81C20">
              <w:rPr>
                <w:rFonts w:ascii="MS Gothic" w:eastAsia="MS Gothic" w:hAnsi="MS Gothic" w:cs="Arial" w:hint="eastAsia"/>
                <w:sz w:val="22"/>
                <w:szCs w:val="22"/>
                <w:lang w:eastAsia="en-US"/>
              </w:rPr>
              <w:t>☒</w:t>
            </w:r>
          </w:p>
        </w:tc>
      </w:tr>
      <w:tr w:rsidR="00D81C20" w:rsidRPr="004C3A0B" w14:paraId="572B7261" w14:textId="77777777" w:rsidTr="00D81C20">
        <w:trPr>
          <w:trHeight w:val="403"/>
        </w:trPr>
        <w:tc>
          <w:tcPr>
            <w:tcW w:w="269" w:type="pct"/>
            <w:shd w:val="clear" w:color="auto" w:fill="F2F2F2"/>
            <w:vAlign w:val="center"/>
          </w:tcPr>
          <w:p w14:paraId="3A2B0C45" w14:textId="77777777" w:rsidR="00D81C20" w:rsidRPr="00D81C20" w:rsidRDefault="00D81C20" w:rsidP="00D81C20">
            <w:pPr>
              <w:autoSpaceDE w:val="0"/>
              <w:autoSpaceDN w:val="0"/>
              <w:adjustRightInd w:val="0"/>
              <w:rPr>
                <w:rFonts w:ascii="Arial" w:eastAsia="Calibri" w:hAnsi="Arial" w:cs="Arial"/>
                <w:sz w:val="22"/>
                <w:szCs w:val="22"/>
                <w:lang w:eastAsia="en-US"/>
              </w:rPr>
            </w:pPr>
            <w:r w:rsidRPr="00D81C20">
              <w:rPr>
                <w:rFonts w:ascii="Arial" w:eastAsia="Calibri" w:hAnsi="Arial" w:cs="Arial"/>
                <w:sz w:val="22"/>
                <w:szCs w:val="22"/>
                <w:lang w:eastAsia="en-US"/>
              </w:rPr>
              <w:t>10</w:t>
            </w:r>
          </w:p>
        </w:tc>
        <w:tc>
          <w:tcPr>
            <w:tcW w:w="3936" w:type="pct"/>
            <w:shd w:val="clear" w:color="auto" w:fill="F2F2F2"/>
            <w:vAlign w:val="center"/>
          </w:tcPr>
          <w:p w14:paraId="20828364" w14:textId="77777777" w:rsidR="00D81C20" w:rsidRPr="00D81C20" w:rsidRDefault="00D81C20" w:rsidP="00D81C20">
            <w:pPr>
              <w:autoSpaceDE w:val="0"/>
              <w:autoSpaceDN w:val="0"/>
              <w:adjustRightInd w:val="0"/>
              <w:rPr>
                <w:rFonts w:ascii="Arial" w:eastAsia="Calibri" w:hAnsi="Arial" w:cs="Arial"/>
                <w:sz w:val="22"/>
                <w:szCs w:val="22"/>
                <w:lang w:eastAsia="en-US"/>
              </w:rPr>
            </w:pPr>
            <w:r w:rsidRPr="00D81C20">
              <w:rPr>
                <w:rFonts w:ascii="Arial" w:eastAsia="Calibri" w:hAnsi="Arial" w:cs="Arial"/>
                <w:sz w:val="22"/>
                <w:szCs w:val="22"/>
                <w:lang w:eastAsia="en-US"/>
              </w:rPr>
              <w:t>Administration of any questions, test stimuli, presentation that may be experienced as physically, mentally or emotionally harmful / offensive?</w:t>
            </w:r>
          </w:p>
        </w:tc>
        <w:tc>
          <w:tcPr>
            <w:tcW w:w="405" w:type="pct"/>
            <w:shd w:val="clear" w:color="auto" w:fill="BFBFBF"/>
            <w:vAlign w:val="center"/>
          </w:tcPr>
          <w:p w14:paraId="49F76261" w14:textId="0C01E4DC" w:rsidR="00D81C20" w:rsidRPr="00D81C20" w:rsidRDefault="00D81C20" w:rsidP="00D81C20">
            <w:pPr>
              <w:autoSpaceDE w:val="0"/>
              <w:autoSpaceDN w:val="0"/>
              <w:adjustRightInd w:val="0"/>
              <w:jc w:val="center"/>
              <w:rPr>
                <w:rFonts w:ascii="Arial" w:eastAsia="Calibri" w:hAnsi="Arial" w:cs="Arial"/>
                <w:sz w:val="22"/>
                <w:szCs w:val="22"/>
                <w:lang w:eastAsia="en-US"/>
              </w:rPr>
            </w:pPr>
            <w:r w:rsidRPr="00D81C20">
              <w:rPr>
                <w:rFonts w:ascii="MS Gothic" w:eastAsia="MS Gothic" w:hAnsi="MS Gothic" w:cs="Arial" w:hint="eastAsia"/>
                <w:sz w:val="22"/>
                <w:szCs w:val="22"/>
                <w:lang w:eastAsia="en-US"/>
              </w:rPr>
              <w:t>☐</w:t>
            </w:r>
          </w:p>
        </w:tc>
        <w:tc>
          <w:tcPr>
            <w:tcW w:w="390" w:type="pct"/>
            <w:shd w:val="clear" w:color="auto" w:fill="BFBFBF"/>
            <w:vAlign w:val="center"/>
          </w:tcPr>
          <w:p w14:paraId="3285EEEB" w14:textId="216AE2DD" w:rsidR="00D81C20" w:rsidRPr="00D81C20" w:rsidRDefault="00D81C20" w:rsidP="00D81C20">
            <w:pPr>
              <w:autoSpaceDE w:val="0"/>
              <w:autoSpaceDN w:val="0"/>
              <w:adjustRightInd w:val="0"/>
              <w:jc w:val="center"/>
              <w:rPr>
                <w:rFonts w:ascii="Arial" w:eastAsia="Calibri" w:hAnsi="Arial" w:cs="Arial"/>
                <w:sz w:val="22"/>
                <w:szCs w:val="22"/>
                <w:lang w:eastAsia="en-US"/>
              </w:rPr>
            </w:pPr>
            <w:r w:rsidRPr="00D81C20">
              <w:rPr>
                <w:rFonts w:ascii="MS Gothic" w:eastAsia="MS Gothic" w:hAnsi="MS Gothic" w:cs="Arial" w:hint="eastAsia"/>
                <w:sz w:val="22"/>
                <w:szCs w:val="22"/>
                <w:lang w:eastAsia="en-US"/>
              </w:rPr>
              <w:t>☒</w:t>
            </w:r>
          </w:p>
        </w:tc>
      </w:tr>
      <w:tr w:rsidR="00D81C20" w:rsidRPr="004C3A0B" w14:paraId="059B2216" w14:textId="77777777" w:rsidTr="00D81C20">
        <w:trPr>
          <w:trHeight w:val="403"/>
        </w:trPr>
        <w:tc>
          <w:tcPr>
            <w:tcW w:w="269" w:type="pct"/>
            <w:shd w:val="clear" w:color="auto" w:fill="F2F2F2"/>
            <w:vAlign w:val="center"/>
          </w:tcPr>
          <w:p w14:paraId="38CFD83E" w14:textId="77777777" w:rsidR="00D81C20" w:rsidRPr="00D81C20" w:rsidRDefault="00D81C20" w:rsidP="00D81C20">
            <w:pPr>
              <w:autoSpaceDE w:val="0"/>
              <w:autoSpaceDN w:val="0"/>
              <w:adjustRightInd w:val="0"/>
              <w:rPr>
                <w:rFonts w:ascii="Arial" w:eastAsia="Calibri" w:hAnsi="Arial" w:cs="Arial"/>
                <w:sz w:val="22"/>
                <w:szCs w:val="22"/>
                <w:lang w:eastAsia="en-US"/>
              </w:rPr>
            </w:pPr>
            <w:r w:rsidRPr="00D81C20">
              <w:rPr>
                <w:rFonts w:ascii="Arial" w:eastAsia="Calibri" w:hAnsi="Arial" w:cs="Arial"/>
                <w:sz w:val="22"/>
                <w:szCs w:val="22"/>
                <w:lang w:eastAsia="en-US"/>
              </w:rPr>
              <w:t>11</w:t>
            </w:r>
          </w:p>
        </w:tc>
        <w:tc>
          <w:tcPr>
            <w:tcW w:w="3936" w:type="pct"/>
            <w:shd w:val="clear" w:color="auto" w:fill="F2F2F2"/>
            <w:vAlign w:val="center"/>
          </w:tcPr>
          <w:p w14:paraId="18A796AC" w14:textId="77777777" w:rsidR="00D81C20" w:rsidRPr="00D81C20" w:rsidRDefault="00D81C20" w:rsidP="00D81C20">
            <w:pPr>
              <w:autoSpaceDE w:val="0"/>
              <w:autoSpaceDN w:val="0"/>
              <w:adjustRightInd w:val="0"/>
              <w:rPr>
                <w:rFonts w:ascii="Arial" w:eastAsia="Calibri" w:hAnsi="Arial" w:cs="Arial"/>
                <w:sz w:val="22"/>
                <w:szCs w:val="22"/>
                <w:lang w:eastAsia="en-US"/>
              </w:rPr>
            </w:pPr>
            <w:r w:rsidRPr="00D81C20">
              <w:rPr>
                <w:rFonts w:ascii="Arial" w:eastAsia="Calibri" w:hAnsi="Arial" w:cs="Arial"/>
                <w:sz w:val="22"/>
                <w:szCs w:val="22"/>
                <w:lang w:eastAsia="en-US"/>
              </w:rPr>
              <w:t>Performance of any acts which may cause embarrassment or affect self-esteem?</w:t>
            </w:r>
          </w:p>
        </w:tc>
        <w:tc>
          <w:tcPr>
            <w:tcW w:w="405" w:type="pct"/>
            <w:shd w:val="clear" w:color="auto" w:fill="BFBFBF"/>
            <w:vAlign w:val="center"/>
          </w:tcPr>
          <w:p w14:paraId="704BF748" w14:textId="23317F53" w:rsidR="00D81C20" w:rsidRPr="00D81C20" w:rsidRDefault="00D81C20" w:rsidP="00D81C20">
            <w:pPr>
              <w:autoSpaceDE w:val="0"/>
              <w:autoSpaceDN w:val="0"/>
              <w:adjustRightInd w:val="0"/>
              <w:jc w:val="center"/>
              <w:rPr>
                <w:rFonts w:ascii="Arial" w:eastAsia="Calibri" w:hAnsi="Arial" w:cs="Arial"/>
                <w:sz w:val="22"/>
                <w:szCs w:val="22"/>
                <w:lang w:eastAsia="en-US"/>
              </w:rPr>
            </w:pPr>
            <w:r w:rsidRPr="00D81C20">
              <w:rPr>
                <w:rFonts w:ascii="MS Gothic" w:eastAsia="MS Gothic" w:hAnsi="MS Gothic" w:cs="Arial" w:hint="eastAsia"/>
                <w:sz w:val="22"/>
                <w:szCs w:val="22"/>
                <w:lang w:eastAsia="en-US"/>
              </w:rPr>
              <w:t>☐</w:t>
            </w:r>
          </w:p>
        </w:tc>
        <w:tc>
          <w:tcPr>
            <w:tcW w:w="390" w:type="pct"/>
            <w:shd w:val="clear" w:color="auto" w:fill="BFBFBF"/>
            <w:vAlign w:val="center"/>
          </w:tcPr>
          <w:p w14:paraId="2D5A8B34" w14:textId="6A9E4364" w:rsidR="00D81C20" w:rsidRPr="00D81C20" w:rsidRDefault="00D81C20" w:rsidP="00D81C20">
            <w:pPr>
              <w:autoSpaceDE w:val="0"/>
              <w:autoSpaceDN w:val="0"/>
              <w:adjustRightInd w:val="0"/>
              <w:jc w:val="center"/>
              <w:rPr>
                <w:rFonts w:ascii="Arial" w:eastAsia="Calibri" w:hAnsi="Arial" w:cs="Arial"/>
                <w:sz w:val="22"/>
                <w:szCs w:val="22"/>
                <w:lang w:eastAsia="en-US"/>
              </w:rPr>
            </w:pPr>
            <w:r w:rsidRPr="00D81C20">
              <w:rPr>
                <w:rFonts w:ascii="MS Gothic" w:eastAsia="MS Gothic" w:hAnsi="MS Gothic" w:cs="Arial" w:hint="eastAsia"/>
                <w:sz w:val="22"/>
                <w:szCs w:val="22"/>
                <w:lang w:eastAsia="en-US"/>
              </w:rPr>
              <w:t>☒</w:t>
            </w:r>
          </w:p>
        </w:tc>
      </w:tr>
      <w:tr w:rsidR="00D81C20" w:rsidRPr="004C3A0B" w14:paraId="07899D30" w14:textId="77777777" w:rsidTr="00D81C20">
        <w:trPr>
          <w:trHeight w:val="403"/>
        </w:trPr>
        <w:tc>
          <w:tcPr>
            <w:tcW w:w="269" w:type="pct"/>
            <w:shd w:val="clear" w:color="auto" w:fill="F2F2F2"/>
            <w:vAlign w:val="center"/>
          </w:tcPr>
          <w:p w14:paraId="2B775174" w14:textId="77777777" w:rsidR="00D81C20" w:rsidRPr="00D81C20" w:rsidRDefault="00D81C20" w:rsidP="00D81C20">
            <w:pPr>
              <w:autoSpaceDE w:val="0"/>
              <w:autoSpaceDN w:val="0"/>
              <w:adjustRightInd w:val="0"/>
              <w:rPr>
                <w:rFonts w:ascii="Arial" w:eastAsia="Calibri" w:hAnsi="Arial" w:cs="Arial"/>
                <w:sz w:val="22"/>
                <w:szCs w:val="22"/>
                <w:lang w:eastAsia="en-US"/>
              </w:rPr>
            </w:pPr>
            <w:r w:rsidRPr="00D81C20">
              <w:rPr>
                <w:rFonts w:ascii="Arial" w:eastAsia="Calibri" w:hAnsi="Arial" w:cs="Arial"/>
                <w:sz w:val="22"/>
                <w:szCs w:val="22"/>
                <w:lang w:eastAsia="en-US"/>
              </w:rPr>
              <w:t>12</w:t>
            </w:r>
          </w:p>
        </w:tc>
        <w:tc>
          <w:tcPr>
            <w:tcW w:w="3936" w:type="pct"/>
            <w:shd w:val="clear" w:color="auto" w:fill="F2F2F2"/>
            <w:vAlign w:val="center"/>
          </w:tcPr>
          <w:p w14:paraId="1B7C901B" w14:textId="77777777" w:rsidR="00D81C20" w:rsidRPr="00D81C20" w:rsidRDefault="00D81C20" w:rsidP="00D81C20">
            <w:pPr>
              <w:autoSpaceDE w:val="0"/>
              <w:autoSpaceDN w:val="0"/>
              <w:adjustRightInd w:val="0"/>
              <w:rPr>
                <w:rFonts w:ascii="Arial" w:eastAsia="Calibri" w:hAnsi="Arial" w:cs="Arial"/>
                <w:sz w:val="22"/>
                <w:szCs w:val="22"/>
                <w:lang w:eastAsia="en-US"/>
              </w:rPr>
            </w:pPr>
            <w:r w:rsidRPr="00D81C20">
              <w:rPr>
                <w:rFonts w:ascii="Arial" w:eastAsia="Calibri" w:hAnsi="Arial" w:cs="Arial"/>
                <w:sz w:val="22"/>
                <w:szCs w:val="22"/>
                <w:lang w:eastAsia="en-US"/>
              </w:rPr>
              <w:t>Investigation of participants involved in illegal activities?</w:t>
            </w:r>
          </w:p>
        </w:tc>
        <w:tc>
          <w:tcPr>
            <w:tcW w:w="405" w:type="pct"/>
            <w:shd w:val="clear" w:color="auto" w:fill="BFBFBF"/>
            <w:vAlign w:val="center"/>
          </w:tcPr>
          <w:p w14:paraId="14B121CB" w14:textId="08636270" w:rsidR="00D81C20" w:rsidRPr="00D81C20" w:rsidRDefault="00D81C20" w:rsidP="00D81C20">
            <w:pPr>
              <w:autoSpaceDE w:val="0"/>
              <w:autoSpaceDN w:val="0"/>
              <w:adjustRightInd w:val="0"/>
              <w:jc w:val="center"/>
              <w:rPr>
                <w:rFonts w:ascii="Arial" w:eastAsia="Calibri" w:hAnsi="Arial" w:cs="Arial"/>
                <w:sz w:val="22"/>
                <w:szCs w:val="22"/>
                <w:lang w:eastAsia="en-US"/>
              </w:rPr>
            </w:pPr>
            <w:r w:rsidRPr="00D81C20">
              <w:rPr>
                <w:rFonts w:ascii="MS Gothic" w:eastAsia="MS Gothic" w:hAnsi="MS Gothic" w:cs="Arial" w:hint="eastAsia"/>
                <w:sz w:val="22"/>
                <w:szCs w:val="22"/>
                <w:lang w:eastAsia="en-US"/>
              </w:rPr>
              <w:t>☐</w:t>
            </w:r>
          </w:p>
        </w:tc>
        <w:tc>
          <w:tcPr>
            <w:tcW w:w="390" w:type="pct"/>
            <w:shd w:val="clear" w:color="auto" w:fill="BFBFBF"/>
            <w:vAlign w:val="center"/>
          </w:tcPr>
          <w:p w14:paraId="6A6A353F" w14:textId="06F5FD3D" w:rsidR="00D81C20" w:rsidRPr="00D81C20" w:rsidRDefault="00D81C20" w:rsidP="00D81C20">
            <w:pPr>
              <w:autoSpaceDE w:val="0"/>
              <w:autoSpaceDN w:val="0"/>
              <w:adjustRightInd w:val="0"/>
              <w:jc w:val="center"/>
              <w:rPr>
                <w:rFonts w:ascii="Arial" w:eastAsia="Calibri" w:hAnsi="Arial" w:cs="Arial"/>
                <w:sz w:val="22"/>
                <w:szCs w:val="22"/>
                <w:lang w:eastAsia="en-US"/>
              </w:rPr>
            </w:pPr>
            <w:r w:rsidRPr="00D81C20">
              <w:rPr>
                <w:rFonts w:ascii="MS Gothic" w:eastAsia="MS Gothic" w:hAnsi="MS Gothic" w:cs="Arial" w:hint="eastAsia"/>
                <w:sz w:val="22"/>
                <w:szCs w:val="22"/>
                <w:lang w:eastAsia="en-US"/>
              </w:rPr>
              <w:t>☒</w:t>
            </w:r>
          </w:p>
        </w:tc>
      </w:tr>
      <w:tr w:rsidR="00D81C20" w:rsidRPr="004C3A0B" w14:paraId="71CDCD66" w14:textId="77777777" w:rsidTr="00D81C20">
        <w:trPr>
          <w:trHeight w:val="403"/>
        </w:trPr>
        <w:tc>
          <w:tcPr>
            <w:tcW w:w="269" w:type="pct"/>
            <w:shd w:val="clear" w:color="auto" w:fill="F2F2F2"/>
            <w:vAlign w:val="center"/>
          </w:tcPr>
          <w:p w14:paraId="455FF21C" w14:textId="77777777" w:rsidR="00D81C20" w:rsidRPr="00D81C20" w:rsidRDefault="00D81C20" w:rsidP="00D81C20">
            <w:pPr>
              <w:autoSpaceDE w:val="0"/>
              <w:autoSpaceDN w:val="0"/>
              <w:adjustRightInd w:val="0"/>
              <w:rPr>
                <w:rFonts w:ascii="Arial" w:eastAsia="Calibri" w:hAnsi="Arial" w:cs="Arial"/>
                <w:sz w:val="22"/>
                <w:szCs w:val="22"/>
                <w:lang w:eastAsia="en-US"/>
              </w:rPr>
            </w:pPr>
            <w:r w:rsidRPr="00D81C20">
              <w:rPr>
                <w:rFonts w:ascii="Arial" w:eastAsia="Calibri" w:hAnsi="Arial" w:cs="Arial"/>
                <w:sz w:val="22"/>
                <w:szCs w:val="22"/>
                <w:lang w:eastAsia="en-US"/>
              </w:rPr>
              <w:t>13</w:t>
            </w:r>
          </w:p>
        </w:tc>
        <w:tc>
          <w:tcPr>
            <w:tcW w:w="3936" w:type="pct"/>
            <w:shd w:val="clear" w:color="auto" w:fill="F2F2F2"/>
            <w:vAlign w:val="center"/>
          </w:tcPr>
          <w:p w14:paraId="0CD7F471" w14:textId="77777777" w:rsidR="00D81C20" w:rsidRPr="00D81C20" w:rsidRDefault="00D81C20" w:rsidP="00D81C20">
            <w:pPr>
              <w:autoSpaceDE w:val="0"/>
              <w:autoSpaceDN w:val="0"/>
              <w:adjustRightInd w:val="0"/>
              <w:rPr>
                <w:rFonts w:ascii="Arial" w:eastAsia="Calibri" w:hAnsi="Arial" w:cs="Arial"/>
                <w:sz w:val="22"/>
                <w:szCs w:val="22"/>
                <w:lang w:eastAsia="en-US"/>
              </w:rPr>
            </w:pPr>
            <w:r w:rsidRPr="00D81C20">
              <w:rPr>
                <w:rFonts w:ascii="Arial" w:eastAsia="Calibri" w:hAnsi="Arial" w:cs="Arial"/>
                <w:sz w:val="22"/>
                <w:szCs w:val="22"/>
                <w:lang w:eastAsia="en-US"/>
              </w:rPr>
              <w:t>Use of procedures that involve deception?</w:t>
            </w:r>
          </w:p>
        </w:tc>
        <w:tc>
          <w:tcPr>
            <w:tcW w:w="405" w:type="pct"/>
            <w:shd w:val="clear" w:color="auto" w:fill="BFBFBF"/>
            <w:vAlign w:val="center"/>
          </w:tcPr>
          <w:p w14:paraId="53C9457A" w14:textId="1B2B9639" w:rsidR="00D81C20" w:rsidRPr="00D81C20" w:rsidRDefault="00D81C20" w:rsidP="00D81C20">
            <w:pPr>
              <w:autoSpaceDE w:val="0"/>
              <w:autoSpaceDN w:val="0"/>
              <w:adjustRightInd w:val="0"/>
              <w:jc w:val="center"/>
              <w:rPr>
                <w:rFonts w:ascii="Arial" w:eastAsia="Calibri" w:hAnsi="Arial" w:cs="Arial"/>
                <w:sz w:val="22"/>
                <w:szCs w:val="22"/>
                <w:lang w:eastAsia="en-US"/>
              </w:rPr>
            </w:pPr>
            <w:r w:rsidRPr="00D81C20">
              <w:rPr>
                <w:rFonts w:ascii="MS Gothic" w:eastAsia="MS Gothic" w:hAnsi="MS Gothic" w:cs="Arial" w:hint="eastAsia"/>
                <w:sz w:val="22"/>
                <w:szCs w:val="22"/>
                <w:lang w:eastAsia="en-US"/>
              </w:rPr>
              <w:t>☐</w:t>
            </w:r>
          </w:p>
        </w:tc>
        <w:tc>
          <w:tcPr>
            <w:tcW w:w="390" w:type="pct"/>
            <w:shd w:val="clear" w:color="auto" w:fill="BFBFBF"/>
            <w:vAlign w:val="center"/>
          </w:tcPr>
          <w:p w14:paraId="6B7B3C86" w14:textId="1C935F4A" w:rsidR="00D81C20" w:rsidRPr="00D81C20" w:rsidRDefault="00D81C20" w:rsidP="00D81C20">
            <w:pPr>
              <w:autoSpaceDE w:val="0"/>
              <w:autoSpaceDN w:val="0"/>
              <w:adjustRightInd w:val="0"/>
              <w:jc w:val="center"/>
              <w:rPr>
                <w:rFonts w:ascii="Arial" w:eastAsia="Calibri" w:hAnsi="Arial" w:cs="Arial"/>
                <w:sz w:val="22"/>
                <w:szCs w:val="22"/>
                <w:lang w:eastAsia="en-US"/>
              </w:rPr>
            </w:pPr>
            <w:r w:rsidRPr="00D81C20">
              <w:rPr>
                <w:rFonts w:ascii="MS Gothic" w:eastAsia="MS Gothic" w:hAnsi="MS Gothic" w:cs="Arial" w:hint="eastAsia"/>
                <w:sz w:val="22"/>
                <w:szCs w:val="22"/>
                <w:lang w:eastAsia="en-US"/>
              </w:rPr>
              <w:t>☒</w:t>
            </w:r>
          </w:p>
        </w:tc>
      </w:tr>
      <w:tr w:rsidR="00D81C20" w:rsidRPr="004C3A0B" w14:paraId="160EBC2C" w14:textId="77777777" w:rsidTr="00D81C20">
        <w:trPr>
          <w:trHeight w:val="403"/>
        </w:trPr>
        <w:tc>
          <w:tcPr>
            <w:tcW w:w="269" w:type="pct"/>
            <w:shd w:val="clear" w:color="auto" w:fill="F2F2F2"/>
            <w:vAlign w:val="center"/>
          </w:tcPr>
          <w:p w14:paraId="7F4DB178" w14:textId="77777777" w:rsidR="00D81C20" w:rsidRPr="00D81C20" w:rsidRDefault="00D81C20" w:rsidP="00D81C20">
            <w:pPr>
              <w:autoSpaceDE w:val="0"/>
              <w:autoSpaceDN w:val="0"/>
              <w:adjustRightInd w:val="0"/>
              <w:rPr>
                <w:rFonts w:ascii="Arial" w:eastAsia="Calibri" w:hAnsi="Arial" w:cs="Arial"/>
                <w:sz w:val="22"/>
                <w:szCs w:val="22"/>
                <w:lang w:eastAsia="en-US"/>
              </w:rPr>
            </w:pPr>
            <w:r w:rsidRPr="00D81C20">
              <w:rPr>
                <w:rFonts w:ascii="Arial" w:eastAsia="Calibri" w:hAnsi="Arial" w:cs="Arial"/>
                <w:sz w:val="22"/>
                <w:szCs w:val="22"/>
                <w:lang w:eastAsia="en-US"/>
              </w:rPr>
              <w:t>14</w:t>
            </w:r>
          </w:p>
        </w:tc>
        <w:tc>
          <w:tcPr>
            <w:tcW w:w="3936" w:type="pct"/>
            <w:shd w:val="clear" w:color="auto" w:fill="F2F2F2"/>
            <w:vAlign w:val="center"/>
          </w:tcPr>
          <w:p w14:paraId="629E4CB1" w14:textId="77777777" w:rsidR="00D81C20" w:rsidRPr="00D81C20" w:rsidRDefault="00D81C20" w:rsidP="00D81C20">
            <w:pPr>
              <w:autoSpaceDE w:val="0"/>
              <w:autoSpaceDN w:val="0"/>
              <w:adjustRightInd w:val="0"/>
              <w:rPr>
                <w:rFonts w:ascii="Arial" w:eastAsia="Calibri" w:hAnsi="Arial" w:cs="Arial"/>
                <w:sz w:val="22"/>
                <w:szCs w:val="22"/>
                <w:lang w:eastAsia="en-US"/>
              </w:rPr>
            </w:pPr>
            <w:r w:rsidRPr="00D81C20">
              <w:rPr>
                <w:rFonts w:ascii="Arial" w:eastAsia="Calibri" w:hAnsi="Arial" w:cs="Arial"/>
                <w:sz w:val="22"/>
                <w:szCs w:val="22"/>
                <w:lang w:eastAsia="en-US"/>
              </w:rPr>
              <w:t>Administration of any substance, agent or placebo?</w:t>
            </w:r>
          </w:p>
        </w:tc>
        <w:tc>
          <w:tcPr>
            <w:tcW w:w="405" w:type="pct"/>
            <w:shd w:val="clear" w:color="auto" w:fill="BFBFBF"/>
            <w:vAlign w:val="center"/>
          </w:tcPr>
          <w:p w14:paraId="6DF10521" w14:textId="1DEF8BE9" w:rsidR="00D81C20" w:rsidRPr="00D81C20" w:rsidRDefault="00D81C20" w:rsidP="00D81C20">
            <w:pPr>
              <w:autoSpaceDE w:val="0"/>
              <w:autoSpaceDN w:val="0"/>
              <w:adjustRightInd w:val="0"/>
              <w:jc w:val="center"/>
              <w:rPr>
                <w:rFonts w:ascii="Arial" w:eastAsia="Calibri" w:hAnsi="Arial" w:cs="Arial"/>
                <w:sz w:val="22"/>
                <w:szCs w:val="22"/>
                <w:lang w:eastAsia="en-US"/>
              </w:rPr>
            </w:pPr>
            <w:r w:rsidRPr="00D81C20">
              <w:rPr>
                <w:rFonts w:ascii="MS Gothic" w:eastAsia="MS Gothic" w:hAnsi="MS Gothic" w:cs="Arial" w:hint="eastAsia"/>
                <w:sz w:val="22"/>
                <w:szCs w:val="22"/>
                <w:lang w:eastAsia="en-US"/>
              </w:rPr>
              <w:t>☐</w:t>
            </w:r>
          </w:p>
        </w:tc>
        <w:tc>
          <w:tcPr>
            <w:tcW w:w="390" w:type="pct"/>
            <w:shd w:val="clear" w:color="auto" w:fill="BFBFBF"/>
            <w:vAlign w:val="center"/>
          </w:tcPr>
          <w:p w14:paraId="525EB33B" w14:textId="54E654AD" w:rsidR="00D81C20" w:rsidRPr="00D81C20" w:rsidRDefault="00D81C20" w:rsidP="00D81C20">
            <w:pPr>
              <w:autoSpaceDE w:val="0"/>
              <w:autoSpaceDN w:val="0"/>
              <w:adjustRightInd w:val="0"/>
              <w:jc w:val="center"/>
              <w:rPr>
                <w:rFonts w:ascii="Arial" w:eastAsia="Calibri" w:hAnsi="Arial" w:cs="Arial"/>
                <w:sz w:val="22"/>
                <w:szCs w:val="22"/>
                <w:lang w:eastAsia="en-US"/>
              </w:rPr>
            </w:pPr>
            <w:r w:rsidRPr="00D81C20">
              <w:rPr>
                <w:rFonts w:ascii="MS Gothic" w:eastAsia="MS Gothic" w:hAnsi="MS Gothic" w:cs="Arial" w:hint="eastAsia"/>
                <w:sz w:val="22"/>
                <w:szCs w:val="22"/>
                <w:lang w:eastAsia="en-US"/>
              </w:rPr>
              <w:t>☒</w:t>
            </w:r>
          </w:p>
        </w:tc>
      </w:tr>
      <w:tr w:rsidR="00D81C20" w:rsidRPr="004C3A0B" w14:paraId="52A98CF2" w14:textId="77777777" w:rsidTr="00D81C20">
        <w:trPr>
          <w:trHeight w:val="403"/>
        </w:trPr>
        <w:tc>
          <w:tcPr>
            <w:tcW w:w="269" w:type="pct"/>
            <w:shd w:val="clear" w:color="auto" w:fill="F2F2F2"/>
            <w:vAlign w:val="center"/>
          </w:tcPr>
          <w:p w14:paraId="4E55A060" w14:textId="77777777" w:rsidR="00D81C20" w:rsidRPr="00D81C20" w:rsidRDefault="00D81C20" w:rsidP="00D81C20">
            <w:pPr>
              <w:autoSpaceDE w:val="0"/>
              <w:autoSpaceDN w:val="0"/>
              <w:adjustRightInd w:val="0"/>
              <w:rPr>
                <w:rFonts w:ascii="Arial" w:eastAsia="Calibri" w:hAnsi="Arial" w:cs="Arial"/>
                <w:sz w:val="22"/>
                <w:szCs w:val="22"/>
                <w:lang w:eastAsia="en-US"/>
              </w:rPr>
            </w:pPr>
            <w:r w:rsidRPr="00D81C20">
              <w:rPr>
                <w:rFonts w:ascii="Arial" w:eastAsia="Calibri" w:hAnsi="Arial" w:cs="Arial"/>
                <w:sz w:val="22"/>
                <w:szCs w:val="22"/>
                <w:lang w:eastAsia="en-US"/>
              </w:rPr>
              <w:t>15</w:t>
            </w:r>
          </w:p>
        </w:tc>
        <w:tc>
          <w:tcPr>
            <w:tcW w:w="3936" w:type="pct"/>
            <w:shd w:val="clear" w:color="auto" w:fill="F2F2F2"/>
            <w:vAlign w:val="center"/>
          </w:tcPr>
          <w:p w14:paraId="45F66C26" w14:textId="77777777" w:rsidR="00D81C20" w:rsidRPr="00D81C20" w:rsidRDefault="00D81C20" w:rsidP="00D81C20">
            <w:pPr>
              <w:autoSpaceDE w:val="0"/>
              <w:autoSpaceDN w:val="0"/>
              <w:adjustRightInd w:val="0"/>
              <w:rPr>
                <w:rFonts w:ascii="Arial" w:eastAsia="Calibri" w:hAnsi="Arial" w:cs="Arial"/>
                <w:sz w:val="22"/>
                <w:szCs w:val="22"/>
                <w:lang w:eastAsia="en-US"/>
              </w:rPr>
            </w:pPr>
            <w:r w:rsidRPr="00D81C20">
              <w:rPr>
                <w:rFonts w:ascii="Arial" w:eastAsia="Calibri" w:hAnsi="Arial" w:cs="Arial"/>
                <w:sz w:val="22"/>
                <w:szCs w:val="22"/>
                <w:lang w:eastAsia="en-US"/>
              </w:rPr>
              <w:t>Working with live vertebrate animals?</w:t>
            </w:r>
          </w:p>
        </w:tc>
        <w:tc>
          <w:tcPr>
            <w:tcW w:w="405" w:type="pct"/>
            <w:shd w:val="clear" w:color="auto" w:fill="BFBFBF"/>
            <w:vAlign w:val="center"/>
          </w:tcPr>
          <w:p w14:paraId="199FCF84" w14:textId="79E9C656" w:rsidR="00D81C20" w:rsidRPr="00D81C20" w:rsidRDefault="00D81C20" w:rsidP="00D81C20">
            <w:pPr>
              <w:autoSpaceDE w:val="0"/>
              <w:autoSpaceDN w:val="0"/>
              <w:adjustRightInd w:val="0"/>
              <w:jc w:val="center"/>
              <w:rPr>
                <w:rFonts w:ascii="Arial" w:eastAsia="Calibri" w:hAnsi="Arial" w:cs="Arial"/>
                <w:sz w:val="22"/>
                <w:szCs w:val="22"/>
                <w:lang w:eastAsia="en-US"/>
              </w:rPr>
            </w:pPr>
            <w:r w:rsidRPr="00D81C20">
              <w:rPr>
                <w:rFonts w:ascii="MS Gothic" w:eastAsia="MS Gothic" w:hAnsi="MS Gothic" w:cs="Arial" w:hint="eastAsia"/>
                <w:sz w:val="22"/>
                <w:szCs w:val="22"/>
                <w:lang w:eastAsia="en-US"/>
              </w:rPr>
              <w:t>☐</w:t>
            </w:r>
          </w:p>
        </w:tc>
        <w:tc>
          <w:tcPr>
            <w:tcW w:w="390" w:type="pct"/>
            <w:shd w:val="clear" w:color="auto" w:fill="BFBFBF"/>
            <w:vAlign w:val="center"/>
          </w:tcPr>
          <w:p w14:paraId="22E8A909" w14:textId="58D04DFC" w:rsidR="00D81C20" w:rsidRPr="00D81C20" w:rsidRDefault="00D81C20" w:rsidP="00D81C20">
            <w:pPr>
              <w:autoSpaceDE w:val="0"/>
              <w:autoSpaceDN w:val="0"/>
              <w:adjustRightInd w:val="0"/>
              <w:jc w:val="center"/>
              <w:rPr>
                <w:rFonts w:ascii="Arial" w:eastAsia="Calibri" w:hAnsi="Arial" w:cs="Arial"/>
                <w:sz w:val="22"/>
                <w:szCs w:val="22"/>
                <w:lang w:eastAsia="en-US"/>
              </w:rPr>
            </w:pPr>
            <w:r w:rsidRPr="00D81C20">
              <w:rPr>
                <w:rFonts w:ascii="MS Gothic" w:eastAsia="MS Gothic" w:hAnsi="MS Gothic" w:cs="Arial" w:hint="eastAsia"/>
                <w:sz w:val="22"/>
                <w:szCs w:val="22"/>
                <w:lang w:eastAsia="en-US"/>
              </w:rPr>
              <w:t>☒</w:t>
            </w:r>
          </w:p>
        </w:tc>
      </w:tr>
      <w:tr w:rsidR="00D81C20" w:rsidRPr="004C3A0B" w14:paraId="4B9565DE" w14:textId="77777777" w:rsidTr="00D81C20">
        <w:trPr>
          <w:trHeight w:val="403"/>
        </w:trPr>
        <w:tc>
          <w:tcPr>
            <w:tcW w:w="269" w:type="pct"/>
            <w:shd w:val="clear" w:color="auto" w:fill="F2F2F2"/>
            <w:vAlign w:val="center"/>
          </w:tcPr>
          <w:p w14:paraId="4D90EF1D" w14:textId="77777777" w:rsidR="00D81C20" w:rsidRPr="00D81C20" w:rsidRDefault="00D81C20" w:rsidP="00D81C20">
            <w:pPr>
              <w:autoSpaceDE w:val="0"/>
              <w:autoSpaceDN w:val="0"/>
              <w:adjustRightInd w:val="0"/>
              <w:rPr>
                <w:rFonts w:ascii="Arial" w:eastAsia="Calibri" w:hAnsi="Arial" w:cs="Arial"/>
                <w:sz w:val="22"/>
                <w:szCs w:val="22"/>
                <w:lang w:eastAsia="en-US"/>
              </w:rPr>
            </w:pPr>
            <w:r w:rsidRPr="00D81C20">
              <w:rPr>
                <w:rFonts w:ascii="Arial" w:eastAsia="Calibri" w:hAnsi="Arial" w:cs="Arial"/>
                <w:sz w:val="22"/>
                <w:szCs w:val="22"/>
                <w:lang w:eastAsia="en-US"/>
              </w:rPr>
              <w:t>16</w:t>
            </w:r>
          </w:p>
        </w:tc>
        <w:tc>
          <w:tcPr>
            <w:tcW w:w="3936" w:type="pct"/>
            <w:shd w:val="clear" w:color="auto" w:fill="F2F2F2"/>
            <w:vAlign w:val="center"/>
          </w:tcPr>
          <w:p w14:paraId="4C320526" w14:textId="77777777" w:rsidR="00D81C20" w:rsidRPr="00D81C20" w:rsidRDefault="00D81C20" w:rsidP="00D81C20">
            <w:pPr>
              <w:autoSpaceDE w:val="0"/>
              <w:autoSpaceDN w:val="0"/>
              <w:adjustRightInd w:val="0"/>
              <w:rPr>
                <w:rFonts w:ascii="Arial" w:eastAsia="Calibri" w:hAnsi="Arial" w:cs="Arial"/>
                <w:sz w:val="22"/>
                <w:szCs w:val="22"/>
                <w:lang w:eastAsia="en-US"/>
              </w:rPr>
            </w:pPr>
            <w:r w:rsidRPr="00D81C20">
              <w:rPr>
                <w:rFonts w:ascii="Arial" w:eastAsia="Calibri" w:hAnsi="Arial" w:cs="Arial"/>
                <w:sz w:val="22"/>
                <w:szCs w:val="22"/>
                <w:lang w:eastAsia="en-US"/>
              </w:rPr>
              <w:t>Procedures that may have a negative impact on the environment?</w:t>
            </w:r>
          </w:p>
        </w:tc>
        <w:tc>
          <w:tcPr>
            <w:tcW w:w="405" w:type="pct"/>
            <w:shd w:val="clear" w:color="auto" w:fill="BFBFBF"/>
            <w:vAlign w:val="center"/>
          </w:tcPr>
          <w:p w14:paraId="35FC65F0" w14:textId="76B0F832" w:rsidR="00D81C20" w:rsidRPr="00D81C20" w:rsidRDefault="00D81C20" w:rsidP="00D81C20">
            <w:pPr>
              <w:autoSpaceDE w:val="0"/>
              <w:autoSpaceDN w:val="0"/>
              <w:adjustRightInd w:val="0"/>
              <w:jc w:val="center"/>
              <w:rPr>
                <w:rFonts w:ascii="Arial" w:eastAsia="Calibri" w:hAnsi="Arial" w:cs="Arial"/>
                <w:sz w:val="22"/>
                <w:szCs w:val="22"/>
                <w:lang w:eastAsia="en-US"/>
              </w:rPr>
            </w:pPr>
            <w:r w:rsidRPr="00D81C20">
              <w:rPr>
                <w:rFonts w:ascii="MS Gothic" w:eastAsia="MS Gothic" w:hAnsi="MS Gothic" w:cs="Arial" w:hint="eastAsia"/>
                <w:sz w:val="22"/>
                <w:szCs w:val="22"/>
                <w:lang w:eastAsia="en-US"/>
              </w:rPr>
              <w:t>☐</w:t>
            </w:r>
          </w:p>
        </w:tc>
        <w:tc>
          <w:tcPr>
            <w:tcW w:w="390" w:type="pct"/>
            <w:shd w:val="clear" w:color="auto" w:fill="BFBFBF"/>
            <w:vAlign w:val="center"/>
          </w:tcPr>
          <w:p w14:paraId="2EDF6794" w14:textId="624697A4" w:rsidR="00D81C20" w:rsidRPr="00D81C20" w:rsidRDefault="00D81C20" w:rsidP="00D81C20">
            <w:pPr>
              <w:autoSpaceDE w:val="0"/>
              <w:autoSpaceDN w:val="0"/>
              <w:adjustRightInd w:val="0"/>
              <w:jc w:val="center"/>
              <w:rPr>
                <w:rFonts w:ascii="Arial" w:eastAsia="Calibri" w:hAnsi="Arial" w:cs="Arial"/>
                <w:sz w:val="22"/>
                <w:szCs w:val="22"/>
                <w:lang w:eastAsia="en-US"/>
              </w:rPr>
            </w:pPr>
            <w:r w:rsidRPr="00D81C20">
              <w:rPr>
                <w:rFonts w:ascii="MS Gothic" w:eastAsia="MS Gothic" w:hAnsi="MS Gothic" w:cs="Arial" w:hint="eastAsia"/>
                <w:sz w:val="22"/>
                <w:szCs w:val="22"/>
                <w:lang w:eastAsia="en-US"/>
              </w:rPr>
              <w:t>☒</w:t>
            </w:r>
          </w:p>
        </w:tc>
      </w:tr>
      <w:tr w:rsidR="00D81C20" w:rsidRPr="006C1FDD" w14:paraId="43527468" w14:textId="77777777" w:rsidTr="00D81C20">
        <w:trPr>
          <w:trHeight w:val="403"/>
        </w:trPr>
        <w:tc>
          <w:tcPr>
            <w:tcW w:w="269" w:type="pct"/>
            <w:shd w:val="clear" w:color="auto" w:fill="F2F2F2"/>
            <w:vAlign w:val="center"/>
          </w:tcPr>
          <w:p w14:paraId="3D71CBF7" w14:textId="77777777" w:rsidR="00D81C20" w:rsidRPr="00D81C20" w:rsidRDefault="00D81C20" w:rsidP="00D81C20">
            <w:pPr>
              <w:autoSpaceDE w:val="0"/>
              <w:autoSpaceDN w:val="0"/>
              <w:adjustRightInd w:val="0"/>
              <w:rPr>
                <w:rFonts w:ascii="Arial" w:eastAsia="Calibri" w:hAnsi="Arial" w:cs="Arial"/>
                <w:sz w:val="22"/>
                <w:szCs w:val="22"/>
                <w:lang w:eastAsia="en-US"/>
              </w:rPr>
            </w:pPr>
            <w:r w:rsidRPr="00D81C20">
              <w:rPr>
                <w:rFonts w:ascii="Arial" w:eastAsia="Calibri" w:hAnsi="Arial" w:cs="Arial"/>
                <w:sz w:val="22"/>
                <w:szCs w:val="22"/>
                <w:lang w:eastAsia="en-US"/>
              </w:rPr>
              <w:t>17</w:t>
            </w:r>
          </w:p>
        </w:tc>
        <w:tc>
          <w:tcPr>
            <w:tcW w:w="3936" w:type="pct"/>
            <w:shd w:val="clear" w:color="auto" w:fill="F2F2F2"/>
            <w:vAlign w:val="center"/>
          </w:tcPr>
          <w:p w14:paraId="51AAA629" w14:textId="77777777" w:rsidR="00D81C20" w:rsidRPr="00D81C20" w:rsidRDefault="00D81C20" w:rsidP="00D81C20">
            <w:pPr>
              <w:autoSpaceDE w:val="0"/>
              <w:autoSpaceDN w:val="0"/>
              <w:adjustRightInd w:val="0"/>
              <w:rPr>
                <w:rFonts w:ascii="Arial" w:eastAsia="Calibri" w:hAnsi="Arial" w:cs="Arial"/>
                <w:sz w:val="22"/>
                <w:szCs w:val="22"/>
                <w:lang w:eastAsia="en-US"/>
              </w:rPr>
            </w:pPr>
            <w:r w:rsidRPr="00D81C20">
              <w:rPr>
                <w:rFonts w:ascii="Arial" w:eastAsia="Calibri" w:hAnsi="Arial" w:cs="Arial"/>
                <w:sz w:val="22"/>
                <w:szCs w:val="22"/>
                <w:lang w:eastAsia="en-US"/>
              </w:rPr>
              <w:t>Other primary data collection methods. Please indicate the type of data collection method(s) below.</w:t>
            </w:r>
          </w:p>
        </w:tc>
        <w:tc>
          <w:tcPr>
            <w:tcW w:w="405" w:type="pct"/>
            <w:vMerge w:val="restart"/>
            <w:shd w:val="clear" w:color="auto" w:fill="BFBFBF"/>
            <w:vAlign w:val="center"/>
          </w:tcPr>
          <w:p w14:paraId="1AB54E29" w14:textId="2A578741" w:rsidR="00D81C20" w:rsidRPr="00D81C20" w:rsidRDefault="00D81C20" w:rsidP="00D81C20">
            <w:pPr>
              <w:autoSpaceDE w:val="0"/>
              <w:autoSpaceDN w:val="0"/>
              <w:adjustRightInd w:val="0"/>
              <w:jc w:val="center"/>
              <w:rPr>
                <w:rFonts w:ascii="Arial" w:eastAsia="Calibri" w:hAnsi="Arial" w:cs="Arial"/>
                <w:sz w:val="22"/>
                <w:szCs w:val="22"/>
                <w:lang w:eastAsia="en-US"/>
              </w:rPr>
            </w:pPr>
            <w:r w:rsidRPr="00D81C20">
              <w:rPr>
                <w:rFonts w:ascii="MS Gothic" w:eastAsia="MS Gothic" w:hAnsi="MS Gothic" w:cs="Arial" w:hint="eastAsia"/>
                <w:sz w:val="22"/>
                <w:szCs w:val="22"/>
                <w:lang w:eastAsia="en-US"/>
              </w:rPr>
              <w:t>☐</w:t>
            </w:r>
          </w:p>
        </w:tc>
        <w:tc>
          <w:tcPr>
            <w:tcW w:w="390" w:type="pct"/>
            <w:vMerge w:val="restart"/>
            <w:shd w:val="clear" w:color="auto" w:fill="BFBFBF"/>
            <w:vAlign w:val="center"/>
          </w:tcPr>
          <w:p w14:paraId="38843783" w14:textId="0C4C6B56" w:rsidR="00D81C20" w:rsidRPr="00D81C20" w:rsidRDefault="00D81C20" w:rsidP="00D81C20">
            <w:pPr>
              <w:autoSpaceDE w:val="0"/>
              <w:autoSpaceDN w:val="0"/>
              <w:adjustRightInd w:val="0"/>
              <w:jc w:val="center"/>
              <w:rPr>
                <w:rFonts w:ascii="Arial" w:eastAsia="Calibri" w:hAnsi="Arial" w:cs="Arial"/>
                <w:sz w:val="22"/>
                <w:szCs w:val="22"/>
                <w:lang w:eastAsia="en-US"/>
              </w:rPr>
            </w:pPr>
            <w:r w:rsidRPr="00D81C20">
              <w:rPr>
                <w:rFonts w:ascii="MS Gothic" w:eastAsia="MS Gothic" w:hAnsi="MS Gothic" w:cs="Arial" w:hint="eastAsia"/>
                <w:sz w:val="22"/>
                <w:szCs w:val="22"/>
                <w:lang w:eastAsia="en-US"/>
              </w:rPr>
              <w:t>☒</w:t>
            </w:r>
          </w:p>
        </w:tc>
      </w:tr>
      <w:tr w:rsidR="00D81C20" w:rsidRPr="006C1FDD" w14:paraId="71C601D3" w14:textId="77777777" w:rsidTr="00D81C20">
        <w:trPr>
          <w:trHeight w:val="403"/>
        </w:trPr>
        <w:tc>
          <w:tcPr>
            <w:tcW w:w="269" w:type="pct"/>
            <w:shd w:val="clear" w:color="auto" w:fill="auto"/>
            <w:vAlign w:val="center"/>
          </w:tcPr>
          <w:p w14:paraId="4D488F20" w14:textId="77777777" w:rsidR="00D81C20" w:rsidRPr="00D81C20" w:rsidRDefault="00D81C20" w:rsidP="00D81C20">
            <w:pPr>
              <w:autoSpaceDE w:val="0"/>
              <w:autoSpaceDN w:val="0"/>
              <w:adjustRightInd w:val="0"/>
              <w:rPr>
                <w:rFonts w:ascii="Arial" w:eastAsia="Calibri" w:hAnsi="Arial" w:cs="Arial"/>
                <w:sz w:val="22"/>
                <w:szCs w:val="22"/>
                <w:lang w:eastAsia="en-US"/>
              </w:rPr>
            </w:pPr>
          </w:p>
        </w:tc>
        <w:tc>
          <w:tcPr>
            <w:tcW w:w="3936" w:type="pct"/>
            <w:shd w:val="clear" w:color="auto" w:fill="auto"/>
            <w:vAlign w:val="center"/>
          </w:tcPr>
          <w:p w14:paraId="73A79431" w14:textId="77777777" w:rsidR="00D81C20" w:rsidRPr="00D81C20" w:rsidRDefault="00D81C20" w:rsidP="00D81C20">
            <w:pPr>
              <w:autoSpaceDE w:val="0"/>
              <w:autoSpaceDN w:val="0"/>
              <w:adjustRightInd w:val="0"/>
              <w:rPr>
                <w:rFonts w:ascii="Arial" w:eastAsia="Calibri" w:hAnsi="Arial" w:cs="Arial"/>
                <w:sz w:val="22"/>
                <w:szCs w:val="22"/>
                <w:lang w:eastAsia="en-US"/>
              </w:rPr>
            </w:pPr>
            <w:r w:rsidRPr="00D81C20">
              <w:rPr>
                <w:rFonts w:ascii="Arial" w:eastAsia="Calibri" w:hAnsi="Arial" w:cs="Arial"/>
                <w:sz w:val="22"/>
                <w:szCs w:val="22"/>
                <w:lang w:eastAsia="en-US"/>
              </w:rPr>
              <w:t>Details of any other primary data collection method:</w:t>
            </w:r>
          </w:p>
          <w:p w14:paraId="7EED0645" w14:textId="77777777" w:rsidR="00D81C20" w:rsidRPr="00D81C20" w:rsidRDefault="00D81C20" w:rsidP="00A91894">
            <w:pPr>
              <w:rPr>
                <w:rFonts w:ascii="Arial" w:eastAsia="Calibri" w:hAnsi="Arial" w:cs="Arial"/>
                <w:sz w:val="22"/>
                <w:szCs w:val="22"/>
                <w:lang w:eastAsia="en-US"/>
              </w:rPr>
            </w:pPr>
          </w:p>
          <w:p w14:paraId="6616899D" w14:textId="77777777" w:rsidR="00D81C20" w:rsidRPr="00D81C20" w:rsidRDefault="00D81C20" w:rsidP="00A91894">
            <w:pPr>
              <w:rPr>
                <w:rFonts w:ascii="Arial" w:eastAsia="Calibri" w:hAnsi="Arial" w:cs="Arial"/>
                <w:sz w:val="22"/>
                <w:szCs w:val="22"/>
                <w:lang w:eastAsia="en-US"/>
              </w:rPr>
            </w:pPr>
          </w:p>
          <w:p w14:paraId="09AA3251" w14:textId="77777777" w:rsidR="00D81C20" w:rsidRPr="00D81C20" w:rsidRDefault="00D81C20" w:rsidP="00A91894">
            <w:pPr>
              <w:rPr>
                <w:rFonts w:ascii="Arial" w:eastAsia="Calibri" w:hAnsi="Arial" w:cs="Arial"/>
                <w:sz w:val="22"/>
                <w:szCs w:val="22"/>
                <w:lang w:eastAsia="en-US"/>
              </w:rPr>
            </w:pPr>
          </w:p>
          <w:p w14:paraId="6158FE94" w14:textId="77777777" w:rsidR="00D81C20" w:rsidRPr="00D81C20" w:rsidRDefault="00D81C20" w:rsidP="00D81C20">
            <w:pPr>
              <w:autoSpaceDE w:val="0"/>
              <w:autoSpaceDN w:val="0"/>
              <w:adjustRightInd w:val="0"/>
              <w:rPr>
                <w:rFonts w:ascii="Arial" w:eastAsia="Calibri" w:hAnsi="Arial" w:cs="Arial"/>
                <w:sz w:val="22"/>
                <w:szCs w:val="22"/>
                <w:lang w:eastAsia="en-US"/>
              </w:rPr>
            </w:pPr>
            <w:r w:rsidRPr="00D81C20">
              <w:rPr>
                <w:rFonts w:ascii="Arial" w:eastAsia="Calibri" w:hAnsi="Arial" w:cs="Arial"/>
                <w:sz w:val="18"/>
                <w:szCs w:val="18"/>
                <w:lang w:eastAsia="en-US"/>
              </w:rPr>
              <w:t>(this box should expand as you type)</w:t>
            </w:r>
          </w:p>
        </w:tc>
        <w:tc>
          <w:tcPr>
            <w:tcW w:w="405" w:type="pct"/>
            <w:vMerge/>
            <w:shd w:val="clear" w:color="auto" w:fill="BFBFBF"/>
            <w:vAlign w:val="center"/>
          </w:tcPr>
          <w:p w14:paraId="2E2B539A" w14:textId="77777777" w:rsidR="00D81C20" w:rsidRPr="00D81C20" w:rsidRDefault="00D81C20" w:rsidP="00D81C20">
            <w:pPr>
              <w:autoSpaceDE w:val="0"/>
              <w:autoSpaceDN w:val="0"/>
              <w:adjustRightInd w:val="0"/>
              <w:jc w:val="center"/>
              <w:rPr>
                <w:rFonts w:ascii="Arial" w:eastAsia="Calibri" w:hAnsi="Arial" w:cs="Arial"/>
                <w:b/>
                <w:bCs/>
                <w:sz w:val="22"/>
                <w:szCs w:val="22"/>
                <w:lang w:eastAsia="en-US"/>
              </w:rPr>
            </w:pPr>
          </w:p>
        </w:tc>
        <w:tc>
          <w:tcPr>
            <w:tcW w:w="390" w:type="pct"/>
            <w:vMerge/>
            <w:shd w:val="clear" w:color="auto" w:fill="BFBFBF"/>
            <w:vAlign w:val="center"/>
          </w:tcPr>
          <w:p w14:paraId="4F32FAA2" w14:textId="77777777" w:rsidR="00D81C20" w:rsidRPr="00D81C20" w:rsidRDefault="00D81C20" w:rsidP="00D81C20">
            <w:pPr>
              <w:autoSpaceDE w:val="0"/>
              <w:autoSpaceDN w:val="0"/>
              <w:adjustRightInd w:val="0"/>
              <w:jc w:val="center"/>
              <w:rPr>
                <w:rFonts w:ascii="Arial" w:eastAsia="Calibri" w:hAnsi="Arial" w:cs="Arial"/>
                <w:b/>
                <w:bCs/>
                <w:sz w:val="22"/>
                <w:szCs w:val="22"/>
                <w:lang w:eastAsia="en-US"/>
              </w:rPr>
            </w:pPr>
          </w:p>
        </w:tc>
      </w:tr>
    </w:tbl>
    <w:p w14:paraId="5440E7D9" w14:textId="77777777" w:rsidR="00D81C20" w:rsidRPr="004C3A0B" w:rsidRDefault="00D81C20" w:rsidP="00A91894">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 (please refer to Guidance Notes).</w:t>
      </w:r>
    </w:p>
    <w:p w14:paraId="590B54C2" w14:textId="77777777" w:rsidR="00D81C20" w:rsidRPr="004C3A0B" w:rsidRDefault="00D81C20" w:rsidP="00A91894">
      <w:pPr>
        <w:rPr>
          <w:rFonts w:ascii="Arial" w:hAnsi="Arial" w:cs="Arial"/>
          <w:bCs/>
          <w:iCs/>
          <w:sz w:val="22"/>
          <w:szCs w:val="22"/>
        </w:rPr>
      </w:pPr>
    </w:p>
    <w:p w14:paraId="22BF8A05" w14:textId="77777777" w:rsidR="00D81C20" w:rsidRDefault="00D81C20" w:rsidP="00A91894">
      <w:pPr>
        <w:rPr>
          <w:rFonts w:ascii="Arial" w:hAnsi="Arial" w:cs="Arial"/>
          <w:bCs/>
          <w:iCs/>
          <w:sz w:val="22"/>
          <w:szCs w:val="22"/>
        </w:rPr>
      </w:pPr>
      <w:r w:rsidRPr="004C3A0B">
        <w:rPr>
          <w:rFonts w:ascii="Arial" w:hAnsi="Arial" w:cs="Arial"/>
          <w:bCs/>
          <w:iCs/>
          <w:sz w:val="22"/>
          <w:szCs w:val="22"/>
        </w:rPr>
        <w:t xml:space="preserve">If YES to any question, then no research activity should be undertaken until full ethical approval has been obtained. </w:t>
      </w:r>
    </w:p>
    <w:p w14:paraId="291E98BE" w14:textId="77777777" w:rsidR="00D81C20" w:rsidRPr="004C3A0B" w:rsidRDefault="00D81C20" w:rsidP="00A91894">
      <w:pPr>
        <w:rPr>
          <w:rFonts w:ascii="Arial" w:hAnsi="Arial" w:cs="Arial"/>
          <w:bCs/>
          <w:iCs/>
          <w:sz w:val="22"/>
          <w:szCs w:val="22"/>
        </w:rPr>
      </w:pPr>
    </w:p>
    <w:p w14:paraId="15D669F9" w14:textId="77777777" w:rsidR="00D81C20" w:rsidRDefault="00D81C20" w:rsidP="00A9189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SECTION G: Intended Participants</w:t>
      </w:r>
    </w:p>
    <w:p w14:paraId="5DAC2ABB" w14:textId="77777777" w:rsidR="00D81C20" w:rsidRDefault="00D81C20" w:rsidP="00A91894">
      <w:pPr>
        <w:rPr>
          <w:rFonts w:ascii="Arial" w:hAnsi="Arial" w:cs="Arial"/>
          <w:bCs/>
        </w:rPr>
      </w:pPr>
      <w:r>
        <w:rPr>
          <w:rFonts w:ascii="Arial" w:hAnsi="Arial" w:cs="Arial"/>
          <w:bCs/>
        </w:rPr>
        <w:t>If there are no participants then do not complete this section, but go directly to section H.</w:t>
      </w:r>
    </w:p>
    <w:p w14:paraId="30F02765" w14:textId="77777777" w:rsidR="00D81C20" w:rsidRDefault="00D81C20" w:rsidP="00A91894">
      <w:pPr>
        <w:rPr>
          <w:rFonts w:ascii="Arial" w:hAnsi="Arial" w:cs="Arial"/>
          <w:bCs/>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7"/>
        <w:gridCol w:w="6522"/>
        <w:gridCol w:w="675"/>
        <w:gridCol w:w="652"/>
      </w:tblGrid>
      <w:tr w:rsidR="00D81C20" w:rsidRPr="004C3A0B" w14:paraId="6B3389CF" w14:textId="77777777" w:rsidTr="00D81C20">
        <w:tc>
          <w:tcPr>
            <w:tcW w:w="269" w:type="pct"/>
            <w:shd w:val="clear" w:color="auto" w:fill="F2F2F2"/>
            <w:vAlign w:val="center"/>
          </w:tcPr>
          <w:p w14:paraId="082410E8" w14:textId="77777777" w:rsidR="00D81C20" w:rsidRPr="00D81C20" w:rsidRDefault="00D81C20" w:rsidP="00D81C20">
            <w:pPr>
              <w:autoSpaceDE w:val="0"/>
              <w:autoSpaceDN w:val="0"/>
              <w:adjustRightInd w:val="0"/>
              <w:jc w:val="center"/>
              <w:rPr>
                <w:rFonts w:ascii="Arial" w:eastAsia="Calibri" w:hAnsi="Arial" w:cs="Arial"/>
                <w:b/>
                <w:sz w:val="22"/>
                <w:szCs w:val="22"/>
                <w:lang w:eastAsia="en-US"/>
              </w:rPr>
            </w:pPr>
          </w:p>
        </w:tc>
        <w:tc>
          <w:tcPr>
            <w:tcW w:w="3931" w:type="pct"/>
            <w:shd w:val="clear" w:color="auto" w:fill="F2F2F2"/>
          </w:tcPr>
          <w:p w14:paraId="6AA94522" w14:textId="77777777" w:rsidR="00D81C20" w:rsidRPr="00D81C20" w:rsidRDefault="00D81C20" w:rsidP="00D81C20">
            <w:pPr>
              <w:autoSpaceDE w:val="0"/>
              <w:autoSpaceDN w:val="0"/>
              <w:adjustRightInd w:val="0"/>
              <w:jc w:val="both"/>
              <w:rPr>
                <w:rFonts w:ascii="Arial" w:eastAsia="Calibri" w:hAnsi="Arial" w:cs="Arial"/>
                <w:b/>
                <w:sz w:val="22"/>
                <w:szCs w:val="22"/>
                <w:lang w:eastAsia="en-US"/>
              </w:rPr>
            </w:pPr>
            <w:r w:rsidRPr="00D81C20">
              <w:rPr>
                <w:rFonts w:ascii="Arial" w:eastAsia="Calibri" w:hAnsi="Arial" w:cs="Arial"/>
                <w:b/>
                <w:sz w:val="22"/>
                <w:szCs w:val="22"/>
                <w:lang w:eastAsia="en-US"/>
              </w:rPr>
              <w:t>Who are the intended participants:</w:t>
            </w:r>
          </w:p>
        </w:tc>
        <w:tc>
          <w:tcPr>
            <w:tcW w:w="407" w:type="pct"/>
            <w:shd w:val="clear" w:color="auto" w:fill="F2F2F2"/>
          </w:tcPr>
          <w:p w14:paraId="7ACE13AC" w14:textId="77777777" w:rsidR="00D81C20" w:rsidRPr="00D81C20" w:rsidRDefault="00D81C20" w:rsidP="00D81C20">
            <w:pPr>
              <w:autoSpaceDE w:val="0"/>
              <w:autoSpaceDN w:val="0"/>
              <w:adjustRightInd w:val="0"/>
              <w:jc w:val="center"/>
              <w:rPr>
                <w:rFonts w:ascii="Arial" w:eastAsia="Calibri" w:hAnsi="Arial" w:cs="Arial"/>
                <w:b/>
                <w:bCs/>
                <w:sz w:val="22"/>
                <w:szCs w:val="22"/>
                <w:lang w:eastAsia="en-US"/>
              </w:rPr>
            </w:pPr>
          </w:p>
          <w:p w14:paraId="4ED5A405" w14:textId="77777777" w:rsidR="00D81C20" w:rsidRPr="00D81C20" w:rsidRDefault="00D81C20" w:rsidP="00D81C20">
            <w:pPr>
              <w:autoSpaceDE w:val="0"/>
              <w:autoSpaceDN w:val="0"/>
              <w:adjustRightInd w:val="0"/>
              <w:jc w:val="center"/>
              <w:rPr>
                <w:rFonts w:ascii="Arial" w:eastAsia="Calibri" w:hAnsi="Arial" w:cs="Arial"/>
                <w:b/>
                <w:bCs/>
                <w:sz w:val="22"/>
                <w:szCs w:val="22"/>
                <w:lang w:eastAsia="en-US"/>
              </w:rPr>
            </w:pPr>
            <w:r w:rsidRPr="00D81C20">
              <w:rPr>
                <w:rFonts w:ascii="Arial" w:eastAsia="Calibri" w:hAnsi="Arial" w:cs="Arial"/>
                <w:b/>
                <w:bCs/>
                <w:sz w:val="22"/>
                <w:szCs w:val="22"/>
                <w:lang w:eastAsia="en-US"/>
              </w:rPr>
              <w:t>YES</w:t>
            </w:r>
          </w:p>
        </w:tc>
        <w:tc>
          <w:tcPr>
            <w:tcW w:w="393" w:type="pct"/>
            <w:shd w:val="clear" w:color="auto" w:fill="F2F2F2"/>
          </w:tcPr>
          <w:p w14:paraId="75023B70" w14:textId="77777777" w:rsidR="00D81C20" w:rsidRPr="00D81C20" w:rsidRDefault="00D81C20" w:rsidP="00D81C20">
            <w:pPr>
              <w:autoSpaceDE w:val="0"/>
              <w:autoSpaceDN w:val="0"/>
              <w:adjustRightInd w:val="0"/>
              <w:jc w:val="center"/>
              <w:rPr>
                <w:rFonts w:ascii="Arial" w:eastAsia="Calibri" w:hAnsi="Arial" w:cs="Arial"/>
                <w:b/>
                <w:bCs/>
                <w:sz w:val="22"/>
                <w:szCs w:val="22"/>
                <w:lang w:eastAsia="en-US"/>
              </w:rPr>
            </w:pPr>
          </w:p>
          <w:p w14:paraId="71AF3FE8" w14:textId="77777777" w:rsidR="00D81C20" w:rsidRPr="00D81C20" w:rsidRDefault="00D81C20" w:rsidP="00D81C20">
            <w:pPr>
              <w:autoSpaceDE w:val="0"/>
              <w:autoSpaceDN w:val="0"/>
              <w:adjustRightInd w:val="0"/>
              <w:jc w:val="center"/>
              <w:rPr>
                <w:rFonts w:ascii="Arial" w:eastAsia="Calibri" w:hAnsi="Arial" w:cs="Arial"/>
                <w:b/>
                <w:bCs/>
                <w:sz w:val="22"/>
                <w:szCs w:val="22"/>
                <w:lang w:eastAsia="en-US"/>
              </w:rPr>
            </w:pPr>
            <w:r w:rsidRPr="00D81C20">
              <w:rPr>
                <w:rFonts w:ascii="Arial" w:eastAsia="Calibri" w:hAnsi="Arial" w:cs="Arial"/>
                <w:b/>
                <w:bCs/>
                <w:sz w:val="22"/>
                <w:szCs w:val="22"/>
                <w:lang w:eastAsia="en-US"/>
              </w:rPr>
              <w:t>NO</w:t>
            </w:r>
          </w:p>
        </w:tc>
      </w:tr>
      <w:tr w:rsidR="00D81C20" w:rsidRPr="004C3A0B" w14:paraId="69387B3D" w14:textId="77777777" w:rsidTr="00D81C20">
        <w:trPr>
          <w:trHeight w:val="439"/>
        </w:trPr>
        <w:tc>
          <w:tcPr>
            <w:tcW w:w="269" w:type="pct"/>
            <w:shd w:val="clear" w:color="auto" w:fill="F2F2F2"/>
            <w:vAlign w:val="center"/>
          </w:tcPr>
          <w:p w14:paraId="333AC502" w14:textId="77777777" w:rsidR="00D81C20" w:rsidRPr="00D81C20" w:rsidRDefault="00D81C20" w:rsidP="00D81C20">
            <w:pPr>
              <w:autoSpaceDE w:val="0"/>
              <w:autoSpaceDN w:val="0"/>
              <w:adjustRightInd w:val="0"/>
              <w:jc w:val="center"/>
              <w:rPr>
                <w:rFonts w:ascii="Arial" w:eastAsia="Calibri" w:hAnsi="Arial" w:cs="Arial"/>
                <w:sz w:val="22"/>
                <w:szCs w:val="22"/>
                <w:lang w:eastAsia="en-US"/>
              </w:rPr>
            </w:pPr>
            <w:r w:rsidRPr="00D81C20">
              <w:rPr>
                <w:rFonts w:ascii="Arial" w:eastAsia="Calibri" w:hAnsi="Arial" w:cs="Arial"/>
                <w:sz w:val="22"/>
                <w:szCs w:val="22"/>
                <w:lang w:eastAsia="en-US"/>
              </w:rPr>
              <w:t>1</w:t>
            </w:r>
          </w:p>
        </w:tc>
        <w:tc>
          <w:tcPr>
            <w:tcW w:w="3931" w:type="pct"/>
            <w:shd w:val="clear" w:color="auto" w:fill="F2F2F2"/>
            <w:vAlign w:val="center"/>
          </w:tcPr>
          <w:p w14:paraId="70A4AC79" w14:textId="77777777" w:rsidR="00D81C20" w:rsidRPr="00D81C20" w:rsidRDefault="00D81C20" w:rsidP="00D81C20">
            <w:pPr>
              <w:autoSpaceDE w:val="0"/>
              <w:autoSpaceDN w:val="0"/>
              <w:adjustRightInd w:val="0"/>
              <w:rPr>
                <w:rFonts w:ascii="Arial" w:eastAsia="Calibri" w:hAnsi="Arial" w:cs="Arial"/>
                <w:sz w:val="22"/>
                <w:szCs w:val="22"/>
                <w:lang w:eastAsia="en-US"/>
              </w:rPr>
            </w:pPr>
            <w:r w:rsidRPr="00D81C20">
              <w:rPr>
                <w:rFonts w:ascii="Arial" w:eastAsia="Calibri" w:hAnsi="Arial" w:cs="Arial"/>
                <w:sz w:val="22"/>
                <w:szCs w:val="22"/>
                <w:lang w:eastAsia="en-US"/>
              </w:rPr>
              <w:t>Students or staff at the University?</w:t>
            </w:r>
          </w:p>
        </w:tc>
        <w:tc>
          <w:tcPr>
            <w:tcW w:w="407" w:type="pct"/>
            <w:shd w:val="clear" w:color="auto" w:fill="BFBFBF"/>
            <w:vAlign w:val="center"/>
          </w:tcPr>
          <w:p w14:paraId="78799A7C" w14:textId="59E3F5F6" w:rsidR="00D81C20" w:rsidRPr="00D81C20" w:rsidRDefault="00D81C20" w:rsidP="00D81C20">
            <w:pPr>
              <w:autoSpaceDE w:val="0"/>
              <w:autoSpaceDN w:val="0"/>
              <w:adjustRightInd w:val="0"/>
              <w:jc w:val="center"/>
              <w:rPr>
                <w:rFonts w:ascii="Arial" w:eastAsia="Calibri" w:hAnsi="Arial" w:cs="Arial"/>
                <w:sz w:val="22"/>
                <w:szCs w:val="22"/>
                <w:lang w:eastAsia="en-US"/>
              </w:rPr>
            </w:pPr>
            <w:r w:rsidRPr="00D81C20">
              <w:rPr>
                <w:rFonts w:ascii="MS Gothic" w:eastAsia="MS Gothic" w:hAnsi="MS Gothic" w:cs="Arial" w:hint="eastAsia"/>
                <w:sz w:val="22"/>
                <w:szCs w:val="22"/>
                <w:lang w:eastAsia="en-US"/>
              </w:rPr>
              <w:t>☐</w:t>
            </w:r>
          </w:p>
        </w:tc>
        <w:tc>
          <w:tcPr>
            <w:tcW w:w="393" w:type="pct"/>
            <w:shd w:val="clear" w:color="auto" w:fill="BFBFBF"/>
            <w:vAlign w:val="center"/>
          </w:tcPr>
          <w:p w14:paraId="6C28830D" w14:textId="39C6F3F4" w:rsidR="00D81C20" w:rsidRPr="00D81C20" w:rsidRDefault="00D81C20" w:rsidP="00D81C20">
            <w:pPr>
              <w:autoSpaceDE w:val="0"/>
              <w:autoSpaceDN w:val="0"/>
              <w:adjustRightInd w:val="0"/>
              <w:jc w:val="center"/>
              <w:rPr>
                <w:rFonts w:ascii="Arial" w:eastAsia="Calibri" w:hAnsi="Arial" w:cs="Arial"/>
                <w:sz w:val="22"/>
                <w:szCs w:val="22"/>
                <w:lang w:eastAsia="en-US"/>
              </w:rPr>
            </w:pPr>
            <w:r w:rsidRPr="00D81C20">
              <w:rPr>
                <w:rFonts w:ascii="MS Gothic" w:eastAsia="MS Gothic" w:hAnsi="MS Gothic" w:cs="Arial" w:hint="eastAsia"/>
                <w:sz w:val="22"/>
                <w:szCs w:val="22"/>
                <w:lang w:eastAsia="en-US"/>
              </w:rPr>
              <w:t>☒</w:t>
            </w:r>
          </w:p>
        </w:tc>
      </w:tr>
      <w:tr w:rsidR="00D81C20" w:rsidRPr="004C3A0B" w14:paraId="50694F1F" w14:textId="77777777" w:rsidTr="00D81C20">
        <w:trPr>
          <w:trHeight w:val="403"/>
        </w:trPr>
        <w:tc>
          <w:tcPr>
            <w:tcW w:w="269" w:type="pct"/>
            <w:shd w:val="clear" w:color="auto" w:fill="F2F2F2"/>
            <w:vAlign w:val="center"/>
          </w:tcPr>
          <w:p w14:paraId="36DCB431" w14:textId="77777777" w:rsidR="00D81C20" w:rsidRPr="00D81C20" w:rsidRDefault="00D81C20" w:rsidP="00D81C20">
            <w:pPr>
              <w:autoSpaceDE w:val="0"/>
              <w:autoSpaceDN w:val="0"/>
              <w:adjustRightInd w:val="0"/>
              <w:jc w:val="center"/>
              <w:rPr>
                <w:rFonts w:ascii="Arial" w:eastAsia="Calibri" w:hAnsi="Arial" w:cs="Arial"/>
                <w:sz w:val="22"/>
                <w:szCs w:val="22"/>
                <w:lang w:eastAsia="en-US"/>
              </w:rPr>
            </w:pPr>
            <w:r w:rsidRPr="00D81C20">
              <w:rPr>
                <w:rFonts w:ascii="Arial" w:eastAsia="Calibri" w:hAnsi="Arial" w:cs="Arial"/>
                <w:sz w:val="22"/>
                <w:szCs w:val="22"/>
                <w:lang w:eastAsia="en-US"/>
              </w:rPr>
              <w:t>2</w:t>
            </w:r>
          </w:p>
        </w:tc>
        <w:tc>
          <w:tcPr>
            <w:tcW w:w="3931" w:type="pct"/>
            <w:shd w:val="clear" w:color="auto" w:fill="F2F2F2"/>
            <w:vAlign w:val="center"/>
          </w:tcPr>
          <w:p w14:paraId="4BF99E42" w14:textId="77777777" w:rsidR="00D81C20" w:rsidRPr="00D81C20" w:rsidRDefault="00D81C20" w:rsidP="00D81C20">
            <w:pPr>
              <w:autoSpaceDE w:val="0"/>
              <w:autoSpaceDN w:val="0"/>
              <w:adjustRightInd w:val="0"/>
              <w:rPr>
                <w:rFonts w:ascii="Arial" w:eastAsia="Calibri" w:hAnsi="Arial" w:cs="Arial"/>
                <w:sz w:val="22"/>
                <w:szCs w:val="22"/>
                <w:lang w:eastAsia="en-US"/>
              </w:rPr>
            </w:pPr>
            <w:r w:rsidRPr="00D81C20">
              <w:rPr>
                <w:rFonts w:ascii="Arial" w:eastAsia="Calibri" w:hAnsi="Arial" w:cs="Arial"/>
                <w:sz w:val="22"/>
                <w:szCs w:val="22"/>
                <w:lang w:eastAsia="en-US"/>
              </w:rPr>
              <w:t>Adults (over the age of 18 and competent to give consent)?</w:t>
            </w:r>
          </w:p>
        </w:tc>
        <w:tc>
          <w:tcPr>
            <w:tcW w:w="407" w:type="pct"/>
            <w:shd w:val="clear" w:color="auto" w:fill="BFBFBF"/>
            <w:vAlign w:val="center"/>
          </w:tcPr>
          <w:p w14:paraId="42391761" w14:textId="12CC4C05" w:rsidR="00D81C20" w:rsidRPr="00D81C20" w:rsidRDefault="00D81C20" w:rsidP="00D81C20">
            <w:pPr>
              <w:autoSpaceDE w:val="0"/>
              <w:autoSpaceDN w:val="0"/>
              <w:adjustRightInd w:val="0"/>
              <w:jc w:val="center"/>
              <w:rPr>
                <w:rFonts w:ascii="Arial" w:eastAsia="Calibri" w:hAnsi="Arial" w:cs="Arial"/>
                <w:sz w:val="22"/>
                <w:szCs w:val="22"/>
                <w:lang w:eastAsia="en-US"/>
              </w:rPr>
            </w:pPr>
            <w:r w:rsidRPr="00D81C20">
              <w:rPr>
                <w:rFonts w:ascii="MS Gothic" w:eastAsia="MS Gothic" w:hAnsi="MS Gothic" w:cs="Arial" w:hint="eastAsia"/>
                <w:sz w:val="22"/>
                <w:szCs w:val="22"/>
                <w:lang w:eastAsia="en-US"/>
              </w:rPr>
              <w:t>☐</w:t>
            </w:r>
          </w:p>
        </w:tc>
        <w:tc>
          <w:tcPr>
            <w:tcW w:w="393" w:type="pct"/>
            <w:shd w:val="clear" w:color="auto" w:fill="BFBFBF"/>
            <w:vAlign w:val="center"/>
          </w:tcPr>
          <w:p w14:paraId="2342B011" w14:textId="293CDC7C" w:rsidR="00D81C20" w:rsidRPr="00D81C20" w:rsidRDefault="00D81C20" w:rsidP="00D81C20">
            <w:pPr>
              <w:autoSpaceDE w:val="0"/>
              <w:autoSpaceDN w:val="0"/>
              <w:adjustRightInd w:val="0"/>
              <w:jc w:val="center"/>
              <w:rPr>
                <w:rFonts w:ascii="Arial" w:eastAsia="Calibri" w:hAnsi="Arial" w:cs="Arial"/>
                <w:sz w:val="22"/>
                <w:szCs w:val="22"/>
                <w:lang w:eastAsia="en-US"/>
              </w:rPr>
            </w:pPr>
            <w:r w:rsidRPr="00D81C20">
              <w:rPr>
                <w:rFonts w:ascii="MS Gothic" w:eastAsia="MS Gothic" w:hAnsi="MS Gothic" w:cs="Arial" w:hint="eastAsia"/>
                <w:sz w:val="22"/>
                <w:szCs w:val="22"/>
                <w:lang w:eastAsia="en-US"/>
              </w:rPr>
              <w:t>☒</w:t>
            </w:r>
          </w:p>
        </w:tc>
      </w:tr>
      <w:tr w:rsidR="00D81C20" w:rsidRPr="004C3A0B" w14:paraId="0E49E536" w14:textId="77777777" w:rsidTr="00D81C20">
        <w:trPr>
          <w:trHeight w:val="439"/>
        </w:trPr>
        <w:tc>
          <w:tcPr>
            <w:tcW w:w="269" w:type="pct"/>
            <w:shd w:val="clear" w:color="auto" w:fill="F2F2F2"/>
            <w:vAlign w:val="center"/>
          </w:tcPr>
          <w:p w14:paraId="730D3505" w14:textId="77777777" w:rsidR="00D81C20" w:rsidRPr="00D81C20" w:rsidRDefault="00D81C20" w:rsidP="00D81C20">
            <w:pPr>
              <w:autoSpaceDE w:val="0"/>
              <w:autoSpaceDN w:val="0"/>
              <w:adjustRightInd w:val="0"/>
              <w:jc w:val="center"/>
              <w:rPr>
                <w:rFonts w:ascii="Arial" w:eastAsia="Calibri" w:hAnsi="Arial" w:cs="Arial"/>
                <w:sz w:val="22"/>
                <w:szCs w:val="22"/>
                <w:lang w:eastAsia="en-US"/>
              </w:rPr>
            </w:pPr>
            <w:r w:rsidRPr="00D81C20">
              <w:rPr>
                <w:rFonts w:ascii="Arial" w:eastAsia="Calibri" w:hAnsi="Arial" w:cs="Arial"/>
                <w:sz w:val="22"/>
                <w:szCs w:val="22"/>
                <w:lang w:eastAsia="en-US"/>
              </w:rPr>
              <w:t>3</w:t>
            </w:r>
          </w:p>
        </w:tc>
        <w:tc>
          <w:tcPr>
            <w:tcW w:w="3931" w:type="pct"/>
            <w:shd w:val="clear" w:color="auto" w:fill="F2F2F2"/>
            <w:vAlign w:val="center"/>
          </w:tcPr>
          <w:p w14:paraId="5CB7FC12" w14:textId="77777777" w:rsidR="00D81C20" w:rsidRPr="00D81C20" w:rsidRDefault="00D81C20" w:rsidP="00D81C20">
            <w:pPr>
              <w:autoSpaceDE w:val="0"/>
              <w:autoSpaceDN w:val="0"/>
              <w:adjustRightInd w:val="0"/>
              <w:rPr>
                <w:rFonts w:ascii="Arial" w:eastAsia="Calibri" w:hAnsi="Arial" w:cs="Arial"/>
                <w:sz w:val="22"/>
                <w:szCs w:val="22"/>
                <w:lang w:eastAsia="en-US"/>
              </w:rPr>
            </w:pPr>
            <w:r w:rsidRPr="00D81C20">
              <w:rPr>
                <w:rFonts w:ascii="Arial" w:eastAsia="Calibri" w:hAnsi="Arial" w:cs="Arial"/>
                <w:sz w:val="22"/>
                <w:szCs w:val="22"/>
                <w:lang w:eastAsia="en-US"/>
              </w:rPr>
              <w:t>Vulnerable adults?</w:t>
            </w:r>
          </w:p>
        </w:tc>
        <w:tc>
          <w:tcPr>
            <w:tcW w:w="407" w:type="pct"/>
            <w:shd w:val="clear" w:color="auto" w:fill="BFBFBF"/>
            <w:vAlign w:val="center"/>
          </w:tcPr>
          <w:p w14:paraId="194E371A" w14:textId="58258377" w:rsidR="00D81C20" w:rsidRPr="00D81C20" w:rsidRDefault="00D81C20" w:rsidP="00D81C20">
            <w:pPr>
              <w:autoSpaceDE w:val="0"/>
              <w:autoSpaceDN w:val="0"/>
              <w:adjustRightInd w:val="0"/>
              <w:jc w:val="center"/>
              <w:rPr>
                <w:rFonts w:ascii="Arial" w:eastAsia="Calibri" w:hAnsi="Arial" w:cs="Arial"/>
                <w:sz w:val="22"/>
                <w:szCs w:val="22"/>
                <w:lang w:eastAsia="en-US"/>
              </w:rPr>
            </w:pPr>
            <w:r w:rsidRPr="00D81C20">
              <w:rPr>
                <w:rFonts w:ascii="MS Gothic" w:eastAsia="MS Gothic" w:hAnsi="MS Gothic" w:cs="Arial" w:hint="eastAsia"/>
                <w:sz w:val="22"/>
                <w:szCs w:val="22"/>
                <w:lang w:eastAsia="en-US"/>
              </w:rPr>
              <w:t>☐</w:t>
            </w:r>
          </w:p>
        </w:tc>
        <w:tc>
          <w:tcPr>
            <w:tcW w:w="393" w:type="pct"/>
            <w:shd w:val="clear" w:color="auto" w:fill="BFBFBF"/>
            <w:vAlign w:val="center"/>
          </w:tcPr>
          <w:p w14:paraId="68A49DE2" w14:textId="3CC222A1" w:rsidR="00D81C20" w:rsidRPr="00D81C20" w:rsidRDefault="00D81C20" w:rsidP="00D81C20">
            <w:pPr>
              <w:autoSpaceDE w:val="0"/>
              <w:autoSpaceDN w:val="0"/>
              <w:adjustRightInd w:val="0"/>
              <w:jc w:val="center"/>
              <w:rPr>
                <w:rFonts w:ascii="Arial" w:eastAsia="Calibri" w:hAnsi="Arial" w:cs="Arial"/>
                <w:sz w:val="22"/>
                <w:szCs w:val="22"/>
                <w:lang w:eastAsia="en-US"/>
              </w:rPr>
            </w:pPr>
            <w:r w:rsidRPr="00D81C20">
              <w:rPr>
                <w:rFonts w:ascii="MS Gothic" w:eastAsia="MS Gothic" w:hAnsi="MS Gothic" w:cs="Arial" w:hint="eastAsia"/>
                <w:sz w:val="22"/>
                <w:szCs w:val="22"/>
                <w:lang w:eastAsia="en-US"/>
              </w:rPr>
              <w:t>☒</w:t>
            </w:r>
          </w:p>
        </w:tc>
      </w:tr>
      <w:tr w:rsidR="00D81C20" w:rsidRPr="004C3A0B" w14:paraId="77790ED5" w14:textId="77777777" w:rsidTr="00D81C20">
        <w:trPr>
          <w:trHeight w:val="403"/>
        </w:trPr>
        <w:tc>
          <w:tcPr>
            <w:tcW w:w="269" w:type="pct"/>
            <w:shd w:val="clear" w:color="auto" w:fill="F2F2F2"/>
            <w:vAlign w:val="center"/>
          </w:tcPr>
          <w:p w14:paraId="43EAF0A1" w14:textId="77777777" w:rsidR="00D81C20" w:rsidRPr="00D81C20" w:rsidRDefault="00D81C20" w:rsidP="00D81C20">
            <w:pPr>
              <w:autoSpaceDE w:val="0"/>
              <w:autoSpaceDN w:val="0"/>
              <w:adjustRightInd w:val="0"/>
              <w:jc w:val="center"/>
              <w:rPr>
                <w:rFonts w:ascii="Arial" w:eastAsia="Calibri" w:hAnsi="Arial" w:cs="Arial"/>
                <w:sz w:val="22"/>
                <w:szCs w:val="22"/>
                <w:lang w:eastAsia="en-US"/>
              </w:rPr>
            </w:pPr>
            <w:r w:rsidRPr="00D81C20">
              <w:rPr>
                <w:rFonts w:ascii="Arial" w:eastAsia="Calibri" w:hAnsi="Arial" w:cs="Arial"/>
                <w:sz w:val="22"/>
                <w:szCs w:val="22"/>
                <w:lang w:eastAsia="en-US"/>
              </w:rPr>
              <w:t>4</w:t>
            </w:r>
          </w:p>
        </w:tc>
        <w:tc>
          <w:tcPr>
            <w:tcW w:w="3931" w:type="pct"/>
            <w:shd w:val="clear" w:color="auto" w:fill="F2F2F2"/>
            <w:vAlign w:val="center"/>
          </w:tcPr>
          <w:p w14:paraId="271E2A2E" w14:textId="77777777" w:rsidR="00D81C20" w:rsidRPr="00D81C20" w:rsidRDefault="00D81C20" w:rsidP="00D81C20">
            <w:pPr>
              <w:autoSpaceDE w:val="0"/>
              <w:autoSpaceDN w:val="0"/>
              <w:adjustRightInd w:val="0"/>
              <w:rPr>
                <w:rFonts w:ascii="Arial" w:eastAsia="Calibri" w:hAnsi="Arial" w:cs="Arial"/>
                <w:sz w:val="22"/>
                <w:szCs w:val="22"/>
                <w:lang w:eastAsia="en-US"/>
              </w:rPr>
            </w:pPr>
            <w:r w:rsidRPr="00D81C20">
              <w:rPr>
                <w:rFonts w:ascii="Arial" w:eastAsia="Calibri" w:hAnsi="Arial" w:cs="Arial"/>
                <w:sz w:val="22"/>
                <w:szCs w:val="22"/>
                <w:lang w:eastAsia="en-US"/>
              </w:rPr>
              <w:t>Children and Young People under the age of 18? (Consent from Parent, Carer or Guardian will be required)</w:t>
            </w:r>
          </w:p>
        </w:tc>
        <w:tc>
          <w:tcPr>
            <w:tcW w:w="407" w:type="pct"/>
            <w:shd w:val="clear" w:color="auto" w:fill="BFBFBF"/>
            <w:vAlign w:val="center"/>
          </w:tcPr>
          <w:p w14:paraId="4B44EA72" w14:textId="5BEEF516" w:rsidR="00D81C20" w:rsidRPr="00D81C20" w:rsidRDefault="00D81C20" w:rsidP="00D81C20">
            <w:pPr>
              <w:autoSpaceDE w:val="0"/>
              <w:autoSpaceDN w:val="0"/>
              <w:adjustRightInd w:val="0"/>
              <w:jc w:val="center"/>
              <w:rPr>
                <w:rFonts w:ascii="Arial" w:eastAsia="Calibri" w:hAnsi="Arial" w:cs="Arial"/>
                <w:sz w:val="22"/>
                <w:szCs w:val="22"/>
                <w:lang w:eastAsia="en-US"/>
              </w:rPr>
            </w:pPr>
            <w:r w:rsidRPr="00D81C20">
              <w:rPr>
                <w:rFonts w:ascii="MS Gothic" w:eastAsia="MS Gothic" w:hAnsi="MS Gothic" w:cs="Arial" w:hint="eastAsia"/>
                <w:sz w:val="22"/>
                <w:szCs w:val="22"/>
                <w:lang w:eastAsia="en-US"/>
              </w:rPr>
              <w:t>☐</w:t>
            </w:r>
          </w:p>
        </w:tc>
        <w:tc>
          <w:tcPr>
            <w:tcW w:w="393" w:type="pct"/>
            <w:shd w:val="clear" w:color="auto" w:fill="BFBFBF"/>
            <w:vAlign w:val="center"/>
          </w:tcPr>
          <w:p w14:paraId="2DE2F90C" w14:textId="6E7B1579" w:rsidR="00D81C20" w:rsidRPr="00D81C20" w:rsidRDefault="00D81C20" w:rsidP="00D81C20">
            <w:pPr>
              <w:autoSpaceDE w:val="0"/>
              <w:autoSpaceDN w:val="0"/>
              <w:adjustRightInd w:val="0"/>
              <w:jc w:val="center"/>
              <w:rPr>
                <w:rFonts w:ascii="Arial" w:eastAsia="Calibri" w:hAnsi="Arial" w:cs="Arial"/>
                <w:sz w:val="22"/>
                <w:szCs w:val="22"/>
                <w:lang w:eastAsia="en-US"/>
              </w:rPr>
            </w:pPr>
            <w:r w:rsidRPr="00D81C20">
              <w:rPr>
                <w:rFonts w:ascii="MS Gothic" w:eastAsia="MS Gothic" w:hAnsi="MS Gothic" w:cs="Arial" w:hint="eastAsia"/>
                <w:sz w:val="22"/>
                <w:szCs w:val="22"/>
                <w:lang w:eastAsia="en-US"/>
              </w:rPr>
              <w:t>☒</w:t>
            </w:r>
          </w:p>
        </w:tc>
      </w:tr>
      <w:tr w:rsidR="00D81C20" w:rsidRPr="004C3A0B" w14:paraId="1FC731C1" w14:textId="77777777" w:rsidTr="00D81C20">
        <w:trPr>
          <w:trHeight w:val="403"/>
        </w:trPr>
        <w:tc>
          <w:tcPr>
            <w:tcW w:w="269" w:type="pct"/>
            <w:shd w:val="clear" w:color="auto" w:fill="F2F2F2"/>
            <w:vAlign w:val="center"/>
          </w:tcPr>
          <w:p w14:paraId="7A3AFA89" w14:textId="77777777" w:rsidR="00D81C20" w:rsidRPr="00D81C20" w:rsidRDefault="00D81C20" w:rsidP="00D81C20">
            <w:pPr>
              <w:autoSpaceDE w:val="0"/>
              <w:autoSpaceDN w:val="0"/>
              <w:adjustRightInd w:val="0"/>
              <w:jc w:val="center"/>
              <w:rPr>
                <w:rFonts w:ascii="Arial" w:eastAsia="Calibri" w:hAnsi="Arial" w:cs="Arial"/>
                <w:sz w:val="22"/>
                <w:szCs w:val="22"/>
                <w:lang w:eastAsia="en-US"/>
              </w:rPr>
            </w:pPr>
            <w:r w:rsidRPr="00D81C20">
              <w:rPr>
                <w:rFonts w:ascii="Arial" w:eastAsia="Calibri" w:hAnsi="Arial" w:cs="Arial"/>
                <w:sz w:val="22"/>
                <w:szCs w:val="22"/>
                <w:lang w:eastAsia="en-US"/>
              </w:rPr>
              <w:t>5</w:t>
            </w:r>
          </w:p>
        </w:tc>
        <w:tc>
          <w:tcPr>
            <w:tcW w:w="3931" w:type="pct"/>
            <w:shd w:val="clear" w:color="auto" w:fill="F2F2F2"/>
            <w:vAlign w:val="center"/>
          </w:tcPr>
          <w:p w14:paraId="43AA4F08" w14:textId="77777777" w:rsidR="00D81C20" w:rsidRPr="00D81C20" w:rsidRDefault="00D81C20" w:rsidP="00D81C20">
            <w:pPr>
              <w:autoSpaceDE w:val="0"/>
              <w:autoSpaceDN w:val="0"/>
              <w:adjustRightInd w:val="0"/>
              <w:rPr>
                <w:rFonts w:ascii="Arial" w:eastAsia="Calibri" w:hAnsi="Arial" w:cs="Arial"/>
                <w:sz w:val="22"/>
                <w:szCs w:val="22"/>
                <w:lang w:eastAsia="en-US"/>
              </w:rPr>
            </w:pPr>
            <w:r w:rsidRPr="00D81C20">
              <w:rPr>
                <w:rFonts w:ascii="Arial" w:eastAsia="Calibri" w:hAnsi="Arial" w:cs="Arial"/>
                <w:sz w:val="22"/>
                <w:szCs w:val="22"/>
                <w:lang w:eastAsia="en-US"/>
              </w:rPr>
              <w:t>Prisoners?</w:t>
            </w:r>
          </w:p>
        </w:tc>
        <w:tc>
          <w:tcPr>
            <w:tcW w:w="407" w:type="pct"/>
            <w:shd w:val="clear" w:color="auto" w:fill="BFBFBF"/>
            <w:vAlign w:val="center"/>
          </w:tcPr>
          <w:p w14:paraId="77A6CA15" w14:textId="1864B00E" w:rsidR="00D81C20" w:rsidRPr="00D81C20" w:rsidRDefault="00D81C20" w:rsidP="00D81C20">
            <w:pPr>
              <w:autoSpaceDE w:val="0"/>
              <w:autoSpaceDN w:val="0"/>
              <w:adjustRightInd w:val="0"/>
              <w:jc w:val="center"/>
              <w:rPr>
                <w:rFonts w:ascii="Arial" w:eastAsia="Calibri" w:hAnsi="Arial" w:cs="Arial"/>
                <w:sz w:val="22"/>
                <w:szCs w:val="22"/>
                <w:lang w:eastAsia="en-US"/>
              </w:rPr>
            </w:pPr>
            <w:r w:rsidRPr="00D81C20">
              <w:rPr>
                <w:rFonts w:ascii="MS Gothic" w:eastAsia="MS Gothic" w:hAnsi="MS Gothic" w:cs="Arial" w:hint="eastAsia"/>
                <w:sz w:val="22"/>
                <w:szCs w:val="22"/>
                <w:lang w:eastAsia="en-US"/>
              </w:rPr>
              <w:t>☐</w:t>
            </w:r>
          </w:p>
        </w:tc>
        <w:tc>
          <w:tcPr>
            <w:tcW w:w="393" w:type="pct"/>
            <w:shd w:val="clear" w:color="auto" w:fill="BFBFBF"/>
            <w:vAlign w:val="center"/>
          </w:tcPr>
          <w:p w14:paraId="54A38236" w14:textId="15E6D764" w:rsidR="00D81C20" w:rsidRPr="00D81C20" w:rsidRDefault="00D81C20" w:rsidP="00D81C20">
            <w:pPr>
              <w:autoSpaceDE w:val="0"/>
              <w:autoSpaceDN w:val="0"/>
              <w:adjustRightInd w:val="0"/>
              <w:jc w:val="center"/>
              <w:rPr>
                <w:rFonts w:ascii="Arial" w:eastAsia="Calibri" w:hAnsi="Arial" w:cs="Arial"/>
                <w:sz w:val="22"/>
                <w:szCs w:val="22"/>
                <w:lang w:eastAsia="en-US"/>
              </w:rPr>
            </w:pPr>
            <w:r w:rsidRPr="00D81C20">
              <w:rPr>
                <w:rFonts w:ascii="MS Gothic" w:eastAsia="MS Gothic" w:hAnsi="MS Gothic" w:cs="Arial" w:hint="eastAsia"/>
                <w:sz w:val="22"/>
                <w:szCs w:val="22"/>
                <w:lang w:eastAsia="en-US"/>
              </w:rPr>
              <w:t>☒</w:t>
            </w:r>
          </w:p>
        </w:tc>
      </w:tr>
      <w:tr w:rsidR="00D81C20" w:rsidRPr="004C3A0B" w14:paraId="0CBD108A" w14:textId="77777777" w:rsidTr="00D81C20">
        <w:trPr>
          <w:trHeight w:val="439"/>
        </w:trPr>
        <w:tc>
          <w:tcPr>
            <w:tcW w:w="269" w:type="pct"/>
            <w:shd w:val="clear" w:color="auto" w:fill="F2F2F2"/>
            <w:vAlign w:val="center"/>
          </w:tcPr>
          <w:p w14:paraId="37CC6E50" w14:textId="77777777" w:rsidR="00D81C20" w:rsidRPr="00D81C20" w:rsidRDefault="00D81C20" w:rsidP="00D81C20">
            <w:pPr>
              <w:autoSpaceDE w:val="0"/>
              <w:autoSpaceDN w:val="0"/>
              <w:adjustRightInd w:val="0"/>
              <w:jc w:val="center"/>
              <w:rPr>
                <w:rFonts w:ascii="Arial" w:eastAsia="Calibri" w:hAnsi="Arial" w:cs="Arial"/>
                <w:sz w:val="22"/>
                <w:szCs w:val="22"/>
                <w:lang w:eastAsia="en-US"/>
              </w:rPr>
            </w:pPr>
            <w:r w:rsidRPr="00D81C20">
              <w:rPr>
                <w:rFonts w:ascii="Arial" w:eastAsia="Calibri" w:hAnsi="Arial" w:cs="Arial"/>
                <w:sz w:val="22"/>
                <w:szCs w:val="22"/>
                <w:lang w:eastAsia="en-US"/>
              </w:rPr>
              <w:lastRenderedPageBreak/>
              <w:t>6</w:t>
            </w:r>
          </w:p>
        </w:tc>
        <w:tc>
          <w:tcPr>
            <w:tcW w:w="3931" w:type="pct"/>
            <w:shd w:val="clear" w:color="auto" w:fill="F2F2F2"/>
            <w:vAlign w:val="center"/>
          </w:tcPr>
          <w:p w14:paraId="38B0CB8E" w14:textId="77777777" w:rsidR="00D81C20" w:rsidRPr="00D81C20" w:rsidRDefault="00D81C20" w:rsidP="00D81C20">
            <w:pPr>
              <w:autoSpaceDE w:val="0"/>
              <w:autoSpaceDN w:val="0"/>
              <w:adjustRightInd w:val="0"/>
              <w:rPr>
                <w:rFonts w:ascii="Arial" w:eastAsia="Calibri" w:hAnsi="Arial" w:cs="Arial"/>
                <w:sz w:val="22"/>
                <w:szCs w:val="22"/>
                <w:lang w:eastAsia="en-US"/>
              </w:rPr>
            </w:pPr>
            <w:r w:rsidRPr="00D81C20">
              <w:rPr>
                <w:rFonts w:ascii="Arial" w:eastAsia="Calibri" w:hAnsi="Arial" w:cs="Arial"/>
                <w:sz w:val="22"/>
                <w:szCs w:val="22"/>
                <w:lang w:eastAsia="en-US"/>
              </w:rPr>
              <w:t>Young offenders?</w:t>
            </w:r>
          </w:p>
        </w:tc>
        <w:tc>
          <w:tcPr>
            <w:tcW w:w="407" w:type="pct"/>
            <w:shd w:val="clear" w:color="auto" w:fill="BFBFBF"/>
            <w:vAlign w:val="center"/>
          </w:tcPr>
          <w:p w14:paraId="717DCDEA" w14:textId="1F4E2249" w:rsidR="00D81C20" w:rsidRPr="00D81C20" w:rsidRDefault="00D81C20" w:rsidP="00D81C20">
            <w:pPr>
              <w:autoSpaceDE w:val="0"/>
              <w:autoSpaceDN w:val="0"/>
              <w:adjustRightInd w:val="0"/>
              <w:jc w:val="center"/>
              <w:rPr>
                <w:rFonts w:ascii="Arial" w:eastAsia="Calibri" w:hAnsi="Arial" w:cs="Arial"/>
                <w:sz w:val="22"/>
                <w:szCs w:val="22"/>
                <w:lang w:eastAsia="en-US"/>
              </w:rPr>
            </w:pPr>
            <w:r w:rsidRPr="00D81C20">
              <w:rPr>
                <w:rFonts w:ascii="MS Gothic" w:eastAsia="MS Gothic" w:hAnsi="MS Gothic" w:cs="Arial" w:hint="eastAsia"/>
                <w:sz w:val="22"/>
                <w:szCs w:val="22"/>
                <w:lang w:eastAsia="en-US"/>
              </w:rPr>
              <w:t>☐</w:t>
            </w:r>
          </w:p>
        </w:tc>
        <w:tc>
          <w:tcPr>
            <w:tcW w:w="393" w:type="pct"/>
            <w:shd w:val="clear" w:color="auto" w:fill="BFBFBF"/>
            <w:vAlign w:val="center"/>
          </w:tcPr>
          <w:p w14:paraId="02518738" w14:textId="7B993B19" w:rsidR="00D81C20" w:rsidRPr="00D81C20" w:rsidRDefault="00D81C20" w:rsidP="00D81C20">
            <w:pPr>
              <w:autoSpaceDE w:val="0"/>
              <w:autoSpaceDN w:val="0"/>
              <w:adjustRightInd w:val="0"/>
              <w:jc w:val="center"/>
              <w:rPr>
                <w:rFonts w:ascii="Arial" w:eastAsia="Calibri" w:hAnsi="Arial" w:cs="Arial"/>
                <w:sz w:val="22"/>
                <w:szCs w:val="22"/>
                <w:lang w:eastAsia="en-US"/>
              </w:rPr>
            </w:pPr>
            <w:r w:rsidRPr="00D81C20">
              <w:rPr>
                <w:rFonts w:ascii="MS Gothic" w:eastAsia="MS Gothic" w:hAnsi="MS Gothic" w:cs="Arial" w:hint="eastAsia"/>
                <w:sz w:val="22"/>
                <w:szCs w:val="22"/>
                <w:lang w:eastAsia="en-US"/>
              </w:rPr>
              <w:t>☒</w:t>
            </w:r>
          </w:p>
        </w:tc>
      </w:tr>
      <w:tr w:rsidR="00D81C20" w:rsidRPr="004C3A0B" w14:paraId="040EC0A3" w14:textId="77777777" w:rsidTr="00D81C20">
        <w:trPr>
          <w:trHeight w:val="403"/>
        </w:trPr>
        <w:tc>
          <w:tcPr>
            <w:tcW w:w="269" w:type="pct"/>
            <w:shd w:val="clear" w:color="auto" w:fill="F2F2F2"/>
            <w:vAlign w:val="center"/>
          </w:tcPr>
          <w:p w14:paraId="4C304385" w14:textId="77777777" w:rsidR="00D81C20" w:rsidRPr="00D81C20" w:rsidRDefault="00D81C20" w:rsidP="00D81C20">
            <w:pPr>
              <w:autoSpaceDE w:val="0"/>
              <w:autoSpaceDN w:val="0"/>
              <w:adjustRightInd w:val="0"/>
              <w:jc w:val="center"/>
              <w:rPr>
                <w:rFonts w:ascii="Arial" w:eastAsia="Calibri" w:hAnsi="Arial" w:cs="Arial"/>
                <w:sz w:val="22"/>
                <w:szCs w:val="22"/>
                <w:lang w:eastAsia="en-US"/>
              </w:rPr>
            </w:pPr>
            <w:r w:rsidRPr="00D81C20">
              <w:rPr>
                <w:rFonts w:ascii="Arial" w:eastAsia="Calibri" w:hAnsi="Arial" w:cs="Arial"/>
                <w:sz w:val="22"/>
                <w:szCs w:val="22"/>
                <w:lang w:eastAsia="en-US"/>
              </w:rPr>
              <w:t>7</w:t>
            </w:r>
          </w:p>
        </w:tc>
        <w:tc>
          <w:tcPr>
            <w:tcW w:w="3931" w:type="pct"/>
            <w:shd w:val="clear" w:color="auto" w:fill="F2F2F2"/>
            <w:vAlign w:val="center"/>
          </w:tcPr>
          <w:p w14:paraId="729B176D" w14:textId="77777777" w:rsidR="00D81C20" w:rsidRPr="00D81C20" w:rsidRDefault="00D81C20" w:rsidP="00D81C20">
            <w:pPr>
              <w:autoSpaceDE w:val="0"/>
              <w:autoSpaceDN w:val="0"/>
              <w:adjustRightInd w:val="0"/>
              <w:rPr>
                <w:rFonts w:ascii="Arial" w:eastAsia="Calibri" w:hAnsi="Arial" w:cs="Arial"/>
                <w:sz w:val="22"/>
                <w:szCs w:val="22"/>
                <w:lang w:eastAsia="en-US"/>
              </w:rPr>
            </w:pPr>
            <w:r w:rsidRPr="00D81C20">
              <w:rPr>
                <w:rFonts w:ascii="Arial" w:eastAsia="Calibri" w:hAnsi="Arial" w:cs="Arial"/>
                <w:sz w:val="22"/>
                <w:szCs w:val="22"/>
                <w:lang w:eastAsia="en-US"/>
              </w:rPr>
              <w:t>Those who could be considered to have a particularly dependent relationship with the investigator or a gatekeeper?</w:t>
            </w:r>
          </w:p>
        </w:tc>
        <w:tc>
          <w:tcPr>
            <w:tcW w:w="407" w:type="pct"/>
            <w:shd w:val="clear" w:color="auto" w:fill="BFBFBF"/>
            <w:vAlign w:val="center"/>
          </w:tcPr>
          <w:p w14:paraId="42DEA483" w14:textId="68DA6884" w:rsidR="00D81C20" w:rsidRPr="00D81C20" w:rsidRDefault="00D81C20" w:rsidP="00D81C20">
            <w:pPr>
              <w:autoSpaceDE w:val="0"/>
              <w:autoSpaceDN w:val="0"/>
              <w:adjustRightInd w:val="0"/>
              <w:jc w:val="center"/>
              <w:rPr>
                <w:rFonts w:ascii="Arial" w:eastAsia="Calibri" w:hAnsi="Arial" w:cs="Arial"/>
                <w:sz w:val="22"/>
                <w:szCs w:val="22"/>
                <w:lang w:eastAsia="en-US"/>
              </w:rPr>
            </w:pPr>
            <w:r w:rsidRPr="00D81C20">
              <w:rPr>
                <w:rFonts w:ascii="MS Gothic" w:eastAsia="MS Gothic" w:hAnsi="MS Gothic" w:cs="Arial" w:hint="eastAsia"/>
                <w:sz w:val="22"/>
                <w:szCs w:val="22"/>
                <w:lang w:eastAsia="en-US"/>
              </w:rPr>
              <w:t>☐</w:t>
            </w:r>
          </w:p>
        </w:tc>
        <w:tc>
          <w:tcPr>
            <w:tcW w:w="393" w:type="pct"/>
            <w:shd w:val="clear" w:color="auto" w:fill="BFBFBF"/>
            <w:vAlign w:val="center"/>
          </w:tcPr>
          <w:p w14:paraId="725A0F6D" w14:textId="6966A382" w:rsidR="00D81C20" w:rsidRPr="00D81C20" w:rsidRDefault="00D81C20" w:rsidP="00D81C20">
            <w:pPr>
              <w:autoSpaceDE w:val="0"/>
              <w:autoSpaceDN w:val="0"/>
              <w:adjustRightInd w:val="0"/>
              <w:jc w:val="center"/>
              <w:rPr>
                <w:rFonts w:ascii="Arial" w:eastAsia="Calibri" w:hAnsi="Arial" w:cs="Arial"/>
                <w:sz w:val="22"/>
                <w:szCs w:val="22"/>
                <w:lang w:eastAsia="en-US"/>
              </w:rPr>
            </w:pPr>
            <w:r w:rsidRPr="00D81C20">
              <w:rPr>
                <w:rFonts w:ascii="MS Gothic" w:eastAsia="MS Gothic" w:hAnsi="MS Gothic" w:cs="Arial" w:hint="eastAsia"/>
                <w:sz w:val="22"/>
                <w:szCs w:val="22"/>
                <w:lang w:eastAsia="en-US"/>
              </w:rPr>
              <w:t>☒</w:t>
            </w:r>
          </w:p>
        </w:tc>
      </w:tr>
      <w:tr w:rsidR="00D81C20" w:rsidRPr="004C3A0B" w14:paraId="3C8F98BA" w14:textId="77777777" w:rsidTr="00D81C20">
        <w:trPr>
          <w:trHeight w:val="403"/>
        </w:trPr>
        <w:tc>
          <w:tcPr>
            <w:tcW w:w="269" w:type="pct"/>
            <w:shd w:val="clear" w:color="auto" w:fill="F2F2F2"/>
            <w:vAlign w:val="center"/>
          </w:tcPr>
          <w:p w14:paraId="4500E064" w14:textId="77777777" w:rsidR="00D81C20" w:rsidRPr="00D81C20" w:rsidRDefault="00D81C20" w:rsidP="00D81C20">
            <w:pPr>
              <w:autoSpaceDE w:val="0"/>
              <w:autoSpaceDN w:val="0"/>
              <w:adjustRightInd w:val="0"/>
              <w:jc w:val="center"/>
              <w:rPr>
                <w:rFonts w:ascii="Arial" w:eastAsia="Calibri" w:hAnsi="Arial" w:cs="Arial"/>
                <w:sz w:val="22"/>
                <w:szCs w:val="22"/>
                <w:lang w:eastAsia="en-US"/>
              </w:rPr>
            </w:pPr>
            <w:r w:rsidRPr="00D81C20">
              <w:rPr>
                <w:rFonts w:ascii="Arial" w:eastAsia="Calibri" w:hAnsi="Arial" w:cs="Arial"/>
                <w:sz w:val="22"/>
                <w:szCs w:val="22"/>
                <w:lang w:eastAsia="en-US"/>
              </w:rPr>
              <w:t>8</w:t>
            </w:r>
          </w:p>
        </w:tc>
        <w:tc>
          <w:tcPr>
            <w:tcW w:w="3931" w:type="pct"/>
            <w:shd w:val="clear" w:color="auto" w:fill="F2F2F2"/>
            <w:vAlign w:val="center"/>
          </w:tcPr>
          <w:p w14:paraId="4DAD387D" w14:textId="77777777" w:rsidR="00D81C20" w:rsidRPr="00D81C20" w:rsidRDefault="00D81C20" w:rsidP="00D81C20">
            <w:pPr>
              <w:autoSpaceDE w:val="0"/>
              <w:autoSpaceDN w:val="0"/>
              <w:adjustRightInd w:val="0"/>
              <w:rPr>
                <w:rFonts w:ascii="Arial" w:eastAsia="Calibri" w:hAnsi="Arial" w:cs="Arial"/>
                <w:sz w:val="22"/>
                <w:szCs w:val="22"/>
                <w:lang w:eastAsia="en-US"/>
              </w:rPr>
            </w:pPr>
            <w:r w:rsidRPr="00D81C20">
              <w:rPr>
                <w:rFonts w:ascii="Arial" w:eastAsia="Calibri" w:hAnsi="Arial" w:cs="Arial"/>
                <w:sz w:val="22"/>
                <w:szCs w:val="22"/>
                <w:lang w:eastAsia="en-US"/>
              </w:rPr>
              <w:t>People engaged in illegal activities?</w:t>
            </w:r>
          </w:p>
        </w:tc>
        <w:tc>
          <w:tcPr>
            <w:tcW w:w="407" w:type="pct"/>
            <w:shd w:val="clear" w:color="auto" w:fill="BFBFBF"/>
            <w:vAlign w:val="center"/>
          </w:tcPr>
          <w:p w14:paraId="095CFD4A" w14:textId="74333EA6" w:rsidR="00D81C20" w:rsidRPr="00D81C20" w:rsidRDefault="00D81C20" w:rsidP="00D81C20">
            <w:pPr>
              <w:autoSpaceDE w:val="0"/>
              <w:autoSpaceDN w:val="0"/>
              <w:adjustRightInd w:val="0"/>
              <w:jc w:val="center"/>
              <w:rPr>
                <w:rFonts w:ascii="Arial" w:eastAsia="Calibri" w:hAnsi="Arial" w:cs="Arial"/>
                <w:sz w:val="22"/>
                <w:szCs w:val="22"/>
                <w:lang w:eastAsia="en-US"/>
              </w:rPr>
            </w:pPr>
            <w:r w:rsidRPr="00D81C20">
              <w:rPr>
                <w:rFonts w:ascii="MS Gothic" w:eastAsia="MS Gothic" w:hAnsi="MS Gothic" w:cs="Arial" w:hint="eastAsia"/>
                <w:sz w:val="22"/>
                <w:szCs w:val="22"/>
                <w:lang w:eastAsia="en-US"/>
              </w:rPr>
              <w:t>☐</w:t>
            </w:r>
          </w:p>
        </w:tc>
        <w:tc>
          <w:tcPr>
            <w:tcW w:w="393" w:type="pct"/>
            <w:shd w:val="clear" w:color="auto" w:fill="BFBFBF"/>
            <w:vAlign w:val="center"/>
          </w:tcPr>
          <w:p w14:paraId="4F6DA63F" w14:textId="6077A929" w:rsidR="00D81C20" w:rsidRPr="00D81C20" w:rsidRDefault="00D81C20" w:rsidP="00D81C20">
            <w:pPr>
              <w:autoSpaceDE w:val="0"/>
              <w:autoSpaceDN w:val="0"/>
              <w:adjustRightInd w:val="0"/>
              <w:jc w:val="center"/>
              <w:rPr>
                <w:rFonts w:ascii="Arial" w:eastAsia="Calibri" w:hAnsi="Arial" w:cs="Arial"/>
                <w:sz w:val="22"/>
                <w:szCs w:val="22"/>
                <w:lang w:eastAsia="en-US"/>
              </w:rPr>
            </w:pPr>
            <w:r w:rsidRPr="00D81C20">
              <w:rPr>
                <w:rFonts w:ascii="MS Gothic" w:eastAsia="MS Gothic" w:hAnsi="MS Gothic" w:cs="Arial" w:hint="eastAsia"/>
                <w:sz w:val="22"/>
                <w:szCs w:val="22"/>
                <w:lang w:eastAsia="en-US"/>
              </w:rPr>
              <w:t>☒</w:t>
            </w:r>
          </w:p>
        </w:tc>
      </w:tr>
      <w:tr w:rsidR="00D81C20" w:rsidRPr="004C3A0B" w14:paraId="4424CC81" w14:textId="77777777" w:rsidTr="00D81C20">
        <w:trPr>
          <w:trHeight w:val="403"/>
        </w:trPr>
        <w:tc>
          <w:tcPr>
            <w:tcW w:w="269" w:type="pct"/>
            <w:shd w:val="clear" w:color="auto" w:fill="F2F2F2"/>
            <w:vAlign w:val="center"/>
          </w:tcPr>
          <w:p w14:paraId="6BE2E93D" w14:textId="77777777" w:rsidR="00D81C20" w:rsidRPr="00D81C20" w:rsidRDefault="00D81C20" w:rsidP="00D81C20">
            <w:pPr>
              <w:autoSpaceDE w:val="0"/>
              <w:autoSpaceDN w:val="0"/>
              <w:adjustRightInd w:val="0"/>
              <w:jc w:val="center"/>
              <w:rPr>
                <w:rFonts w:ascii="Arial" w:eastAsia="Calibri" w:hAnsi="Arial" w:cs="Arial"/>
                <w:sz w:val="22"/>
                <w:szCs w:val="22"/>
                <w:lang w:eastAsia="en-US"/>
              </w:rPr>
            </w:pPr>
            <w:r w:rsidRPr="00D81C20">
              <w:rPr>
                <w:rFonts w:ascii="Arial" w:eastAsia="Calibri" w:hAnsi="Arial" w:cs="Arial"/>
                <w:sz w:val="22"/>
                <w:szCs w:val="22"/>
                <w:lang w:eastAsia="en-US"/>
              </w:rPr>
              <w:t>9</w:t>
            </w:r>
          </w:p>
        </w:tc>
        <w:tc>
          <w:tcPr>
            <w:tcW w:w="3931" w:type="pct"/>
            <w:shd w:val="clear" w:color="auto" w:fill="F2F2F2"/>
            <w:vAlign w:val="center"/>
          </w:tcPr>
          <w:p w14:paraId="7B1AC8E9" w14:textId="77777777" w:rsidR="00D81C20" w:rsidRPr="00D81C20" w:rsidRDefault="00D81C20" w:rsidP="00D81C20">
            <w:pPr>
              <w:autoSpaceDE w:val="0"/>
              <w:autoSpaceDN w:val="0"/>
              <w:adjustRightInd w:val="0"/>
              <w:rPr>
                <w:rFonts w:ascii="Arial" w:eastAsia="Calibri" w:hAnsi="Arial" w:cs="Arial"/>
                <w:sz w:val="22"/>
                <w:szCs w:val="22"/>
                <w:lang w:eastAsia="en-US"/>
              </w:rPr>
            </w:pPr>
            <w:r w:rsidRPr="00D81C20">
              <w:rPr>
                <w:rFonts w:ascii="Arial" w:eastAsia="Calibri" w:hAnsi="Arial" w:cs="Arial"/>
                <w:sz w:val="22"/>
                <w:szCs w:val="22"/>
                <w:lang w:eastAsia="en-US"/>
              </w:rPr>
              <w:t>Others. Please indicate the participants below, and specifically any group who may be unable to give consent.</w:t>
            </w:r>
          </w:p>
          <w:p w14:paraId="4D9A874F" w14:textId="77777777" w:rsidR="00D81C20" w:rsidRPr="00D81C20" w:rsidRDefault="00D81C20" w:rsidP="00D81C20">
            <w:pPr>
              <w:autoSpaceDE w:val="0"/>
              <w:autoSpaceDN w:val="0"/>
              <w:adjustRightInd w:val="0"/>
              <w:rPr>
                <w:rFonts w:ascii="Arial" w:eastAsia="Calibri" w:hAnsi="Arial" w:cs="Arial"/>
                <w:sz w:val="22"/>
                <w:szCs w:val="22"/>
                <w:lang w:eastAsia="en-US"/>
              </w:rPr>
            </w:pPr>
          </w:p>
        </w:tc>
        <w:tc>
          <w:tcPr>
            <w:tcW w:w="407" w:type="pct"/>
            <w:vMerge w:val="restart"/>
            <w:shd w:val="clear" w:color="auto" w:fill="BFBFBF"/>
            <w:vAlign w:val="center"/>
          </w:tcPr>
          <w:p w14:paraId="3C45B47F" w14:textId="4B306713" w:rsidR="00D81C20" w:rsidRPr="00D81C20" w:rsidRDefault="00D81C20" w:rsidP="00D81C20">
            <w:pPr>
              <w:autoSpaceDE w:val="0"/>
              <w:autoSpaceDN w:val="0"/>
              <w:adjustRightInd w:val="0"/>
              <w:jc w:val="center"/>
              <w:rPr>
                <w:rFonts w:ascii="Arial" w:eastAsia="Calibri" w:hAnsi="Arial" w:cs="Arial"/>
                <w:sz w:val="22"/>
                <w:szCs w:val="22"/>
                <w:lang w:eastAsia="en-US"/>
              </w:rPr>
            </w:pPr>
            <w:r w:rsidRPr="00D81C20">
              <w:rPr>
                <w:rFonts w:ascii="MS Gothic" w:eastAsia="MS Gothic" w:hAnsi="MS Gothic" w:cs="Arial" w:hint="eastAsia"/>
                <w:sz w:val="22"/>
                <w:szCs w:val="22"/>
                <w:lang w:eastAsia="en-US"/>
              </w:rPr>
              <w:t>☐</w:t>
            </w:r>
          </w:p>
        </w:tc>
        <w:tc>
          <w:tcPr>
            <w:tcW w:w="393" w:type="pct"/>
            <w:vMerge w:val="restart"/>
            <w:shd w:val="clear" w:color="auto" w:fill="BFBFBF"/>
            <w:vAlign w:val="center"/>
          </w:tcPr>
          <w:p w14:paraId="592A3AF6" w14:textId="67781206" w:rsidR="00D81C20" w:rsidRPr="00D81C20" w:rsidRDefault="00D81C20" w:rsidP="00D81C20">
            <w:pPr>
              <w:autoSpaceDE w:val="0"/>
              <w:autoSpaceDN w:val="0"/>
              <w:adjustRightInd w:val="0"/>
              <w:jc w:val="center"/>
              <w:rPr>
                <w:rFonts w:ascii="Arial" w:eastAsia="Calibri" w:hAnsi="Arial" w:cs="Arial"/>
                <w:sz w:val="22"/>
                <w:szCs w:val="22"/>
                <w:lang w:eastAsia="en-US"/>
              </w:rPr>
            </w:pPr>
            <w:r w:rsidRPr="00D81C20">
              <w:rPr>
                <w:rFonts w:ascii="MS Gothic" w:eastAsia="MS Gothic" w:hAnsi="MS Gothic" w:cs="Arial" w:hint="eastAsia"/>
                <w:sz w:val="22"/>
                <w:szCs w:val="22"/>
                <w:lang w:eastAsia="en-US"/>
              </w:rPr>
              <w:t>☒</w:t>
            </w:r>
          </w:p>
        </w:tc>
      </w:tr>
      <w:tr w:rsidR="00D81C20" w:rsidRPr="004C3A0B" w14:paraId="55F2D0E1" w14:textId="77777777" w:rsidTr="00D81C20">
        <w:trPr>
          <w:trHeight w:val="403"/>
        </w:trPr>
        <w:tc>
          <w:tcPr>
            <w:tcW w:w="269" w:type="pct"/>
            <w:shd w:val="clear" w:color="auto" w:fill="auto"/>
            <w:vAlign w:val="center"/>
          </w:tcPr>
          <w:p w14:paraId="52C6423C" w14:textId="77777777" w:rsidR="00D81C20" w:rsidRPr="00D81C20" w:rsidRDefault="00D81C20" w:rsidP="00D81C20">
            <w:pPr>
              <w:autoSpaceDE w:val="0"/>
              <w:autoSpaceDN w:val="0"/>
              <w:adjustRightInd w:val="0"/>
              <w:jc w:val="center"/>
              <w:rPr>
                <w:rFonts w:ascii="Arial" w:eastAsia="Calibri" w:hAnsi="Arial" w:cs="Arial"/>
                <w:sz w:val="22"/>
                <w:szCs w:val="22"/>
                <w:lang w:eastAsia="en-US"/>
              </w:rPr>
            </w:pPr>
          </w:p>
        </w:tc>
        <w:tc>
          <w:tcPr>
            <w:tcW w:w="3931" w:type="pct"/>
            <w:shd w:val="clear" w:color="auto" w:fill="auto"/>
            <w:vAlign w:val="center"/>
          </w:tcPr>
          <w:p w14:paraId="1AE7DBAE" w14:textId="77777777" w:rsidR="00D81C20" w:rsidRPr="00D81C20" w:rsidRDefault="00D81C20" w:rsidP="00D81C20">
            <w:pPr>
              <w:autoSpaceDE w:val="0"/>
              <w:autoSpaceDN w:val="0"/>
              <w:adjustRightInd w:val="0"/>
              <w:rPr>
                <w:rFonts w:ascii="Arial" w:eastAsia="Calibri" w:hAnsi="Arial" w:cs="Arial"/>
                <w:sz w:val="22"/>
                <w:szCs w:val="22"/>
                <w:lang w:eastAsia="en-US"/>
              </w:rPr>
            </w:pPr>
            <w:r w:rsidRPr="00D81C20">
              <w:rPr>
                <w:rFonts w:ascii="Arial" w:eastAsia="Calibri" w:hAnsi="Arial" w:cs="Arial"/>
                <w:sz w:val="22"/>
                <w:szCs w:val="22"/>
                <w:lang w:eastAsia="en-US"/>
              </w:rPr>
              <w:t>Details of any other participant groups:</w:t>
            </w:r>
          </w:p>
          <w:p w14:paraId="4BE35A8E" w14:textId="77777777" w:rsidR="00D81C20" w:rsidRPr="00D81C20" w:rsidRDefault="00D81C20" w:rsidP="00A91894">
            <w:pPr>
              <w:rPr>
                <w:rFonts w:ascii="Arial" w:eastAsia="Calibri" w:hAnsi="Arial" w:cs="Arial"/>
                <w:sz w:val="22"/>
                <w:szCs w:val="22"/>
                <w:lang w:eastAsia="en-US"/>
              </w:rPr>
            </w:pPr>
          </w:p>
          <w:p w14:paraId="6C15EA33" w14:textId="77777777" w:rsidR="00D81C20" w:rsidRPr="00D81C20" w:rsidRDefault="00D81C20" w:rsidP="00A91894">
            <w:pPr>
              <w:rPr>
                <w:rFonts w:ascii="Arial" w:eastAsia="Calibri" w:hAnsi="Arial" w:cs="Arial"/>
                <w:sz w:val="22"/>
                <w:szCs w:val="22"/>
                <w:lang w:eastAsia="en-US"/>
              </w:rPr>
            </w:pPr>
          </w:p>
          <w:p w14:paraId="1FC6A6F5" w14:textId="77777777" w:rsidR="00D81C20" w:rsidRPr="00D81C20" w:rsidRDefault="00D81C20" w:rsidP="00A91894">
            <w:pPr>
              <w:rPr>
                <w:rFonts w:ascii="Arial" w:eastAsia="Calibri" w:hAnsi="Arial" w:cs="Arial"/>
                <w:sz w:val="22"/>
                <w:szCs w:val="22"/>
                <w:lang w:eastAsia="en-US"/>
              </w:rPr>
            </w:pPr>
          </w:p>
          <w:p w14:paraId="22FFC55F" w14:textId="77777777" w:rsidR="00D81C20" w:rsidRPr="00D81C20" w:rsidRDefault="00D81C20" w:rsidP="00D81C20">
            <w:pPr>
              <w:autoSpaceDE w:val="0"/>
              <w:autoSpaceDN w:val="0"/>
              <w:adjustRightInd w:val="0"/>
              <w:rPr>
                <w:rFonts w:ascii="Arial" w:eastAsia="Calibri" w:hAnsi="Arial" w:cs="Arial"/>
                <w:sz w:val="22"/>
                <w:szCs w:val="22"/>
                <w:lang w:eastAsia="en-US"/>
              </w:rPr>
            </w:pPr>
            <w:r w:rsidRPr="00D81C20">
              <w:rPr>
                <w:rFonts w:ascii="Arial" w:eastAsia="Calibri" w:hAnsi="Arial" w:cs="Arial"/>
                <w:color w:val="808080"/>
                <w:sz w:val="18"/>
                <w:szCs w:val="18"/>
                <w:lang w:eastAsia="en-US"/>
              </w:rPr>
              <w:t>(this box should expand as you type)</w:t>
            </w:r>
          </w:p>
        </w:tc>
        <w:tc>
          <w:tcPr>
            <w:tcW w:w="407" w:type="pct"/>
            <w:vMerge/>
            <w:shd w:val="clear" w:color="auto" w:fill="BFBFBF"/>
            <w:vAlign w:val="center"/>
          </w:tcPr>
          <w:p w14:paraId="4943821C" w14:textId="77777777" w:rsidR="00D81C20" w:rsidRPr="00D81C20" w:rsidRDefault="00D81C20" w:rsidP="00D81C20">
            <w:pPr>
              <w:autoSpaceDE w:val="0"/>
              <w:autoSpaceDN w:val="0"/>
              <w:adjustRightInd w:val="0"/>
              <w:jc w:val="center"/>
              <w:rPr>
                <w:rFonts w:ascii="Arial" w:eastAsia="Calibri" w:hAnsi="Arial" w:cs="Arial"/>
                <w:b/>
                <w:bCs/>
                <w:sz w:val="22"/>
                <w:szCs w:val="22"/>
                <w:lang w:eastAsia="en-US"/>
              </w:rPr>
            </w:pPr>
          </w:p>
        </w:tc>
        <w:tc>
          <w:tcPr>
            <w:tcW w:w="393" w:type="pct"/>
            <w:vMerge/>
            <w:shd w:val="clear" w:color="auto" w:fill="BFBFBF"/>
            <w:vAlign w:val="center"/>
          </w:tcPr>
          <w:p w14:paraId="3DE359A4" w14:textId="77777777" w:rsidR="00D81C20" w:rsidRPr="00D81C20" w:rsidRDefault="00D81C20" w:rsidP="00D81C20">
            <w:pPr>
              <w:autoSpaceDE w:val="0"/>
              <w:autoSpaceDN w:val="0"/>
              <w:adjustRightInd w:val="0"/>
              <w:jc w:val="center"/>
              <w:rPr>
                <w:rFonts w:ascii="Arial" w:eastAsia="Calibri" w:hAnsi="Arial" w:cs="Arial"/>
                <w:b/>
                <w:bCs/>
                <w:sz w:val="22"/>
                <w:szCs w:val="22"/>
                <w:lang w:eastAsia="en-US"/>
              </w:rPr>
            </w:pPr>
          </w:p>
        </w:tc>
      </w:tr>
    </w:tbl>
    <w:p w14:paraId="5F441B95" w14:textId="77777777" w:rsidR="00D81C20" w:rsidRPr="00D71982" w:rsidRDefault="00D81C20" w:rsidP="00A91894">
      <w:pPr>
        <w:rPr>
          <w:rFonts w:ascii="Arial" w:hAnsi="Arial" w:cs="Arial"/>
          <w:bCs/>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1"/>
        <w:gridCol w:w="2577"/>
        <w:gridCol w:w="5258"/>
      </w:tblGrid>
      <w:tr w:rsidR="00D81C20" w:rsidRPr="004C3A0B" w14:paraId="1AB2F702" w14:textId="77777777" w:rsidTr="00D81C20">
        <w:trPr>
          <w:trHeight w:val="403"/>
        </w:trPr>
        <w:tc>
          <w:tcPr>
            <w:tcW w:w="269" w:type="pct"/>
            <w:tcBorders>
              <w:bottom w:val="single" w:sz="4" w:space="0" w:color="auto"/>
            </w:tcBorders>
            <w:shd w:val="clear" w:color="auto" w:fill="F2F2F2"/>
          </w:tcPr>
          <w:p w14:paraId="52E306C8" w14:textId="77777777" w:rsidR="00D81C20" w:rsidRPr="00D81C20" w:rsidRDefault="00D81C20" w:rsidP="00A91894">
            <w:pPr>
              <w:rPr>
                <w:rFonts w:ascii="Arial" w:eastAsia="Calibri" w:hAnsi="Arial" w:cs="Arial"/>
                <w:bCs/>
                <w:sz w:val="22"/>
                <w:szCs w:val="22"/>
                <w:lang w:eastAsia="en-US"/>
              </w:rPr>
            </w:pPr>
          </w:p>
        </w:tc>
        <w:tc>
          <w:tcPr>
            <w:tcW w:w="4731" w:type="pct"/>
            <w:gridSpan w:val="2"/>
            <w:tcBorders>
              <w:bottom w:val="single" w:sz="4" w:space="0" w:color="auto"/>
            </w:tcBorders>
            <w:shd w:val="clear" w:color="auto" w:fill="F2F2F2"/>
            <w:vAlign w:val="center"/>
          </w:tcPr>
          <w:p w14:paraId="6A8816D2" w14:textId="77777777" w:rsidR="00D81C20" w:rsidRPr="00D81C20" w:rsidRDefault="00D81C20" w:rsidP="00A91894">
            <w:pPr>
              <w:rPr>
                <w:rFonts w:ascii="Arial" w:eastAsia="Calibri" w:hAnsi="Arial" w:cs="Arial"/>
                <w:b/>
                <w:sz w:val="22"/>
                <w:szCs w:val="22"/>
                <w:lang w:eastAsia="en-US"/>
              </w:rPr>
            </w:pPr>
            <w:r w:rsidRPr="00D81C20">
              <w:rPr>
                <w:rFonts w:ascii="Arial" w:eastAsia="Calibri" w:hAnsi="Arial" w:cs="Arial"/>
                <w:b/>
                <w:sz w:val="22"/>
                <w:szCs w:val="22"/>
                <w:lang w:eastAsia="en-US"/>
              </w:rPr>
              <w:t>Participant numbers and source</w:t>
            </w:r>
          </w:p>
          <w:p w14:paraId="01E07346" w14:textId="77777777" w:rsidR="00D81C20" w:rsidRPr="00D81C20" w:rsidRDefault="00D81C20" w:rsidP="00D81C20">
            <w:pPr>
              <w:autoSpaceDE w:val="0"/>
              <w:autoSpaceDN w:val="0"/>
              <w:adjustRightInd w:val="0"/>
              <w:rPr>
                <w:rFonts w:ascii="Arial" w:eastAsia="Calibri" w:hAnsi="Arial" w:cs="Arial"/>
                <w:sz w:val="22"/>
                <w:szCs w:val="22"/>
                <w:lang w:eastAsia="en-US"/>
              </w:rPr>
            </w:pPr>
            <w:r w:rsidRPr="00D81C20">
              <w:rPr>
                <w:rFonts w:ascii="Arial" w:eastAsia="Calibri" w:hAnsi="Arial" w:cs="Arial"/>
                <w:sz w:val="22"/>
                <w:szCs w:val="22"/>
                <w:lang w:eastAsia="en-US"/>
              </w:rPr>
              <w:t xml:space="preserve">Provide an estimate of the expected number of participants. How will you identify participants and how will they be recruited? </w:t>
            </w:r>
          </w:p>
        </w:tc>
      </w:tr>
      <w:tr w:rsidR="00D81C20" w:rsidRPr="004C3A0B" w14:paraId="76F4172C" w14:textId="77777777" w:rsidTr="00D81C20">
        <w:trPr>
          <w:trHeight w:val="403"/>
        </w:trPr>
        <w:tc>
          <w:tcPr>
            <w:tcW w:w="269" w:type="pct"/>
            <w:tcBorders>
              <w:top w:val="single" w:sz="4" w:space="0" w:color="auto"/>
              <w:left w:val="single" w:sz="4" w:space="0" w:color="auto"/>
              <w:bottom w:val="single" w:sz="4" w:space="0" w:color="auto"/>
              <w:right w:val="single" w:sz="4" w:space="0" w:color="auto"/>
            </w:tcBorders>
            <w:shd w:val="clear" w:color="auto" w:fill="F2F2F2"/>
            <w:vAlign w:val="center"/>
          </w:tcPr>
          <w:p w14:paraId="5EBAD281" w14:textId="77777777" w:rsidR="00D81C20" w:rsidRPr="00D81C20" w:rsidRDefault="00D81C20" w:rsidP="00D81C20">
            <w:pPr>
              <w:jc w:val="center"/>
              <w:rPr>
                <w:rFonts w:ascii="Arial" w:eastAsia="Calibri" w:hAnsi="Arial" w:cs="Arial"/>
                <w:sz w:val="22"/>
                <w:szCs w:val="22"/>
                <w:lang w:eastAsia="en-US"/>
              </w:rPr>
            </w:pPr>
            <w:r w:rsidRPr="00D81C20">
              <w:rPr>
                <w:rFonts w:ascii="Arial" w:eastAsia="Calibri" w:hAnsi="Arial" w:cs="Arial"/>
                <w:sz w:val="22"/>
                <w:szCs w:val="22"/>
                <w:lang w:eastAsia="en-US"/>
              </w:rPr>
              <w:t>10</w:t>
            </w:r>
          </w:p>
        </w:tc>
        <w:tc>
          <w:tcPr>
            <w:tcW w:w="1558" w:type="pct"/>
            <w:tcBorders>
              <w:top w:val="single" w:sz="4" w:space="0" w:color="auto"/>
              <w:left w:val="single" w:sz="4" w:space="0" w:color="auto"/>
              <w:bottom w:val="single" w:sz="4" w:space="0" w:color="auto"/>
              <w:right w:val="single" w:sz="4" w:space="0" w:color="auto"/>
            </w:tcBorders>
            <w:shd w:val="clear" w:color="auto" w:fill="F2F2F2"/>
            <w:vAlign w:val="center"/>
          </w:tcPr>
          <w:p w14:paraId="402A9A58" w14:textId="77777777" w:rsidR="00D81C20" w:rsidRPr="00D81C20" w:rsidRDefault="00D81C20" w:rsidP="00A91894">
            <w:pPr>
              <w:rPr>
                <w:rFonts w:ascii="Arial" w:eastAsia="Calibri" w:hAnsi="Arial" w:cs="Arial"/>
                <w:sz w:val="22"/>
                <w:szCs w:val="22"/>
                <w:lang w:eastAsia="en-US"/>
              </w:rPr>
            </w:pPr>
            <w:r w:rsidRPr="00D81C20">
              <w:rPr>
                <w:rFonts w:ascii="Arial" w:eastAsia="Calibri" w:hAnsi="Arial" w:cs="Arial"/>
                <w:sz w:val="22"/>
                <w:szCs w:val="22"/>
                <w:lang w:eastAsia="en-US"/>
              </w:rPr>
              <w:t>How many participants are expected?</w:t>
            </w:r>
          </w:p>
          <w:p w14:paraId="3D7008FF" w14:textId="77777777" w:rsidR="00D81C20" w:rsidRPr="00D81C20" w:rsidRDefault="00D81C20" w:rsidP="00A91894">
            <w:pPr>
              <w:rPr>
                <w:rFonts w:ascii="Arial" w:eastAsia="Calibri" w:hAnsi="Arial" w:cs="Arial"/>
                <w:sz w:val="22"/>
                <w:szCs w:val="22"/>
                <w:lang w:eastAsia="en-US"/>
              </w:rPr>
            </w:pPr>
          </w:p>
        </w:tc>
        <w:tc>
          <w:tcPr>
            <w:tcW w:w="3173" w:type="pct"/>
            <w:tcBorders>
              <w:top w:val="single" w:sz="4" w:space="0" w:color="auto"/>
              <w:left w:val="single" w:sz="4" w:space="0" w:color="auto"/>
              <w:bottom w:val="single" w:sz="4" w:space="0" w:color="auto"/>
              <w:right w:val="single" w:sz="4" w:space="0" w:color="auto"/>
            </w:tcBorders>
            <w:shd w:val="clear" w:color="auto" w:fill="auto"/>
            <w:vAlign w:val="center"/>
          </w:tcPr>
          <w:p w14:paraId="0E15EF1D" w14:textId="77777777" w:rsidR="00D81C20" w:rsidRPr="00D81C20" w:rsidRDefault="00D81C20" w:rsidP="00A91894">
            <w:pPr>
              <w:rPr>
                <w:rFonts w:ascii="Arial" w:eastAsia="Calibri" w:hAnsi="Arial" w:cs="Arial"/>
                <w:sz w:val="22"/>
                <w:szCs w:val="22"/>
                <w:lang w:eastAsia="en-US"/>
              </w:rPr>
            </w:pPr>
          </w:p>
          <w:p w14:paraId="7A82E228" w14:textId="77777777" w:rsidR="00D81C20" w:rsidRPr="00D81C20" w:rsidRDefault="00D81C20" w:rsidP="00A91894">
            <w:pPr>
              <w:rPr>
                <w:rFonts w:ascii="Arial" w:eastAsia="Calibri" w:hAnsi="Arial" w:cs="Arial"/>
                <w:sz w:val="22"/>
                <w:szCs w:val="22"/>
                <w:lang w:eastAsia="en-US"/>
              </w:rPr>
            </w:pPr>
            <w:r w:rsidRPr="00D81C20">
              <w:rPr>
                <w:rFonts w:ascii="Arial" w:eastAsia="Calibri" w:hAnsi="Arial" w:cs="Arial"/>
                <w:sz w:val="22"/>
                <w:szCs w:val="22"/>
                <w:lang w:eastAsia="en-US"/>
              </w:rPr>
              <w:t>N/A</w:t>
            </w:r>
          </w:p>
          <w:p w14:paraId="0A2B0255" w14:textId="77777777" w:rsidR="00D81C20" w:rsidRPr="00D81C20" w:rsidRDefault="00D81C20" w:rsidP="00A91894">
            <w:pPr>
              <w:rPr>
                <w:rFonts w:ascii="Arial" w:eastAsia="Calibri" w:hAnsi="Arial" w:cs="Arial"/>
                <w:sz w:val="22"/>
                <w:szCs w:val="22"/>
                <w:lang w:eastAsia="en-US"/>
              </w:rPr>
            </w:pPr>
          </w:p>
          <w:p w14:paraId="2F053CA3" w14:textId="77777777" w:rsidR="00D81C20" w:rsidRPr="00D81C20" w:rsidRDefault="00D81C20" w:rsidP="00A91894">
            <w:pPr>
              <w:rPr>
                <w:rFonts w:ascii="Arial" w:eastAsia="Calibri" w:hAnsi="Arial" w:cs="Arial"/>
                <w:b/>
                <w:sz w:val="22"/>
                <w:szCs w:val="22"/>
                <w:lang w:eastAsia="en-US"/>
              </w:rPr>
            </w:pPr>
            <w:r w:rsidRPr="00D81C20">
              <w:rPr>
                <w:rFonts w:ascii="Arial" w:eastAsia="Calibri" w:hAnsi="Arial" w:cs="Arial"/>
                <w:i/>
                <w:color w:val="808080"/>
                <w:sz w:val="18"/>
                <w:szCs w:val="18"/>
                <w:lang w:eastAsia="en-US"/>
              </w:rPr>
              <w:t>(this box should expand as you type)</w:t>
            </w:r>
          </w:p>
        </w:tc>
      </w:tr>
      <w:tr w:rsidR="00D81C20" w:rsidRPr="004C3A0B" w14:paraId="67FE8D95" w14:textId="77777777" w:rsidTr="00D81C20">
        <w:trPr>
          <w:trHeight w:val="403"/>
        </w:trPr>
        <w:tc>
          <w:tcPr>
            <w:tcW w:w="269" w:type="pct"/>
            <w:tcBorders>
              <w:top w:val="single" w:sz="4" w:space="0" w:color="auto"/>
              <w:left w:val="single" w:sz="4" w:space="0" w:color="auto"/>
              <w:bottom w:val="single" w:sz="4" w:space="0" w:color="auto"/>
              <w:right w:val="single" w:sz="4" w:space="0" w:color="auto"/>
            </w:tcBorders>
            <w:shd w:val="clear" w:color="auto" w:fill="F2F2F2"/>
            <w:vAlign w:val="center"/>
          </w:tcPr>
          <w:p w14:paraId="0D29EAA6" w14:textId="77777777" w:rsidR="00D81C20" w:rsidRPr="00D81C20" w:rsidRDefault="00D81C20" w:rsidP="00D81C20">
            <w:pPr>
              <w:jc w:val="center"/>
              <w:rPr>
                <w:rFonts w:ascii="Arial" w:eastAsia="Calibri" w:hAnsi="Arial" w:cs="Arial"/>
                <w:sz w:val="22"/>
                <w:szCs w:val="22"/>
                <w:lang w:eastAsia="en-US"/>
              </w:rPr>
            </w:pPr>
            <w:r w:rsidRPr="00D81C20">
              <w:rPr>
                <w:rFonts w:ascii="Arial" w:eastAsia="Calibri" w:hAnsi="Arial" w:cs="Arial"/>
                <w:sz w:val="22"/>
                <w:szCs w:val="22"/>
                <w:lang w:eastAsia="en-US"/>
              </w:rPr>
              <w:t>11</w:t>
            </w:r>
          </w:p>
        </w:tc>
        <w:tc>
          <w:tcPr>
            <w:tcW w:w="1558" w:type="pct"/>
            <w:tcBorders>
              <w:top w:val="single" w:sz="4" w:space="0" w:color="auto"/>
              <w:left w:val="single" w:sz="4" w:space="0" w:color="auto"/>
              <w:bottom w:val="single" w:sz="4" w:space="0" w:color="auto"/>
              <w:right w:val="single" w:sz="4" w:space="0" w:color="auto"/>
            </w:tcBorders>
            <w:shd w:val="clear" w:color="auto" w:fill="F2F2F2"/>
            <w:vAlign w:val="center"/>
          </w:tcPr>
          <w:p w14:paraId="1C1B98EE" w14:textId="77777777" w:rsidR="00D81C20" w:rsidRPr="00D81C20" w:rsidRDefault="00D81C20" w:rsidP="00A91894">
            <w:pPr>
              <w:rPr>
                <w:rFonts w:ascii="Arial" w:eastAsia="Calibri" w:hAnsi="Arial" w:cs="Arial"/>
                <w:sz w:val="22"/>
                <w:szCs w:val="22"/>
                <w:lang w:eastAsia="en-US"/>
              </w:rPr>
            </w:pPr>
            <w:r w:rsidRPr="00D81C20">
              <w:rPr>
                <w:rFonts w:ascii="Arial" w:eastAsia="Calibri" w:hAnsi="Arial" w:cs="Arial"/>
                <w:sz w:val="22"/>
                <w:szCs w:val="22"/>
                <w:lang w:eastAsia="en-US"/>
              </w:rPr>
              <w:t>Who will the participants be?</w:t>
            </w:r>
          </w:p>
          <w:p w14:paraId="69C6A5E5" w14:textId="77777777" w:rsidR="00D81C20" w:rsidRPr="00D81C20" w:rsidRDefault="00D81C20" w:rsidP="00A91894">
            <w:pPr>
              <w:rPr>
                <w:rFonts w:ascii="Arial" w:eastAsia="Calibri" w:hAnsi="Arial" w:cs="Arial"/>
                <w:sz w:val="22"/>
                <w:szCs w:val="22"/>
                <w:lang w:eastAsia="en-US"/>
              </w:rPr>
            </w:pPr>
          </w:p>
        </w:tc>
        <w:tc>
          <w:tcPr>
            <w:tcW w:w="3173" w:type="pct"/>
            <w:tcBorders>
              <w:top w:val="single" w:sz="4" w:space="0" w:color="auto"/>
              <w:left w:val="single" w:sz="4" w:space="0" w:color="auto"/>
              <w:bottom w:val="single" w:sz="4" w:space="0" w:color="auto"/>
              <w:right w:val="single" w:sz="4" w:space="0" w:color="auto"/>
            </w:tcBorders>
            <w:shd w:val="clear" w:color="auto" w:fill="auto"/>
            <w:vAlign w:val="center"/>
          </w:tcPr>
          <w:p w14:paraId="04D72E51" w14:textId="77777777" w:rsidR="00D81C20" w:rsidRPr="00D81C20" w:rsidRDefault="00D81C20" w:rsidP="00A91894">
            <w:pPr>
              <w:rPr>
                <w:rFonts w:ascii="Arial" w:eastAsia="Calibri" w:hAnsi="Arial" w:cs="Arial"/>
                <w:sz w:val="22"/>
                <w:szCs w:val="22"/>
                <w:lang w:eastAsia="en-US"/>
              </w:rPr>
            </w:pPr>
          </w:p>
          <w:p w14:paraId="4E189106" w14:textId="77777777" w:rsidR="00D81C20" w:rsidRPr="00D81C20" w:rsidRDefault="00D81C20" w:rsidP="00B02330">
            <w:pPr>
              <w:rPr>
                <w:rFonts w:ascii="Arial" w:eastAsia="Calibri" w:hAnsi="Arial" w:cs="Arial"/>
                <w:sz w:val="22"/>
                <w:szCs w:val="22"/>
                <w:lang w:eastAsia="en-US"/>
              </w:rPr>
            </w:pPr>
            <w:r w:rsidRPr="00D81C20">
              <w:rPr>
                <w:rFonts w:ascii="Arial" w:eastAsia="Calibri" w:hAnsi="Arial" w:cs="Arial"/>
                <w:sz w:val="22"/>
                <w:szCs w:val="22"/>
                <w:lang w:eastAsia="en-US"/>
              </w:rPr>
              <w:t>N/A</w:t>
            </w:r>
          </w:p>
          <w:p w14:paraId="1F80647B" w14:textId="77777777" w:rsidR="00D81C20" w:rsidRPr="00D81C20" w:rsidRDefault="00D81C20" w:rsidP="00A91894">
            <w:pPr>
              <w:rPr>
                <w:rFonts w:ascii="Arial" w:eastAsia="Calibri" w:hAnsi="Arial" w:cs="Arial"/>
                <w:sz w:val="22"/>
                <w:szCs w:val="22"/>
                <w:lang w:eastAsia="en-US"/>
              </w:rPr>
            </w:pPr>
          </w:p>
          <w:p w14:paraId="1B9B793C" w14:textId="77777777" w:rsidR="00D81C20" w:rsidRPr="00D81C20" w:rsidRDefault="00D81C20" w:rsidP="00A91894">
            <w:pPr>
              <w:rPr>
                <w:rFonts w:ascii="Arial" w:eastAsia="Calibri" w:hAnsi="Arial" w:cs="Arial"/>
                <w:sz w:val="22"/>
                <w:szCs w:val="22"/>
                <w:lang w:eastAsia="en-US"/>
              </w:rPr>
            </w:pPr>
          </w:p>
          <w:p w14:paraId="3686AF44" w14:textId="77777777" w:rsidR="00D81C20" w:rsidRPr="00D81C20" w:rsidRDefault="00D81C20" w:rsidP="00A91894">
            <w:pPr>
              <w:rPr>
                <w:rFonts w:ascii="Arial" w:eastAsia="Calibri" w:hAnsi="Arial" w:cs="Arial"/>
                <w:i/>
                <w:color w:val="808080"/>
                <w:sz w:val="18"/>
                <w:szCs w:val="18"/>
                <w:lang w:eastAsia="en-US"/>
              </w:rPr>
            </w:pPr>
            <w:r w:rsidRPr="00D81C20">
              <w:rPr>
                <w:rFonts w:ascii="Arial" w:eastAsia="Calibri" w:hAnsi="Arial" w:cs="Arial"/>
                <w:i/>
                <w:color w:val="808080"/>
                <w:sz w:val="18"/>
                <w:szCs w:val="18"/>
                <w:lang w:eastAsia="en-US"/>
              </w:rPr>
              <w:t>(this box should expand as you type)</w:t>
            </w:r>
          </w:p>
        </w:tc>
      </w:tr>
      <w:tr w:rsidR="00D81C20" w:rsidRPr="004C3A0B" w14:paraId="624E990E" w14:textId="77777777" w:rsidTr="00D81C20">
        <w:trPr>
          <w:trHeight w:val="403"/>
        </w:trPr>
        <w:tc>
          <w:tcPr>
            <w:tcW w:w="269" w:type="pct"/>
            <w:tcBorders>
              <w:top w:val="single" w:sz="4" w:space="0" w:color="auto"/>
            </w:tcBorders>
            <w:shd w:val="clear" w:color="auto" w:fill="F2F2F2"/>
            <w:vAlign w:val="center"/>
          </w:tcPr>
          <w:p w14:paraId="2B8A6AB7" w14:textId="77777777" w:rsidR="00D81C20" w:rsidRPr="00D81C20" w:rsidRDefault="00D81C20" w:rsidP="00D81C20">
            <w:pPr>
              <w:jc w:val="center"/>
              <w:rPr>
                <w:rFonts w:ascii="Arial" w:eastAsia="Calibri" w:hAnsi="Arial" w:cs="Arial"/>
                <w:sz w:val="22"/>
                <w:szCs w:val="22"/>
                <w:lang w:eastAsia="en-US"/>
              </w:rPr>
            </w:pPr>
            <w:r w:rsidRPr="00D81C20">
              <w:rPr>
                <w:rFonts w:ascii="Arial" w:eastAsia="Calibri" w:hAnsi="Arial" w:cs="Arial"/>
                <w:sz w:val="22"/>
                <w:szCs w:val="22"/>
                <w:lang w:eastAsia="en-US"/>
              </w:rPr>
              <w:t>12</w:t>
            </w:r>
          </w:p>
        </w:tc>
        <w:tc>
          <w:tcPr>
            <w:tcW w:w="1558" w:type="pct"/>
            <w:tcBorders>
              <w:top w:val="single" w:sz="4" w:space="0" w:color="auto"/>
            </w:tcBorders>
            <w:shd w:val="clear" w:color="auto" w:fill="F2F2F2"/>
            <w:vAlign w:val="center"/>
          </w:tcPr>
          <w:p w14:paraId="782CC34C" w14:textId="77777777" w:rsidR="00D81C20" w:rsidRPr="00D81C20" w:rsidRDefault="00D81C20" w:rsidP="00A91894">
            <w:pPr>
              <w:rPr>
                <w:rFonts w:ascii="Arial" w:eastAsia="Calibri" w:hAnsi="Arial" w:cs="Arial"/>
                <w:sz w:val="22"/>
                <w:szCs w:val="22"/>
                <w:lang w:eastAsia="en-US"/>
              </w:rPr>
            </w:pPr>
            <w:r w:rsidRPr="00D81C20">
              <w:rPr>
                <w:rFonts w:ascii="Arial" w:eastAsia="Calibri" w:hAnsi="Arial" w:cs="Arial"/>
                <w:sz w:val="22"/>
                <w:szCs w:val="22"/>
                <w:lang w:eastAsia="en-US"/>
              </w:rPr>
              <w:t>How will you identify the participants?</w:t>
            </w:r>
          </w:p>
        </w:tc>
        <w:tc>
          <w:tcPr>
            <w:tcW w:w="3173" w:type="pct"/>
            <w:tcBorders>
              <w:top w:val="single" w:sz="4" w:space="0" w:color="auto"/>
            </w:tcBorders>
            <w:shd w:val="clear" w:color="auto" w:fill="auto"/>
            <w:vAlign w:val="center"/>
          </w:tcPr>
          <w:p w14:paraId="684D2C20" w14:textId="77777777" w:rsidR="00D81C20" w:rsidRPr="00D81C20" w:rsidRDefault="00D81C20" w:rsidP="00A91894">
            <w:pPr>
              <w:rPr>
                <w:rFonts w:ascii="Arial" w:eastAsia="Calibri" w:hAnsi="Arial" w:cs="Arial"/>
                <w:sz w:val="22"/>
                <w:szCs w:val="22"/>
                <w:lang w:eastAsia="en-US"/>
              </w:rPr>
            </w:pPr>
          </w:p>
          <w:p w14:paraId="73A2A8A8" w14:textId="77777777" w:rsidR="00D81C20" w:rsidRPr="00D81C20" w:rsidRDefault="00D81C20" w:rsidP="00B02330">
            <w:pPr>
              <w:rPr>
                <w:rFonts w:ascii="Arial" w:eastAsia="Calibri" w:hAnsi="Arial" w:cs="Arial"/>
                <w:sz w:val="22"/>
                <w:szCs w:val="22"/>
                <w:lang w:eastAsia="en-US"/>
              </w:rPr>
            </w:pPr>
            <w:r w:rsidRPr="00D81C20">
              <w:rPr>
                <w:rFonts w:ascii="Arial" w:eastAsia="Calibri" w:hAnsi="Arial" w:cs="Arial"/>
                <w:sz w:val="22"/>
                <w:szCs w:val="22"/>
                <w:lang w:eastAsia="en-US"/>
              </w:rPr>
              <w:t>N/A</w:t>
            </w:r>
          </w:p>
          <w:p w14:paraId="422D177D" w14:textId="77777777" w:rsidR="00D81C20" w:rsidRPr="00D81C20" w:rsidRDefault="00D81C20" w:rsidP="00A91894">
            <w:pPr>
              <w:rPr>
                <w:rFonts w:ascii="Arial" w:eastAsia="Calibri" w:hAnsi="Arial" w:cs="Arial"/>
                <w:sz w:val="22"/>
                <w:szCs w:val="22"/>
                <w:lang w:eastAsia="en-US"/>
              </w:rPr>
            </w:pPr>
          </w:p>
          <w:p w14:paraId="56EAE3F6" w14:textId="77777777" w:rsidR="00D81C20" w:rsidRPr="00D81C20" w:rsidRDefault="00D81C20" w:rsidP="00A91894">
            <w:pPr>
              <w:rPr>
                <w:rFonts w:ascii="Arial" w:eastAsia="Calibri" w:hAnsi="Arial" w:cs="Arial"/>
                <w:sz w:val="22"/>
                <w:szCs w:val="22"/>
                <w:lang w:eastAsia="en-US"/>
              </w:rPr>
            </w:pPr>
          </w:p>
          <w:p w14:paraId="0C382E23" w14:textId="77777777" w:rsidR="00D81C20" w:rsidRPr="00D81C20" w:rsidRDefault="00D81C20" w:rsidP="00A91894">
            <w:pPr>
              <w:rPr>
                <w:rFonts w:ascii="Arial" w:eastAsia="Calibri" w:hAnsi="Arial" w:cs="Arial"/>
                <w:color w:val="808080"/>
                <w:sz w:val="18"/>
                <w:szCs w:val="18"/>
                <w:lang w:eastAsia="en-US"/>
              </w:rPr>
            </w:pPr>
            <w:r w:rsidRPr="00D81C20">
              <w:rPr>
                <w:rFonts w:ascii="Arial" w:eastAsia="Calibri" w:hAnsi="Arial" w:cs="Arial"/>
                <w:i/>
                <w:color w:val="808080"/>
                <w:sz w:val="18"/>
                <w:szCs w:val="18"/>
                <w:lang w:eastAsia="en-US"/>
              </w:rPr>
              <w:t>(this box should expand as you type)</w:t>
            </w:r>
          </w:p>
        </w:tc>
      </w:tr>
    </w:tbl>
    <w:p w14:paraId="7C528B98" w14:textId="77777777" w:rsidR="00D81C20" w:rsidRPr="00D71982" w:rsidRDefault="00D81C20" w:rsidP="00A91894">
      <w:pPr>
        <w:rPr>
          <w:rFonts w:ascii="Arial" w:hAnsi="Arial" w:cs="Arial"/>
          <w:bCs/>
        </w:rPr>
      </w:pPr>
    </w:p>
    <w:p w14:paraId="05C23A70" w14:textId="77777777" w:rsidR="00D81C20" w:rsidRDefault="00D81C20" w:rsidP="00A91894"/>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1"/>
        <w:gridCol w:w="5603"/>
        <w:gridCol w:w="781"/>
        <w:gridCol w:w="670"/>
        <w:gridCol w:w="781"/>
      </w:tblGrid>
      <w:tr w:rsidR="00D81C20" w:rsidRPr="004C3A0B" w14:paraId="1AEAE7B4" w14:textId="77777777" w:rsidTr="00D81C20">
        <w:tc>
          <w:tcPr>
            <w:tcW w:w="268" w:type="pct"/>
            <w:shd w:val="clear" w:color="auto" w:fill="F2F2F2"/>
            <w:vAlign w:val="center"/>
          </w:tcPr>
          <w:p w14:paraId="074883AD" w14:textId="77777777" w:rsidR="00D81C20" w:rsidRPr="00D81C20" w:rsidRDefault="00D81C20" w:rsidP="00D81C20">
            <w:pPr>
              <w:autoSpaceDE w:val="0"/>
              <w:autoSpaceDN w:val="0"/>
              <w:adjustRightInd w:val="0"/>
              <w:jc w:val="center"/>
              <w:rPr>
                <w:rFonts w:ascii="Arial" w:eastAsia="Calibri" w:hAnsi="Arial" w:cs="Arial"/>
                <w:bCs/>
                <w:sz w:val="22"/>
                <w:szCs w:val="22"/>
                <w:lang w:eastAsia="en-US"/>
              </w:rPr>
            </w:pPr>
          </w:p>
        </w:tc>
        <w:tc>
          <w:tcPr>
            <w:tcW w:w="3380" w:type="pct"/>
            <w:shd w:val="clear" w:color="auto" w:fill="F2F2F2"/>
          </w:tcPr>
          <w:p w14:paraId="03F0450A" w14:textId="77777777" w:rsidR="00D81C20" w:rsidRPr="00D81C20" w:rsidRDefault="00D81C20" w:rsidP="00D81C20">
            <w:pPr>
              <w:autoSpaceDE w:val="0"/>
              <w:autoSpaceDN w:val="0"/>
              <w:adjustRightInd w:val="0"/>
              <w:jc w:val="both"/>
              <w:rPr>
                <w:rFonts w:ascii="Arial" w:eastAsia="Calibri" w:hAnsi="Arial" w:cs="Arial"/>
                <w:b/>
                <w:sz w:val="22"/>
                <w:szCs w:val="22"/>
                <w:lang w:eastAsia="en-US"/>
              </w:rPr>
            </w:pPr>
            <w:r w:rsidRPr="00D81C20">
              <w:rPr>
                <w:rFonts w:ascii="Arial" w:eastAsia="Calibri" w:hAnsi="Arial" w:cs="Arial"/>
                <w:b/>
                <w:sz w:val="22"/>
                <w:szCs w:val="22"/>
                <w:lang w:eastAsia="en-US"/>
              </w:rPr>
              <w:t>Information for participants:</w:t>
            </w:r>
          </w:p>
        </w:tc>
        <w:tc>
          <w:tcPr>
            <w:tcW w:w="473" w:type="pct"/>
            <w:shd w:val="clear" w:color="auto" w:fill="F2F2F2"/>
            <w:vAlign w:val="bottom"/>
          </w:tcPr>
          <w:p w14:paraId="33954529" w14:textId="77777777" w:rsidR="00D81C20" w:rsidRPr="00D81C20" w:rsidRDefault="00D81C20" w:rsidP="00D81C20">
            <w:pPr>
              <w:autoSpaceDE w:val="0"/>
              <w:autoSpaceDN w:val="0"/>
              <w:adjustRightInd w:val="0"/>
              <w:jc w:val="center"/>
              <w:rPr>
                <w:rFonts w:ascii="Arial" w:eastAsia="Calibri" w:hAnsi="Arial" w:cs="Arial"/>
                <w:b/>
                <w:bCs/>
                <w:sz w:val="16"/>
                <w:szCs w:val="16"/>
                <w:lang w:eastAsia="en-US"/>
              </w:rPr>
            </w:pPr>
          </w:p>
          <w:p w14:paraId="008AF60A" w14:textId="77777777" w:rsidR="00D81C20" w:rsidRPr="00D81C20" w:rsidRDefault="00D81C20" w:rsidP="00D81C20">
            <w:pPr>
              <w:autoSpaceDE w:val="0"/>
              <w:autoSpaceDN w:val="0"/>
              <w:adjustRightInd w:val="0"/>
              <w:jc w:val="center"/>
              <w:rPr>
                <w:rFonts w:ascii="Arial" w:eastAsia="Calibri" w:hAnsi="Arial" w:cs="Arial"/>
                <w:b/>
                <w:bCs/>
                <w:sz w:val="22"/>
                <w:szCs w:val="22"/>
                <w:lang w:eastAsia="en-US"/>
              </w:rPr>
            </w:pPr>
            <w:r w:rsidRPr="00D81C20">
              <w:rPr>
                <w:rFonts w:ascii="Arial" w:eastAsia="Calibri" w:hAnsi="Arial" w:cs="Arial"/>
                <w:b/>
                <w:bCs/>
                <w:sz w:val="22"/>
                <w:szCs w:val="22"/>
                <w:lang w:eastAsia="en-US"/>
              </w:rPr>
              <w:t>YES</w:t>
            </w:r>
          </w:p>
        </w:tc>
        <w:tc>
          <w:tcPr>
            <w:tcW w:w="406" w:type="pct"/>
            <w:shd w:val="clear" w:color="auto" w:fill="F2F2F2"/>
            <w:vAlign w:val="bottom"/>
          </w:tcPr>
          <w:p w14:paraId="6E0D7D53" w14:textId="77777777" w:rsidR="00D81C20" w:rsidRPr="00D81C20" w:rsidRDefault="00D81C20" w:rsidP="00D81C20">
            <w:pPr>
              <w:autoSpaceDE w:val="0"/>
              <w:autoSpaceDN w:val="0"/>
              <w:adjustRightInd w:val="0"/>
              <w:jc w:val="center"/>
              <w:rPr>
                <w:rFonts w:ascii="Arial" w:eastAsia="Calibri" w:hAnsi="Arial" w:cs="Arial"/>
                <w:b/>
                <w:bCs/>
                <w:sz w:val="22"/>
                <w:szCs w:val="22"/>
                <w:lang w:eastAsia="en-US"/>
              </w:rPr>
            </w:pPr>
            <w:r w:rsidRPr="00D81C20">
              <w:rPr>
                <w:rFonts w:ascii="Arial" w:eastAsia="Calibri" w:hAnsi="Arial" w:cs="Arial"/>
                <w:b/>
                <w:bCs/>
                <w:sz w:val="22"/>
                <w:szCs w:val="22"/>
                <w:lang w:eastAsia="en-US"/>
              </w:rPr>
              <w:t>NO</w:t>
            </w:r>
          </w:p>
        </w:tc>
        <w:tc>
          <w:tcPr>
            <w:tcW w:w="473" w:type="pct"/>
            <w:shd w:val="clear" w:color="auto" w:fill="F2F2F2"/>
          </w:tcPr>
          <w:p w14:paraId="168DD2FD" w14:textId="77777777" w:rsidR="00D81C20" w:rsidRPr="00D81C20" w:rsidRDefault="00D81C20" w:rsidP="00D81C20">
            <w:pPr>
              <w:autoSpaceDE w:val="0"/>
              <w:autoSpaceDN w:val="0"/>
              <w:adjustRightInd w:val="0"/>
              <w:jc w:val="center"/>
              <w:rPr>
                <w:rFonts w:ascii="Arial" w:eastAsia="Calibri" w:hAnsi="Arial" w:cs="Arial"/>
                <w:b/>
                <w:bCs/>
                <w:sz w:val="16"/>
                <w:szCs w:val="16"/>
                <w:lang w:eastAsia="en-US"/>
              </w:rPr>
            </w:pPr>
          </w:p>
          <w:p w14:paraId="59E40043" w14:textId="77777777" w:rsidR="00D81C20" w:rsidRPr="00D81C20" w:rsidRDefault="00D81C20" w:rsidP="00D81C20">
            <w:pPr>
              <w:autoSpaceDE w:val="0"/>
              <w:autoSpaceDN w:val="0"/>
              <w:adjustRightInd w:val="0"/>
              <w:jc w:val="center"/>
              <w:rPr>
                <w:rFonts w:ascii="Arial" w:eastAsia="Calibri" w:hAnsi="Arial" w:cs="Arial"/>
                <w:b/>
                <w:bCs/>
                <w:sz w:val="22"/>
                <w:szCs w:val="22"/>
                <w:lang w:eastAsia="en-US"/>
              </w:rPr>
            </w:pPr>
            <w:r w:rsidRPr="00D81C20">
              <w:rPr>
                <w:rFonts w:ascii="Arial" w:eastAsia="Calibri" w:hAnsi="Arial" w:cs="Arial"/>
                <w:b/>
                <w:bCs/>
                <w:sz w:val="22"/>
                <w:szCs w:val="22"/>
                <w:lang w:eastAsia="en-US"/>
              </w:rPr>
              <w:t>N/A</w:t>
            </w:r>
          </w:p>
        </w:tc>
      </w:tr>
      <w:tr w:rsidR="00D81C20" w:rsidRPr="004C3A0B" w14:paraId="72DDF7FF" w14:textId="77777777" w:rsidTr="00D81C20">
        <w:trPr>
          <w:trHeight w:val="439"/>
        </w:trPr>
        <w:tc>
          <w:tcPr>
            <w:tcW w:w="268" w:type="pct"/>
            <w:shd w:val="clear" w:color="auto" w:fill="F2F2F2"/>
            <w:vAlign w:val="center"/>
          </w:tcPr>
          <w:p w14:paraId="40C7A44E" w14:textId="77777777" w:rsidR="00D81C20" w:rsidRPr="00D81C20" w:rsidRDefault="00D81C20" w:rsidP="00D81C20">
            <w:pPr>
              <w:autoSpaceDE w:val="0"/>
              <w:autoSpaceDN w:val="0"/>
              <w:adjustRightInd w:val="0"/>
              <w:jc w:val="center"/>
              <w:rPr>
                <w:rFonts w:ascii="Arial" w:eastAsia="Calibri" w:hAnsi="Arial" w:cs="Arial"/>
                <w:sz w:val="22"/>
                <w:szCs w:val="22"/>
                <w:lang w:eastAsia="en-US"/>
              </w:rPr>
            </w:pPr>
            <w:r w:rsidRPr="00D81C20">
              <w:rPr>
                <w:rFonts w:ascii="Arial" w:eastAsia="Calibri" w:hAnsi="Arial" w:cs="Arial"/>
                <w:sz w:val="22"/>
                <w:szCs w:val="22"/>
                <w:lang w:eastAsia="en-US"/>
              </w:rPr>
              <w:t>13</w:t>
            </w:r>
          </w:p>
        </w:tc>
        <w:tc>
          <w:tcPr>
            <w:tcW w:w="3380" w:type="pct"/>
            <w:shd w:val="clear" w:color="auto" w:fill="F2F2F2"/>
            <w:vAlign w:val="center"/>
          </w:tcPr>
          <w:p w14:paraId="45F71BDA" w14:textId="77777777" w:rsidR="00D81C20" w:rsidRPr="00D81C20" w:rsidRDefault="00D81C20" w:rsidP="00D81C20">
            <w:pPr>
              <w:autoSpaceDE w:val="0"/>
              <w:autoSpaceDN w:val="0"/>
              <w:adjustRightInd w:val="0"/>
              <w:rPr>
                <w:rFonts w:ascii="Arial" w:eastAsia="Calibri" w:hAnsi="Arial" w:cs="Arial"/>
                <w:sz w:val="22"/>
                <w:szCs w:val="22"/>
                <w:lang w:eastAsia="en-US"/>
              </w:rPr>
            </w:pPr>
            <w:r w:rsidRPr="00D81C20">
              <w:rPr>
                <w:rFonts w:ascii="Arial" w:eastAsia="Calibri" w:hAnsi="Arial" w:cs="Arial"/>
                <w:sz w:val="22"/>
                <w:szCs w:val="22"/>
                <w:lang w:eastAsia="en-US"/>
              </w:rPr>
              <w:t>Will you describe the main research procedures to participants in advance, so that they are informed about what to expect?</w:t>
            </w:r>
          </w:p>
        </w:tc>
        <w:tc>
          <w:tcPr>
            <w:tcW w:w="473" w:type="pct"/>
            <w:shd w:val="clear" w:color="auto" w:fill="BFBFBF"/>
            <w:vAlign w:val="center"/>
          </w:tcPr>
          <w:p w14:paraId="33F45A08" w14:textId="0E80A9E4" w:rsidR="00D81C20" w:rsidRPr="00D81C20" w:rsidRDefault="00D81C20" w:rsidP="00D81C20">
            <w:pPr>
              <w:autoSpaceDE w:val="0"/>
              <w:autoSpaceDN w:val="0"/>
              <w:adjustRightInd w:val="0"/>
              <w:jc w:val="center"/>
              <w:rPr>
                <w:rFonts w:ascii="Arial" w:eastAsia="Calibri" w:hAnsi="Arial" w:cs="Arial"/>
                <w:sz w:val="22"/>
                <w:szCs w:val="22"/>
                <w:lang w:eastAsia="en-US"/>
              </w:rPr>
            </w:pPr>
            <w:r w:rsidRPr="00D81C20">
              <w:rPr>
                <w:rFonts w:ascii="MS Gothic" w:eastAsia="MS Gothic" w:hAnsi="MS Gothic" w:cs="Arial" w:hint="eastAsia"/>
                <w:sz w:val="22"/>
                <w:szCs w:val="22"/>
                <w:lang w:eastAsia="en-US"/>
              </w:rPr>
              <w:t>☐</w:t>
            </w:r>
          </w:p>
        </w:tc>
        <w:tc>
          <w:tcPr>
            <w:tcW w:w="406" w:type="pct"/>
            <w:shd w:val="clear" w:color="auto" w:fill="BFBFBF"/>
            <w:vAlign w:val="center"/>
          </w:tcPr>
          <w:p w14:paraId="402EA498" w14:textId="24ACF7F3" w:rsidR="00D81C20" w:rsidRPr="00D81C20" w:rsidRDefault="00D81C20" w:rsidP="00D81C20">
            <w:pPr>
              <w:autoSpaceDE w:val="0"/>
              <w:autoSpaceDN w:val="0"/>
              <w:adjustRightInd w:val="0"/>
              <w:jc w:val="center"/>
              <w:rPr>
                <w:rFonts w:ascii="Arial" w:eastAsia="Calibri" w:hAnsi="Arial" w:cs="Arial"/>
                <w:sz w:val="22"/>
                <w:szCs w:val="22"/>
                <w:lang w:eastAsia="en-US"/>
              </w:rPr>
            </w:pPr>
            <w:r w:rsidRPr="00D81C20">
              <w:rPr>
                <w:rFonts w:ascii="MS Gothic" w:eastAsia="MS Gothic" w:hAnsi="MS Gothic" w:cs="Arial" w:hint="eastAsia"/>
                <w:sz w:val="22"/>
                <w:szCs w:val="22"/>
                <w:lang w:eastAsia="en-US"/>
              </w:rPr>
              <w:t>☐</w:t>
            </w:r>
          </w:p>
        </w:tc>
        <w:tc>
          <w:tcPr>
            <w:tcW w:w="473" w:type="pct"/>
            <w:shd w:val="clear" w:color="auto" w:fill="BFBFBF"/>
            <w:vAlign w:val="center"/>
          </w:tcPr>
          <w:p w14:paraId="586D4431" w14:textId="2CE0B097" w:rsidR="00D81C20" w:rsidRPr="00D81C20" w:rsidRDefault="00D81C20" w:rsidP="00D81C20">
            <w:pPr>
              <w:autoSpaceDE w:val="0"/>
              <w:autoSpaceDN w:val="0"/>
              <w:adjustRightInd w:val="0"/>
              <w:jc w:val="center"/>
              <w:rPr>
                <w:rFonts w:ascii="Arial" w:eastAsia="Calibri" w:hAnsi="Arial" w:cs="Arial"/>
                <w:sz w:val="22"/>
                <w:szCs w:val="22"/>
                <w:lang w:eastAsia="en-US"/>
              </w:rPr>
            </w:pPr>
            <w:r w:rsidRPr="00D81C20">
              <w:rPr>
                <w:rFonts w:ascii="MS Gothic" w:eastAsia="MS Gothic" w:hAnsi="MS Gothic" w:cs="Arial" w:hint="eastAsia"/>
                <w:sz w:val="22"/>
                <w:szCs w:val="22"/>
                <w:lang w:eastAsia="en-US"/>
              </w:rPr>
              <w:t>☒</w:t>
            </w:r>
          </w:p>
        </w:tc>
      </w:tr>
      <w:tr w:rsidR="00D81C20" w:rsidRPr="004C3A0B" w14:paraId="5A514641" w14:textId="77777777" w:rsidTr="00D81C20">
        <w:trPr>
          <w:trHeight w:val="403"/>
        </w:trPr>
        <w:tc>
          <w:tcPr>
            <w:tcW w:w="268" w:type="pct"/>
            <w:shd w:val="clear" w:color="auto" w:fill="F2F2F2"/>
            <w:vAlign w:val="center"/>
          </w:tcPr>
          <w:p w14:paraId="487FD691" w14:textId="77777777" w:rsidR="00D81C20" w:rsidRPr="00D81C20" w:rsidRDefault="00D81C20" w:rsidP="00D81C20">
            <w:pPr>
              <w:autoSpaceDE w:val="0"/>
              <w:autoSpaceDN w:val="0"/>
              <w:adjustRightInd w:val="0"/>
              <w:jc w:val="center"/>
              <w:rPr>
                <w:rFonts w:ascii="Arial" w:eastAsia="Calibri" w:hAnsi="Arial" w:cs="Arial"/>
                <w:sz w:val="22"/>
                <w:szCs w:val="22"/>
                <w:lang w:eastAsia="en-US"/>
              </w:rPr>
            </w:pPr>
            <w:r w:rsidRPr="00D81C20">
              <w:rPr>
                <w:rFonts w:ascii="Arial" w:eastAsia="Calibri" w:hAnsi="Arial" w:cs="Arial"/>
                <w:sz w:val="22"/>
                <w:szCs w:val="22"/>
                <w:lang w:eastAsia="en-US"/>
              </w:rPr>
              <w:t>14</w:t>
            </w:r>
          </w:p>
        </w:tc>
        <w:tc>
          <w:tcPr>
            <w:tcW w:w="3380" w:type="pct"/>
            <w:shd w:val="clear" w:color="auto" w:fill="F2F2F2"/>
            <w:vAlign w:val="center"/>
          </w:tcPr>
          <w:p w14:paraId="6B5745ED" w14:textId="77777777" w:rsidR="00D81C20" w:rsidRPr="00D81C20" w:rsidRDefault="00D81C20" w:rsidP="00D81C20">
            <w:pPr>
              <w:autoSpaceDE w:val="0"/>
              <w:autoSpaceDN w:val="0"/>
              <w:adjustRightInd w:val="0"/>
              <w:rPr>
                <w:rFonts w:ascii="Arial" w:eastAsia="Calibri" w:hAnsi="Arial" w:cs="Arial"/>
                <w:sz w:val="22"/>
                <w:szCs w:val="22"/>
                <w:lang w:eastAsia="en-US"/>
              </w:rPr>
            </w:pPr>
            <w:r w:rsidRPr="00D81C20">
              <w:rPr>
                <w:rFonts w:ascii="Arial" w:eastAsia="Calibri" w:hAnsi="Arial" w:cs="Arial"/>
                <w:sz w:val="22"/>
                <w:szCs w:val="22"/>
                <w:lang w:eastAsia="en-US"/>
              </w:rPr>
              <w:t>Will you tell participants that their participation is voluntary?</w:t>
            </w:r>
          </w:p>
        </w:tc>
        <w:tc>
          <w:tcPr>
            <w:tcW w:w="473" w:type="pct"/>
            <w:shd w:val="clear" w:color="auto" w:fill="BFBFBF"/>
            <w:vAlign w:val="center"/>
          </w:tcPr>
          <w:p w14:paraId="0E22795B" w14:textId="044E9F7D" w:rsidR="00D81C20" w:rsidRPr="00D81C20" w:rsidRDefault="00D81C20" w:rsidP="00D81C20">
            <w:pPr>
              <w:autoSpaceDE w:val="0"/>
              <w:autoSpaceDN w:val="0"/>
              <w:adjustRightInd w:val="0"/>
              <w:jc w:val="center"/>
              <w:rPr>
                <w:rFonts w:ascii="Arial" w:eastAsia="Calibri" w:hAnsi="Arial" w:cs="Arial"/>
                <w:sz w:val="22"/>
                <w:szCs w:val="22"/>
                <w:lang w:eastAsia="en-US"/>
              </w:rPr>
            </w:pPr>
            <w:r w:rsidRPr="00D81C20">
              <w:rPr>
                <w:rFonts w:ascii="MS Gothic" w:eastAsia="MS Gothic" w:hAnsi="MS Gothic" w:cs="Arial" w:hint="eastAsia"/>
                <w:sz w:val="22"/>
                <w:szCs w:val="22"/>
                <w:lang w:eastAsia="en-US"/>
              </w:rPr>
              <w:t>☐</w:t>
            </w:r>
          </w:p>
        </w:tc>
        <w:tc>
          <w:tcPr>
            <w:tcW w:w="406" w:type="pct"/>
            <w:shd w:val="clear" w:color="auto" w:fill="BFBFBF"/>
            <w:vAlign w:val="center"/>
          </w:tcPr>
          <w:p w14:paraId="5B964D08" w14:textId="0487CA4B" w:rsidR="00D81C20" w:rsidRPr="00D81C20" w:rsidRDefault="00D81C20" w:rsidP="00D81C20">
            <w:pPr>
              <w:autoSpaceDE w:val="0"/>
              <w:autoSpaceDN w:val="0"/>
              <w:adjustRightInd w:val="0"/>
              <w:jc w:val="center"/>
              <w:rPr>
                <w:rFonts w:ascii="Arial" w:eastAsia="Calibri" w:hAnsi="Arial" w:cs="Arial"/>
                <w:sz w:val="22"/>
                <w:szCs w:val="22"/>
                <w:lang w:eastAsia="en-US"/>
              </w:rPr>
            </w:pPr>
            <w:r w:rsidRPr="00D81C20">
              <w:rPr>
                <w:rFonts w:ascii="MS Gothic" w:eastAsia="MS Gothic" w:hAnsi="MS Gothic" w:cs="Arial" w:hint="eastAsia"/>
                <w:sz w:val="22"/>
                <w:szCs w:val="22"/>
                <w:lang w:eastAsia="en-US"/>
              </w:rPr>
              <w:t>☐</w:t>
            </w:r>
          </w:p>
        </w:tc>
        <w:tc>
          <w:tcPr>
            <w:tcW w:w="473" w:type="pct"/>
            <w:shd w:val="clear" w:color="auto" w:fill="BFBFBF"/>
            <w:vAlign w:val="center"/>
          </w:tcPr>
          <w:p w14:paraId="301615DB" w14:textId="667D15D1" w:rsidR="00D81C20" w:rsidRPr="00D81C20" w:rsidRDefault="00D81C20" w:rsidP="00D81C20">
            <w:pPr>
              <w:autoSpaceDE w:val="0"/>
              <w:autoSpaceDN w:val="0"/>
              <w:adjustRightInd w:val="0"/>
              <w:jc w:val="center"/>
              <w:rPr>
                <w:rFonts w:ascii="Arial" w:eastAsia="Calibri" w:hAnsi="Arial" w:cs="Arial"/>
                <w:sz w:val="22"/>
                <w:szCs w:val="22"/>
                <w:lang w:eastAsia="en-US"/>
              </w:rPr>
            </w:pPr>
            <w:r w:rsidRPr="00D81C20">
              <w:rPr>
                <w:rFonts w:ascii="MS Gothic" w:eastAsia="MS Gothic" w:hAnsi="MS Gothic" w:cs="Arial" w:hint="eastAsia"/>
                <w:sz w:val="22"/>
                <w:szCs w:val="22"/>
                <w:lang w:eastAsia="en-US"/>
              </w:rPr>
              <w:t>☒</w:t>
            </w:r>
          </w:p>
        </w:tc>
      </w:tr>
      <w:tr w:rsidR="00D81C20" w:rsidRPr="004C3A0B" w14:paraId="09C18BA3" w14:textId="77777777" w:rsidTr="00D81C20">
        <w:trPr>
          <w:trHeight w:val="439"/>
        </w:trPr>
        <w:tc>
          <w:tcPr>
            <w:tcW w:w="268" w:type="pct"/>
            <w:shd w:val="clear" w:color="auto" w:fill="F2F2F2"/>
            <w:vAlign w:val="center"/>
          </w:tcPr>
          <w:p w14:paraId="7B010154" w14:textId="77777777" w:rsidR="00D81C20" w:rsidRPr="00D81C20" w:rsidRDefault="00D81C20" w:rsidP="00D81C20">
            <w:pPr>
              <w:autoSpaceDE w:val="0"/>
              <w:autoSpaceDN w:val="0"/>
              <w:adjustRightInd w:val="0"/>
              <w:jc w:val="center"/>
              <w:rPr>
                <w:rFonts w:ascii="Arial" w:eastAsia="Calibri" w:hAnsi="Arial" w:cs="Arial"/>
                <w:sz w:val="22"/>
                <w:szCs w:val="22"/>
                <w:lang w:eastAsia="en-US"/>
              </w:rPr>
            </w:pPr>
            <w:r w:rsidRPr="00D81C20">
              <w:rPr>
                <w:rFonts w:ascii="Arial" w:eastAsia="Calibri" w:hAnsi="Arial" w:cs="Arial"/>
                <w:sz w:val="22"/>
                <w:szCs w:val="22"/>
                <w:lang w:eastAsia="en-US"/>
              </w:rPr>
              <w:t>15</w:t>
            </w:r>
          </w:p>
        </w:tc>
        <w:tc>
          <w:tcPr>
            <w:tcW w:w="3380" w:type="pct"/>
            <w:shd w:val="clear" w:color="auto" w:fill="F2F2F2"/>
            <w:vAlign w:val="center"/>
          </w:tcPr>
          <w:p w14:paraId="709CEBEC" w14:textId="77777777" w:rsidR="00D81C20" w:rsidRPr="00D81C20" w:rsidRDefault="00D81C20" w:rsidP="00D81C20">
            <w:pPr>
              <w:autoSpaceDE w:val="0"/>
              <w:autoSpaceDN w:val="0"/>
              <w:adjustRightInd w:val="0"/>
              <w:rPr>
                <w:rFonts w:ascii="Arial" w:eastAsia="Calibri" w:hAnsi="Arial" w:cs="Arial"/>
                <w:sz w:val="22"/>
                <w:szCs w:val="22"/>
                <w:lang w:eastAsia="en-US"/>
              </w:rPr>
            </w:pPr>
            <w:r w:rsidRPr="00D81C20">
              <w:rPr>
                <w:rFonts w:ascii="Arial" w:eastAsia="Calibri" w:hAnsi="Arial" w:cs="Arial"/>
                <w:sz w:val="22"/>
                <w:szCs w:val="22"/>
                <w:lang w:eastAsia="en-US"/>
              </w:rPr>
              <w:t>Will you obtain written consent for participation?</w:t>
            </w:r>
          </w:p>
        </w:tc>
        <w:tc>
          <w:tcPr>
            <w:tcW w:w="473" w:type="pct"/>
            <w:shd w:val="clear" w:color="auto" w:fill="BFBFBF"/>
            <w:vAlign w:val="center"/>
          </w:tcPr>
          <w:p w14:paraId="4F13B90A" w14:textId="6DE11B56" w:rsidR="00D81C20" w:rsidRPr="00D81C20" w:rsidRDefault="00D81C20" w:rsidP="00D81C20">
            <w:pPr>
              <w:autoSpaceDE w:val="0"/>
              <w:autoSpaceDN w:val="0"/>
              <w:adjustRightInd w:val="0"/>
              <w:jc w:val="center"/>
              <w:rPr>
                <w:rFonts w:ascii="Arial" w:eastAsia="Calibri" w:hAnsi="Arial" w:cs="Arial"/>
                <w:sz w:val="22"/>
                <w:szCs w:val="22"/>
                <w:lang w:eastAsia="en-US"/>
              </w:rPr>
            </w:pPr>
            <w:r w:rsidRPr="00D81C20">
              <w:rPr>
                <w:rFonts w:ascii="MS Gothic" w:eastAsia="MS Gothic" w:hAnsi="MS Gothic" w:cs="Arial" w:hint="eastAsia"/>
                <w:sz w:val="22"/>
                <w:szCs w:val="22"/>
                <w:lang w:eastAsia="en-US"/>
              </w:rPr>
              <w:t>☐</w:t>
            </w:r>
          </w:p>
        </w:tc>
        <w:tc>
          <w:tcPr>
            <w:tcW w:w="406" w:type="pct"/>
            <w:shd w:val="clear" w:color="auto" w:fill="BFBFBF"/>
            <w:vAlign w:val="center"/>
          </w:tcPr>
          <w:p w14:paraId="42AE9BA9" w14:textId="283E3EBF" w:rsidR="00D81C20" w:rsidRPr="00D81C20" w:rsidRDefault="00D81C20" w:rsidP="00D81C20">
            <w:pPr>
              <w:autoSpaceDE w:val="0"/>
              <w:autoSpaceDN w:val="0"/>
              <w:adjustRightInd w:val="0"/>
              <w:jc w:val="center"/>
              <w:rPr>
                <w:rFonts w:ascii="Arial" w:eastAsia="Calibri" w:hAnsi="Arial" w:cs="Arial"/>
                <w:sz w:val="22"/>
                <w:szCs w:val="22"/>
                <w:lang w:eastAsia="en-US"/>
              </w:rPr>
            </w:pPr>
            <w:r w:rsidRPr="00D81C20">
              <w:rPr>
                <w:rFonts w:ascii="MS Gothic" w:eastAsia="MS Gothic" w:hAnsi="MS Gothic" w:cs="Arial" w:hint="eastAsia"/>
                <w:sz w:val="22"/>
                <w:szCs w:val="22"/>
                <w:lang w:eastAsia="en-US"/>
              </w:rPr>
              <w:t>☐</w:t>
            </w:r>
          </w:p>
        </w:tc>
        <w:tc>
          <w:tcPr>
            <w:tcW w:w="473" w:type="pct"/>
            <w:shd w:val="clear" w:color="auto" w:fill="BFBFBF"/>
            <w:vAlign w:val="center"/>
          </w:tcPr>
          <w:p w14:paraId="3F9672DE" w14:textId="28EA04DC" w:rsidR="00D81C20" w:rsidRPr="00D81C20" w:rsidRDefault="00D81C20" w:rsidP="00D81C20">
            <w:pPr>
              <w:autoSpaceDE w:val="0"/>
              <w:autoSpaceDN w:val="0"/>
              <w:adjustRightInd w:val="0"/>
              <w:jc w:val="center"/>
              <w:rPr>
                <w:rFonts w:ascii="Arial" w:eastAsia="Calibri" w:hAnsi="Arial" w:cs="Arial"/>
                <w:sz w:val="22"/>
                <w:szCs w:val="22"/>
                <w:lang w:eastAsia="en-US"/>
              </w:rPr>
            </w:pPr>
            <w:r w:rsidRPr="00D81C20">
              <w:rPr>
                <w:rFonts w:ascii="MS Gothic" w:eastAsia="MS Gothic" w:hAnsi="MS Gothic" w:cs="Arial" w:hint="eastAsia"/>
                <w:sz w:val="22"/>
                <w:szCs w:val="22"/>
                <w:lang w:eastAsia="en-US"/>
              </w:rPr>
              <w:t>☒</w:t>
            </w:r>
          </w:p>
        </w:tc>
      </w:tr>
      <w:tr w:rsidR="00D81C20" w:rsidRPr="004C3A0B" w14:paraId="14F772F1" w14:textId="77777777" w:rsidTr="00D81C20">
        <w:trPr>
          <w:trHeight w:val="403"/>
        </w:trPr>
        <w:tc>
          <w:tcPr>
            <w:tcW w:w="268" w:type="pct"/>
            <w:shd w:val="clear" w:color="auto" w:fill="F2F2F2"/>
            <w:vAlign w:val="center"/>
          </w:tcPr>
          <w:p w14:paraId="6116AFA6" w14:textId="77777777" w:rsidR="00D81C20" w:rsidRPr="00D81C20" w:rsidRDefault="00D81C20" w:rsidP="00D81C20">
            <w:pPr>
              <w:autoSpaceDE w:val="0"/>
              <w:autoSpaceDN w:val="0"/>
              <w:adjustRightInd w:val="0"/>
              <w:jc w:val="center"/>
              <w:rPr>
                <w:rFonts w:ascii="Arial" w:eastAsia="Calibri" w:hAnsi="Arial" w:cs="Arial"/>
                <w:sz w:val="22"/>
                <w:szCs w:val="22"/>
                <w:lang w:eastAsia="en-US"/>
              </w:rPr>
            </w:pPr>
            <w:r w:rsidRPr="00D81C20">
              <w:rPr>
                <w:rFonts w:ascii="Arial" w:eastAsia="Calibri" w:hAnsi="Arial" w:cs="Arial"/>
                <w:sz w:val="22"/>
                <w:szCs w:val="22"/>
                <w:lang w:eastAsia="en-US"/>
              </w:rPr>
              <w:t>16</w:t>
            </w:r>
          </w:p>
        </w:tc>
        <w:tc>
          <w:tcPr>
            <w:tcW w:w="3380" w:type="pct"/>
            <w:shd w:val="clear" w:color="auto" w:fill="F2F2F2"/>
            <w:vAlign w:val="center"/>
          </w:tcPr>
          <w:p w14:paraId="3E5D5F6D" w14:textId="77777777" w:rsidR="00D81C20" w:rsidRPr="00D81C20" w:rsidRDefault="00D81C20" w:rsidP="00D81C20">
            <w:pPr>
              <w:autoSpaceDE w:val="0"/>
              <w:autoSpaceDN w:val="0"/>
              <w:adjustRightInd w:val="0"/>
              <w:rPr>
                <w:rFonts w:ascii="Arial" w:eastAsia="Calibri" w:hAnsi="Arial" w:cs="Arial"/>
                <w:sz w:val="22"/>
                <w:szCs w:val="22"/>
                <w:lang w:eastAsia="en-US"/>
              </w:rPr>
            </w:pPr>
            <w:r w:rsidRPr="00D81C20">
              <w:rPr>
                <w:rFonts w:ascii="Arial" w:eastAsia="Calibri" w:hAnsi="Arial" w:cs="Arial"/>
                <w:sz w:val="22"/>
                <w:szCs w:val="22"/>
                <w:lang w:eastAsia="en-US"/>
              </w:rPr>
              <w:t>Will you explain to participants that refusal to participate in the research will not affect their treatment or education (if relevant)?</w:t>
            </w:r>
          </w:p>
        </w:tc>
        <w:tc>
          <w:tcPr>
            <w:tcW w:w="473" w:type="pct"/>
            <w:shd w:val="clear" w:color="auto" w:fill="BFBFBF"/>
            <w:vAlign w:val="center"/>
          </w:tcPr>
          <w:p w14:paraId="1F22B68F" w14:textId="05E7DC28" w:rsidR="00D81C20" w:rsidRPr="00D81C20" w:rsidRDefault="00D81C20" w:rsidP="00D81C20">
            <w:pPr>
              <w:autoSpaceDE w:val="0"/>
              <w:autoSpaceDN w:val="0"/>
              <w:adjustRightInd w:val="0"/>
              <w:jc w:val="center"/>
              <w:rPr>
                <w:rFonts w:ascii="Arial" w:eastAsia="Calibri" w:hAnsi="Arial" w:cs="Arial"/>
                <w:sz w:val="22"/>
                <w:szCs w:val="22"/>
                <w:lang w:eastAsia="en-US"/>
              </w:rPr>
            </w:pPr>
            <w:r w:rsidRPr="00D81C20">
              <w:rPr>
                <w:rFonts w:ascii="MS Gothic" w:eastAsia="MS Gothic" w:hAnsi="MS Gothic" w:cs="Arial" w:hint="eastAsia"/>
                <w:sz w:val="22"/>
                <w:szCs w:val="22"/>
                <w:lang w:eastAsia="en-US"/>
              </w:rPr>
              <w:t>☐</w:t>
            </w:r>
          </w:p>
        </w:tc>
        <w:tc>
          <w:tcPr>
            <w:tcW w:w="406" w:type="pct"/>
            <w:shd w:val="clear" w:color="auto" w:fill="BFBFBF"/>
            <w:vAlign w:val="center"/>
          </w:tcPr>
          <w:p w14:paraId="11C25D40" w14:textId="1F16E039" w:rsidR="00D81C20" w:rsidRPr="00D81C20" w:rsidRDefault="00D81C20" w:rsidP="00D81C20">
            <w:pPr>
              <w:autoSpaceDE w:val="0"/>
              <w:autoSpaceDN w:val="0"/>
              <w:adjustRightInd w:val="0"/>
              <w:jc w:val="center"/>
              <w:rPr>
                <w:rFonts w:ascii="Arial" w:eastAsia="Calibri" w:hAnsi="Arial" w:cs="Arial"/>
                <w:sz w:val="22"/>
                <w:szCs w:val="22"/>
                <w:lang w:eastAsia="en-US"/>
              </w:rPr>
            </w:pPr>
            <w:r w:rsidRPr="00D81C20">
              <w:rPr>
                <w:rFonts w:ascii="MS Gothic" w:eastAsia="MS Gothic" w:hAnsi="MS Gothic" w:cs="Arial" w:hint="eastAsia"/>
                <w:sz w:val="22"/>
                <w:szCs w:val="22"/>
                <w:lang w:eastAsia="en-US"/>
              </w:rPr>
              <w:t>☐</w:t>
            </w:r>
          </w:p>
        </w:tc>
        <w:tc>
          <w:tcPr>
            <w:tcW w:w="473" w:type="pct"/>
            <w:shd w:val="clear" w:color="auto" w:fill="BFBFBF"/>
            <w:vAlign w:val="center"/>
          </w:tcPr>
          <w:p w14:paraId="688016CC" w14:textId="7DE677DE" w:rsidR="00D81C20" w:rsidRPr="00D81C20" w:rsidRDefault="00D81C20" w:rsidP="00D81C20">
            <w:pPr>
              <w:autoSpaceDE w:val="0"/>
              <w:autoSpaceDN w:val="0"/>
              <w:adjustRightInd w:val="0"/>
              <w:jc w:val="center"/>
              <w:rPr>
                <w:rFonts w:ascii="Arial" w:eastAsia="Calibri" w:hAnsi="Arial" w:cs="Arial"/>
                <w:sz w:val="22"/>
                <w:szCs w:val="22"/>
                <w:lang w:eastAsia="en-US"/>
              </w:rPr>
            </w:pPr>
            <w:r w:rsidRPr="00D81C20">
              <w:rPr>
                <w:rFonts w:ascii="MS Gothic" w:eastAsia="MS Gothic" w:hAnsi="MS Gothic" w:cs="Arial" w:hint="eastAsia"/>
                <w:sz w:val="22"/>
                <w:szCs w:val="22"/>
                <w:lang w:eastAsia="en-US"/>
              </w:rPr>
              <w:t>☒</w:t>
            </w:r>
          </w:p>
        </w:tc>
      </w:tr>
      <w:tr w:rsidR="00D81C20" w:rsidRPr="004C3A0B" w14:paraId="109D9D9C" w14:textId="77777777" w:rsidTr="00D81C20">
        <w:trPr>
          <w:trHeight w:val="439"/>
        </w:trPr>
        <w:tc>
          <w:tcPr>
            <w:tcW w:w="268" w:type="pct"/>
            <w:shd w:val="clear" w:color="auto" w:fill="F2F2F2"/>
            <w:vAlign w:val="center"/>
          </w:tcPr>
          <w:p w14:paraId="7401516D" w14:textId="77777777" w:rsidR="00D81C20" w:rsidRPr="00D81C20" w:rsidRDefault="00D81C20" w:rsidP="00D81C20">
            <w:pPr>
              <w:autoSpaceDE w:val="0"/>
              <w:autoSpaceDN w:val="0"/>
              <w:adjustRightInd w:val="0"/>
              <w:jc w:val="center"/>
              <w:rPr>
                <w:rFonts w:ascii="Arial" w:eastAsia="Calibri" w:hAnsi="Arial" w:cs="Arial"/>
                <w:sz w:val="22"/>
                <w:szCs w:val="22"/>
                <w:lang w:eastAsia="en-US"/>
              </w:rPr>
            </w:pPr>
            <w:r w:rsidRPr="00D81C20">
              <w:rPr>
                <w:rFonts w:ascii="Arial" w:eastAsia="Calibri" w:hAnsi="Arial" w:cs="Arial"/>
                <w:sz w:val="22"/>
                <w:szCs w:val="22"/>
                <w:lang w:eastAsia="en-US"/>
              </w:rPr>
              <w:t>17</w:t>
            </w:r>
          </w:p>
        </w:tc>
        <w:tc>
          <w:tcPr>
            <w:tcW w:w="3380" w:type="pct"/>
            <w:shd w:val="clear" w:color="auto" w:fill="F2F2F2"/>
            <w:vAlign w:val="center"/>
          </w:tcPr>
          <w:p w14:paraId="719DC68B" w14:textId="77777777" w:rsidR="00D81C20" w:rsidRPr="00D81C20" w:rsidRDefault="00D81C20" w:rsidP="00D81C20">
            <w:pPr>
              <w:autoSpaceDE w:val="0"/>
              <w:autoSpaceDN w:val="0"/>
              <w:adjustRightInd w:val="0"/>
              <w:rPr>
                <w:rFonts w:ascii="Arial" w:eastAsia="Calibri" w:hAnsi="Arial" w:cs="Arial"/>
                <w:sz w:val="22"/>
                <w:szCs w:val="22"/>
                <w:lang w:eastAsia="en-US"/>
              </w:rPr>
            </w:pPr>
            <w:r w:rsidRPr="00D81C20">
              <w:rPr>
                <w:rFonts w:ascii="Arial" w:eastAsia="Calibri" w:hAnsi="Arial" w:cs="Arial"/>
                <w:sz w:val="22"/>
                <w:szCs w:val="22"/>
                <w:lang w:eastAsia="en-US"/>
              </w:rPr>
              <w:t>If the research is observational, will you ask participants for their consent to being observed?</w:t>
            </w:r>
          </w:p>
        </w:tc>
        <w:tc>
          <w:tcPr>
            <w:tcW w:w="473" w:type="pct"/>
            <w:shd w:val="clear" w:color="auto" w:fill="BFBFBF"/>
            <w:vAlign w:val="center"/>
          </w:tcPr>
          <w:p w14:paraId="4CD6BDC1" w14:textId="7449442D" w:rsidR="00D81C20" w:rsidRPr="00D81C20" w:rsidRDefault="00D81C20" w:rsidP="00D81C20">
            <w:pPr>
              <w:autoSpaceDE w:val="0"/>
              <w:autoSpaceDN w:val="0"/>
              <w:adjustRightInd w:val="0"/>
              <w:jc w:val="center"/>
              <w:rPr>
                <w:rFonts w:ascii="Arial" w:eastAsia="Calibri" w:hAnsi="Arial" w:cs="Arial"/>
                <w:sz w:val="22"/>
                <w:szCs w:val="22"/>
                <w:lang w:eastAsia="en-US"/>
              </w:rPr>
            </w:pPr>
            <w:r w:rsidRPr="00D81C20">
              <w:rPr>
                <w:rFonts w:ascii="MS Gothic" w:eastAsia="MS Gothic" w:hAnsi="MS Gothic" w:cs="Arial" w:hint="eastAsia"/>
                <w:sz w:val="22"/>
                <w:szCs w:val="22"/>
                <w:lang w:eastAsia="en-US"/>
              </w:rPr>
              <w:t>☐</w:t>
            </w:r>
          </w:p>
        </w:tc>
        <w:tc>
          <w:tcPr>
            <w:tcW w:w="406" w:type="pct"/>
            <w:shd w:val="clear" w:color="auto" w:fill="BFBFBF"/>
            <w:vAlign w:val="center"/>
          </w:tcPr>
          <w:p w14:paraId="653A674F" w14:textId="31764264" w:rsidR="00D81C20" w:rsidRPr="00D81C20" w:rsidRDefault="00D81C20" w:rsidP="00D81C20">
            <w:pPr>
              <w:autoSpaceDE w:val="0"/>
              <w:autoSpaceDN w:val="0"/>
              <w:adjustRightInd w:val="0"/>
              <w:jc w:val="center"/>
              <w:rPr>
                <w:rFonts w:ascii="Arial" w:eastAsia="Calibri" w:hAnsi="Arial" w:cs="Arial"/>
                <w:sz w:val="22"/>
                <w:szCs w:val="22"/>
                <w:lang w:eastAsia="en-US"/>
              </w:rPr>
            </w:pPr>
            <w:r w:rsidRPr="00D81C20">
              <w:rPr>
                <w:rFonts w:ascii="MS Gothic" w:eastAsia="MS Gothic" w:hAnsi="MS Gothic" w:cs="Arial" w:hint="eastAsia"/>
                <w:sz w:val="22"/>
                <w:szCs w:val="22"/>
                <w:lang w:eastAsia="en-US"/>
              </w:rPr>
              <w:t>☐</w:t>
            </w:r>
          </w:p>
        </w:tc>
        <w:tc>
          <w:tcPr>
            <w:tcW w:w="473" w:type="pct"/>
            <w:shd w:val="clear" w:color="auto" w:fill="BFBFBF"/>
            <w:vAlign w:val="center"/>
          </w:tcPr>
          <w:p w14:paraId="0C9A2582" w14:textId="73E6C2FF" w:rsidR="00D81C20" w:rsidRPr="00D81C20" w:rsidRDefault="00D81C20" w:rsidP="00D81C20">
            <w:pPr>
              <w:autoSpaceDE w:val="0"/>
              <w:autoSpaceDN w:val="0"/>
              <w:adjustRightInd w:val="0"/>
              <w:jc w:val="center"/>
              <w:rPr>
                <w:rFonts w:ascii="Arial" w:eastAsia="Calibri" w:hAnsi="Arial" w:cs="Arial"/>
                <w:sz w:val="22"/>
                <w:szCs w:val="22"/>
                <w:lang w:eastAsia="en-US"/>
              </w:rPr>
            </w:pPr>
            <w:r w:rsidRPr="00D81C20">
              <w:rPr>
                <w:rFonts w:ascii="MS Gothic" w:eastAsia="MS Gothic" w:hAnsi="MS Gothic" w:cs="Arial" w:hint="eastAsia"/>
                <w:sz w:val="22"/>
                <w:szCs w:val="22"/>
                <w:lang w:eastAsia="en-US"/>
              </w:rPr>
              <w:t>☒</w:t>
            </w:r>
          </w:p>
        </w:tc>
      </w:tr>
      <w:tr w:rsidR="00D81C20" w:rsidRPr="004C3A0B" w14:paraId="4F38F380" w14:textId="77777777" w:rsidTr="00D81C20">
        <w:trPr>
          <w:trHeight w:val="403"/>
        </w:trPr>
        <w:tc>
          <w:tcPr>
            <w:tcW w:w="268" w:type="pct"/>
            <w:shd w:val="clear" w:color="auto" w:fill="F2F2F2"/>
            <w:vAlign w:val="center"/>
          </w:tcPr>
          <w:p w14:paraId="09B411B0" w14:textId="77777777" w:rsidR="00D81C20" w:rsidRPr="00D81C20" w:rsidRDefault="00D81C20" w:rsidP="00D81C20">
            <w:pPr>
              <w:autoSpaceDE w:val="0"/>
              <w:autoSpaceDN w:val="0"/>
              <w:adjustRightInd w:val="0"/>
              <w:jc w:val="center"/>
              <w:rPr>
                <w:rFonts w:ascii="Arial" w:eastAsia="Calibri" w:hAnsi="Arial" w:cs="Arial"/>
                <w:sz w:val="22"/>
                <w:szCs w:val="22"/>
                <w:lang w:eastAsia="en-US"/>
              </w:rPr>
            </w:pPr>
            <w:r w:rsidRPr="00D81C20">
              <w:rPr>
                <w:rFonts w:ascii="Arial" w:eastAsia="Calibri" w:hAnsi="Arial" w:cs="Arial"/>
                <w:sz w:val="22"/>
                <w:szCs w:val="22"/>
                <w:lang w:eastAsia="en-US"/>
              </w:rPr>
              <w:t>18</w:t>
            </w:r>
          </w:p>
        </w:tc>
        <w:tc>
          <w:tcPr>
            <w:tcW w:w="3380" w:type="pct"/>
            <w:shd w:val="clear" w:color="auto" w:fill="F2F2F2"/>
            <w:vAlign w:val="center"/>
          </w:tcPr>
          <w:p w14:paraId="5C174043" w14:textId="77777777" w:rsidR="00D81C20" w:rsidRPr="00D81C20" w:rsidRDefault="00D81C20" w:rsidP="00D81C20">
            <w:pPr>
              <w:autoSpaceDE w:val="0"/>
              <w:autoSpaceDN w:val="0"/>
              <w:adjustRightInd w:val="0"/>
              <w:rPr>
                <w:rFonts w:ascii="Arial" w:eastAsia="Calibri" w:hAnsi="Arial" w:cs="Arial"/>
                <w:sz w:val="22"/>
                <w:szCs w:val="22"/>
                <w:lang w:eastAsia="en-US"/>
              </w:rPr>
            </w:pPr>
            <w:r w:rsidRPr="00D81C20">
              <w:rPr>
                <w:rFonts w:ascii="Arial" w:eastAsia="Calibri" w:hAnsi="Arial" w:cs="Arial"/>
                <w:sz w:val="22"/>
                <w:szCs w:val="22"/>
                <w:lang w:eastAsia="en-US"/>
              </w:rPr>
              <w:t>Will you tell participants that they may withdraw from the research at any time and for any reason?</w:t>
            </w:r>
          </w:p>
        </w:tc>
        <w:tc>
          <w:tcPr>
            <w:tcW w:w="473" w:type="pct"/>
            <w:shd w:val="clear" w:color="auto" w:fill="BFBFBF"/>
            <w:vAlign w:val="center"/>
          </w:tcPr>
          <w:p w14:paraId="03093471" w14:textId="029710FB" w:rsidR="00D81C20" w:rsidRPr="00D81C20" w:rsidRDefault="00D81C20" w:rsidP="00D81C20">
            <w:pPr>
              <w:autoSpaceDE w:val="0"/>
              <w:autoSpaceDN w:val="0"/>
              <w:adjustRightInd w:val="0"/>
              <w:jc w:val="center"/>
              <w:rPr>
                <w:rFonts w:ascii="Arial" w:eastAsia="Calibri" w:hAnsi="Arial" w:cs="Arial"/>
                <w:sz w:val="22"/>
                <w:szCs w:val="22"/>
                <w:lang w:eastAsia="en-US"/>
              </w:rPr>
            </w:pPr>
            <w:r w:rsidRPr="00D81C20">
              <w:rPr>
                <w:rFonts w:ascii="MS Gothic" w:eastAsia="MS Gothic" w:hAnsi="MS Gothic" w:cs="Arial" w:hint="eastAsia"/>
                <w:sz w:val="22"/>
                <w:szCs w:val="22"/>
                <w:lang w:eastAsia="en-US"/>
              </w:rPr>
              <w:t>☐</w:t>
            </w:r>
          </w:p>
        </w:tc>
        <w:tc>
          <w:tcPr>
            <w:tcW w:w="406" w:type="pct"/>
            <w:shd w:val="clear" w:color="auto" w:fill="BFBFBF"/>
            <w:vAlign w:val="center"/>
          </w:tcPr>
          <w:p w14:paraId="132D8E52" w14:textId="64DBE644" w:rsidR="00D81C20" w:rsidRPr="00D81C20" w:rsidRDefault="00D81C20" w:rsidP="00D81C20">
            <w:pPr>
              <w:autoSpaceDE w:val="0"/>
              <w:autoSpaceDN w:val="0"/>
              <w:adjustRightInd w:val="0"/>
              <w:jc w:val="center"/>
              <w:rPr>
                <w:rFonts w:ascii="Arial" w:eastAsia="Calibri" w:hAnsi="Arial" w:cs="Arial"/>
                <w:sz w:val="22"/>
                <w:szCs w:val="22"/>
                <w:lang w:eastAsia="en-US"/>
              </w:rPr>
            </w:pPr>
            <w:r w:rsidRPr="00D81C20">
              <w:rPr>
                <w:rFonts w:ascii="MS Gothic" w:eastAsia="MS Gothic" w:hAnsi="MS Gothic" w:cs="Arial" w:hint="eastAsia"/>
                <w:sz w:val="22"/>
                <w:szCs w:val="22"/>
                <w:lang w:eastAsia="en-US"/>
              </w:rPr>
              <w:t>☐</w:t>
            </w:r>
          </w:p>
        </w:tc>
        <w:tc>
          <w:tcPr>
            <w:tcW w:w="473" w:type="pct"/>
            <w:shd w:val="clear" w:color="auto" w:fill="BFBFBF"/>
            <w:vAlign w:val="center"/>
          </w:tcPr>
          <w:p w14:paraId="55B9AD44" w14:textId="1496E681" w:rsidR="00D81C20" w:rsidRPr="00D81C20" w:rsidRDefault="00D81C20" w:rsidP="00D81C20">
            <w:pPr>
              <w:autoSpaceDE w:val="0"/>
              <w:autoSpaceDN w:val="0"/>
              <w:adjustRightInd w:val="0"/>
              <w:jc w:val="center"/>
              <w:rPr>
                <w:rFonts w:ascii="Arial" w:eastAsia="Calibri" w:hAnsi="Arial" w:cs="Arial"/>
                <w:sz w:val="22"/>
                <w:szCs w:val="22"/>
                <w:lang w:eastAsia="en-US"/>
              </w:rPr>
            </w:pPr>
            <w:r w:rsidRPr="00D81C20">
              <w:rPr>
                <w:rFonts w:ascii="MS Gothic" w:eastAsia="MS Gothic" w:hAnsi="MS Gothic" w:cs="Arial" w:hint="eastAsia"/>
                <w:sz w:val="22"/>
                <w:szCs w:val="22"/>
                <w:lang w:eastAsia="en-US"/>
              </w:rPr>
              <w:t>☒</w:t>
            </w:r>
          </w:p>
        </w:tc>
      </w:tr>
      <w:tr w:rsidR="00D81C20" w:rsidRPr="004C3A0B" w14:paraId="04BD11CC" w14:textId="77777777" w:rsidTr="00D81C20">
        <w:trPr>
          <w:trHeight w:val="439"/>
        </w:trPr>
        <w:tc>
          <w:tcPr>
            <w:tcW w:w="268" w:type="pct"/>
            <w:shd w:val="clear" w:color="auto" w:fill="F2F2F2"/>
            <w:vAlign w:val="center"/>
          </w:tcPr>
          <w:p w14:paraId="56E2619F" w14:textId="77777777" w:rsidR="00D81C20" w:rsidRPr="00D81C20" w:rsidRDefault="00D81C20" w:rsidP="00D81C20">
            <w:pPr>
              <w:autoSpaceDE w:val="0"/>
              <w:autoSpaceDN w:val="0"/>
              <w:adjustRightInd w:val="0"/>
              <w:jc w:val="center"/>
              <w:rPr>
                <w:rFonts w:ascii="Arial" w:eastAsia="Calibri" w:hAnsi="Arial" w:cs="Arial"/>
                <w:sz w:val="22"/>
                <w:szCs w:val="22"/>
                <w:lang w:eastAsia="en-US"/>
              </w:rPr>
            </w:pPr>
            <w:r w:rsidRPr="00D81C20">
              <w:rPr>
                <w:rFonts w:ascii="Arial" w:eastAsia="Calibri" w:hAnsi="Arial" w:cs="Arial"/>
                <w:sz w:val="22"/>
                <w:szCs w:val="22"/>
                <w:lang w:eastAsia="en-US"/>
              </w:rPr>
              <w:t>19</w:t>
            </w:r>
          </w:p>
        </w:tc>
        <w:tc>
          <w:tcPr>
            <w:tcW w:w="3380" w:type="pct"/>
            <w:shd w:val="clear" w:color="auto" w:fill="F2F2F2"/>
            <w:vAlign w:val="center"/>
          </w:tcPr>
          <w:p w14:paraId="45C7EEB9" w14:textId="77777777" w:rsidR="00D81C20" w:rsidRPr="00D81C20" w:rsidRDefault="00D81C20" w:rsidP="00D81C20">
            <w:pPr>
              <w:autoSpaceDE w:val="0"/>
              <w:autoSpaceDN w:val="0"/>
              <w:adjustRightInd w:val="0"/>
              <w:rPr>
                <w:rFonts w:ascii="Arial" w:eastAsia="Calibri" w:hAnsi="Arial" w:cs="Arial"/>
                <w:sz w:val="22"/>
                <w:szCs w:val="22"/>
                <w:lang w:eastAsia="en-US"/>
              </w:rPr>
            </w:pPr>
            <w:r w:rsidRPr="00D81C20">
              <w:rPr>
                <w:rFonts w:ascii="Arial" w:eastAsia="Calibri" w:hAnsi="Arial" w:cs="Arial"/>
                <w:sz w:val="22"/>
                <w:szCs w:val="22"/>
                <w:lang w:eastAsia="en-US"/>
              </w:rPr>
              <w:t>With questionnaires, will you give participants the option of omitting questions they do not want to answer?</w:t>
            </w:r>
          </w:p>
        </w:tc>
        <w:tc>
          <w:tcPr>
            <w:tcW w:w="473" w:type="pct"/>
            <w:shd w:val="clear" w:color="auto" w:fill="BFBFBF"/>
            <w:vAlign w:val="center"/>
          </w:tcPr>
          <w:p w14:paraId="221E0082" w14:textId="142CBE1C" w:rsidR="00D81C20" w:rsidRPr="00D81C20" w:rsidRDefault="00D81C20" w:rsidP="00D81C20">
            <w:pPr>
              <w:autoSpaceDE w:val="0"/>
              <w:autoSpaceDN w:val="0"/>
              <w:adjustRightInd w:val="0"/>
              <w:jc w:val="center"/>
              <w:rPr>
                <w:rFonts w:ascii="Arial" w:eastAsia="Calibri" w:hAnsi="Arial" w:cs="Arial"/>
                <w:sz w:val="22"/>
                <w:szCs w:val="22"/>
                <w:lang w:eastAsia="en-US"/>
              </w:rPr>
            </w:pPr>
            <w:r w:rsidRPr="00D81C20">
              <w:rPr>
                <w:rFonts w:ascii="MS Gothic" w:eastAsia="MS Gothic" w:hAnsi="MS Gothic" w:cs="Arial" w:hint="eastAsia"/>
                <w:sz w:val="22"/>
                <w:szCs w:val="22"/>
                <w:lang w:eastAsia="en-US"/>
              </w:rPr>
              <w:t>☐</w:t>
            </w:r>
          </w:p>
        </w:tc>
        <w:tc>
          <w:tcPr>
            <w:tcW w:w="406" w:type="pct"/>
            <w:shd w:val="clear" w:color="auto" w:fill="BFBFBF"/>
            <w:vAlign w:val="center"/>
          </w:tcPr>
          <w:p w14:paraId="740631C6" w14:textId="1DD611E3" w:rsidR="00D81C20" w:rsidRPr="00D81C20" w:rsidRDefault="00D81C20" w:rsidP="00D81C20">
            <w:pPr>
              <w:autoSpaceDE w:val="0"/>
              <w:autoSpaceDN w:val="0"/>
              <w:adjustRightInd w:val="0"/>
              <w:jc w:val="center"/>
              <w:rPr>
                <w:rFonts w:ascii="Arial" w:eastAsia="Calibri" w:hAnsi="Arial" w:cs="Arial"/>
                <w:sz w:val="22"/>
                <w:szCs w:val="22"/>
                <w:lang w:eastAsia="en-US"/>
              </w:rPr>
            </w:pPr>
            <w:r w:rsidRPr="00D81C20">
              <w:rPr>
                <w:rFonts w:ascii="MS Gothic" w:eastAsia="MS Gothic" w:hAnsi="MS Gothic" w:cs="Arial" w:hint="eastAsia"/>
                <w:sz w:val="22"/>
                <w:szCs w:val="22"/>
                <w:lang w:eastAsia="en-US"/>
              </w:rPr>
              <w:t>☐</w:t>
            </w:r>
          </w:p>
        </w:tc>
        <w:tc>
          <w:tcPr>
            <w:tcW w:w="473" w:type="pct"/>
            <w:shd w:val="clear" w:color="auto" w:fill="BFBFBF"/>
            <w:vAlign w:val="center"/>
          </w:tcPr>
          <w:p w14:paraId="2CB05BC3" w14:textId="1B6BF417" w:rsidR="00D81C20" w:rsidRPr="00D81C20" w:rsidRDefault="00D81C20" w:rsidP="00D81C20">
            <w:pPr>
              <w:autoSpaceDE w:val="0"/>
              <w:autoSpaceDN w:val="0"/>
              <w:adjustRightInd w:val="0"/>
              <w:jc w:val="center"/>
              <w:rPr>
                <w:rFonts w:ascii="Arial" w:eastAsia="Calibri" w:hAnsi="Arial" w:cs="Arial"/>
                <w:sz w:val="22"/>
                <w:szCs w:val="22"/>
                <w:lang w:eastAsia="en-US"/>
              </w:rPr>
            </w:pPr>
            <w:r w:rsidRPr="00D81C20">
              <w:rPr>
                <w:rFonts w:ascii="MS Gothic" w:eastAsia="MS Gothic" w:hAnsi="MS Gothic" w:cs="Arial" w:hint="eastAsia"/>
                <w:sz w:val="22"/>
                <w:szCs w:val="22"/>
                <w:lang w:eastAsia="en-US"/>
              </w:rPr>
              <w:t>☒</w:t>
            </w:r>
          </w:p>
        </w:tc>
      </w:tr>
      <w:tr w:rsidR="00D81C20" w:rsidRPr="004C3A0B" w14:paraId="07DF91A5" w14:textId="77777777" w:rsidTr="00D81C20">
        <w:trPr>
          <w:trHeight w:val="403"/>
        </w:trPr>
        <w:tc>
          <w:tcPr>
            <w:tcW w:w="268" w:type="pct"/>
            <w:shd w:val="clear" w:color="auto" w:fill="F2F2F2"/>
            <w:vAlign w:val="center"/>
          </w:tcPr>
          <w:p w14:paraId="64607D4C" w14:textId="77777777" w:rsidR="00D81C20" w:rsidRPr="00D81C20" w:rsidRDefault="00D81C20" w:rsidP="00D81C20">
            <w:pPr>
              <w:autoSpaceDE w:val="0"/>
              <w:autoSpaceDN w:val="0"/>
              <w:adjustRightInd w:val="0"/>
              <w:jc w:val="center"/>
              <w:rPr>
                <w:rFonts w:ascii="Arial" w:eastAsia="Calibri" w:hAnsi="Arial" w:cs="Arial"/>
                <w:sz w:val="22"/>
                <w:szCs w:val="22"/>
                <w:lang w:eastAsia="en-US"/>
              </w:rPr>
            </w:pPr>
            <w:r w:rsidRPr="00D81C20">
              <w:rPr>
                <w:rFonts w:ascii="Arial" w:eastAsia="Calibri" w:hAnsi="Arial" w:cs="Arial"/>
                <w:sz w:val="22"/>
                <w:szCs w:val="22"/>
                <w:lang w:eastAsia="en-US"/>
              </w:rPr>
              <w:t>20</w:t>
            </w:r>
          </w:p>
        </w:tc>
        <w:tc>
          <w:tcPr>
            <w:tcW w:w="3380" w:type="pct"/>
            <w:shd w:val="clear" w:color="auto" w:fill="F2F2F2"/>
            <w:vAlign w:val="center"/>
          </w:tcPr>
          <w:p w14:paraId="64B3C3AB" w14:textId="77777777" w:rsidR="00D81C20" w:rsidRPr="00D81C20" w:rsidRDefault="00D81C20" w:rsidP="00D81C20">
            <w:pPr>
              <w:autoSpaceDE w:val="0"/>
              <w:autoSpaceDN w:val="0"/>
              <w:adjustRightInd w:val="0"/>
              <w:rPr>
                <w:rFonts w:ascii="Arial" w:eastAsia="Calibri" w:hAnsi="Arial" w:cs="Arial"/>
                <w:sz w:val="22"/>
                <w:szCs w:val="22"/>
                <w:lang w:eastAsia="en-US"/>
              </w:rPr>
            </w:pPr>
            <w:r w:rsidRPr="00D81C20">
              <w:rPr>
                <w:rFonts w:ascii="Arial" w:eastAsia="Calibri" w:hAnsi="Arial" w:cs="Arial"/>
                <w:sz w:val="22"/>
                <w:szCs w:val="22"/>
                <w:lang w:eastAsia="en-US"/>
              </w:rPr>
              <w:t>Will you tell participants that their data will be treated with full confidentiality and that, if published, it will not be identifiable as theirs?</w:t>
            </w:r>
          </w:p>
        </w:tc>
        <w:tc>
          <w:tcPr>
            <w:tcW w:w="473" w:type="pct"/>
            <w:shd w:val="clear" w:color="auto" w:fill="BFBFBF"/>
            <w:vAlign w:val="center"/>
          </w:tcPr>
          <w:p w14:paraId="5F666903" w14:textId="76EA58E8" w:rsidR="00D81C20" w:rsidRPr="00D81C20" w:rsidRDefault="00D81C20" w:rsidP="00D81C20">
            <w:pPr>
              <w:autoSpaceDE w:val="0"/>
              <w:autoSpaceDN w:val="0"/>
              <w:adjustRightInd w:val="0"/>
              <w:jc w:val="center"/>
              <w:rPr>
                <w:rFonts w:ascii="Arial" w:eastAsia="Calibri" w:hAnsi="Arial" w:cs="Arial"/>
                <w:sz w:val="22"/>
                <w:szCs w:val="22"/>
                <w:lang w:eastAsia="en-US"/>
              </w:rPr>
            </w:pPr>
            <w:r w:rsidRPr="00D81C20">
              <w:rPr>
                <w:rFonts w:ascii="MS Gothic" w:eastAsia="MS Gothic" w:hAnsi="MS Gothic" w:cs="Arial" w:hint="eastAsia"/>
                <w:sz w:val="22"/>
                <w:szCs w:val="22"/>
                <w:lang w:eastAsia="en-US"/>
              </w:rPr>
              <w:t>☐</w:t>
            </w:r>
          </w:p>
        </w:tc>
        <w:tc>
          <w:tcPr>
            <w:tcW w:w="406" w:type="pct"/>
            <w:shd w:val="clear" w:color="auto" w:fill="BFBFBF"/>
            <w:vAlign w:val="center"/>
          </w:tcPr>
          <w:p w14:paraId="76D77586" w14:textId="43B2DC39" w:rsidR="00D81C20" w:rsidRPr="00D81C20" w:rsidRDefault="00D81C20" w:rsidP="00D81C20">
            <w:pPr>
              <w:autoSpaceDE w:val="0"/>
              <w:autoSpaceDN w:val="0"/>
              <w:adjustRightInd w:val="0"/>
              <w:jc w:val="center"/>
              <w:rPr>
                <w:rFonts w:ascii="Arial" w:eastAsia="Calibri" w:hAnsi="Arial" w:cs="Arial"/>
                <w:sz w:val="22"/>
                <w:szCs w:val="22"/>
                <w:lang w:eastAsia="en-US"/>
              </w:rPr>
            </w:pPr>
            <w:r w:rsidRPr="00D81C20">
              <w:rPr>
                <w:rFonts w:ascii="MS Gothic" w:eastAsia="MS Gothic" w:hAnsi="MS Gothic" w:cs="Arial" w:hint="eastAsia"/>
                <w:sz w:val="22"/>
                <w:szCs w:val="22"/>
                <w:lang w:eastAsia="en-US"/>
              </w:rPr>
              <w:t>☐</w:t>
            </w:r>
          </w:p>
        </w:tc>
        <w:tc>
          <w:tcPr>
            <w:tcW w:w="473" w:type="pct"/>
            <w:shd w:val="clear" w:color="auto" w:fill="BFBFBF"/>
            <w:vAlign w:val="center"/>
          </w:tcPr>
          <w:p w14:paraId="42C482ED" w14:textId="0C6DAC97" w:rsidR="00D81C20" w:rsidRPr="00D81C20" w:rsidRDefault="00D81C20" w:rsidP="00D81C20">
            <w:pPr>
              <w:autoSpaceDE w:val="0"/>
              <w:autoSpaceDN w:val="0"/>
              <w:adjustRightInd w:val="0"/>
              <w:jc w:val="center"/>
              <w:rPr>
                <w:rFonts w:ascii="Arial" w:eastAsia="Calibri" w:hAnsi="Arial" w:cs="Arial"/>
                <w:sz w:val="22"/>
                <w:szCs w:val="22"/>
                <w:lang w:eastAsia="en-US"/>
              </w:rPr>
            </w:pPr>
            <w:r w:rsidRPr="00D81C20">
              <w:rPr>
                <w:rFonts w:ascii="MS Gothic" w:eastAsia="MS Gothic" w:hAnsi="MS Gothic" w:cs="Arial" w:hint="eastAsia"/>
                <w:sz w:val="22"/>
                <w:szCs w:val="22"/>
                <w:lang w:eastAsia="en-US"/>
              </w:rPr>
              <w:t>☒</w:t>
            </w:r>
          </w:p>
        </w:tc>
      </w:tr>
      <w:tr w:rsidR="00D81C20" w:rsidRPr="004C3A0B" w14:paraId="68FCD1B5" w14:textId="77777777" w:rsidTr="00D81C20">
        <w:trPr>
          <w:trHeight w:val="439"/>
        </w:trPr>
        <w:tc>
          <w:tcPr>
            <w:tcW w:w="268" w:type="pct"/>
            <w:shd w:val="clear" w:color="auto" w:fill="F2F2F2"/>
            <w:vAlign w:val="center"/>
          </w:tcPr>
          <w:p w14:paraId="26E32EB9" w14:textId="77777777" w:rsidR="00D81C20" w:rsidRPr="00D81C20" w:rsidRDefault="00D81C20" w:rsidP="00D81C20">
            <w:pPr>
              <w:autoSpaceDE w:val="0"/>
              <w:autoSpaceDN w:val="0"/>
              <w:adjustRightInd w:val="0"/>
              <w:jc w:val="center"/>
              <w:rPr>
                <w:rFonts w:ascii="Arial" w:eastAsia="Calibri" w:hAnsi="Arial" w:cs="Arial"/>
                <w:sz w:val="22"/>
                <w:szCs w:val="22"/>
                <w:lang w:eastAsia="en-US"/>
              </w:rPr>
            </w:pPr>
            <w:r w:rsidRPr="00D81C20">
              <w:rPr>
                <w:rFonts w:ascii="Arial" w:eastAsia="Calibri" w:hAnsi="Arial" w:cs="Arial"/>
                <w:sz w:val="22"/>
                <w:szCs w:val="22"/>
                <w:lang w:eastAsia="en-US"/>
              </w:rPr>
              <w:lastRenderedPageBreak/>
              <w:t>21</w:t>
            </w:r>
          </w:p>
        </w:tc>
        <w:tc>
          <w:tcPr>
            <w:tcW w:w="3380" w:type="pct"/>
            <w:shd w:val="clear" w:color="auto" w:fill="F2F2F2"/>
            <w:vAlign w:val="center"/>
          </w:tcPr>
          <w:p w14:paraId="7484497E" w14:textId="77777777" w:rsidR="00D81C20" w:rsidRPr="00D81C20" w:rsidRDefault="00D81C20" w:rsidP="00D81C20">
            <w:pPr>
              <w:autoSpaceDE w:val="0"/>
              <w:autoSpaceDN w:val="0"/>
              <w:adjustRightInd w:val="0"/>
              <w:rPr>
                <w:rFonts w:ascii="Arial" w:eastAsia="Calibri" w:hAnsi="Arial" w:cs="Arial"/>
                <w:sz w:val="22"/>
                <w:szCs w:val="22"/>
                <w:lang w:eastAsia="en-US"/>
              </w:rPr>
            </w:pPr>
            <w:r w:rsidRPr="00D81C20">
              <w:rPr>
                <w:rFonts w:ascii="Arial" w:eastAsia="Calibri" w:hAnsi="Arial" w:cs="Arial"/>
                <w:sz w:val="22"/>
                <w:szCs w:val="22"/>
                <w:lang w:eastAsia="en-US"/>
              </w:rPr>
              <w:t>Will you debrief participants at the end of their participation, in a way appropriate to the type of research undertaken?</w:t>
            </w:r>
          </w:p>
        </w:tc>
        <w:tc>
          <w:tcPr>
            <w:tcW w:w="473" w:type="pct"/>
            <w:shd w:val="clear" w:color="auto" w:fill="BFBFBF"/>
            <w:vAlign w:val="center"/>
          </w:tcPr>
          <w:p w14:paraId="12046242" w14:textId="36F35664" w:rsidR="00D81C20" w:rsidRPr="00D81C20" w:rsidRDefault="00D81C20" w:rsidP="00D81C20">
            <w:pPr>
              <w:autoSpaceDE w:val="0"/>
              <w:autoSpaceDN w:val="0"/>
              <w:adjustRightInd w:val="0"/>
              <w:jc w:val="center"/>
              <w:rPr>
                <w:rFonts w:ascii="Arial" w:eastAsia="Calibri" w:hAnsi="Arial" w:cs="Arial"/>
                <w:sz w:val="22"/>
                <w:szCs w:val="22"/>
                <w:lang w:eastAsia="en-US"/>
              </w:rPr>
            </w:pPr>
            <w:r w:rsidRPr="00D81C20">
              <w:rPr>
                <w:rFonts w:ascii="MS Gothic" w:eastAsia="MS Gothic" w:hAnsi="MS Gothic" w:cs="Arial" w:hint="eastAsia"/>
                <w:sz w:val="22"/>
                <w:szCs w:val="22"/>
                <w:lang w:eastAsia="en-US"/>
              </w:rPr>
              <w:t>☐</w:t>
            </w:r>
          </w:p>
        </w:tc>
        <w:tc>
          <w:tcPr>
            <w:tcW w:w="406" w:type="pct"/>
            <w:shd w:val="clear" w:color="auto" w:fill="BFBFBF"/>
            <w:vAlign w:val="center"/>
          </w:tcPr>
          <w:p w14:paraId="4D3A3EA4" w14:textId="2770B54A" w:rsidR="00D81C20" w:rsidRPr="00D81C20" w:rsidRDefault="00D81C20" w:rsidP="00D81C20">
            <w:pPr>
              <w:autoSpaceDE w:val="0"/>
              <w:autoSpaceDN w:val="0"/>
              <w:adjustRightInd w:val="0"/>
              <w:jc w:val="center"/>
              <w:rPr>
                <w:rFonts w:ascii="Arial" w:eastAsia="Calibri" w:hAnsi="Arial" w:cs="Arial"/>
                <w:sz w:val="22"/>
                <w:szCs w:val="22"/>
                <w:lang w:eastAsia="en-US"/>
              </w:rPr>
            </w:pPr>
            <w:r w:rsidRPr="00D81C20">
              <w:rPr>
                <w:rFonts w:ascii="MS Gothic" w:eastAsia="MS Gothic" w:hAnsi="MS Gothic" w:cs="Arial" w:hint="eastAsia"/>
                <w:sz w:val="22"/>
                <w:szCs w:val="22"/>
                <w:lang w:eastAsia="en-US"/>
              </w:rPr>
              <w:t>☐</w:t>
            </w:r>
          </w:p>
        </w:tc>
        <w:tc>
          <w:tcPr>
            <w:tcW w:w="473" w:type="pct"/>
            <w:shd w:val="clear" w:color="auto" w:fill="BFBFBF"/>
            <w:vAlign w:val="center"/>
          </w:tcPr>
          <w:p w14:paraId="4E81EA0D" w14:textId="4BF13DCC" w:rsidR="00D81C20" w:rsidRPr="00D81C20" w:rsidRDefault="00D81C20" w:rsidP="00D81C20">
            <w:pPr>
              <w:autoSpaceDE w:val="0"/>
              <w:autoSpaceDN w:val="0"/>
              <w:adjustRightInd w:val="0"/>
              <w:jc w:val="center"/>
              <w:rPr>
                <w:rFonts w:ascii="Arial" w:eastAsia="Calibri" w:hAnsi="Arial" w:cs="Arial"/>
                <w:sz w:val="22"/>
                <w:szCs w:val="22"/>
                <w:lang w:eastAsia="en-US"/>
              </w:rPr>
            </w:pPr>
            <w:r w:rsidRPr="00D81C20">
              <w:rPr>
                <w:rFonts w:ascii="MS Gothic" w:eastAsia="MS Gothic" w:hAnsi="MS Gothic" w:cs="Arial" w:hint="eastAsia"/>
                <w:sz w:val="22"/>
                <w:szCs w:val="22"/>
                <w:lang w:eastAsia="en-US"/>
              </w:rPr>
              <w:t>☒</w:t>
            </w:r>
          </w:p>
        </w:tc>
      </w:tr>
      <w:tr w:rsidR="00D81C20" w:rsidRPr="004C3A0B" w14:paraId="6FB2ECED" w14:textId="77777777" w:rsidTr="00D81C20">
        <w:trPr>
          <w:trHeight w:val="403"/>
        </w:trPr>
        <w:tc>
          <w:tcPr>
            <w:tcW w:w="268" w:type="pct"/>
            <w:tcBorders>
              <w:bottom w:val="single" w:sz="4" w:space="0" w:color="auto"/>
            </w:tcBorders>
            <w:shd w:val="clear" w:color="auto" w:fill="F2F2F2"/>
            <w:vAlign w:val="center"/>
          </w:tcPr>
          <w:p w14:paraId="4605F68D" w14:textId="77777777" w:rsidR="00D81C20" w:rsidRPr="00D81C20" w:rsidRDefault="00D81C20" w:rsidP="00D81C20">
            <w:pPr>
              <w:autoSpaceDE w:val="0"/>
              <w:autoSpaceDN w:val="0"/>
              <w:adjustRightInd w:val="0"/>
              <w:jc w:val="center"/>
              <w:rPr>
                <w:rFonts w:ascii="Arial" w:eastAsia="Calibri" w:hAnsi="Arial" w:cs="Arial"/>
                <w:sz w:val="22"/>
                <w:szCs w:val="22"/>
                <w:lang w:eastAsia="en-US"/>
              </w:rPr>
            </w:pPr>
            <w:r w:rsidRPr="00D81C20">
              <w:rPr>
                <w:rFonts w:ascii="Arial" w:eastAsia="Calibri" w:hAnsi="Arial" w:cs="Arial"/>
                <w:sz w:val="22"/>
                <w:szCs w:val="22"/>
                <w:lang w:eastAsia="en-US"/>
              </w:rPr>
              <w:t>22</w:t>
            </w:r>
          </w:p>
        </w:tc>
        <w:tc>
          <w:tcPr>
            <w:tcW w:w="4732" w:type="pct"/>
            <w:gridSpan w:val="4"/>
            <w:tcBorders>
              <w:bottom w:val="single" w:sz="4" w:space="0" w:color="auto"/>
            </w:tcBorders>
            <w:shd w:val="clear" w:color="auto" w:fill="F2F2F2"/>
            <w:vAlign w:val="center"/>
          </w:tcPr>
          <w:p w14:paraId="6DD06B57" w14:textId="77777777" w:rsidR="00D81C20" w:rsidRPr="00D81C20" w:rsidRDefault="00D81C20" w:rsidP="00D81C20">
            <w:pPr>
              <w:autoSpaceDE w:val="0"/>
              <w:autoSpaceDN w:val="0"/>
              <w:adjustRightInd w:val="0"/>
              <w:rPr>
                <w:rFonts w:ascii="Arial" w:eastAsia="Calibri" w:hAnsi="Arial" w:cs="Arial"/>
                <w:sz w:val="22"/>
                <w:szCs w:val="22"/>
                <w:lang w:eastAsia="en-US"/>
              </w:rPr>
            </w:pPr>
            <w:r w:rsidRPr="00D81C20">
              <w:rPr>
                <w:rFonts w:ascii="Arial" w:eastAsia="Calibri" w:hAnsi="Arial" w:cs="Arial"/>
                <w:sz w:val="22"/>
                <w:szCs w:val="22"/>
                <w:lang w:eastAsia="en-US"/>
              </w:rPr>
              <w:t>If NO</w:t>
            </w:r>
            <w:r w:rsidRPr="00D81C20">
              <w:rPr>
                <w:rFonts w:ascii="Arial" w:eastAsia="Calibri" w:hAnsi="Arial" w:cs="Arial"/>
                <w:b/>
                <w:bCs/>
                <w:sz w:val="22"/>
                <w:szCs w:val="22"/>
                <w:lang w:eastAsia="en-US"/>
              </w:rPr>
              <w:t xml:space="preserve"> </w:t>
            </w:r>
            <w:r w:rsidRPr="00D81C20">
              <w:rPr>
                <w:rFonts w:ascii="Arial" w:eastAsia="Calibri" w:hAnsi="Arial" w:cs="Arial"/>
                <w:sz w:val="22"/>
                <w:szCs w:val="22"/>
                <w:lang w:eastAsia="en-US"/>
              </w:rPr>
              <w:t xml:space="preserve">to any of above questions, please give an explanation </w:t>
            </w:r>
          </w:p>
        </w:tc>
      </w:tr>
      <w:tr w:rsidR="00D81C20" w:rsidRPr="004C3A0B" w14:paraId="61E47A02" w14:textId="77777777" w:rsidTr="00D81C20">
        <w:trPr>
          <w:trHeight w:val="403"/>
        </w:trPr>
        <w:tc>
          <w:tcPr>
            <w:tcW w:w="268" w:type="pct"/>
            <w:shd w:val="clear" w:color="auto" w:fill="auto"/>
            <w:vAlign w:val="center"/>
          </w:tcPr>
          <w:p w14:paraId="3E3837E9" w14:textId="77777777" w:rsidR="00D81C20" w:rsidRPr="00D81C20" w:rsidRDefault="00D81C20" w:rsidP="00D81C20">
            <w:pPr>
              <w:jc w:val="center"/>
              <w:rPr>
                <w:rFonts w:ascii="Arial" w:eastAsia="Calibri" w:hAnsi="Arial" w:cs="Arial"/>
                <w:sz w:val="22"/>
                <w:szCs w:val="22"/>
                <w:lang w:eastAsia="en-US"/>
              </w:rPr>
            </w:pPr>
          </w:p>
        </w:tc>
        <w:tc>
          <w:tcPr>
            <w:tcW w:w="4732" w:type="pct"/>
            <w:gridSpan w:val="4"/>
            <w:shd w:val="clear" w:color="auto" w:fill="auto"/>
            <w:vAlign w:val="center"/>
          </w:tcPr>
          <w:p w14:paraId="0DC5AA35" w14:textId="77777777" w:rsidR="00D81C20" w:rsidRPr="00D81C20" w:rsidRDefault="00D81C20" w:rsidP="00A91894">
            <w:pPr>
              <w:rPr>
                <w:rFonts w:ascii="Arial" w:eastAsia="Calibri" w:hAnsi="Arial" w:cs="Arial"/>
                <w:sz w:val="22"/>
                <w:szCs w:val="22"/>
                <w:lang w:eastAsia="en-US"/>
              </w:rPr>
            </w:pPr>
          </w:p>
          <w:p w14:paraId="731F6E72" w14:textId="77777777" w:rsidR="00D81C20" w:rsidRPr="00D81C20" w:rsidRDefault="00D81C20" w:rsidP="00A91894">
            <w:pPr>
              <w:rPr>
                <w:rFonts w:ascii="Arial" w:eastAsia="Calibri" w:hAnsi="Arial" w:cs="Arial"/>
                <w:sz w:val="22"/>
                <w:szCs w:val="22"/>
                <w:lang w:eastAsia="en-US"/>
              </w:rPr>
            </w:pPr>
          </w:p>
          <w:p w14:paraId="17DCF84A" w14:textId="77777777" w:rsidR="00D81C20" w:rsidRPr="00D81C20" w:rsidRDefault="00D81C20" w:rsidP="00A91894">
            <w:pPr>
              <w:rPr>
                <w:rFonts w:ascii="Arial" w:eastAsia="Calibri" w:hAnsi="Arial" w:cs="Arial"/>
                <w:sz w:val="22"/>
                <w:szCs w:val="22"/>
                <w:lang w:eastAsia="en-US"/>
              </w:rPr>
            </w:pPr>
          </w:p>
          <w:p w14:paraId="132DDF84" w14:textId="77777777" w:rsidR="00D81C20" w:rsidRPr="00D81C20" w:rsidRDefault="00D81C20" w:rsidP="00D81C20">
            <w:pPr>
              <w:autoSpaceDE w:val="0"/>
              <w:autoSpaceDN w:val="0"/>
              <w:adjustRightInd w:val="0"/>
              <w:rPr>
                <w:rFonts w:ascii="Calibri" w:eastAsia="Calibri" w:hAnsi="Calibri" w:cs="Arial"/>
                <w:sz w:val="22"/>
                <w:szCs w:val="22"/>
                <w:lang w:eastAsia="en-US"/>
              </w:rPr>
            </w:pPr>
            <w:r w:rsidRPr="00D81C20">
              <w:rPr>
                <w:rFonts w:ascii="Arial" w:eastAsia="Calibri" w:hAnsi="Arial" w:cs="Arial"/>
                <w:i/>
                <w:color w:val="808080"/>
                <w:sz w:val="18"/>
                <w:szCs w:val="18"/>
                <w:lang w:eastAsia="en-US"/>
              </w:rPr>
              <w:t>(this box should expand as you type)</w:t>
            </w:r>
          </w:p>
        </w:tc>
      </w:tr>
    </w:tbl>
    <w:p w14:paraId="15297B44" w14:textId="77777777" w:rsidR="00D81C20" w:rsidRPr="004C3A0B" w:rsidRDefault="00D81C20" w:rsidP="00A91894"/>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1"/>
        <w:gridCol w:w="5603"/>
        <w:gridCol w:w="781"/>
        <w:gridCol w:w="670"/>
        <w:gridCol w:w="781"/>
      </w:tblGrid>
      <w:tr w:rsidR="00D81C20" w:rsidRPr="004C3A0B" w14:paraId="57FFED49" w14:textId="77777777" w:rsidTr="00D81C20">
        <w:tc>
          <w:tcPr>
            <w:tcW w:w="268" w:type="pct"/>
            <w:shd w:val="clear" w:color="auto" w:fill="F2F2F2"/>
          </w:tcPr>
          <w:p w14:paraId="736A9FB0" w14:textId="77777777" w:rsidR="00D81C20" w:rsidRPr="00D81C20" w:rsidRDefault="00D81C20" w:rsidP="00D81C20">
            <w:pPr>
              <w:autoSpaceDE w:val="0"/>
              <w:autoSpaceDN w:val="0"/>
              <w:adjustRightInd w:val="0"/>
              <w:jc w:val="both"/>
              <w:rPr>
                <w:rFonts w:ascii="Arial" w:eastAsia="Calibri" w:hAnsi="Arial" w:cs="Arial"/>
                <w:bCs/>
                <w:sz w:val="22"/>
                <w:szCs w:val="22"/>
                <w:lang w:eastAsia="en-US"/>
              </w:rPr>
            </w:pPr>
          </w:p>
        </w:tc>
        <w:tc>
          <w:tcPr>
            <w:tcW w:w="3380" w:type="pct"/>
            <w:shd w:val="clear" w:color="auto" w:fill="F2F2F2"/>
            <w:vAlign w:val="center"/>
          </w:tcPr>
          <w:p w14:paraId="5C7D27C9" w14:textId="77777777" w:rsidR="00D81C20" w:rsidRPr="00D81C20" w:rsidRDefault="00D81C20" w:rsidP="00D81C20">
            <w:pPr>
              <w:autoSpaceDE w:val="0"/>
              <w:autoSpaceDN w:val="0"/>
              <w:adjustRightInd w:val="0"/>
              <w:rPr>
                <w:rFonts w:ascii="Arial" w:eastAsia="Calibri" w:hAnsi="Arial" w:cs="Arial"/>
                <w:b/>
                <w:sz w:val="22"/>
                <w:szCs w:val="22"/>
                <w:lang w:eastAsia="en-US"/>
              </w:rPr>
            </w:pPr>
            <w:r w:rsidRPr="00D81C20">
              <w:rPr>
                <w:rFonts w:ascii="Arial" w:eastAsia="Calibri" w:hAnsi="Arial" w:cs="Arial"/>
                <w:b/>
                <w:sz w:val="22"/>
                <w:szCs w:val="22"/>
                <w:lang w:eastAsia="en-US"/>
              </w:rPr>
              <w:t>Information for participants:</w:t>
            </w:r>
          </w:p>
        </w:tc>
        <w:tc>
          <w:tcPr>
            <w:tcW w:w="473" w:type="pct"/>
            <w:shd w:val="clear" w:color="auto" w:fill="F2F2F2"/>
            <w:vAlign w:val="bottom"/>
          </w:tcPr>
          <w:p w14:paraId="486C25CE" w14:textId="77777777" w:rsidR="00D81C20" w:rsidRPr="00D81C20" w:rsidRDefault="00D81C20" w:rsidP="00D81C20">
            <w:pPr>
              <w:autoSpaceDE w:val="0"/>
              <w:autoSpaceDN w:val="0"/>
              <w:adjustRightInd w:val="0"/>
              <w:jc w:val="center"/>
              <w:rPr>
                <w:rFonts w:ascii="Arial" w:eastAsia="Calibri" w:hAnsi="Arial" w:cs="Arial"/>
                <w:b/>
                <w:bCs/>
                <w:sz w:val="16"/>
                <w:szCs w:val="16"/>
                <w:lang w:eastAsia="en-US"/>
              </w:rPr>
            </w:pPr>
          </w:p>
          <w:p w14:paraId="77F33D3A" w14:textId="77777777" w:rsidR="00D81C20" w:rsidRPr="00D81C20" w:rsidRDefault="00D81C20" w:rsidP="00D81C20">
            <w:pPr>
              <w:autoSpaceDE w:val="0"/>
              <w:autoSpaceDN w:val="0"/>
              <w:adjustRightInd w:val="0"/>
              <w:jc w:val="center"/>
              <w:rPr>
                <w:rFonts w:ascii="Arial" w:eastAsia="Calibri" w:hAnsi="Arial" w:cs="Arial"/>
                <w:b/>
                <w:bCs/>
                <w:sz w:val="22"/>
                <w:szCs w:val="22"/>
                <w:lang w:eastAsia="en-US"/>
              </w:rPr>
            </w:pPr>
            <w:r w:rsidRPr="00D81C20">
              <w:rPr>
                <w:rFonts w:ascii="Arial" w:eastAsia="Calibri" w:hAnsi="Arial" w:cs="Arial"/>
                <w:b/>
                <w:bCs/>
                <w:sz w:val="22"/>
                <w:szCs w:val="22"/>
                <w:lang w:eastAsia="en-US"/>
              </w:rPr>
              <w:t>YES</w:t>
            </w:r>
          </w:p>
        </w:tc>
        <w:tc>
          <w:tcPr>
            <w:tcW w:w="406" w:type="pct"/>
            <w:shd w:val="clear" w:color="auto" w:fill="F2F2F2"/>
            <w:vAlign w:val="bottom"/>
          </w:tcPr>
          <w:p w14:paraId="4980E1C4" w14:textId="77777777" w:rsidR="00D81C20" w:rsidRPr="00D81C20" w:rsidRDefault="00D81C20" w:rsidP="00D81C20">
            <w:pPr>
              <w:autoSpaceDE w:val="0"/>
              <w:autoSpaceDN w:val="0"/>
              <w:adjustRightInd w:val="0"/>
              <w:jc w:val="center"/>
              <w:rPr>
                <w:rFonts w:ascii="Arial" w:eastAsia="Calibri" w:hAnsi="Arial" w:cs="Arial"/>
                <w:b/>
                <w:bCs/>
                <w:sz w:val="22"/>
                <w:szCs w:val="22"/>
                <w:lang w:eastAsia="en-US"/>
              </w:rPr>
            </w:pPr>
            <w:r w:rsidRPr="00D81C20">
              <w:rPr>
                <w:rFonts w:ascii="Arial" w:eastAsia="Calibri" w:hAnsi="Arial" w:cs="Arial"/>
                <w:b/>
                <w:bCs/>
                <w:sz w:val="22"/>
                <w:szCs w:val="22"/>
                <w:lang w:eastAsia="en-US"/>
              </w:rPr>
              <w:t>NO</w:t>
            </w:r>
          </w:p>
        </w:tc>
        <w:tc>
          <w:tcPr>
            <w:tcW w:w="473" w:type="pct"/>
            <w:shd w:val="clear" w:color="auto" w:fill="F2F2F2"/>
            <w:vAlign w:val="bottom"/>
          </w:tcPr>
          <w:p w14:paraId="7061F43E" w14:textId="77777777" w:rsidR="00D81C20" w:rsidRPr="00D81C20" w:rsidRDefault="00D81C20" w:rsidP="00D81C20">
            <w:pPr>
              <w:autoSpaceDE w:val="0"/>
              <w:autoSpaceDN w:val="0"/>
              <w:adjustRightInd w:val="0"/>
              <w:jc w:val="center"/>
              <w:rPr>
                <w:rFonts w:ascii="Arial" w:eastAsia="Calibri" w:hAnsi="Arial" w:cs="Arial"/>
                <w:b/>
                <w:bCs/>
                <w:sz w:val="16"/>
                <w:szCs w:val="16"/>
                <w:lang w:eastAsia="en-US"/>
              </w:rPr>
            </w:pPr>
          </w:p>
          <w:p w14:paraId="78E3D8C5" w14:textId="77777777" w:rsidR="00D81C20" w:rsidRPr="00D81C20" w:rsidRDefault="00D81C20" w:rsidP="00D81C20">
            <w:pPr>
              <w:autoSpaceDE w:val="0"/>
              <w:autoSpaceDN w:val="0"/>
              <w:adjustRightInd w:val="0"/>
              <w:jc w:val="center"/>
              <w:rPr>
                <w:rFonts w:ascii="Arial" w:eastAsia="Calibri" w:hAnsi="Arial" w:cs="Arial"/>
                <w:b/>
                <w:bCs/>
                <w:sz w:val="22"/>
                <w:szCs w:val="22"/>
                <w:lang w:eastAsia="en-US"/>
              </w:rPr>
            </w:pPr>
            <w:r w:rsidRPr="00D81C20">
              <w:rPr>
                <w:rFonts w:ascii="Arial" w:eastAsia="Calibri" w:hAnsi="Arial" w:cs="Arial"/>
                <w:b/>
                <w:bCs/>
                <w:sz w:val="22"/>
                <w:szCs w:val="22"/>
                <w:lang w:eastAsia="en-US"/>
              </w:rPr>
              <w:t>N/A</w:t>
            </w:r>
          </w:p>
        </w:tc>
      </w:tr>
      <w:tr w:rsidR="00D81C20" w:rsidRPr="004C3A0B" w14:paraId="17ED016A" w14:textId="77777777" w:rsidTr="00D81C20">
        <w:trPr>
          <w:trHeight w:val="439"/>
        </w:trPr>
        <w:tc>
          <w:tcPr>
            <w:tcW w:w="268" w:type="pct"/>
            <w:shd w:val="clear" w:color="auto" w:fill="F2F2F2"/>
            <w:vAlign w:val="center"/>
          </w:tcPr>
          <w:p w14:paraId="103EDCC5" w14:textId="77777777" w:rsidR="00D81C20" w:rsidRPr="00D81C20" w:rsidRDefault="00D81C20" w:rsidP="00D81C20">
            <w:pPr>
              <w:autoSpaceDE w:val="0"/>
              <w:autoSpaceDN w:val="0"/>
              <w:adjustRightInd w:val="0"/>
              <w:jc w:val="center"/>
              <w:rPr>
                <w:rFonts w:ascii="Arial" w:eastAsia="Calibri" w:hAnsi="Arial" w:cs="Arial"/>
                <w:sz w:val="22"/>
                <w:szCs w:val="22"/>
                <w:lang w:eastAsia="en-US"/>
              </w:rPr>
            </w:pPr>
            <w:r w:rsidRPr="00D81C20">
              <w:rPr>
                <w:rFonts w:ascii="Arial" w:eastAsia="Calibri" w:hAnsi="Arial" w:cs="Arial"/>
                <w:sz w:val="22"/>
                <w:szCs w:val="22"/>
                <w:lang w:eastAsia="en-US"/>
              </w:rPr>
              <w:t>24</w:t>
            </w:r>
          </w:p>
        </w:tc>
        <w:tc>
          <w:tcPr>
            <w:tcW w:w="3380" w:type="pct"/>
            <w:shd w:val="clear" w:color="auto" w:fill="F2F2F2"/>
            <w:vAlign w:val="center"/>
          </w:tcPr>
          <w:p w14:paraId="56A81D79" w14:textId="77777777" w:rsidR="00D81C20" w:rsidRPr="00D81C20" w:rsidRDefault="00D81C20" w:rsidP="00D81C20">
            <w:pPr>
              <w:autoSpaceDE w:val="0"/>
              <w:autoSpaceDN w:val="0"/>
              <w:adjustRightInd w:val="0"/>
              <w:rPr>
                <w:rFonts w:ascii="Arial" w:eastAsia="Calibri" w:hAnsi="Arial" w:cs="Arial"/>
                <w:sz w:val="22"/>
                <w:szCs w:val="22"/>
                <w:lang w:eastAsia="en-US"/>
              </w:rPr>
            </w:pPr>
            <w:r w:rsidRPr="00D81C20">
              <w:rPr>
                <w:rFonts w:ascii="Arial" w:eastAsia="Calibri" w:hAnsi="Arial" w:cs="Arial"/>
                <w:sz w:val="22"/>
                <w:szCs w:val="22"/>
                <w:lang w:eastAsia="en-US"/>
              </w:rPr>
              <w:t>Will participants be paid?</w:t>
            </w:r>
          </w:p>
        </w:tc>
        <w:tc>
          <w:tcPr>
            <w:tcW w:w="473" w:type="pct"/>
            <w:shd w:val="clear" w:color="auto" w:fill="BFBFBF"/>
            <w:vAlign w:val="center"/>
          </w:tcPr>
          <w:p w14:paraId="0A7F95BC" w14:textId="3EBDA8EE" w:rsidR="00D81C20" w:rsidRPr="00D81C20" w:rsidRDefault="00D81C20" w:rsidP="00D81C20">
            <w:pPr>
              <w:autoSpaceDE w:val="0"/>
              <w:autoSpaceDN w:val="0"/>
              <w:adjustRightInd w:val="0"/>
              <w:jc w:val="center"/>
              <w:rPr>
                <w:rFonts w:ascii="Arial" w:eastAsia="Calibri" w:hAnsi="Arial" w:cs="Arial"/>
                <w:sz w:val="22"/>
                <w:szCs w:val="22"/>
                <w:lang w:eastAsia="en-US"/>
              </w:rPr>
            </w:pPr>
            <w:r w:rsidRPr="00D81C20">
              <w:rPr>
                <w:rFonts w:ascii="MS Gothic" w:eastAsia="MS Gothic" w:hAnsi="MS Gothic" w:cs="Arial" w:hint="eastAsia"/>
                <w:sz w:val="22"/>
                <w:szCs w:val="22"/>
                <w:lang w:eastAsia="en-US"/>
              </w:rPr>
              <w:t>☐</w:t>
            </w:r>
          </w:p>
        </w:tc>
        <w:tc>
          <w:tcPr>
            <w:tcW w:w="406" w:type="pct"/>
            <w:shd w:val="clear" w:color="auto" w:fill="BFBFBF"/>
            <w:vAlign w:val="center"/>
          </w:tcPr>
          <w:p w14:paraId="5B9FFA8D" w14:textId="6105CDF4" w:rsidR="00D81C20" w:rsidRPr="00D81C20" w:rsidRDefault="00D81C20" w:rsidP="00D81C20">
            <w:pPr>
              <w:autoSpaceDE w:val="0"/>
              <w:autoSpaceDN w:val="0"/>
              <w:adjustRightInd w:val="0"/>
              <w:jc w:val="center"/>
              <w:rPr>
                <w:rFonts w:ascii="Arial" w:eastAsia="Calibri" w:hAnsi="Arial" w:cs="Arial"/>
                <w:sz w:val="22"/>
                <w:szCs w:val="22"/>
                <w:lang w:eastAsia="en-US"/>
              </w:rPr>
            </w:pPr>
            <w:r w:rsidRPr="00D81C20">
              <w:rPr>
                <w:rFonts w:ascii="MS Gothic" w:eastAsia="MS Gothic" w:hAnsi="MS Gothic" w:cs="Arial" w:hint="eastAsia"/>
                <w:sz w:val="22"/>
                <w:szCs w:val="22"/>
                <w:lang w:eastAsia="en-US"/>
              </w:rPr>
              <w:t>☐</w:t>
            </w:r>
          </w:p>
        </w:tc>
        <w:tc>
          <w:tcPr>
            <w:tcW w:w="473" w:type="pct"/>
            <w:shd w:val="clear" w:color="auto" w:fill="BFBFBF"/>
            <w:vAlign w:val="center"/>
          </w:tcPr>
          <w:p w14:paraId="235BE856" w14:textId="4E1F3B05" w:rsidR="00D81C20" w:rsidRPr="00D81C20" w:rsidRDefault="00D81C20" w:rsidP="00D81C20">
            <w:pPr>
              <w:autoSpaceDE w:val="0"/>
              <w:autoSpaceDN w:val="0"/>
              <w:adjustRightInd w:val="0"/>
              <w:jc w:val="center"/>
              <w:rPr>
                <w:rFonts w:ascii="Arial" w:eastAsia="Calibri" w:hAnsi="Arial" w:cs="Arial"/>
                <w:sz w:val="22"/>
                <w:szCs w:val="22"/>
                <w:lang w:eastAsia="en-US"/>
              </w:rPr>
            </w:pPr>
            <w:r w:rsidRPr="00D81C20">
              <w:rPr>
                <w:rFonts w:ascii="MS Gothic" w:eastAsia="MS Gothic" w:hAnsi="MS Gothic" w:cs="Arial" w:hint="eastAsia"/>
                <w:sz w:val="22"/>
                <w:szCs w:val="22"/>
                <w:lang w:eastAsia="en-US"/>
              </w:rPr>
              <w:t>☒</w:t>
            </w:r>
          </w:p>
        </w:tc>
      </w:tr>
      <w:tr w:rsidR="00D81C20" w:rsidRPr="004C3A0B" w14:paraId="6709CFBA" w14:textId="77777777" w:rsidTr="00D81C20">
        <w:trPr>
          <w:trHeight w:val="403"/>
        </w:trPr>
        <w:tc>
          <w:tcPr>
            <w:tcW w:w="268" w:type="pct"/>
            <w:shd w:val="clear" w:color="auto" w:fill="F2F2F2"/>
            <w:vAlign w:val="center"/>
          </w:tcPr>
          <w:p w14:paraId="7A5BEEA2" w14:textId="77777777" w:rsidR="00D81C20" w:rsidRPr="00D81C20" w:rsidRDefault="00D81C20" w:rsidP="00D81C20">
            <w:pPr>
              <w:autoSpaceDE w:val="0"/>
              <w:autoSpaceDN w:val="0"/>
              <w:adjustRightInd w:val="0"/>
              <w:jc w:val="center"/>
              <w:rPr>
                <w:rFonts w:ascii="Arial" w:eastAsia="Calibri" w:hAnsi="Arial" w:cs="Arial"/>
                <w:sz w:val="22"/>
                <w:szCs w:val="22"/>
                <w:lang w:eastAsia="en-US"/>
              </w:rPr>
            </w:pPr>
            <w:r w:rsidRPr="00D81C20">
              <w:rPr>
                <w:rFonts w:ascii="Arial" w:eastAsia="Calibri" w:hAnsi="Arial" w:cs="Arial"/>
                <w:sz w:val="22"/>
                <w:szCs w:val="22"/>
                <w:lang w:eastAsia="en-US"/>
              </w:rPr>
              <w:t>25</w:t>
            </w:r>
          </w:p>
        </w:tc>
        <w:tc>
          <w:tcPr>
            <w:tcW w:w="3380" w:type="pct"/>
            <w:shd w:val="clear" w:color="auto" w:fill="F2F2F2"/>
            <w:vAlign w:val="center"/>
          </w:tcPr>
          <w:p w14:paraId="33DEC6B8" w14:textId="77777777" w:rsidR="00D81C20" w:rsidRPr="00D81C20" w:rsidRDefault="00D81C20" w:rsidP="00D81C20">
            <w:pPr>
              <w:autoSpaceDE w:val="0"/>
              <w:autoSpaceDN w:val="0"/>
              <w:adjustRightInd w:val="0"/>
              <w:rPr>
                <w:rFonts w:ascii="Arial" w:eastAsia="Calibri" w:hAnsi="Arial" w:cs="Arial"/>
                <w:sz w:val="22"/>
                <w:szCs w:val="22"/>
                <w:lang w:eastAsia="en-US"/>
              </w:rPr>
            </w:pPr>
            <w:r w:rsidRPr="00D81C20">
              <w:rPr>
                <w:rFonts w:ascii="Arial" w:eastAsia="Calibri" w:hAnsi="Arial" w:cs="Arial"/>
                <w:sz w:val="22"/>
                <w:szCs w:val="22"/>
                <w:lang w:eastAsia="en-US"/>
              </w:rPr>
              <w:t>Is specialist electrical or other equipment to be used with participants?</w:t>
            </w:r>
          </w:p>
        </w:tc>
        <w:tc>
          <w:tcPr>
            <w:tcW w:w="473" w:type="pct"/>
            <w:shd w:val="clear" w:color="auto" w:fill="BFBFBF"/>
            <w:vAlign w:val="center"/>
          </w:tcPr>
          <w:p w14:paraId="047A6314" w14:textId="17C1CB66" w:rsidR="00D81C20" w:rsidRPr="00D81C20" w:rsidRDefault="00D81C20" w:rsidP="00D81C20">
            <w:pPr>
              <w:autoSpaceDE w:val="0"/>
              <w:autoSpaceDN w:val="0"/>
              <w:adjustRightInd w:val="0"/>
              <w:jc w:val="center"/>
              <w:rPr>
                <w:rFonts w:ascii="Arial" w:eastAsia="Calibri" w:hAnsi="Arial" w:cs="Arial"/>
                <w:sz w:val="22"/>
                <w:szCs w:val="22"/>
                <w:lang w:eastAsia="en-US"/>
              </w:rPr>
            </w:pPr>
            <w:r w:rsidRPr="00D81C20">
              <w:rPr>
                <w:rFonts w:ascii="MS Gothic" w:eastAsia="MS Gothic" w:hAnsi="MS Gothic" w:cs="Arial" w:hint="eastAsia"/>
                <w:sz w:val="22"/>
                <w:szCs w:val="22"/>
                <w:lang w:eastAsia="en-US"/>
              </w:rPr>
              <w:t>☐</w:t>
            </w:r>
          </w:p>
        </w:tc>
        <w:tc>
          <w:tcPr>
            <w:tcW w:w="406" w:type="pct"/>
            <w:shd w:val="clear" w:color="auto" w:fill="BFBFBF"/>
            <w:vAlign w:val="center"/>
          </w:tcPr>
          <w:p w14:paraId="6637AEC2" w14:textId="24FEB0EF" w:rsidR="00D81C20" w:rsidRPr="00D81C20" w:rsidRDefault="00D81C20" w:rsidP="00D81C20">
            <w:pPr>
              <w:autoSpaceDE w:val="0"/>
              <w:autoSpaceDN w:val="0"/>
              <w:adjustRightInd w:val="0"/>
              <w:jc w:val="center"/>
              <w:rPr>
                <w:rFonts w:ascii="Arial" w:eastAsia="Calibri" w:hAnsi="Arial" w:cs="Arial"/>
                <w:sz w:val="22"/>
                <w:szCs w:val="22"/>
                <w:lang w:eastAsia="en-US"/>
              </w:rPr>
            </w:pPr>
            <w:r w:rsidRPr="00D81C20">
              <w:rPr>
                <w:rFonts w:ascii="MS Gothic" w:eastAsia="MS Gothic" w:hAnsi="MS Gothic" w:cs="Arial" w:hint="eastAsia"/>
                <w:sz w:val="22"/>
                <w:szCs w:val="22"/>
                <w:lang w:eastAsia="en-US"/>
              </w:rPr>
              <w:t>☐</w:t>
            </w:r>
          </w:p>
        </w:tc>
        <w:tc>
          <w:tcPr>
            <w:tcW w:w="473" w:type="pct"/>
            <w:shd w:val="clear" w:color="auto" w:fill="BFBFBF"/>
            <w:vAlign w:val="center"/>
          </w:tcPr>
          <w:p w14:paraId="01384709" w14:textId="10F5D7CD" w:rsidR="00D81C20" w:rsidRPr="00D81C20" w:rsidRDefault="00D81C20" w:rsidP="00D81C20">
            <w:pPr>
              <w:autoSpaceDE w:val="0"/>
              <w:autoSpaceDN w:val="0"/>
              <w:adjustRightInd w:val="0"/>
              <w:jc w:val="center"/>
              <w:rPr>
                <w:rFonts w:ascii="Arial" w:eastAsia="Calibri" w:hAnsi="Arial" w:cs="Arial"/>
                <w:sz w:val="22"/>
                <w:szCs w:val="22"/>
                <w:lang w:eastAsia="en-US"/>
              </w:rPr>
            </w:pPr>
            <w:r w:rsidRPr="00D81C20">
              <w:rPr>
                <w:rFonts w:ascii="MS Gothic" w:eastAsia="MS Gothic" w:hAnsi="MS Gothic" w:cs="Arial" w:hint="eastAsia"/>
                <w:sz w:val="22"/>
                <w:szCs w:val="22"/>
                <w:lang w:eastAsia="en-US"/>
              </w:rPr>
              <w:t>☒</w:t>
            </w:r>
          </w:p>
        </w:tc>
      </w:tr>
      <w:tr w:rsidR="00D81C20" w:rsidRPr="004C3A0B" w14:paraId="0D15C0C6" w14:textId="77777777" w:rsidTr="00D81C20">
        <w:trPr>
          <w:trHeight w:val="439"/>
        </w:trPr>
        <w:tc>
          <w:tcPr>
            <w:tcW w:w="268" w:type="pct"/>
            <w:shd w:val="clear" w:color="auto" w:fill="F2F2F2"/>
            <w:vAlign w:val="center"/>
          </w:tcPr>
          <w:p w14:paraId="7E72F9E5" w14:textId="77777777" w:rsidR="00D81C20" w:rsidRPr="00D81C20" w:rsidRDefault="00D81C20" w:rsidP="00D81C20">
            <w:pPr>
              <w:autoSpaceDE w:val="0"/>
              <w:autoSpaceDN w:val="0"/>
              <w:adjustRightInd w:val="0"/>
              <w:jc w:val="center"/>
              <w:rPr>
                <w:rFonts w:ascii="Arial" w:eastAsia="Calibri" w:hAnsi="Arial" w:cs="Arial"/>
                <w:sz w:val="22"/>
                <w:szCs w:val="22"/>
                <w:lang w:eastAsia="en-US"/>
              </w:rPr>
            </w:pPr>
            <w:r w:rsidRPr="00D81C20">
              <w:rPr>
                <w:rFonts w:ascii="Arial" w:eastAsia="Calibri" w:hAnsi="Arial" w:cs="Arial"/>
                <w:sz w:val="22"/>
                <w:szCs w:val="22"/>
                <w:lang w:eastAsia="en-US"/>
              </w:rPr>
              <w:t>26</w:t>
            </w:r>
          </w:p>
        </w:tc>
        <w:tc>
          <w:tcPr>
            <w:tcW w:w="3380" w:type="pct"/>
            <w:shd w:val="clear" w:color="auto" w:fill="F2F2F2"/>
            <w:vAlign w:val="center"/>
          </w:tcPr>
          <w:p w14:paraId="1BE9BE01" w14:textId="77777777" w:rsidR="00D81C20" w:rsidRPr="00D81C20" w:rsidRDefault="00D81C20" w:rsidP="00D81C20">
            <w:pPr>
              <w:autoSpaceDE w:val="0"/>
              <w:autoSpaceDN w:val="0"/>
              <w:adjustRightInd w:val="0"/>
              <w:rPr>
                <w:rFonts w:ascii="Arial" w:eastAsia="Calibri" w:hAnsi="Arial" w:cs="Arial"/>
                <w:sz w:val="22"/>
                <w:szCs w:val="22"/>
                <w:lang w:eastAsia="en-US"/>
              </w:rPr>
            </w:pPr>
            <w:r w:rsidRPr="00D81C20">
              <w:rPr>
                <w:rFonts w:ascii="Arial" w:eastAsia="Calibri" w:hAnsi="Arial" w:cs="Arial"/>
                <w:sz w:val="22"/>
                <w:szCs w:val="22"/>
                <w:lang w:eastAsia="en-US"/>
              </w:rPr>
              <w:t>Are there any financial or other interests to the investigator or University arising from this study?</w:t>
            </w:r>
          </w:p>
        </w:tc>
        <w:tc>
          <w:tcPr>
            <w:tcW w:w="473" w:type="pct"/>
            <w:shd w:val="clear" w:color="auto" w:fill="BFBFBF"/>
            <w:vAlign w:val="center"/>
          </w:tcPr>
          <w:p w14:paraId="712AF0EC" w14:textId="530CC931" w:rsidR="00D81C20" w:rsidRPr="00D81C20" w:rsidRDefault="00D81C20" w:rsidP="00D81C20">
            <w:pPr>
              <w:autoSpaceDE w:val="0"/>
              <w:autoSpaceDN w:val="0"/>
              <w:adjustRightInd w:val="0"/>
              <w:jc w:val="center"/>
              <w:rPr>
                <w:rFonts w:ascii="Arial" w:eastAsia="Calibri" w:hAnsi="Arial" w:cs="Arial"/>
                <w:sz w:val="22"/>
                <w:szCs w:val="22"/>
                <w:lang w:eastAsia="en-US"/>
              </w:rPr>
            </w:pPr>
            <w:r w:rsidRPr="00D81C20">
              <w:rPr>
                <w:rFonts w:ascii="MS Gothic" w:eastAsia="MS Gothic" w:hAnsi="MS Gothic" w:cs="Arial" w:hint="eastAsia"/>
                <w:sz w:val="22"/>
                <w:szCs w:val="22"/>
                <w:lang w:eastAsia="en-US"/>
              </w:rPr>
              <w:t>☐</w:t>
            </w:r>
          </w:p>
        </w:tc>
        <w:tc>
          <w:tcPr>
            <w:tcW w:w="406" w:type="pct"/>
            <w:shd w:val="clear" w:color="auto" w:fill="BFBFBF"/>
            <w:vAlign w:val="center"/>
          </w:tcPr>
          <w:p w14:paraId="17696F4B" w14:textId="6559800E" w:rsidR="00D81C20" w:rsidRPr="00D81C20" w:rsidRDefault="00D81C20" w:rsidP="00D81C20">
            <w:pPr>
              <w:autoSpaceDE w:val="0"/>
              <w:autoSpaceDN w:val="0"/>
              <w:adjustRightInd w:val="0"/>
              <w:jc w:val="center"/>
              <w:rPr>
                <w:rFonts w:ascii="Arial" w:eastAsia="Calibri" w:hAnsi="Arial" w:cs="Arial"/>
                <w:sz w:val="22"/>
                <w:szCs w:val="22"/>
                <w:lang w:eastAsia="en-US"/>
              </w:rPr>
            </w:pPr>
            <w:r w:rsidRPr="00D81C20">
              <w:rPr>
                <w:rFonts w:ascii="MS Gothic" w:eastAsia="MS Gothic" w:hAnsi="MS Gothic" w:cs="Arial" w:hint="eastAsia"/>
                <w:sz w:val="22"/>
                <w:szCs w:val="22"/>
                <w:lang w:eastAsia="en-US"/>
              </w:rPr>
              <w:t>☐</w:t>
            </w:r>
          </w:p>
        </w:tc>
        <w:tc>
          <w:tcPr>
            <w:tcW w:w="473" w:type="pct"/>
            <w:shd w:val="clear" w:color="auto" w:fill="BFBFBF"/>
            <w:vAlign w:val="center"/>
          </w:tcPr>
          <w:p w14:paraId="42DF56E7" w14:textId="3AAFA2C6" w:rsidR="00D81C20" w:rsidRPr="00D81C20" w:rsidRDefault="00D81C20" w:rsidP="00D81C20">
            <w:pPr>
              <w:autoSpaceDE w:val="0"/>
              <w:autoSpaceDN w:val="0"/>
              <w:adjustRightInd w:val="0"/>
              <w:jc w:val="center"/>
              <w:rPr>
                <w:rFonts w:ascii="Arial" w:eastAsia="Calibri" w:hAnsi="Arial" w:cs="Arial"/>
                <w:sz w:val="22"/>
                <w:szCs w:val="22"/>
                <w:lang w:eastAsia="en-US"/>
              </w:rPr>
            </w:pPr>
            <w:r w:rsidRPr="00D81C20">
              <w:rPr>
                <w:rFonts w:ascii="MS Gothic" w:eastAsia="MS Gothic" w:hAnsi="MS Gothic" w:cs="Arial" w:hint="eastAsia"/>
                <w:sz w:val="22"/>
                <w:szCs w:val="22"/>
                <w:lang w:eastAsia="en-US"/>
              </w:rPr>
              <w:t>☒</w:t>
            </w:r>
          </w:p>
        </w:tc>
      </w:tr>
      <w:tr w:rsidR="00D81C20" w:rsidRPr="004C3A0B" w14:paraId="4953BEE5" w14:textId="77777777" w:rsidTr="00D81C20">
        <w:trPr>
          <w:trHeight w:val="403"/>
        </w:trPr>
        <w:tc>
          <w:tcPr>
            <w:tcW w:w="268" w:type="pct"/>
            <w:shd w:val="clear" w:color="auto" w:fill="F2F2F2"/>
            <w:vAlign w:val="center"/>
          </w:tcPr>
          <w:p w14:paraId="16913224" w14:textId="77777777" w:rsidR="00D81C20" w:rsidRPr="00D81C20" w:rsidRDefault="00D81C20" w:rsidP="00D81C20">
            <w:pPr>
              <w:autoSpaceDE w:val="0"/>
              <w:autoSpaceDN w:val="0"/>
              <w:adjustRightInd w:val="0"/>
              <w:jc w:val="center"/>
              <w:rPr>
                <w:rFonts w:ascii="Arial" w:eastAsia="Calibri" w:hAnsi="Arial" w:cs="Arial"/>
                <w:sz w:val="22"/>
                <w:szCs w:val="22"/>
                <w:lang w:eastAsia="en-US"/>
              </w:rPr>
            </w:pPr>
            <w:r w:rsidRPr="00D81C20">
              <w:rPr>
                <w:rFonts w:ascii="Arial" w:eastAsia="Calibri" w:hAnsi="Arial" w:cs="Arial"/>
                <w:sz w:val="22"/>
                <w:szCs w:val="22"/>
                <w:lang w:eastAsia="en-US"/>
              </w:rPr>
              <w:t>27</w:t>
            </w:r>
          </w:p>
        </w:tc>
        <w:tc>
          <w:tcPr>
            <w:tcW w:w="3380" w:type="pct"/>
            <w:shd w:val="clear" w:color="auto" w:fill="F2F2F2"/>
            <w:vAlign w:val="center"/>
          </w:tcPr>
          <w:p w14:paraId="5B3D4A1F" w14:textId="77777777" w:rsidR="00D81C20" w:rsidRPr="00D81C20" w:rsidRDefault="00D81C20" w:rsidP="00D81C20">
            <w:pPr>
              <w:autoSpaceDE w:val="0"/>
              <w:autoSpaceDN w:val="0"/>
              <w:adjustRightInd w:val="0"/>
              <w:rPr>
                <w:rFonts w:ascii="Arial" w:eastAsia="Calibri" w:hAnsi="Arial" w:cs="Arial"/>
                <w:sz w:val="22"/>
                <w:szCs w:val="22"/>
                <w:lang w:eastAsia="en-US"/>
              </w:rPr>
            </w:pPr>
            <w:r w:rsidRPr="00D81C20">
              <w:rPr>
                <w:rFonts w:ascii="Arial" w:eastAsia="Calibri" w:hAnsi="Arial" w:cs="Arial"/>
                <w:sz w:val="22"/>
                <w:szCs w:val="22"/>
                <w:lang w:eastAsia="en-US"/>
              </w:rPr>
              <w:t>Will the research activity involve deliberately misleading participants in any way, or the partial or full concealment of the specific study aims?</w:t>
            </w:r>
          </w:p>
        </w:tc>
        <w:tc>
          <w:tcPr>
            <w:tcW w:w="473" w:type="pct"/>
            <w:shd w:val="clear" w:color="auto" w:fill="BFBFBF"/>
            <w:vAlign w:val="center"/>
          </w:tcPr>
          <w:p w14:paraId="59516632" w14:textId="7EB63994" w:rsidR="00D81C20" w:rsidRPr="00D81C20" w:rsidRDefault="00D81C20" w:rsidP="00D81C20">
            <w:pPr>
              <w:autoSpaceDE w:val="0"/>
              <w:autoSpaceDN w:val="0"/>
              <w:adjustRightInd w:val="0"/>
              <w:jc w:val="center"/>
              <w:rPr>
                <w:rFonts w:ascii="Arial" w:eastAsia="Calibri" w:hAnsi="Arial" w:cs="Arial"/>
                <w:sz w:val="22"/>
                <w:szCs w:val="22"/>
                <w:lang w:eastAsia="en-US"/>
              </w:rPr>
            </w:pPr>
            <w:r w:rsidRPr="00D81C20">
              <w:rPr>
                <w:rFonts w:ascii="MS Gothic" w:eastAsia="MS Gothic" w:hAnsi="MS Gothic" w:cs="Arial" w:hint="eastAsia"/>
                <w:sz w:val="22"/>
                <w:szCs w:val="22"/>
                <w:lang w:eastAsia="en-US"/>
              </w:rPr>
              <w:t>☐</w:t>
            </w:r>
          </w:p>
        </w:tc>
        <w:tc>
          <w:tcPr>
            <w:tcW w:w="406" w:type="pct"/>
            <w:shd w:val="clear" w:color="auto" w:fill="BFBFBF"/>
            <w:vAlign w:val="center"/>
          </w:tcPr>
          <w:p w14:paraId="22CA6B53" w14:textId="58A6E1F3" w:rsidR="00D81C20" w:rsidRPr="00D81C20" w:rsidRDefault="00D81C20" w:rsidP="00D81C20">
            <w:pPr>
              <w:autoSpaceDE w:val="0"/>
              <w:autoSpaceDN w:val="0"/>
              <w:adjustRightInd w:val="0"/>
              <w:jc w:val="center"/>
              <w:rPr>
                <w:rFonts w:ascii="Arial" w:eastAsia="Calibri" w:hAnsi="Arial" w:cs="Arial"/>
                <w:sz w:val="22"/>
                <w:szCs w:val="22"/>
                <w:lang w:eastAsia="en-US"/>
              </w:rPr>
            </w:pPr>
            <w:r w:rsidRPr="00D81C20">
              <w:rPr>
                <w:rFonts w:ascii="MS Gothic" w:eastAsia="MS Gothic" w:hAnsi="MS Gothic" w:cs="Arial" w:hint="eastAsia"/>
                <w:sz w:val="22"/>
                <w:szCs w:val="22"/>
                <w:lang w:eastAsia="en-US"/>
              </w:rPr>
              <w:t>☐</w:t>
            </w:r>
          </w:p>
        </w:tc>
        <w:tc>
          <w:tcPr>
            <w:tcW w:w="473" w:type="pct"/>
            <w:shd w:val="clear" w:color="auto" w:fill="BFBFBF"/>
            <w:vAlign w:val="center"/>
          </w:tcPr>
          <w:p w14:paraId="4A841CDA" w14:textId="3560843D" w:rsidR="00D81C20" w:rsidRPr="00D81C20" w:rsidRDefault="00D81C20" w:rsidP="00D81C20">
            <w:pPr>
              <w:autoSpaceDE w:val="0"/>
              <w:autoSpaceDN w:val="0"/>
              <w:adjustRightInd w:val="0"/>
              <w:jc w:val="center"/>
              <w:rPr>
                <w:rFonts w:ascii="Arial" w:eastAsia="Calibri" w:hAnsi="Arial" w:cs="Arial"/>
                <w:sz w:val="22"/>
                <w:szCs w:val="22"/>
                <w:lang w:eastAsia="en-US"/>
              </w:rPr>
            </w:pPr>
            <w:r w:rsidRPr="00D81C20">
              <w:rPr>
                <w:rFonts w:ascii="MS Gothic" w:eastAsia="MS Gothic" w:hAnsi="MS Gothic" w:cs="Arial" w:hint="eastAsia"/>
                <w:sz w:val="22"/>
                <w:szCs w:val="22"/>
                <w:lang w:eastAsia="en-US"/>
              </w:rPr>
              <w:t>☒</w:t>
            </w:r>
          </w:p>
        </w:tc>
      </w:tr>
      <w:tr w:rsidR="00D81C20" w:rsidRPr="004C3A0B" w14:paraId="5FAFAE49" w14:textId="77777777" w:rsidTr="00D81C20">
        <w:trPr>
          <w:trHeight w:val="403"/>
        </w:trPr>
        <w:tc>
          <w:tcPr>
            <w:tcW w:w="268" w:type="pct"/>
            <w:shd w:val="clear" w:color="auto" w:fill="F2F2F2"/>
            <w:vAlign w:val="center"/>
          </w:tcPr>
          <w:p w14:paraId="2CCF4005" w14:textId="77777777" w:rsidR="00D81C20" w:rsidRPr="00D81C20" w:rsidRDefault="00D81C20" w:rsidP="00D81C20">
            <w:pPr>
              <w:autoSpaceDE w:val="0"/>
              <w:autoSpaceDN w:val="0"/>
              <w:adjustRightInd w:val="0"/>
              <w:jc w:val="center"/>
              <w:rPr>
                <w:rFonts w:ascii="Arial" w:eastAsia="Calibri" w:hAnsi="Arial" w:cs="Arial"/>
                <w:sz w:val="22"/>
                <w:szCs w:val="22"/>
                <w:lang w:eastAsia="en-US"/>
              </w:rPr>
            </w:pPr>
            <w:r w:rsidRPr="00D81C20">
              <w:rPr>
                <w:rFonts w:ascii="Arial" w:eastAsia="Calibri" w:hAnsi="Arial" w:cs="Arial"/>
                <w:sz w:val="22"/>
                <w:szCs w:val="22"/>
                <w:lang w:eastAsia="en-US"/>
              </w:rPr>
              <w:t>28</w:t>
            </w:r>
          </w:p>
        </w:tc>
        <w:tc>
          <w:tcPr>
            <w:tcW w:w="4732" w:type="pct"/>
            <w:gridSpan w:val="4"/>
            <w:shd w:val="clear" w:color="auto" w:fill="F2F2F2"/>
            <w:vAlign w:val="center"/>
          </w:tcPr>
          <w:p w14:paraId="25D7B7B7" w14:textId="77777777" w:rsidR="00D81C20" w:rsidRPr="00D81C20" w:rsidRDefault="00D81C20" w:rsidP="00D81C20">
            <w:pPr>
              <w:autoSpaceDE w:val="0"/>
              <w:autoSpaceDN w:val="0"/>
              <w:adjustRightInd w:val="0"/>
              <w:rPr>
                <w:rFonts w:ascii="Arial" w:eastAsia="Calibri" w:hAnsi="Arial" w:cs="Arial"/>
                <w:sz w:val="22"/>
                <w:szCs w:val="22"/>
                <w:lang w:eastAsia="en-US"/>
              </w:rPr>
            </w:pPr>
            <w:r w:rsidRPr="00D81C20">
              <w:rPr>
                <w:rFonts w:ascii="Arial" w:eastAsia="Calibri" w:hAnsi="Arial" w:cs="Arial"/>
                <w:sz w:val="22"/>
                <w:szCs w:val="22"/>
                <w:lang w:eastAsia="en-US"/>
              </w:rPr>
              <w:t>If YES</w:t>
            </w:r>
            <w:r w:rsidRPr="00D81C20">
              <w:rPr>
                <w:rFonts w:ascii="Arial" w:eastAsia="Calibri" w:hAnsi="Arial" w:cs="Arial"/>
                <w:b/>
                <w:bCs/>
                <w:sz w:val="22"/>
                <w:szCs w:val="22"/>
                <w:lang w:eastAsia="en-US"/>
              </w:rPr>
              <w:t xml:space="preserve"> </w:t>
            </w:r>
            <w:r w:rsidRPr="00D81C20">
              <w:rPr>
                <w:rFonts w:ascii="Arial" w:eastAsia="Calibri" w:hAnsi="Arial" w:cs="Arial"/>
                <w:sz w:val="22"/>
                <w:szCs w:val="22"/>
                <w:lang w:eastAsia="en-US"/>
              </w:rPr>
              <w:t xml:space="preserve">to any question, please provide full details </w:t>
            </w:r>
          </w:p>
        </w:tc>
      </w:tr>
      <w:tr w:rsidR="00D81C20" w:rsidRPr="004C3A0B" w14:paraId="7D64F1F6" w14:textId="77777777" w:rsidTr="00D81C20">
        <w:trPr>
          <w:trHeight w:val="403"/>
        </w:trPr>
        <w:tc>
          <w:tcPr>
            <w:tcW w:w="268" w:type="pct"/>
            <w:shd w:val="clear" w:color="auto" w:fill="auto"/>
            <w:vAlign w:val="center"/>
          </w:tcPr>
          <w:p w14:paraId="71BE194F" w14:textId="77777777" w:rsidR="00D81C20" w:rsidRPr="00D81C20" w:rsidRDefault="00D81C20" w:rsidP="00D81C20">
            <w:pPr>
              <w:jc w:val="center"/>
              <w:rPr>
                <w:rFonts w:ascii="Arial" w:eastAsia="Calibri" w:hAnsi="Arial" w:cs="Arial"/>
                <w:sz w:val="22"/>
                <w:szCs w:val="22"/>
                <w:lang w:eastAsia="en-US"/>
              </w:rPr>
            </w:pPr>
          </w:p>
        </w:tc>
        <w:tc>
          <w:tcPr>
            <w:tcW w:w="4732" w:type="pct"/>
            <w:gridSpan w:val="4"/>
            <w:shd w:val="clear" w:color="auto" w:fill="auto"/>
            <w:vAlign w:val="center"/>
          </w:tcPr>
          <w:p w14:paraId="24DDD008" w14:textId="77777777" w:rsidR="00D81C20" w:rsidRPr="00D81C20" w:rsidRDefault="00D81C20" w:rsidP="00A91894">
            <w:pPr>
              <w:rPr>
                <w:rFonts w:ascii="Arial" w:eastAsia="Calibri" w:hAnsi="Arial" w:cs="Arial"/>
                <w:sz w:val="22"/>
                <w:szCs w:val="22"/>
                <w:lang w:eastAsia="en-US"/>
              </w:rPr>
            </w:pPr>
          </w:p>
          <w:p w14:paraId="6C827EC6" w14:textId="77777777" w:rsidR="00D81C20" w:rsidRPr="00D81C20" w:rsidRDefault="00D81C20" w:rsidP="00A91894">
            <w:pPr>
              <w:rPr>
                <w:rFonts w:ascii="Arial" w:eastAsia="Calibri" w:hAnsi="Arial" w:cs="Arial"/>
                <w:sz w:val="22"/>
                <w:szCs w:val="22"/>
                <w:lang w:eastAsia="en-US"/>
              </w:rPr>
            </w:pPr>
          </w:p>
          <w:p w14:paraId="654650C9" w14:textId="77777777" w:rsidR="00D81C20" w:rsidRPr="00D81C20" w:rsidRDefault="00D81C20" w:rsidP="00A91894">
            <w:pPr>
              <w:rPr>
                <w:rFonts w:ascii="Arial" w:eastAsia="Calibri" w:hAnsi="Arial" w:cs="Arial"/>
                <w:sz w:val="22"/>
                <w:szCs w:val="22"/>
                <w:lang w:eastAsia="en-US"/>
              </w:rPr>
            </w:pPr>
          </w:p>
          <w:p w14:paraId="55962DB9" w14:textId="77777777" w:rsidR="00D81C20" w:rsidRPr="00D81C20" w:rsidRDefault="00D81C20" w:rsidP="00D81C20">
            <w:pPr>
              <w:autoSpaceDE w:val="0"/>
              <w:autoSpaceDN w:val="0"/>
              <w:adjustRightInd w:val="0"/>
              <w:rPr>
                <w:rFonts w:ascii="Calibri" w:eastAsia="Calibri" w:hAnsi="Calibri" w:cs="Arial"/>
                <w:sz w:val="22"/>
                <w:szCs w:val="22"/>
                <w:lang w:eastAsia="en-US"/>
              </w:rPr>
            </w:pPr>
            <w:r w:rsidRPr="00D81C20">
              <w:rPr>
                <w:rFonts w:ascii="Arial" w:eastAsia="Calibri" w:hAnsi="Arial" w:cs="Arial"/>
                <w:i/>
                <w:color w:val="808080"/>
                <w:sz w:val="18"/>
                <w:szCs w:val="18"/>
                <w:lang w:eastAsia="en-US"/>
              </w:rPr>
              <w:t>(this box should expand as you type)</w:t>
            </w:r>
          </w:p>
        </w:tc>
      </w:tr>
    </w:tbl>
    <w:p w14:paraId="24A36FD1" w14:textId="77777777" w:rsidR="00D81C20" w:rsidRPr="00354F34" w:rsidRDefault="00D81C20" w:rsidP="00A91894">
      <w:pPr>
        <w:autoSpaceDE w:val="0"/>
        <w:autoSpaceDN w:val="0"/>
        <w:adjustRightInd w:val="0"/>
        <w:spacing w:after="240"/>
        <w:jc w:val="both"/>
        <w:rPr>
          <w:rFonts w:ascii="Arial" w:hAnsi="Arial" w:cs="Arial"/>
          <w:b/>
          <w:sz w:val="22"/>
          <w:szCs w:val="22"/>
        </w:rPr>
      </w:pPr>
    </w:p>
    <w:p w14:paraId="2D056BBC" w14:textId="77777777" w:rsidR="00D81C20" w:rsidRDefault="00D81C20" w:rsidP="00A91894">
      <w:pPr>
        <w:rPr>
          <w:rFonts w:ascii="Arial" w:hAnsi="Arial" w:cs="Arial"/>
          <w:b/>
          <w:sz w:val="22"/>
          <w:szCs w:val="22"/>
        </w:rPr>
      </w:pPr>
      <w:r w:rsidRPr="00354F34">
        <w:rPr>
          <w:rFonts w:ascii="Arial" w:hAnsi="Arial" w:cs="Arial"/>
          <w:b/>
          <w:sz w:val="22"/>
          <w:szCs w:val="22"/>
        </w:rPr>
        <w:t>SECTION H: Anticipated Risks</w:t>
      </w:r>
    </w:p>
    <w:p w14:paraId="4402D7B9" w14:textId="77777777" w:rsidR="00D81C20" w:rsidRPr="00354F34" w:rsidRDefault="00D81C20" w:rsidP="00A91894">
      <w:pPr>
        <w:rPr>
          <w:rFonts w:ascii="Arial" w:hAnsi="Arial" w:cs="Arial"/>
          <w:b/>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69"/>
        <w:gridCol w:w="3936"/>
        <w:gridCol w:w="2683"/>
        <w:gridCol w:w="670"/>
        <w:gridCol w:w="538"/>
      </w:tblGrid>
      <w:tr w:rsidR="00D81C20" w:rsidRPr="004C3A0B" w14:paraId="75990227" w14:textId="77777777" w:rsidTr="00D81C20">
        <w:tc>
          <w:tcPr>
            <w:tcW w:w="283" w:type="pct"/>
            <w:tcBorders>
              <w:bottom w:val="single" w:sz="4" w:space="0" w:color="auto"/>
            </w:tcBorders>
            <w:shd w:val="clear" w:color="auto" w:fill="F2F2F2"/>
          </w:tcPr>
          <w:p w14:paraId="3C1AB889" w14:textId="77777777" w:rsidR="00D81C20" w:rsidRPr="002132F9" w:rsidRDefault="00D81C20" w:rsidP="00A91894">
            <w:pPr>
              <w:pStyle w:val="Heading1"/>
              <w:rPr>
                <w:rFonts w:ascii="Arial" w:hAnsi="Arial" w:cs="Arial"/>
                <w:b w:val="0"/>
                <w:bCs w:val="0"/>
              </w:rPr>
            </w:pPr>
          </w:p>
        </w:tc>
        <w:tc>
          <w:tcPr>
            <w:tcW w:w="4717" w:type="pct"/>
            <w:gridSpan w:val="4"/>
            <w:tcBorders>
              <w:bottom w:val="single" w:sz="4" w:space="0" w:color="auto"/>
            </w:tcBorders>
            <w:shd w:val="clear" w:color="auto" w:fill="F2F2F2"/>
          </w:tcPr>
          <w:p w14:paraId="682641EC" w14:textId="269513A2" w:rsidR="00D81C20" w:rsidRDefault="00D81C20" w:rsidP="00E00347">
            <w:pPr>
              <w:autoSpaceDE w:val="0"/>
              <w:autoSpaceDN w:val="0"/>
              <w:adjustRightInd w:val="0"/>
              <w:spacing w:after="240"/>
              <w:jc w:val="both"/>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w:t>
            </w:r>
            <w:r w:rsidR="00EA7207">
              <w:rPr>
                <w:rFonts w:ascii="Arial" w:hAnsi="Arial" w:cs="Arial"/>
              </w:rPr>
              <w:t>writer</w:t>
            </w:r>
            <w:r w:rsidRPr="004C3A0B">
              <w:rPr>
                <w:rFonts w:ascii="Arial" w:hAnsi="Arial" w:cs="Arial"/>
              </w:rPr>
              <w:t xml:space="preserve">s and/or the University, and the steps that will be taken to address them. </w:t>
            </w:r>
          </w:p>
          <w:p w14:paraId="1EBBF8FE" w14:textId="77777777" w:rsidR="00D81C20" w:rsidRDefault="00D81C20" w:rsidP="00A91894"/>
          <w:p w14:paraId="2C4BDE39" w14:textId="77777777" w:rsidR="00D81C20" w:rsidRPr="00204E14" w:rsidRDefault="00D81C20" w:rsidP="00A91894">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E00347" w:rsidRPr="004C3A0B" w14:paraId="30CCE380" w14:textId="77777777" w:rsidTr="00D81C20">
        <w:tc>
          <w:tcPr>
            <w:tcW w:w="283" w:type="pct"/>
            <w:vMerge w:val="restart"/>
            <w:shd w:val="clear" w:color="auto" w:fill="F2F2F2"/>
            <w:vAlign w:val="center"/>
          </w:tcPr>
          <w:p w14:paraId="09F47D05" w14:textId="77777777" w:rsidR="00D81C20" w:rsidRPr="00E00347" w:rsidRDefault="00D81C20" w:rsidP="00E00347">
            <w:pPr>
              <w:autoSpaceDE w:val="0"/>
              <w:autoSpaceDN w:val="0"/>
              <w:adjustRightInd w:val="0"/>
              <w:spacing w:after="240"/>
              <w:jc w:val="both"/>
              <w:rPr>
                <w:rFonts w:ascii="Arial" w:hAnsi="Arial" w:cs="Arial"/>
              </w:rPr>
            </w:pPr>
            <w:r w:rsidRPr="00E00347">
              <w:rPr>
                <w:rFonts w:ascii="Arial" w:hAnsi="Arial" w:cs="Arial"/>
              </w:rPr>
              <w:t>1</w:t>
            </w:r>
          </w:p>
        </w:tc>
        <w:tc>
          <w:tcPr>
            <w:tcW w:w="3989" w:type="pct"/>
            <w:gridSpan w:val="2"/>
            <w:vMerge w:val="restart"/>
            <w:shd w:val="clear" w:color="auto" w:fill="F2F2F2"/>
            <w:vAlign w:val="center"/>
          </w:tcPr>
          <w:p w14:paraId="036CDD32" w14:textId="77777777" w:rsidR="00D81C20" w:rsidRPr="00204E14" w:rsidRDefault="00D81C20" w:rsidP="00E00347">
            <w:pPr>
              <w:autoSpaceDE w:val="0"/>
              <w:autoSpaceDN w:val="0"/>
              <w:adjustRightInd w:val="0"/>
              <w:spacing w:after="240"/>
              <w:jc w:val="both"/>
              <w:rPr>
                <w:rFonts w:ascii="Arial" w:hAnsi="Arial" w:cs="Arial"/>
                <w:sz w:val="20"/>
                <w:szCs w:val="16"/>
              </w:rPr>
            </w:pPr>
            <w:r w:rsidRPr="00E00347">
              <w:rPr>
                <w:rFonts w:ascii="Arial" w:hAnsi="Arial" w:cs="Arial"/>
              </w:rPr>
              <w:t>Full</w:t>
            </w:r>
            <w:r w:rsidRPr="00204E14">
              <w:rPr>
                <w:rFonts w:ascii="Arial" w:hAnsi="Arial" w:cs="Arial"/>
                <w:sz w:val="20"/>
                <w:szCs w:val="16"/>
              </w:rPr>
              <w:t xml:space="preserve"> risk assessment completed and appended? </w:t>
            </w:r>
          </w:p>
        </w:tc>
        <w:tc>
          <w:tcPr>
            <w:tcW w:w="404" w:type="pct"/>
            <w:tcBorders>
              <w:bottom w:val="single" w:sz="4" w:space="0" w:color="auto"/>
            </w:tcBorders>
            <w:shd w:val="clear" w:color="auto" w:fill="F2F2F2"/>
          </w:tcPr>
          <w:p w14:paraId="026E795F" w14:textId="77777777" w:rsidR="00D81C20" w:rsidRPr="00264416" w:rsidRDefault="00D81C20" w:rsidP="00E00347">
            <w:pPr>
              <w:autoSpaceDE w:val="0"/>
              <w:autoSpaceDN w:val="0"/>
              <w:adjustRightInd w:val="0"/>
              <w:spacing w:after="240"/>
              <w:jc w:val="both"/>
              <w:rPr>
                <w:rFonts w:ascii="Arial" w:hAnsi="Arial" w:cs="Arial"/>
              </w:rPr>
            </w:pPr>
            <w:r w:rsidRPr="00204E14">
              <w:rPr>
                <w:rFonts w:ascii="Arial" w:hAnsi="Arial" w:cs="Arial"/>
              </w:rPr>
              <w:t xml:space="preserve">Yes </w:t>
            </w:r>
          </w:p>
        </w:tc>
        <w:tc>
          <w:tcPr>
            <w:tcW w:w="323" w:type="pct"/>
            <w:tcBorders>
              <w:bottom w:val="single" w:sz="4" w:space="0" w:color="auto"/>
            </w:tcBorders>
            <w:shd w:val="clear" w:color="auto" w:fill="BFBFBF"/>
          </w:tcPr>
          <w:p w14:paraId="6332D972" w14:textId="71413E70" w:rsidR="00D81C20" w:rsidRPr="00FD519A" w:rsidRDefault="00D81C20" w:rsidP="00E00347">
            <w:pPr>
              <w:autoSpaceDE w:val="0"/>
              <w:autoSpaceDN w:val="0"/>
              <w:adjustRightInd w:val="0"/>
              <w:spacing w:after="240"/>
              <w:jc w:val="both"/>
              <w:rPr>
                <w:rFonts w:ascii="Arial" w:hAnsi="Arial" w:cs="Arial"/>
                <w:sz w:val="20"/>
                <w:szCs w:val="16"/>
              </w:rPr>
            </w:pPr>
            <w:r w:rsidRPr="00392C8E">
              <w:rPr>
                <w:rFonts w:ascii="MS Gothic" w:eastAsia="MS Gothic" w:hAnsi="MS Gothic" w:cs="Arial" w:hint="eastAsia"/>
              </w:rPr>
              <w:t>☐</w:t>
            </w:r>
          </w:p>
        </w:tc>
      </w:tr>
      <w:tr w:rsidR="00E00347" w:rsidRPr="004C3A0B" w14:paraId="31B0A373" w14:textId="77777777" w:rsidTr="00D81C20">
        <w:tc>
          <w:tcPr>
            <w:tcW w:w="283" w:type="pct"/>
            <w:vMerge/>
            <w:tcBorders>
              <w:bottom w:val="single" w:sz="4" w:space="0" w:color="auto"/>
            </w:tcBorders>
            <w:shd w:val="clear" w:color="auto" w:fill="F2F2F2"/>
            <w:vAlign w:val="center"/>
          </w:tcPr>
          <w:p w14:paraId="3F40845C" w14:textId="77777777" w:rsidR="00D81C20" w:rsidRPr="002132F9" w:rsidRDefault="00D81C20" w:rsidP="00A91894">
            <w:pPr>
              <w:pStyle w:val="Heading1"/>
              <w:rPr>
                <w:rFonts w:ascii="Arial" w:hAnsi="Arial" w:cs="Arial"/>
                <w:b w:val="0"/>
                <w:bCs w:val="0"/>
                <w:sz w:val="20"/>
                <w:szCs w:val="16"/>
              </w:rPr>
            </w:pPr>
          </w:p>
        </w:tc>
        <w:tc>
          <w:tcPr>
            <w:tcW w:w="3989" w:type="pct"/>
            <w:gridSpan w:val="2"/>
            <w:vMerge/>
            <w:tcBorders>
              <w:bottom w:val="single" w:sz="4" w:space="0" w:color="auto"/>
            </w:tcBorders>
            <w:shd w:val="clear" w:color="auto" w:fill="F2F2F2"/>
          </w:tcPr>
          <w:p w14:paraId="2922959D" w14:textId="77777777" w:rsidR="00D81C20" w:rsidRPr="00204E14" w:rsidRDefault="00D81C20" w:rsidP="00A91894">
            <w:pPr>
              <w:pStyle w:val="Heading1"/>
              <w:rPr>
                <w:rFonts w:ascii="Arial" w:hAnsi="Arial" w:cs="Arial"/>
                <w:sz w:val="20"/>
                <w:szCs w:val="16"/>
              </w:rPr>
            </w:pPr>
          </w:p>
        </w:tc>
        <w:tc>
          <w:tcPr>
            <w:tcW w:w="404" w:type="pct"/>
            <w:tcBorders>
              <w:bottom w:val="single" w:sz="4" w:space="0" w:color="auto"/>
            </w:tcBorders>
            <w:shd w:val="clear" w:color="auto" w:fill="F2F2F2"/>
          </w:tcPr>
          <w:p w14:paraId="2ED279DC" w14:textId="77777777" w:rsidR="00D81C20" w:rsidRPr="00204E14" w:rsidRDefault="00D81C20" w:rsidP="00E00347">
            <w:pPr>
              <w:autoSpaceDE w:val="0"/>
              <w:autoSpaceDN w:val="0"/>
              <w:adjustRightInd w:val="0"/>
              <w:spacing w:after="240"/>
              <w:jc w:val="both"/>
              <w:rPr>
                <w:rFonts w:ascii="Arial" w:hAnsi="Arial" w:cs="Arial"/>
              </w:rPr>
            </w:pPr>
            <w:r w:rsidRPr="00204E14">
              <w:rPr>
                <w:rFonts w:ascii="Arial" w:hAnsi="Arial" w:cs="Arial"/>
              </w:rPr>
              <w:t>No</w:t>
            </w:r>
          </w:p>
        </w:tc>
        <w:tc>
          <w:tcPr>
            <w:tcW w:w="323" w:type="pct"/>
            <w:tcBorders>
              <w:bottom w:val="single" w:sz="4" w:space="0" w:color="auto"/>
            </w:tcBorders>
            <w:shd w:val="clear" w:color="auto" w:fill="BFBFBF"/>
          </w:tcPr>
          <w:p w14:paraId="5B99ADE2" w14:textId="18BE0EC5" w:rsidR="00D81C20" w:rsidRDefault="00D81C20" w:rsidP="00E00347">
            <w:pPr>
              <w:autoSpaceDE w:val="0"/>
              <w:autoSpaceDN w:val="0"/>
              <w:adjustRightInd w:val="0"/>
              <w:spacing w:after="240"/>
              <w:jc w:val="both"/>
              <w:rPr>
                <w:rFonts w:ascii="Arial" w:hAnsi="Arial" w:cs="Arial"/>
                <w:b/>
                <w:bCs/>
              </w:rPr>
            </w:pPr>
            <w:r>
              <w:rPr>
                <w:rFonts w:ascii="MS Gothic" w:eastAsia="MS Gothic" w:hAnsi="MS Gothic" w:cs="Arial" w:hint="eastAsia"/>
                <w:b/>
                <w:bCs/>
              </w:rPr>
              <w:t>☒</w:t>
            </w:r>
          </w:p>
        </w:tc>
      </w:tr>
      <w:tr w:rsidR="00D81C20" w:rsidRPr="004C3A0B" w14:paraId="4F9B66AB" w14:textId="77777777" w:rsidTr="00D81C20">
        <w:tc>
          <w:tcPr>
            <w:tcW w:w="283" w:type="pct"/>
            <w:tcBorders>
              <w:bottom w:val="single" w:sz="4" w:space="0" w:color="auto"/>
            </w:tcBorders>
            <w:shd w:val="clear" w:color="auto" w:fill="F2F2F2"/>
            <w:vAlign w:val="center"/>
          </w:tcPr>
          <w:p w14:paraId="607B3F47" w14:textId="77777777" w:rsidR="00D81C20" w:rsidRPr="002132F9" w:rsidRDefault="00D81C20" w:rsidP="00E00347">
            <w:pPr>
              <w:autoSpaceDE w:val="0"/>
              <w:autoSpaceDN w:val="0"/>
              <w:adjustRightInd w:val="0"/>
              <w:spacing w:after="240"/>
              <w:jc w:val="both"/>
              <w:rPr>
                <w:rFonts w:ascii="Arial" w:hAnsi="Arial" w:cs="Arial"/>
                <w:sz w:val="22"/>
                <w:szCs w:val="22"/>
              </w:rPr>
            </w:pPr>
            <w:r>
              <w:rPr>
                <w:rFonts w:ascii="Arial" w:hAnsi="Arial" w:cs="Arial"/>
                <w:sz w:val="22"/>
                <w:szCs w:val="22"/>
              </w:rPr>
              <w:t>2</w:t>
            </w:r>
          </w:p>
        </w:tc>
        <w:tc>
          <w:tcPr>
            <w:tcW w:w="4717" w:type="pct"/>
            <w:gridSpan w:val="4"/>
            <w:tcBorders>
              <w:bottom w:val="single" w:sz="4" w:space="0" w:color="auto"/>
            </w:tcBorders>
            <w:shd w:val="clear" w:color="auto" w:fill="F2F2F2"/>
          </w:tcPr>
          <w:p w14:paraId="73377216" w14:textId="77777777" w:rsidR="00D81C20" w:rsidRPr="004C3A0B" w:rsidRDefault="00D81C20" w:rsidP="00E00347">
            <w:pPr>
              <w:autoSpaceDE w:val="0"/>
              <w:autoSpaceDN w:val="0"/>
              <w:adjustRightInd w:val="0"/>
              <w:spacing w:after="240"/>
              <w:jc w:val="both"/>
              <w:rPr>
                <w:rFonts w:ascii="Arial" w:hAnsi="Arial" w:cs="Arial"/>
                <w:sz w:val="22"/>
                <w:szCs w:val="22"/>
              </w:rPr>
            </w:pPr>
            <w:r w:rsidRPr="004C3A0B">
              <w:rPr>
                <w:rFonts w:ascii="Arial" w:hAnsi="Arial" w:cs="Arial"/>
                <w:b/>
                <w:sz w:val="22"/>
                <w:szCs w:val="22"/>
              </w:rPr>
              <w:t>Risks to participants</w:t>
            </w:r>
          </w:p>
          <w:p w14:paraId="3120BA64" w14:textId="77777777" w:rsidR="00D81C20" w:rsidRPr="004C3A0B" w:rsidRDefault="00D81C20" w:rsidP="00E00347">
            <w:pPr>
              <w:autoSpaceDE w:val="0"/>
              <w:autoSpaceDN w:val="0"/>
              <w:adjustRightInd w:val="0"/>
              <w:spacing w:after="240"/>
              <w:jc w:val="both"/>
              <w:rPr>
                <w:rFonts w:ascii="Arial" w:hAnsi="Arial" w:cs="Arial"/>
                <w:b/>
                <w:sz w:val="22"/>
                <w:szCs w:val="22"/>
              </w:rPr>
            </w:pPr>
            <w:r w:rsidRPr="004C3A0B">
              <w:rPr>
                <w:rFonts w:ascii="Arial" w:hAnsi="Arial" w:cs="Arial"/>
                <w:sz w:val="22"/>
                <w:szCs w:val="22"/>
              </w:rPr>
              <w:t xml:space="preserve">For example: </w:t>
            </w:r>
            <w:r>
              <w:rPr>
                <w:rFonts w:ascii="Arial" w:hAnsi="Arial" w:cs="Arial"/>
                <w:sz w:val="22"/>
                <w:szCs w:val="22"/>
              </w:rPr>
              <w:t xml:space="preserve">sector-specific health &amp; safety, </w:t>
            </w:r>
            <w:r w:rsidRPr="004C3A0B">
              <w:rPr>
                <w:rFonts w:ascii="Arial" w:hAnsi="Arial" w:cs="Arial"/>
                <w:sz w:val="22"/>
                <w:szCs w:val="22"/>
              </w:rPr>
              <w:t>emotional distress, financial disclosure, physical harm, transfer of personal data, sensitive organisational information</w:t>
            </w:r>
          </w:p>
        </w:tc>
      </w:tr>
      <w:tr w:rsidR="00D81C20" w:rsidRPr="004C3A0B" w14:paraId="44738E26" w14:textId="77777777" w:rsidTr="00D81C20">
        <w:tc>
          <w:tcPr>
            <w:tcW w:w="283" w:type="pct"/>
            <w:tcBorders>
              <w:top w:val="single" w:sz="4" w:space="0" w:color="auto"/>
              <w:bottom w:val="single" w:sz="4" w:space="0" w:color="auto"/>
            </w:tcBorders>
            <w:vAlign w:val="center"/>
          </w:tcPr>
          <w:p w14:paraId="17BE8DE2" w14:textId="77777777" w:rsidR="00D81C20" w:rsidRPr="00CE0890" w:rsidRDefault="00D81C20" w:rsidP="00A91894">
            <w:pPr>
              <w:autoSpaceDE w:val="0"/>
              <w:autoSpaceDN w:val="0"/>
              <w:adjustRightInd w:val="0"/>
              <w:jc w:val="center"/>
              <w:rPr>
                <w:rFonts w:ascii="Arial" w:hAnsi="Arial" w:cs="Arial"/>
                <w:sz w:val="22"/>
                <w:szCs w:val="22"/>
              </w:rPr>
            </w:pPr>
          </w:p>
        </w:tc>
        <w:tc>
          <w:tcPr>
            <w:tcW w:w="2372" w:type="pct"/>
            <w:tcBorders>
              <w:top w:val="single" w:sz="4" w:space="0" w:color="auto"/>
              <w:bottom w:val="single" w:sz="4" w:space="0" w:color="auto"/>
            </w:tcBorders>
          </w:tcPr>
          <w:p w14:paraId="0455CFD4" w14:textId="77777777" w:rsidR="00D81C20" w:rsidRDefault="00D81C20" w:rsidP="00A91894">
            <w:pPr>
              <w:autoSpaceDE w:val="0"/>
              <w:autoSpaceDN w:val="0"/>
              <w:adjustRightInd w:val="0"/>
              <w:rPr>
                <w:rFonts w:ascii="Arial" w:hAnsi="Arial" w:cs="Arial"/>
                <w:sz w:val="22"/>
                <w:szCs w:val="22"/>
              </w:rPr>
            </w:pPr>
            <w:r>
              <w:rPr>
                <w:rFonts w:ascii="Arial" w:hAnsi="Arial" w:cs="Arial"/>
                <w:sz w:val="22"/>
                <w:szCs w:val="22"/>
              </w:rPr>
              <w:t>Risk to participants: N/A</w:t>
            </w:r>
          </w:p>
          <w:p w14:paraId="6B129862" w14:textId="77777777" w:rsidR="00D81C20" w:rsidRDefault="00D81C20" w:rsidP="00A91894">
            <w:pPr>
              <w:rPr>
                <w:rFonts w:ascii="Arial" w:hAnsi="Arial" w:cs="Arial"/>
                <w:sz w:val="22"/>
                <w:szCs w:val="22"/>
              </w:rPr>
            </w:pPr>
          </w:p>
          <w:p w14:paraId="436CD36C" w14:textId="77777777" w:rsidR="00D81C20" w:rsidRPr="004C3A0B" w:rsidRDefault="00D81C20" w:rsidP="00A91894">
            <w:pPr>
              <w:rPr>
                <w:rFonts w:ascii="Arial" w:hAnsi="Arial" w:cs="Arial"/>
                <w:sz w:val="22"/>
                <w:szCs w:val="22"/>
              </w:rPr>
            </w:pPr>
          </w:p>
          <w:p w14:paraId="40F7BEC2" w14:textId="77777777" w:rsidR="00D81C20" w:rsidRPr="004C3A0B" w:rsidRDefault="00D81C20" w:rsidP="00A91894">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2344" w:type="pct"/>
            <w:gridSpan w:val="3"/>
            <w:tcBorders>
              <w:top w:val="single" w:sz="4" w:space="0" w:color="auto"/>
              <w:bottom w:val="single" w:sz="4" w:space="0" w:color="auto"/>
            </w:tcBorders>
          </w:tcPr>
          <w:p w14:paraId="7B5E0139" w14:textId="77777777" w:rsidR="00D81C20" w:rsidRDefault="00D81C20" w:rsidP="00A91894">
            <w:pPr>
              <w:autoSpaceDE w:val="0"/>
              <w:autoSpaceDN w:val="0"/>
              <w:adjustRightInd w:val="0"/>
              <w:rPr>
                <w:rFonts w:ascii="Arial" w:hAnsi="Arial" w:cs="Arial"/>
                <w:i/>
                <w:sz w:val="18"/>
                <w:szCs w:val="18"/>
              </w:rPr>
            </w:pPr>
            <w:r>
              <w:rPr>
                <w:rFonts w:ascii="Arial" w:hAnsi="Arial" w:cs="Arial"/>
                <w:i/>
                <w:sz w:val="18"/>
                <w:szCs w:val="18"/>
              </w:rPr>
              <w:t>How you will mitigate the risk to p</w:t>
            </w:r>
            <w:r w:rsidRPr="00354F34">
              <w:rPr>
                <w:rFonts w:ascii="Arial" w:hAnsi="Arial" w:cs="Arial"/>
                <w:i/>
                <w:sz w:val="18"/>
                <w:szCs w:val="18"/>
              </w:rPr>
              <w:t>articipant</w:t>
            </w:r>
            <w:r>
              <w:rPr>
                <w:rFonts w:ascii="Arial" w:hAnsi="Arial" w:cs="Arial"/>
                <w:i/>
                <w:sz w:val="18"/>
                <w:szCs w:val="18"/>
              </w:rPr>
              <w:t xml:space="preserve">s: </w:t>
            </w:r>
          </w:p>
          <w:p w14:paraId="6061E55C" w14:textId="77777777" w:rsidR="00D81C20" w:rsidRDefault="00D81C20" w:rsidP="00A91894">
            <w:pPr>
              <w:autoSpaceDE w:val="0"/>
              <w:autoSpaceDN w:val="0"/>
              <w:adjustRightInd w:val="0"/>
              <w:rPr>
                <w:rFonts w:ascii="Arial" w:hAnsi="Arial" w:cs="Arial"/>
                <w:i/>
                <w:sz w:val="18"/>
                <w:szCs w:val="18"/>
              </w:rPr>
            </w:pPr>
          </w:p>
          <w:p w14:paraId="26A8EBCA" w14:textId="77777777" w:rsidR="00D81C20" w:rsidRPr="004C3A0B" w:rsidRDefault="00D81C20" w:rsidP="00844FDF">
            <w:pPr>
              <w:autoSpaceDE w:val="0"/>
              <w:autoSpaceDN w:val="0"/>
              <w:adjustRightInd w:val="0"/>
              <w:rPr>
                <w:rFonts w:ascii="Arial" w:hAnsi="Arial" w:cs="Arial"/>
                <w:sz w:val="22"/>
                <w:szCs w:val="22"/>
              </w:rPr>
            </w:pPr>
            <w:r>
              <w:rPr>
                <w:rFonts w:ascii="Arial" w:hAnsi="Arial" w:cs="Arial"/>
                <w:iCs/>
                <w:sz w:val="18"/>
                <w:szCs w:val="18"/>
              </w:rPr>
              <w:t>N/A</w:t>
            </w:r>
          </w:p>
          <w:p w14:paraId="396A7767" w14:textId="77777777" w:rsidR="00D81C20" w:rsidRPr="00354F34" w:rsidRDefault="00D81C20" w:rsidP="00A91894">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D81C20" w:rsidRPr="004C3A0B" w14:paraId="3981BBA8" w14:textId="77777777" w:rsidTr="00D81C20">
        <w:tc>
          <w:tcPr>
            <w:tcW w:w="283" w:type="pct"/>
            <w:tcBorders>
              <w:bottom w:val="single" w:sz="4" w:space="0" w:color="auto"/>
            </w:tcBorders>
            <w:shd w:val="clear" w:color="auto" w:fill="F2F2F2"/>
            <w:vAlign w:val="center"/>
          </w:tcPr>
          <w:p w14:paraId="20211894" w14:textId="77777777" w:rsidR="00D81C20" w:rsidRPr="00E32138" w:rsidRDefault="00D81C20" w:rsidP="00A91894">
            <w:pPr>
              <w:jc w:val="center"/>
              <w:rPr>
                <w:rFonts w:ascii="Arial" w:hAnsi="Arial" w:cs="Arial"/>
                <w:sz w:val="22"/>
                <w:szCs w:val="22"/>
              </w:rPr>
            </w:pPr>
            <w:r>
              <w:rPr>
                <w:rFonts w:ascii="Arial" w:hAnsi="Arial" w:cs="Arial"/>
                <w:sz w:val="22"/>
                <w:szCs w:val="22"/>
              </w:rPr>
              <w:t>3</w:t>
            </w:r>
          </w:p>
        </w:tc>
        <w:tc>
          <w:tcPr>
            <w:tcW w:w="4717" w:type="pct"/>
            <w:gridSpan w:val="4"/>
            <w:tcBorders>
              <w:bottom w:val="single" w:sz="4" w:space="0" w:color="auto"/>
            </w:tcBorders>
            <w:shd w:val="clear" w:color="auto" w:fill="F2F2F2"/>
          </w:tcPr>
          <w:p w14:paraId="30B8B843" w14:textId="77777777" w:rsidR="00D81C20" w:rsidRPr="004C3A0B" w:rsidRDefault="00D81C20" w:rsidP="00A91894">
            <w:pPr>
              <w:rPr>
                <w:rFonts w:ascii="Arial" w:hAnsi="Arial" w:cs="Arial"/>
                <w:sz w:val="22"/>
                <w:szCs w:val="22"/>
              </w:rPr>
            </w:pPr>
            <w:r w:rsidRPr="004C3A0B">
              <w:rPr>
                <w:rFonts w:ascii="Arial" w:hAnsi="Arial" w:cs="Arial"/>
                <w:bCs/>
                <w:sz w:val="22"/>
                <w:szCs w:val="22"/>
              </w:rPr>
              <w:t xml:space="preserve">If research activity may include sensitive, embarrassing or upsetting topics (e.g. sexual activity, drug use) or issues likely to disclose information requiring </w:t>
            </w:r>
            <w:r w:rsidRPr="004C3A0B">
              <w:rPr>
                <w:rFonts w:ascii="Arial" w:hAnsi="Arial" w:cs="Arial"/>
                <w:bCs/>
                <w:sz w:val="22"/>
                <w:szCs w:val="22"/>
              </w:rPr>
              <w:lastRenderedPageBreak/>
              <w:t xml:space="preserve">further action (e.g. criminal activity), give details of the procedures to deal with these issues, including any support/advice (e.g. helpline numbers) to be offered to participants. Note that </w:t>
            </w:r>
            <w:r w:rsidRPr="004C3A0B">
              <w:rPr>
                <w:rFonts w:ascii="Arial" w:hAnsi="Arial" w:cs="Arial"/>
                <w:color w:val="161616"/>
                <w:sz w:val="22"/>
                <w:szCs w:val="22"/>
                <w:lang w:val="en-US"/>
              </w:rPr>
              <w:t>where applicable, consent procedures should make it clear that if something potentially or actually illegal is discovered in the course of a project, it may need to be disclosed to the proper authorities</w:t>
            </w:r>
          </w:p>
        </w:tc>
      </w:tr>
      <w:tr w:rsidR="00D81C20" w:rsidRPr="004C3A0B" w14:paraId="40B887A8" w14:textId="77777777" w:rsidTr="00D81C20">
        <w:tc>
          <w:tcPr>
            <w:tcW w:w="283" w:type="pct"/>
            <w:tcBorders>
              <w:top w:val="single" w:sz="4" w:space="0" w:color="auto"/>
              <w:bottom w:val="single" w:sz="4" w:space="0" w:color="auto"/>
            </w:tcBorders>
            <w:vAlign w:val="center"/>
          </w:tcPr>
          <w:p w14:paraId="4108E34A" w14:textId="77777777" w:rsidR="00D81C20" w:rsidRPr="00CE0890" w:rsidRDefault="00D81C20" w:rsidP="00A91894">
            <w:pPr>
              <w:jc w:val="center"/>
              <w:rPr>
                <w:rFonts w:ascii="Arial" w:hAnsi="Arial" w:cs="Arial"/>
                <w:sz w:val="22"/>
                <w:szCs w:val="22"/>
              </w:rPr>
            </w:pPr>
          </w:p>
        </w:tc>
        <w:tc>
          <w:tcPr>
            <w:tcW w:w="4717" w:type="pct"/>
            <w:gridSpan w:val="4"/>
            <w:tcBorders>
              <w:top w:val="single" w:sz="4" w:space="0" w:color="auto"/>
              <w:bottom w:val="single" w:sz="4" w:space="0" w:color="auto"/>
            </w:tcBorders>
          </w:tcPr>
          <w:p w14:paraId="0D045DC3" w14:textId="77777777" w:rsidR="00D81C20" w:rsidRDefault="00D81C20" w:rsidP="00A91894">
            <w:pPr>
              <w:rPr>
                <w:rFonts w:ascii="Arial" w:hAnsi="Arial" w:cs="Arial"/>
                <w:sz w:val="22"/>
                <w:szCs w:val="22"/>
              </w:rPr>
            </w:pPr>
          </w:p>
          <w:p w14:paraId="7B8DA713" w14:textId="77777777" w:rsidR="00D81C20" w:rsidRDefault="00D81C20" w:rsidP="00A91894">
            <w:pPr>
              <w:rPr>
                <w:rFonts w:ascii="Arial" w:hAnsi="Arial" w:cs="Arial"/>
                <w:sz w:val="22"/>
                <w:szCs w:val="22"/>
              </w:rPr>
            </w:pPr>
            <w:r>
              <w:rPr>
                <w:rFonts w:ascii="Arial" w:hAnsi="Arial" w:cs="Arial"/>
                <w:sz w:val="22"/>
                <w:szCs w:val="22"/>
              </w:rPr>
              <w:t>N/A</w:t>
            </w:r>
          </w:p>
          <w:p w14:paraId="044F8EAC" w14:textId="77777777" w:rsidR="00D81C20" w:rsidRPr="004C3A0B" w:rsidRDefault="00D81C20" w:rsidP="00A91894">
            <w:pPr>
              <w:rPr>
                <w:rFonts w:ascii="Arial" w:hAnsi="Arial" w:cs="Arial"/>
                <w:sz w:val="22"/>
                <w:szCs w:val="22"/>
              </w:rPr>
            </w:pPr>
          </w:p>
          <w:p w14:paraId="7B211F3E" w14:textId="77777777" w:rsidR="00D81C20" w:rsidRPr="004C3A0B" w:rsidRDefault="00D81C20"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r w:rsidR="00D81C20" w:rsidRPr="004C3A0B" w14:paraId="29FA6C12" w14:textId="77777777" w:rsidTr="00D81C20">
        <w:tc>
          <w:tcPr>
            <w:tcW w:w="283" w:type="pct"/>
            <w:tcBorders>
              <w:top w:val="single" w:sz="4" w:space="0" w:color="auto"/>
              <w:bottom w:val="single" w:sz="4" w:space="0" w:color="auto"/>
            </w:tcBorders>
            <w:shd w:val="clear" w:color="auto" w:fill="F2F2F2"/>
            <w:vAlign w:val="center"/>
          </w:tcPr>
          <w:p w14:paraId="023914DF" w14:textId="77777777" w:rsidR="00D81C20" w:rsidRPr="002132F9" w:rsidRDefault="00D81C20" w:rsidP="00A91894">
            <w:pPr>
              <w:jc w:val="center"/>
              <w:rPr>
                <w:rFonts w:ascii="Arial" w:hAnsi="Arial" w:cs="Arial"/>
                <w:sz w:val="22"/>
                <w:szCs w:val="22"/>
              </w:rPr>
            </w:pPr>
            <w:r>
              <w:rPr>
                <w:rFonts w:ascii="Arial" w:hAnsi="Arial" w:cs="Arial"/>
                <w:sz w:val="22"/>
                <w:szCs w:val="22"/>
              </w:rPr>
              <w:t>4</w:t>
            </w:r>
          </w:p>
        </w:tc>
        <w:tc>
          <w:tcPr>
            <w:tcW w:w="4717" w:type="pct"/>
            <w:gridSpan w:val="4"/>
            <w:tcBorders>
              <w:top w:val="single" w:sz="4" w:space="0" w:color="auto"/>
              <w:bottom w:val="single" w:sz="4" w:space="0" w:color="auto"/>
            </w:tcBorders>
            <w:shd w:val="clear" w:color="auto" w:fill="F2F2F2"/>
          </w:tcPr>
          <w:p w14:paraId="62E26482" w14:textId="77777777" w:rsidR="00D81C20" w:rsidRPr="004C3A0B" w:rsidRDefault="00D81C20" w:rsidP="00A91894">
            <w:pPr>
              <w:rPr>
                <w:rFonts w:ascii="Arial" w:hAnsi="Arial" w:cs="Arial"/>
                <w:sz w:val="22"/>
                <w:szCs w:val="22"/>
              </w:rPr>
            </w:pPr>
            <w:r w:rsidRPr="004C3A0B">
              <w:rPr>
                <w:rFonts w:ascii="Arial" w:hAnsi="Arial" w:cs="Arial"/>
                <w:b/>
                <w:sz w:val="22"/>
                <w:szCs w:val="22"/>
              </w:rPr>
              <w:t xml:space="preserve">Risks to </w:t>
            </w:r>
            <w:r>
              <w:rPr>
                <w:rFonts w:ascii="Arial" w:hAnsi="Arial" w:cs="Arial"/>
                <w:b/>
                <w:sz w:val="22"/>
                <w:szCs w:val="22"/>
              </w:rPr>
              <w:t xml:space="preserve">the </w:t>
            </w:r>
            <w:r w:rsidRPr="004C3A0B">
              <w:rPr>
                <w:rFonts w:ascii="Arial" w:hAnsi="Arial" w:cs="Arial"/>
                <w:b/>
                <w:sz w:val="22"/>
                <w:szCs w:val="22"/>
              </w:rPr>
              <w:t>investigator</w:t>
            </w:r>
          </w:p>
          <w:p w14:paraId="2236C398" w14:textId="77777777" w:rsidR="00D81C20" w:rsidRPr="004C3A0B" w:rsidRDefault="00D81C20" w:rsidP="00A91894">
            <w:pPr>
              <w:rPr>
                <w:rFonts w:ascii="Arial" w:hAnsi="Arial" w:cs="Arial"/>
                <w:sz w:val="22"/>
                <w:szCs w:val="22"/>
              </w:rPr>
            </w:pPr>
            <w:r w:rsidRPr="004C3A0B">
              <w:rPr>
                <w:rFonts w:ascii="Arial" w:hAnsi="Arial" w:cs="Arial"/>
                <w:sz w:val="22"/>
                <w:szCs w:val="22"/>
              </w:rPr>
              <w:t xml:space="preserve">For example: personal </w:t>
            </w:r>
            <w:r>
              <w:rPr>
                <w:rFonts w:ascii="Arial" w:hAnsi="Arial" w:cs="Arial"/>
                <w:sz w:val="22"/>
                <w:szCs w:val="22"/>
              </w:rPr>
              <w:t xml:space="preserve">health &amp; </w:t>
            </w:r>
            <w:r w:rsidRPr="004C3A0B">
              <w:rPr>
                <w:rFonts w:ascii="Arial" w:hAnsi="Arial" w:cs="Arial"/>
                <w:sz w:val="22"/>
                <w:szCs w:val="22"/>
              </w:rPr>
              <w:t>safety, physical harm, emotional distress, risk of accusation of harm/impropriety, conflict of interest</w:t>
            </w:r>
          </w:p>
        </w:tc>
      </w:tr>
      <w:tr w:rsidR="00D81C20" w:rsidRPr="004C3A0B" w14:paraId="50CE4FB6" w14:textId="77777777" w:rsidTr="00D81C20">
        <w:tc>
          <w:tcPr>
            <w:tcW w:w="283" w:type="pct"/>
            <w:tcBorders>
              <w:top w:val="single" w:sz="4" w:space="0" w:color="auto"/>
              <w:bottom w:val="single" w:sz="4" w:space="0" w:color="auto"/>
            </w:tcBorders>
            <w:vAlign w:val="center"/>
          </w:tcPr>
          <w:p w14:paraId="0710BDD1" w14:textId="77777777" w:rsidR="00D81C20" w:rsidRPr="00CE0890" w:rsidRDefault="00D81C20" w:rsidP="00A91894">
            <w:pPr>
              <w:autoSpaceDE w:val="0"/>
              <w:autoSpaceDN w:val="0"/>
              <w:adjustRightInd w:val="0"/>
              <w:jc w:val="center"/>
              <w:rPr>
                <w:rFonts w:ascii="Arial" w:hAnsi="Arial" w:cs="Arial"/>
                <w:sz w:val="22"/>
                <w:szCs w:val="22"/>
              </w:rPr>
            </w:pPr>
          </w:p>
        </w:tc>
        <w:tc>
          <w:tcPr>
            <w:tcW w:w="2372" w:type="pct"/>
            <w:tcBorders>
              <w:top w:val="single" w:sz="4" w:space="0" w:color="auto"/>
              <w:bottom w:val="single" w:sz="4" w:space="0" w:color="auto"/>
            </w:tcBorders>
          </w:tcPr>
          <w:p w14:paraId="284EB526" w14:textId="77777777" w:rsidR="00D81C20" w:rsidRDefault="00D81C20" w:rsidP="00A91894">
            <w:pPr>
              <w:autoSpaceDE w:val="0"/>
              <w:autoSpaceDN w:val="0"/>
              <w:adjustRightInd w:val="0"/>
              <w:rPr>
                <w:rFonts w:ascii="Arial" w:hAnsi="Arial" w:cs="Arial"/>
                <w:sz w:val="22"/>
                <w:szCs w:val="22"/>
              </w:rPr>
            </w:pPr>
            <w:r>
              <w:rPr>
                <w:rFonts w:ascii="Arial" w:hAnsi="Arial" w:cs="Arial"/>
                <w:sz w:val="22"/>
                <w:szCs w:val="22"/>
              </w:rPr>
              <w:t>Risk to the investigator:</w:t>
            </w:r>
          </w:p>
          <w:p w14:paraId="6E882B73" w14:textId="77777777" w:rsidR="00D81C20" w:rsidRDefault="00D81C20" w:rsidP="00A91894">
            <w:pPr>
              <w:rPr>
                <w:rFonts w:ascii="Arial" w:hAnsi="Arial" w:cs="Arial"/>
                <w:sz w:val="22"/>
                <w:szCs w:val="22"/>
              </w:rPr>
            </w:pPr>
            <w:r>
              <w:rPr>
                <w:rFonts w:ascii="Arial" w:hAnsi="Arial" w:cs="Arial"/>
                <w:sz w:val="22"/>
                <w:szCs w:val="22"/>
              </w:rPr>
              <w:t xml:space="preserve">The investigator is mixed race and identifies as LGBTQIA+ and the content may be upsetting </w:t>
            </w:r>
          </w:p>
          <w:p w14:paraId="78F7C0E7" w14:textId="77777777" w:rsidR="00D81C20" w:rsidRDefault="00D81C20" w:rsidP="00A91894">
            <w:pPr>
              <w:rPr>
                <w:rFonts w:ascii="Arial" w:hAnsi="Arial" w:cs="Arial"/>
                <w:sz w:val="22"/>
                <w:szCs w:val="22"/>
              </w:rPr>
            </w:pPr>
          </w:p>
          <w:p w14:paraId="53B04DEF" w14:textId="77777777" w:rsidR="00D81C20" w:rsidRPr="004C3A0B" w:rsidRDefault="00D81C20" w:rsidP="00A91894">
            <w:pPr>
              <w:rPr>
                <w:rFonts w:ascii="Arial" w:hAnsi="Arial" w:cs="Arial"/>
                <w:sz w:val="22"/>
                <w:szCs w:val="22"/>
              </w:rPr>
            </w:pPr>
          </w:p>
          <w:p w14:paraId="2DAAB8F2" w14:textId="77777777" w:rsidR="00D81C20" w:rsidRPr="004C3A0B" w:rsidRDefault="00D81C20" w:rsidP="00A91894">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2344" w:type="pct"/>
            <w:gridSpan w:val="3"/>
            <w:tcBorders>
              <w:top w:val="single" w:sz="4" w:space="0" w:color="auto"/>
              <w:bottom w:val="single" w:sz="4" w:space="0" w:color="auto"/>
            </w:tcBorders>
          </w:tcPr>
          <w:p w14:paraId="0985DDB4" w14:textId="77777777" w:rsidR="00D81C20" w:rsidRPr="00354F34" w:rsidRDefault="00D81C20" w:rsidP="00A91894">
            <w:pPr>
              <w:autoSpaceDE w:val="0"/>
              <w:autoSpaceDN w:val="0"/>
              <w:adjustRightInd w:val="0"/>
              <w:rPr>
                <w:rFonts w:ascii="Arial" w:hAnsi="Arial" w:cs="Arial"/>
                <w:i/>
                <w:sz w:val="18"/>
                <w:szCs w:val="18"/>
              </w:rPr>
            </w:pPr>
            <w:r>
              <w:rPr>
                <w:rFonts w:ascii="Arial" w:hAnsi="Arial" w:cs="Arial"/>
                <w:i/>
                <w:sz w:val="18"/>
                <w:szCs w:val="18"/>
              </w:rPr>
              <w:t>How you will mitigate the risk to the i</w:t>
            </w:r>
            <w:r w:rsidRPr="00354F34">
              <w:rPr>
                <w:rFonts w:ascii="Arial" w:hAnsi="Arial" w:cs="Arial"/>
                <w:i/>
                <w:sz w:val="18"/>
                <w:szCs w:val="18"/>
              </w:rPr>
              <w:t>nvestigator:</w:t>
            </w:r>
          </w:p>
          <w:p w14:paraId="6F97084C" w14:textId="77777777" w:rsidR="00D81C20" w:rsidRDefault="00D81C20" w:rsidP="00A91894">
            <w:pPr>
              <w:rPr>
                <w:rFonts w:ascii="Arial" w:hAnsi="Arial" w:cs="Arial"/>
                <w:sz w:val="22"/>
                <w:szCs w:val="22"/>
              </w:rPr>
            </w:pPr>
          </w:p>
          <w:p w14:paraId="10263782" w14:textId="016883A0" w:rsidR="00D81C20" w:rsidRDefault="00D81C20" w:rsidP="00A91894">
            <w:pPr>
              <w:rPr>
                <w:rFonts w:ascii="Arial" w:hAnsi="Arial" w:cs="Arial"/>
                <w:sz w:val="22"/>
                <w:szCs w:val="22"/>
              </w:rPr>
            </w:pPr>
            <w:r>
              <w:rPr>
                <w:rFonts w:ascii="Arial" w:hAnsi="Arial" w:cs="Arial"/>
                <w:sz w:val="22"/>
                <w:szCs w:val="22"/>
              </w:rPr>
              <w:t xml:space="preserve">The </w:t>
            </w:r>
            <w:r w:rsidR="00EA7207">
              <w:rPr>
                <w:rFonts w:ascii="Arial" w:hAnsi="Arial" w:cs="Arial"/>
                <w:sz w:val="22"/>
                <w:szCs w:val="22"/>
              </w:rPr>
              <w:t>writer</w:t>
            </w:r>
            <w:r>
              <w:rPr>
                <w:rFonts w:ascii="Arial" w:hAnsi="Arial" w:cs="Arial"/>
                <w:sz w:val="22"/>
                <w:szCs w:val="22"/>
              </w:rPr>
              <w:t xml:space="preserve"> has a robust emotional and wellbeing support group in place.  </w:t>
            </w:r>
          </w:p>
          <w:p w14:paraId="252C3F49" w14:textId="77777777" w:rsidR="00D81C20" w:rsidRPr="004C3A0B" w:rsidRDefault="00D81C20" w:rsidP="00A91894">
            <w:pPr>
              <w:rPr>
                <w:rFonts w:ascii="Arial" w:hAnsi="Arial" w:cs="Arial"/>
                <w:sz w:val="22"/>
                <w:szCs w:val="22"/>
              </w:rPr>
            </w:pPr>
          </w:p>
          <w:p w14:paraId="2D848AD1" w14:textId="77777777" w:rsidR="00D81C20" w:rsidRPr="004C3A0B" w:rsidRDefault="00D81C20"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r w:rsidR="00D81C20" w:rsidRPr="004C3A0B" w14:paraId="40E1874F" w14:textId="77777777" w:rsidTr="00D81C20">
        <w:tc>
          <w:tcPr>
            <w:tcW w:w="283" w:type="pct"/>
            <w:tcBorders>
              <w:top w:val="single" w:sz="4" w:space="0" w:color="auto"/>
              <w:bottom w:val="single" w:sz="4" w:space="0" w:color="auto"/>
            </w:tcBorders>
            <w:shd w:val="clear" w:color="auto" w:fill="F2F2F2"/>
            <w:vAlign w:val="center"/>
          </w:tcPr>
          <w:p w14:paraId="15D4E684" w14:textId="77777777" w:rsidR="00D81C20" w:rsidRPr="002132F9" w:rsidRDefault="00D81C20" w:rsidP="00A91894">
            <w:pPr>
              <w:jc w:val="center"/>
              <w:rPr>
                <w:rFonts w:ascii="Arial" w:hAnsi="Arial" w:cs="Arial"/>
                <w:sz w:val="22"/>
                <w:szCs w:val="22"/>
              </w:rPr>
            </w:pPr>
            <w:r>
              <w:rPr>
                <w:rFonts w:ascii="Arial" w:hAnsi="Arial" w:cs="Arial"/>
                <w:sz w:val="22"/>
                <w:szCs w:val="22"/>
              </w:rPr>
              <w:t>5</w:t>
            </w:r>
          </w:p>
        </w:tc>
        <w:tc>
          <w:tcPr>
            <w:tcW w:w="4717" w:type="pct"/>
            <w:gridSpan w:val="4"/>
            <w:tcBorders>
              <w:top w:val="single" w:sz="4" w:space="0" w:color="auto"/>
              <w:bottom w:val="single" w:sz="4" w:space="0" w:color="auto"/>
            </w:tcBorders>
            <w:shd w:val="clear" w:color="auto" w:fill="F2F2F2"/>
          </w:tcPr>
          <w:p w14:paraId="239C10EC" w14:textId="77777777" w:rsidR="00D81C20" w:rsidRPr="004C3A0B" w:rsidRDefault="00D81C20" w:rsidP="00A91894">
            <w:pPr>
              <w:rPr>
                <w:rFonts w:ascii="Arial" w:hAnsi="Arial" w:cs="Arial"/>
                <w:sz w:val="22"/>
                <w:szCs w:val="22"/>
              </w:rPr>
            </w:pPr>
            <w:r w:rsidRPr="004C3A0B">
              <w:rPr>
                <w:rFonts w:ascii="Arial" w:hAnsi="Arial" w:cs="Arial"/>
                <w:b/>
                <w:sz w:val="22"/>
                <w:szCs w:val="22"/>
              </w:rPr>
              <w:t>University/institutional risks</w:t>
            </w:r>
          </w:p>
          <w:p w14:paraId="354205B3" w14:textId="77777777" w:rsidR="00D81C20" w:rsidRPr="004C3A0B" w:rsidRDefault="00D81C20" w:rsidP="00A91894">
            <w:pPr>
              <w:rPr>
                <w:rFonts w:ascii="Arial" w:hAnsi="Arial" w:cs="Arial"/>
                <w:sz w:val="22"/>
                <w:szCs w:val="22"/>
              </w:rPr>
            </w:pPr>
            <w:r w:rsidRPr="004C3A0B">
              <w:rPr>
                <w:rFonts w:ascii="Arial" w:hAnsi="Arial" w:cs="Arial"/>
                <w:sz w:val="22"/>
                <w:szCs w:val="22"/>
              </w:rPr>
              <w:t>For example: adverse publicity, financial loss, data protection</w:t>
            </w:r>
          </w:p>
        </w:tc>
      </w:tr>
      <w:tr w:rsidR="00D81C20" w:rsidRPr="004C3A0B" w14:paraId="31F5246A" w14:textId="77777777" w:rsidTr="00D81C20">
        <w:tc>
          <w:tcPr>
            <w:tcW w:w="283" w:type="pct"/>
            <w:tcBorders>
              <w:top w:val="single" w:sz="4" w:space="0" w:color="auto"/>
              <w:bottom w:val="single" w:sz="4" w:space="0" w:color="auto"/>
            </w:tcBorders>
            <w:vAlign w:val="center"/>
          </w:tcPr>
          <w:p w14:paraId="2710AF07" w14:textId="77777777" w:rsidR="00D81C20" w:rsidRPr="00CE0890" w:rsidRDefault="00D81C20" w:rsidP="00A91894">
            <w:pPr>
              <w:autoSpaceDE w:val="0"/>
              <w:autoSpaceDN w:val="0"/>
              <w:adjustRightInd w:val="0"/>
              <w:jc w:val="center"/>
              <w:rPr>
                <w:rFonts w:ascii="Arial" w:hAnsi="Arial" w:cs="Arial"/>
                <w:sz w:val="22"/>
                <w:szCs w:val="22"/>
              </w:rPr>
            </w:pPr>
          </w:p>
        </w:tc>
        <w:tc>
          <w:tcPr>
            <w:tcW w:w="2372" w:type="pct"/>
            <w:tcBorders>
              <w:top w:val="single" w:sz="4" w:space="0" w:color="auto"/>
              <w:bottom w:val="single" w:sz="4" w:space="0" w:color="auto"/>
            </w:tcBorders>
          </w:tcPr>
          <w:p w14:paraId="46176467" w14:textId="77777777" w:rsidR="00D81C20" w:rsidRDefault="00D81C20" w:rsidP="00A91894">
            <w:pPr>
              <w:autoSpaceDE w:val="0"/>
              <w:autoSpaceDN w:val="0"/>
              <w:adjustRightInd w:val="0"/>
              <w:rPr>
                <w:rFonts w:ascii="Arial" w:hAnsi="Arial" w:cs="Arial"/>
                <w:sz w:val="22"/>
                <w:szCs w:val="22"/>
              </w:rPr>
            </w:pPr>
            <w:r>
              <w:rPr>
                <w:rFonts w:ascii="Arial" w:hAnsi="Arial" w:cs="Arial"/>
                <w:sz w:val="22"/>
                <w:szCs w:val="22"/>
              </w:rPr>
              <w:t>Risk to the University:</w:t>
            </w:r>
          </w:p>
          <w:p w14:paraId="0A739A7D" w14:textId="77777777" w:rsidR="00D81C20" w:rsidRDefault="00D81C20" w:rsidP="00A91894">
            <w:pPr>
              <w:autoSpaceDE w:val="0"/>
              <w:autoSpaceDN w:val="0"/>
              <w:adjustRightInd w:val="0"/>
              <w:rPr>
                <w:rFonts w:ascii="Arial" w:hAnsi="Arial" w:cs="Arial"/>
                <w:sz w:val="22"/>
                <w:szCs w:val="22"/>
              </w:rPr>
            </w:pPr>
            <w:r>
              <w:rPr>
                <w:rFonts w:ascii="Arial" w:hAnsi="Arial" w:cs="Arial"/>
                <w:sz w:val="22"/>
                <w:szCs w:val="22"/>
              </w:rPr>
              <w:t xml:space="preserve">Academic Integrity </w:t>
            </w:r>
          </w:p>
          <w:p w14:paraId="0FFA6370" w14:textId="77777777" w:rsidR="00D81C20" w:rsidRPr="001E15F0" w:rsidRDefault="00D81C20" w:rsidP="00A91894">
            <w:pPr>
              <w:rPr>
                <w:rFonts w:ascii="Arial" w:hAnsi="Arial" w:cs="Arial"/>
                <w:color w:val="FF0000"/>
                <w:sz w:val="22"/>
                <w:szCs w:val="22"/>
              </w:rPr>
            </w:pPr>
          </w:p>
          <w:p w14:paraId="13C571BE" w14:textId="77777777" w:rsidR="00D81C20" w:rsidRPr="004C3A0B" w:rsidRDefault="00D81C20" w:rsidP="00A91894">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2344" w:type="pct"/>
            <w:gridSpan w:val="3"/>
            <w:tcBorders>
              <w:top w:val="single" w:sz="4" w:space="0" w:color="auto"/>
              <w:bottom w:val="single" w:sz="4" w:space="0" w:color="auto"/>
            </w:tcBorders>
          </w:tcPr>
          <w:p w14:paraId="18A94664" w14:textId="77777777" w:rsidR="00D81C20" w:rsidRPr="00354F34" w:rsidRDefault="00D81C20" w:rsidP="00A91894">
            <w:pPr>
              <w:autoSpaceDE w:val="0"/>
              <w:autoSpaceDN w:val="0"/>
              <w:adjustRightInd w:val="0"/>
              <w:rPr>
                <w:rFonts w:ascii="Arial" w:hAnsi="Arial" w:cs="Arial"/>
                <w:i/>
                <w:sz w:val="18"/>
                <w:szCs w:val="18"/>
              </w:rPr>
            </w:pPr>
            <w:r>
              <w:rPr>
                <w:rFonts w:ascii="Arial" w:hAnsi="Arial" w:cs="Arial"/>
                <w:i/>
                <w:sz w:val="18"/>
                <w:szCs w:val="18"/>
              </w:rPr>
              <w:t>How you will mitigate the r</w:t>
            </w:r>
            <w:r w:rsidRPr="00354F34">
              <w:rPr>
                <w:rFonts w:ascii="Arial" w:hAnsi="Arial" w:cs="Arial"/>
                <w:i/>
                <w:sz w:val="18"/>
                <w:szCs w:val="18"/>
              </w:rPr>
              <w:t xml:space="preserve">isk to </w:t>
            </w:r>
            <w:r>
              <w:rPr>
                <w:rFonts w:ascii="Arial" w:hAnsi="Arial" w:cs="Arial"/>
                <w:i/>
                <w:sz w:val="18"/>
                <w:szCs w:val="18"/>
              </w:rPr>
              <w:t xml:space="preserve">the </w:t>
            </w:r>
            <w:r w:rsidRPr="00354F34">
              <w:rPr>
                <w:rFonts w:ascii="Arial" w:hAnsi="Arial" w:cs="Arial"/>
                <w:i/>
                <w:sz w:val="18"/>
                <w:szCs w:val="18"/>
              </w:rPr>
              <w:t>University:</w:t>
            </w:r>
          </w:p>
          <w:p w14:paraId="30FE1EEE" w14:textId="77777777" w:rsidR="00D81C20" w:rsidRDefault="00D81C20" w:rsidP="00A91894">
            <w:pPr>
              <w:rPr>
                <w:rFonts w:ascii="Arial" w:hAnsi="Arial" w:cs="Arial"/>
                <w:sz w:val="22"/>
                <w:szCs w:val="22"/>
              </w:rPr>
            </w:pPr>
            <w:r>
              <w:rPr>
                <w:rFonts w:ascii="Arial" w:hAnsi="Arial" w:cs="Arial"/>
                <w:sz w:val="22"/>
                <w:szCs w:val="22"/>
              </w:rPr>
              <w:t>The author of the paper will use peer-reviewed resources only – available through the University’s library and will attend Supervisions as required.</w:t>
            </w:r>
          </w:p>
          <w:p w14:paraId="1FF55792" w14:textId="77777777" w:rsidR="00D81C20" w:rsidRDefault="00D81C20" w:rsidP="00A91894">
            <w:pPr>
              <w:rPr>
                <w:rFonts w:ascii="Arial" w:hAnsi="Arial" w:cs="Arial"/>
                <w:sz w:val="22"/>
                <w:szCs w:val="22"/>
              </w:rPr>
            </w:pPr>
          </w:p>
          <w:p w14:paraId="222D3DFA" w14:textId="77777777" w:rsidR="00D81C20" w:rsidRPr="004C3A0B" w:rsidRDefault="00D81C20" w:rsidP="00A91894">
            <w:pPr>
              <w:rPr>
                <w:rFonts w:ascii="Arial" w:hAnsi="Arial" w:cs="Arial"/>
                <w:sz w:val="22"/>
                <w:szCs w:val="22"/>
              </w:rPr>
            </w:pPr>
          </w:p>
          <w:p w14:paraId="3CAF73AA" w14:textId="77777777" w:rsidR="00D81C20" w:rsidRPr="004C3A0B" w:rsidRDefault="00D81C20"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r w:rsidR="00D81C20" w:rsidRPr="004C3A0B" w14:paraId="6310C9F2" w14:textId="77777777" w:rsidTr="00D81C20">
        <w:tc>
          <w:tcPr>
            <w:tcW w:w="283" w:type="pct"/>
            <w:tcBorders>
              <w:top w:val="single" w:sz="4" w:space="0" w:color="auto"/>
              <w:bottom w:val="single" w:sz="4" w:space="0" w:color="auto"/>
            </w:tcBorders>
            <w:shd w:val="clear" w:color="auto" w:fill="F2F2F2"/>
            <w:vAlign w:val="center"/>
          </w:tcPr>
          <w:p w14:paraId="2482C050" w14:textId="77777777" w:rsidR="00D81C20" w:rsidRPr="002132F9" w:rsidRDefault="00D81C20" w:rsidP="00A91894">
            <w:pPr>
              <w:jc w:val="center"/>
              <w:rPr>
                <w:rFonts w:ascii="Arial" w:hAnsi="Arial" w:cs="Arial"/>
                <w:sz w:val="22"/>
                <w:szCs w:val="22"/>
              </w:rPr>
            </w:pPr>
            <w:r>
              <w:rPr>
                <w:rFonts w:ascii="Arial" w:hAnsi="Arial" w:cs="Arial"/>
                <w:sz w:val="22"/>
                <w:szCs w:val="22"/>
              </w:rPr>
              <w:t>6</w:t>
            </w:r>
          </w:p>
        </w:tc>
        <w:tc>
          <w:tcPr>
            <w:tcW w:w="4717" w:type="pct"/>
            <w:gridSpan w:val="4"/>
            <w:tcBorders>
              <w:top w:val="single" w:sz="4" w:space="0" w:color="auto"/>
              <w:bottom w:val="single" w:sz="4" w:space="0" w:color="auto"/>
            </w:tcBorders>
            <w:shd w:val="clear" w:color="auto" w:fill="F2F2F2"/>
          </w:tcPr>
          <w:p w14:paraId="471893AE" w14:textId="77777777" w:rsidR="00D81C20" w:rsidRPr="004C3A0B" w:rsidRDefault="00D81C20" w:rsidP="00A91894">
            <w:pPr>
              <w:rPr>
                <w:rFonts w:ascii="Arial" w:hAnsi="Arial" w:cs="Arial"/>
                <w:sz w:val="22"/>
                <w:szCs w:val="22"/>
              </w:rPr>
            </w:pPr>
            <w:r>
              <w:rPr>
                <w:rFonts w:ascii="Arial" w:hAnsi="Arial" w:cs="Arial"/>
                <w:b/>
                <w:sz w:val="22"/>
                <w:szCs w:val="22"/>
              </w:rPr>
              <w:t>Environmental</w:t>
            </w:r>
            <w:r w:rsidRPr="004C3A0B">
              <w:rPr>
                <w:rFonts w:ascii="Arial" w:hAnsi="Arial" w:cs="Arial"/>
                <w:b/>
                <w:sz w:val="22"/>
                <w:szCs w:val="22"/>
              </w:rPr>
              <w:t xml:space="preserve"> risks</w:t>
            </w:r>
          </w:p>
          <w:p w14:paraId="14E65327" w14:textId="77777777" w:rsidR="00D81C20" w:rsidRPr="004C3A0B" w:rsidRDefault="00D81C20" w:rsidP="00A91894">
            <w:pPr>
              <w:rPr>
                <w:rFonts w:ascii="Arial" w:hAnsi="Arial" w:cs="Arial"/>
                <w:sz w:val="22"/>
                <w:szCs w:val="22"/>
              </w:rPr>
            </w:pPr>
            <w:r w:rsidRPr="004C3A0B">
              <w:rPr>
                <w:rFonts w:ascii="Arial" w:hAnsi="Arial" w:cs="Arial"/>
                <w:sz w:val="22"/>
                <w:szCs w:val="22"/>
              </w:rPr>
              <w:t xml:space="preserve">For example: </w:t>
            </w:r>
            <w:r>
              <w:rPr>
                <w:rFonts w:ascii="Arial" w:hAnsi="Arial" w:cs="Arial"/>
                <w:sz w:val="22"/>
                <w:szCs w:val="22"/>
              </w:rPr>
              <w:t>accidental spillage of pollutants, damage to local ecosystems</w:t>
            </w:r>
          </w:p>
        </w:tc>
      </w:tr>
      <w:tr w:rsidR="00D81C20" w:rsidRPr="004C3A0B" w14:paraId="3DFD9D18" w14:textId="77777777" w:rsidTr="00D81C20">
        <w:tc>
          <w:tcPr>
            <w:tcW w:w="283" w:type="pct"/>
            <w:tcBorders>
              <w:top w:val="single" w:sz="4" w:space="0" w:color="auto"/>
              <w:bottom w:val="single" w:sz="4" w:space="0" w:color="auto"/>
            </w:tcBorders>
            <w:vAlign w:val="center"/>
          </w:tcPr>
          <w:p w14:paraId="16202D65" w14:textId="77777777" w:rsidR="00D81C20" w:rsidRPr="00CE0890" w:rsidRDefault="00D81C20" w:rsidP="00A91894">
            <w:pPr>
              <w:autoSpaceDE w:val="0"/>
              <w:autoSpaceDN w:val="0"/>
              <w:adjustRightInd w:val="0"/>
              <w:jc w:val="center"/>
              <w:rPr>
                <w:rFonts w:ascii="Arial" w:hAnsi="Arial" w:cs="Arial"/>
                <w:sz w:val="22"/>
                <w:szCs w:val="22"/>
              </w:rPr>
            </w:pPr>
          </w:p>
        </w:tc>
        <w:tc>
          <w:tcPr>
            <w:tcW w:w="2372" w:type="pct"/>
            <w:tcBorders>
              <w:top w:val="single" w:sz="4" w:space="0" w:color="auto"/>
              <w:bottom w:val="single" w:sz="4" w:space="0" w:color="auto"/>
            </w:tcBorders>
          </w:tcPr>
          <w:p w14:paraId="6B7A456B" w14:textId="77777777" w:rsidR="00D81C20" w:rsidRDefault="00D81C20" w:rsidP="00A91894">
            <w:pPr>
              <w:autoSpaceDE w:val="0"/>
              <w:autoSpaceDN w:val="0"/>
              <w:adjustRightInd w:val="0"/>
              <w:rPr>
                <w:rFonts w:ascii="Arial" w:hAnsi="Arial" w:cs="Arial"/>
                <w:sz w:val="22"/>
                <w:szCs w:val="22"/>
              </w:rPr>
            </w:pPr>
            <w:r>
              <w:rPr>
                <w:rFonts w:ascii="Arial" w:hAnsi="Arial" w:cs="Arial"/>
                <w:sz w:val="22"/>
                <w:szCs w:val="22"/>
              </w:rPr>
              <w:t xml:space="preserve">Risk to the environment: </w:t>
            </w:r>
            <w:r>
              <w:rPr>
                <w:rFonts w:ascii="Arial" w:hAnsi="Arial" w:cs="Arial"/>
                <w:sz w:val="22"/>
                <w:szCs w:val="22"/>
              </w:rPr>
              <w:br/>
              <w:t>N/A</w:t>
            </w:r>
          </w:p>
          <w:p w14:paraId="4CC60FE2" w14:textId="77777777" w:rsidR="00D81C20" w:rsidRDefault="00D81C20" w:rsidP="00A91894">
            <w:pPr>
              <w:rPr>
                <w:rFonts w:ascii="Arial" w:hAnsi="Arial" w:cs="Arial"/>
                <w:sz w:val="22"/>
                <w:szCs w:val="22"/>
              </w:rPr>
            </w:pPr>
          </w:p>
          <w:p w14:paraId="655C2E3C" w14:textId="77777777" w:rsidR="00D81C20" w:rsidRDefault="00D81C20" w:rsidP="00A91894">
            <w:pPr>
              <w:rPr>
                <w:rFonts w:ascii="Arial" w:hAnsi="Arial" w:cs="Arial"/>
                <w:sz w:val="22"/>
                <w:szCs w:val="22"/>
              </w:rPr>
            </w:pPr>
          </w:p>
          <w:p w14:paraId="1C66AB89" w14:textId="77777777" w:rsidR="00D81C20" w:rsidRPr="004C3A0B" w:rsidRDefault="00D81C20" w:rsidP="00A91894">
            <w:pPr>
              <w:rPr>
                <w:rFonts w:ascii="Arial" w:hAnsi="Arial" w:cs="Arial"/>
                <w:sz w:val="22"/>
                <w:szCs w:val="22"/>
              </w:rPr>
            </w:pPr>
          </w:p>
          <w:p w14:paraId="29CF644A" w14:textId="77777777" w:rsidR="00D81C20" w:rsidRPr="004C3A0B" w:rsidRDefault="00D81C20" w:rsidP="00A91894">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2344" w:type="pct"/>
            <w:gridSpan w:val="3"/>
            <w:tcBorders>
              <w:top w:val="single" w:sz="4" w:space="0" w:color="auto"/>
              <w:bottom w:val="single" w:sz="4" w:space="0" w:color="auto"/>
            </w:tcBorders>
          </w:tcPr>
          <w:p w14:paraId="1447233B" w14:textId="77777777" w:rsidR="00D81C20" w:rsidRPr="00354F34" w:rsidRDefault="00D81C20" w:rsidP="00A91894">
            <w:pPr>
              <w:autoSpaceDE w:val="0"/>
              <w:autoSpaceDN w:val="0"/>
              <w:adjustRightInd w:val="0"/>
              <w:rPr>
                <w:rFonts w:ascii="Arial" w:hAnsi="Arial" w:cs="Arial"/>
                <w:i/>
                <w:sz w:val="18"/>
                <w:szCs w:val="18"/>
              </w:rPr>
            </w:pPr>
            <w:r>
              <w:rPr>
                <w:rFonts w:ascii="Arial" w:hAnsi="Arial" w:cs="Arial"/>
                <w:i/>
                <w:sz w:val="18"/>
                <w:szCs w:val="18"/>
              </w:rPr>
              <w:t>How you will mitigate the r</w:t>
            </w:r>
            <w:r w:rsidRPr="00354F34">
              <w:rPr>
                <w:rFonts w:ascii="Arial" w:hAnsi="Arial" w:cs="Arial"/>
                <w:i/>
                <w:sz w:val="18"/>
                <w:szCs w:val="18"/>
              </w:rPr>
              <w:t xml:space="preserve">isk to </w:t>
            </w:r>
            <w:r>
              <w:rPr>
                <w:rFonts w:ascii="Arial" w:hAnsi="Arial" w:cs="Arial"/>
                <w:i/>
                <w:sz w:val="18"/>
                <w:szCs w:val="18"/>
              </w:rPr>
              <w:t>environment</w:t>
            </w:r>
            <w:r w:rsidRPr="00354F34">
              <w:rPr>
                <w:rFonts w:ascii="Arial" w:hAnsi="Arial" w:cs="Arial"/>
                <w:i/>
                <w:sz w:val="18"/>
                <w:szCs w:val="18"/>
              </w:rPr>
              <w:t>:</w:t>
            </w:r>
          </w:p>
          <w:p w14:paraId="081F58B1" w14:textId="77777777" w:rsidR="00D81C20" w:rsidRDefault="00D81C20" w:rsidP="00A91894">
            <w:pPr>
              <w:rPr>
                <w:rFonts w:ascii="Arial" w:hAnsi="Arial" w:cs="Arial"/>
                <w:sz w:val="22"/>
                <w:szCs w:val="22"/>
              </w:rPr>
            </w:pPr>
            <w:r>
              <w:rPr>
                <w:rFonts w:ascii="Arial" w:hAnsi="Arial" w:cs="Arial"/>
                <w:sz w:val="22"/>
                <w:szCs w:val="22"/>
              </w:rPr>
              <w:t>N/A</w:t>
            </w:r>
          </w:p>
          <w:p w14:paraId="359A3201" w14:textId="77777777" w:rsidR="00D81C20" w:rsidRDefault="00D81C20" w:rsidP="00A91894">
            <w:pPr>
              <w:rPr>
                <w:rFonts w:ascii="Arial" w:hAnsi="Arial" w:cs="Arial"/>
                <w:sz w:val="22"/>
                <w:szCs w:val="22"/>
              </w:rPr>
            </w:pPr>
          </w:p>
          <w:p w14:paraId="777D1093" w14:textId="77777777" w:rsidR="00D81C20" w:rsidRPr="004C3A0B" w:rsidRDefault="00D81C20" w:rsidP="00A91894">
            <w:pPr>
              <w:rPr>
                <w:rFonts w:ascii="Arial" w:hAnsi="Arial" w:cs="Arial"/>
                <w:sz w:val="22"/>
                <w:szCs w:val="22"/>
              </w:rPr>
            </w:pPr>
          </w:p>
          <w:p w14:paraId="13F1CACC" w14:textId="77777777" w:rsidR="00D81C20" w:rsidRPr="004C3A0B" w:rsidRDefault="00D81C20"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45808945" w14:textId="77777777" w:rsidR="00D81C20" w:rsidRDefault="00D81C20" w:rsidP="00A91894"/>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67"/>
        <w:gridCol w:w="5834"/>
        <w:gridCol w:w="657"/>
        <w:gridCol w:w="668"/>
        <w:gridCol w:w="670"/>
      </w:tblGrid>
      <w:tr w:rsidR="00D81C20" w:rsidRPr="004C3A0B" w14:paraId="78A1B27F" w14:textId="77777777" w:rsidTr="00D81C20">
        <w:trPr>
          <w:trHeight w:val="483"/>
        </w:trPr>
        <w:tc>
          <w:tcPr>
            <w:tcW w:w="283" w:type="pct"/>
            <w:tcBorders>
              <w:top w:val="single" w:sz="4" w:space="0" w:color="auto"/>
              <w:bottom w:val="single" w:sz="4" w:space="0" w:color="auto"/>
            </w:tcBorders>
            <w:shd w:val="clear" w:color="auto" w:fill="F2F2F2"/>
            <w:vAlign w:val="center"/>
          </w:tcPr>
          <w:p w14:paraId="6F1EF6F4" w14:textId="77777777" w:rsidR="00D81C20" w:rsidRPr="002132F9" w:rsidRDefault="00D81C20" w:rsidP="00A91894">
            <w:pPr>
              <w:autoSpaceDE w:val="0"/>
              <w:autoSpaceDN w:val="0"/>
              <w:adjustRightInd w:val="0"/>
              <w:jc w:val="center"/>
              <w:rPr>
                <w:rFonts w:ascii="Arial" w:hAnsi="Arial" w:cs="Arial"/>
                <w:bCs/>
                <w:sz w:val="22"/>
                <w:szCs w:val="22"/>
              </w:rPr>
            </w:pPr>
          </w:p>
        </w:tc>
        <w:tc>
          <w:tcPr>
            <w:tcW w:w="4717" w:type="pct"/>
            <w:gridSpan w:val="4"/>
            <w:tcBorders>
              <w:top w:val="single" w:sz="4" w:space="0" w:color="auto"/>
              <w:bottom w:val="single" w:sz="4" w:space="0" w:color="auto"/>
            </w:tcBorders>
            <w:shd w:val="clear" w:color="auto" w:fill="F2F2F2"/>
            <w:vAlign w:val="center"/>
          </w:tcPr>
          <w:p w14:paraId="11F4D525" w14:textId="77777777" w:rsidR="00D81C20" w:rsidRPr="004C3A0B" w:rsidRDefault="00D81C20" w:rsidP="00A91894">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D81C20" w:rsidRPr="004C3A0B" w14:paraId="09BCB0F0" w14:textId="77777777" w:rsidTr="00D81C20">
        <w:tc>
          <w:tcPr>
            <w:tcW w:w="283" w:type="pct"/>
            <w:tcBorders>
              <w:top w:val="single" w:sz="4" w:space="0" w:color="auto"/>
              <w:bottom w:val="single" w:sz="4" w:space="0" w:color="auto"/>
            </w:tcBorders>
            <w:shd w:val="clear" w:color="auto" w:fill="F2F2F2"/>
            <w:vAlign w:val="center"/>
          </w:tcPr>
          <w:p w14:paraId="6E49ABF8" w14:textId="77777777" w:rsidR="00D81C20" w:rsidRPr="00F96C3F" w:rsidRDefault="00D81C20" w:rsidP="00A91894">
            <w:pPr>
              <w:autoSpaceDE w:val="0"/>
              <w:autoSpaceDN w:val="0"/>
              <w:adjustRightInd w:val="0"/>
              <w:jc w:val="center"/>
              <w:rPr>
                <w:rFonts w:ascii="Arial" w:hAnsi="Arial" w:cs="Arial"/>
                <w:bCs/>
                <w:sz w:val="22"/>
                <w:szCs w:val="22"/>
              </w:rPr>
            </w:pPr>
          </w:p>
        </w:tc>
        <w:tc>
          <w:tcPr>
            <w:tcW w:w="3518" w:type="pct"/>
            <w:tcBorders>
              <w:top w:val="single" w:sz="4" w:space="0" w:color="auto"/>
              <w:bottom w:val="single" w:sz="4" w:space="0" w:color="auto"/>
            </w:tcBorders>
            <w:shd w:val="clear" w:color="auto" w:fill="F2F2F2"/>
          </w:tcPr>
          <w:p w14:paraId="1B57306C" w14:textId="77777777" w:rsidR="00D81C20" w:rsidRPr="004C3A0B" w:rsidRDefault="00D81C20" w:rsidP="00A91894">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390" w:type="pct"/>
            <w:tcBorders>
              <w:top w:val="single" w:sz="4" w:space="0" w:color="auto"/>
              <w:bottom w:val="single" w:sz="4" w:space="0" w:color="auto"/>
            </w:tcBorders>
            <w:shd w:val="clear" w:color="auto" w:fill="F2F2F2"/>
            <w:vAlign w:val="bottom"/>
          </w:tcPr>
          <w:p w14:paraId="7AE9654A" w14:textId="77777777" w:rsidR="00D81C20" w:rsidRDefault="00D81C20"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14:paraId="66DFC1B7" w14:textId="77777777" w:rsidR="00D81C20" w:rsidRPr="004C3A0B" w:rsidRDefault="00D81C20" w:rsidP="00A91894">
            <w:pPr>
              <w:autoSpaceDE w:val="0"/>
              <w:autoSpaceDN w:val="0"/>
              <w:adjustRightInd w:val="0"/>
              <w:jc w:val="center"/>
              <w:rPr>
                <w:rFonts w:ascii="Arial" w:hAnsi="Arial" w:cs="Arial"/>
                <w:b/>
                <w:sz w:val="22"/>
                <w:szCs w:val="22"/>
              </w:rPr>
            </w:pPr>
          </w:p>
        </w:tc>
        <w:tc>
          <w:tcPr>
            <w:tcW w:w="404" w:type="pct"/>
            <w:tcBorders>
              <w:top w:val="single" w:sz="4" w:space="0" w:color="auto"/>
              <w:bottom w:val="single" w:sz="4" w:space="0" w:color="auto"/>
            </w:tcBorders>
            <w:shd w:val="clear" w:color="auto" w:fill="F2F2F2"/>
            <w:vAlign w:val="bottom"/>
          </w:tcPr>
          <w:p w14:paraId="311770CF" w14:textId="77777777" w:rsidR="00D81C20" w:rsidRDefault="00D81C20"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14:paraId="6B4F7B2E" w14:textId="77777777" w:rsidR="00D81C20" w:rsidRPr="004C3A0B" w:rsidRDefault="00D81C20" w:rsidP="00A91894">
            <w:pPr>
              <w:autoSpaceDE w:val="0"/>
              <w:autoSpaceDN w:val="0"/>
              <w:adjustRightInd w:val="0"/>
              <w:jc w:val="center"/>
              <w:rPr>
                <w:rFonts w:ascii="Arial" w:hAnsi="Arial" w:cs="Arial"/>
                <w:b/>
                <w:sz w:val="22"/>
                <w:szCs w:val="22"/>
              </w:rPr>
            </w:pPr>
          </w:p>
        </w:tc>
        <w:tc>
          <w:tcPr>
            <w:tcW w:w="405" w:type="pct"/>
            <w:tcBorders>
              <w:top w:val="single" w:sz="4" w:space="0" w:color="auto"/>
              <w:bottom w:val="single" w:sz="4" w:space="0" w:color="auto"/>
            </w:tcBorders>
            <w:shd w:val="clear" w:color="auto" w:fill="F2F2F2"/>
            <w:vAlign w:val="bottom"/>
          </w:tcPr>
          <w:p w14:paraId="63358693" w14:textId="77777777" w:rsidR="00D81C20" w:rsidRDefault="00D81C20"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14:paraId="1778A0C7" w14:textId="77777777" w:rsidR="00D81C20" w:rsidRPr="004C3A0B" w:rsidRDefault="00D81C20" w:rsidP="00A91894">
            <w:pPr>
              <w:autoSpaceDE w:val="0"/>
              <w:autoSpaceDN w:val="0"/>
              <w:adjustRightInd w:val="0"/>
              <w:jc w:val="center"/>
              <w:rPr>
                <w:rFonts w:ascii="Arial" w:hAnsi="Arial" w:cs="Arial"/>
                <w:b/>
                <w:sz w:val="22"/>
                <w:szCs w:val="22"/>
              </w:rPr>
            </w:pPr>
          </w:p>
        </w:tc>
      </w:tr>
      <w:tr w:rsidR="00D81C20" w:rsidRPr="004C3A0B" w14:paraId="12A28964" w14:textId="77777777" w:rsidTr="00D81C20">
        <w:trPr>
          <w:trHeight w:val="492"/>
        </w:trPr>
        <w:tc>
          <w:tcPr>
            <w:tcW w:w="283" w:type="pct"/>
            <w:tcBorders>
              <w:top w:val="single" w:sz="4" w:space="0" w:color="auto"/>
              <w:bottom w:val="single" w:sz="4" w:space="0" w:color="auto"/>
            </w:tcBorders>
            <w:shd w:val="clear" w:color="auto" w:fill="F2F2F2"/>
            <w:vAlign w:val="center"/>
          </w:tcPr>
          <w:p w14:paraId="26DC94F8" w14:textId="77777777" w:rsidR="00D81C20" w:rsidRPr="00F96C3F" w:rsidRDefault="00D81C20" w:rsidP="00A91894">
            <w:pPr>
              <w:autoSpaceDE w:val="0"/>
              <w:autoSpaceDN w:val="0"/>
              <w:adjustRightInd w:val="0"/>
              <w:jc w:val="center"/>
              <w:rPr>
                <w:rFonts w:ascii="Arial" w:hAnsi="Arial" w:cs="Arial"/>
                <w:bCs/>
                <w:sz w:val="22"/>
                <w:szCs w:val="22"/>
              </w:rPr>
            </w:pPr>
            <w:r>
              <w:rPr>
                <w:rFonts w:ascii="Arial" w:hAnsi="Arial" w:cs="Arial"/>
                <w:bCs/>
                <w:sz w:val="22"/>
                <w:szCs w:val="22"/>
              </w:rPr>
              <w:t>7</w:t>
            </w:r>
          </w:p>
        </w:tc>
        <w:tc>
          <w:tcPr>
            <w:tcW w:w="3518" w:type="pct"/>
            <w:tcBorders>
              <w:top w:val="single" w:sz="4" w:space="0" w:color="auto"/>
              <w:bottom w:val="single" w:sz="4" w:space="0" w:color="auto"/>
            </w:tcBorders>
            <w:shd w:val="clear" w:color="auto" w:fill="F2F2F2"/>
            <w:vAlign w:val="center"/>
          </w:tcPr>
          <w:p w14:paraId="774BC741" w14:textId="77777777" w:rsidR="00D81C20" w:rsidRPr="004C3A0B" w:rsidRDefault="00D81C20" w:rsidP="00A91894">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390" w:type="pct"/>
            <w:tcBorders>
              <w:top w:val="single" w:sz="4" w:space="0" w:color="auto"/>
              <w:bottom w:val="single" w:sz="4" w:space="0" w:color="auto"/>
            </w:tcBorders>
            <w:shd w:val="clear" w:color="auto" w:fill="BFBFBF"/>
            <w:vAlign w:val="center"/>
          </w:tcPr>
          <w:p w14:paraId="31280EA9" w14:textId="1226A9DA" w:rsidR="00D81C20" w:rsidRPr="00392C8E" w:rsidRDefault="00D81C20" w:rsidP="00A91894">
            <w:pPr>
              <w:autoSpaceDE w:val="0"/>
              <w:autoSpaceDN w:val="0"/>
              <w:adjustRightInd w:val="0"/>
              <w:jc w:val="center"/>
              <w:rPr>
                <w:rFonts w:ascii="Arial" w:hAnsi="Arial" w:cs="Arial"/>
                <w:sz w:val="16"/>
                <w:szCs w:val="16"/>
              </w:rPr>
            </w:pPr>
            <w:r w:rsidRPr="00392C8E">
              <w:rPr>
                <w:rFonts w:ascii="MS Gothic" w:eastAsia="MS Gothic" w:hAnsi="MS Gothic" w:cs="Arial" w:hint="eastAsia"/>
                <w:sz w:val="22"/>
                <w:szCs w:val="22"/>
              </w:rPr>
              <w:t>☐</w:t>
            </w:r>
          </w:p>
        </w:tc>
        <w:tc>
          <w:tcPr>
            <w:tcW w:w="404" w:type="pct"/>
            <w:tcBorders>
              <w:top w:val="single" w:sz="4" w:space="0" w:color="auto"/>
              <w:bottom w:val="single" w:sz="4" w:space="0" w:color="auto"/>
            </w:tcBorders>
            <w:shd w:val="clear" w:color="auto" w:fill="BFBFBF"/>
            <w:vAlign w:val="center"/>
          </w:tcPr>
          <w:p w14:paraId="68C74195" w14:textId="7CECAACB" w:rsidR="00D81C20" w:rsidRPr="00392C8E" w:rsidRDefault="00D81C20" w:rsidP="00A91894">
            <w:pPr>
              <w:autoSpaceDE w:val="0"/>
              <w:autoSpaceDN w:val="0"/>
              <w:adjustRightInd w:val="0"/>
              <w:jc w:val="center"/>
              <w:rPr>
                <w:rFonts w:ascii="Arial" w:hAnsi="Arial" w:cs="Arial"/>
                <w:sz w:val="16"/>
                <w:szCs w:val="16"/>
              </w:rPr>
            </w:pPr>
            <w:r>
              <w:rPr>
                <w:rFonts w:ascii="MS Gothic" w:eastAsia="MS Gothic" w:hAnsi="MS Gothic" w:cs="Arial" w:hint="eastAsia"/>
                <w:sz w:val="22"/>
                <w:szCs w:val="22"/>
              </w:rPr>
              <w:t>☐</w:t>
            </w:r>
          </w:p>
        </w:tc>
        <w:tc>
          <w:tcPr>
            <w:tcW w:w="405" w:type="pct"/>
            <w:tcBorders>
              <w:top w:val="single" w:sz="4" w:space="0" w:color="auto"/>
              <w:bottom w:val="single" w:sz="4" w:space="0" w:color="auto"/>
            </w:tcBorders>
            <w:shd w:val="clear" w:color="auto" w:fill="BFBFBF"/>
            <w:vAlign w:val="center"/>
          </w:tcPr>
          <w:p w14:paraId="3F2BE950" w14:textId="02ACC987" w:rsidR="00D81C20" w:rsidRPr="00392C8E" w:rsidRDefault="00D81C20" w:rsidP="00A91894">
            <w:pPr>
              <w:autoSpaceDE w:val="0"/>
              <w:autoSpaceDN w:val="0"/>
              <w:adjustRightInd w:val="0"/>
              <w:jc w:val="center"/>
              <w:rPr>
                <w:rFonts w:ascii="Arial" w:hAnsi="Arial" w:cs="Arial"/>
                <w:sz w:val="16"/>
                <w:szCs w:val="16"/>
              </w:rPr>
            </w:pPr>
            <w:r>
              <w:rPr>
                <w:rFonts w:ascii="MS Gothic" w:eastAsia="MS Gothic" w:hAnsi="MS Gothic" w:cs="Arial" w:hint="eastAsia"/>
                <w:sz w:val="22"/>
                <w:szCs w:val="22"/>
              </w:rPr>
              <w:t>☒</w:t>
            </w:r>
          </w:p>
        </w:tc>
      </w:tr>
      <w:tr w:rsidR="00D81C20" w:rsidRPr="004C3A0B" w14:paraId="784CE12B" w14:textId="77777777" w:rsidTr="00D81C20">
        <w:trPr>
          <w:trHeight w:val="492"/>
        </w:trPr>
        <w:tc>
          <w:tcPr>
            <w:tcW w:w="283" w:type="pct"/>
            <w:tcBorders>
              <w:top w:val="single" w:sz="4" w:space="0" w:color="auto"/>
              <w:bottom w:val="single" w:sz="4" w:space="0" w:color="auto"/>
            </w:tcBorders>
            <w:shd w:val="clear" w:color="auto" w:fill="F2F2F2"/>
            <w:vAlign w:val="center"/>
          </w:tcPr>
          <w:p w14:paraId="007D8751" w14:textId="77777777" w:rsidR="00D81C20" w:rsidRDefault="00D81C20" w:rsidP="00A91894">
            <w:pPr>
              <w:autoSpaceDE w:val="0"/>
              <w:autoSpaceDN w:val="0"/>
              <w:adjustRightInd w:val="0"/>
              <w:jc w:val="center"/>
              <w:rPr>
                <w:rFonts w:ascii="Arial" w:hAnsi="Arial" w:cs="Arial"/>
                <w:bCs/>
                <w:sz w:val="22"/>
                <w:szCs w:val="22"/>
              </w:rPr>
            </w:pPr>
            <w:r>
              <w:rPr>
                <w:rFonts w:ascii="Arial" w:hAnsi="Arial" w:cs="Arial"/>
                <w:bCs/>
                <w:sz w:val="22"/>
                <w:szCs w:val="22"/>
              </w:rPr>
              <w:t>8</w:t>
            </w:r>
          </w:p>
        </w:tc>
        <w:tc>
          <w:tcPr>
            <w:tcW w:w="3518" w:type="pct"/>
            <w:tcBorders>
              <w:top w:val="single" w:sz="4" w:space="0" w:color="auto"/>
              <w:bottom w:val="single" w:sz="4" w:space="0" w:color="auto"/>
            </w:tcBorders>
            <w:shd w:val="clear" w:color="auto" w:fill="F2F2F2"/>
            <w:vAlign w:val="center"/>
          </w:tcPr>
          <w:p w14:paraId="6ABCD490" w14:textId="77777777" w:rsidR="00D81C20" w:rsidRDefault="00D81C20" w:rsidP="00A91894">
            <w:pPr>
              <w:autoSpaceDE w:val="0"/>
              <w:autoSpaceDN w:val="0"/>
              <w:adjustRightInd w:val="0"/>
              <w:rPr>
                <w:rFonts w:ascii="Arial" w:hAnsi="Arial" w:cs="Arial"/>
                <w:sz w:val="22"/>
                <w:szCs w:val="22"/>
              </w:rPr>
            </w:pPr>
            <w:r>
              <w:rPr>
                <w:rFonts w:ascii="Arial" w:hAnsi="Arial" w:cs="Arial"/>
                <w:sz w:val="22"/>
                <w:szCs w:val="22"/>
              </w:rPr>
              <w:t>If YES, please give the certificate number. If the certificate number is not available please write “Pending”; in this case any ethical approval will be subject to providing the appropriate certificate number.</w:t>
            </w:r>
          </w:p>
        </w:tc>
        <w:tc>
          <w:tcPr>
            <w:tcW w:w="1199" w:type="pct"/>
            <w:gridSpan w:val="3"/>
            <w:tcBorders>
              <w:top w:val="single" w:sz="4" w:space="0" w:color="auto"/>
              <w:bottom w:val="single" w:sz="4" w:space="0" w:color="auto"/>
            </w:tcBorders>
            <w:shd w:val="clear" w:color="auto" w:fill="auto"/>
            <w:vAlign w:val="center"/>
          </w:tcPr>
          <w:p w14:paraId="6933839C" w14:textId="77777777" w:rsidR="00D81C20" w:rsidRDefault="00D81C20" w:rsidP="00A91894">
            <w:pPr>
              <w:autoSpaceDE w:val="0"/>
              <w:autoSpaceDN w:val="0"/>
              <w:adjustRightInd w:val="0"/>
              <w:jc w:val="center"/>
              <w:rPr>
                <w:rFonts w:ascii="Arial" w:hAnsi="Arial" w:cs="Arial"/>
                <w:b/>
                <w:bCs/>
                <w:sz w:val="22"/>
                <w:szCs w:val="22"/>
              </w:rPr>
            </w:pPr>
          </w:p>
        </w:tc>
      </w:tr>
    </w:tbl>
    <w:p w14:paraId="3867253C" w14:textId="77777777" w:rsidR="00D81C20" w:rsidRPr="00354F34" w:rsidRDefault="00D81C20" w:rsidP="00A91894">
      <w:pPr>
        <w:autoSpaceDE w:val="0"/>
        <w:autoSpaceDN w:val="0"/>
        <w:adjustRightInd w:val="0"/>
        <w:spacing w:after="240"/>
        <w:jc w:val="both"/>
        <w:rPr>
          <w:rFonts w:ascii="Arial" w:hAnsi="Arial" w:cs="Arial"/>
          <w:b/>
          <w:sz w:val="22"/>
          <w:szCs w:val="22"/>
        </w:rPr>
      </w:pPr>
    </w:p>
    <w:p w14:paraId="680C36F3" w14:textId="77777777" w:rsidR="00D81C20" w:rsidRDefault="00D81C20" w:rsidP="00A91894">
      <w:pPr>
        <w:rPr>
          <w:rFonts w:ascii="Arial" w:hAnsi="Arial" w:cs="Arial"/>
          <w:b/>
          <w:sz w:val="22"/>
          <w:szCs w:val="22"/>
        </w:rPr>
      </w:pPr>
      <w:r w:rsidRPr="00354F34">
        <w:rPr>
          <w:rFonts w:ascii="Arial" w:hAnsi="Arial" w:cs="Arial"/>
          <w:b/>
          <w:sz w:val="22"/>
          <w:szCs w:val="22"/>
        </w:rPr>
        <w:t>SECTION I: Feedback, Consent and Confidentiality</w:t>
      </w:r>
    </w:p>
    <w:p w14:paraId="37A50569" w14:textId="77777777" w:rsidR="00D81C20" w:rsidRPr="00354F34" w:rsidRDefault="00D81C20" w:rsidP="00A91894">
      <w:pPr>
        <w:rPr>
          <w:rFonts w:ascii="Arial" w:hAnsi="Arial" w:cs="Arial"/>
          <w:b/>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70"/>
        <w:gridCol w:w="7826"/>
      </w:tblGrid>
      <w:tr w:rsidR="00D81C20" w:rsidRPr="004C3A0B" w14:paraId="39973A10" w14:textId="77777777" w:rsidTr="00D81C20">
        <w:tc>
          <w:tcPr>
            <w:tcW w:w="283" w:type="pct"/>
            <w:tcBorders>
              <w:top w:val="single" w:sz="4" w:space="0" w:color="auto"/>
              <w:bottom w:val="single" w:sz="4" w:space="0" w:color="auto"/>
            </w:tcBorders>
            <w:shd w:val="clear" w:color="auto" w:fill="F2F2F2"/>
          </w:tcPr>
          <w:p w14:paraId="50CD4DA8" w14:textId="77777777" w:rsidR="00D81C20" w:rsidRPr="002132F9" w:rsidRDefault="00D81C20" w:rsidP="00A91894">
            <w:pPr>
              <w:rPr>
                <w:rFonts w:ascii="Arial" w:hAnsi="Arial" w:cs="Arial"/>
                <w:bCs/>
                <w:sz w:val="22"/>
                <w:szCs w:val="22"/>
              </w:rPr>
            </w:pPr>
            <w:r w:rsidRPr="002132F9">
              <w:rPr>
                <w:rFonts w:ascii="Arial" w:hAnsi="Arial" w:cs="Arial"/>
                <w:bCs/>
                <w:sz w:val="22"/>
                <w:szCs w:val="22"/>
              </w:rPr>
              <w:lastRenderedPageBreak/>
              <w:t>1</w:t>
            </w:r>
          </w:p>
        </w:tc>
        <w:tc>
          <w:tcPr>
            <w:tcW w:w="4717" w:type="pct"/>
            <w:tcBorders>
              <w:top w:val="single" w:sz="4" w:space="0" w:color="auto"/>
              <w:bottom w:val="single" w:sz="4" w:space="0" w:color="auto"/>
            </w:tcBorders>
            <w:shd w:val="clear" w:color="auto" w:fill="F2F2F2"/>
          </w:tcPr>
          <w:p w14:paraId="6F290EEE" w14:textId="77777777" w:rsidR="00D81C20" w:rsidRPr="004C3A0B" w:rsidRDefault="00D81C20" w:rsidP="00A91894">
            <w:pPr>
              <w:rPr>
                <w:rFonts w:ascii="Arial" w:hAnsi="Arial" w:cs="Arial"/>
                <w:sz w:val="22"/>
                <w:szCs w:val="22"/>
              </w:rPr>
            </w:pPr>
            <w:r w:rsidRPr="004C3A0B">
              <w:rPr>
                <w:rFonts w:ascii="Arial" w:hAnsi="Arial" w:cs="Arial"/>
                <w:b/>
                <w:sz w:val="22"/>
                <w:szCs w:val="22"/>
              </w:rPr>
              <w:t>Feedback</w:t>
            </w:r>
          </w:p>
          <w:p w14:paraId="152EA5B1" w14:textId="77777777" w:rsidR="00D81C20" w:rsidRPr="004C3A0B" w:rsidRDefault="00D81C20" w:rsidP="00A91894">
            <w:pPr>
              <w:rPr>
                <w:rFonts w:ascii="Arial" w:hAnsi="Arial" w:cs="Arial"/>
                <w:sz w:val="22"/>
                <w:szCs w:val="22"/>
              </w:rPr>
            </w:pPr>
            <w:r w:rsidRPr="004C3A0B">
              <w:rPr>
                <w:rFonts w:ascii="Arial" w:hAnsi="Arial" w:cs="Arial"/>
                <w:sz w:val="22"/>
                <w:szCs w:val="22"/>
              </w:rPr>
              <w:t xml:space="preserve">What </w:t>
            </w:r>
            <w:r>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D81C20" w:rsidRPr="004C3A0B" w14:paraId="03905565" w14:textId="77777777" w:rsidTr="00D81C20">
        <w:tc>
          <w:tcPr>
            <w:tcW w:w="283" w:type="pct"/>
            <w:tcBorders>
              <w:top w:val="single" w:sz="4" w:space="0" w:color="auto"/>
              <w:bottom w:val="single" w:sz="4" w:space="0" w:color="auto"/>
            </w:tcBorders>
          </w:tcPr>
          <w:p w14:paraId="799B4B94" w14:textId="77777777" w:rsidR="00D81C20" w:rsidRPr="00E32138" w:rsidRDefault="00D81C20" w:rsidP="00A91894">
            <w:pPr>
              <w:rPr>
                <w:rFonts w:ascii="Arial" w:hAnsi="Arial" w:cs="Arial"/>
                <w:bCs/>
                <w:sz w:val="22"/>
                <w:szCs w:val="22"/>
              </w:rPr>
            </w:pPr>
          </w:p>
        </w:tc>
        <w:tc>
          <w:tcPr>
            <w:tcW w:w="4717" w:type="pct"/>
            <w:tcBorders>
              <w:top w:val="single" w:sz="4" w:space="0" w:color="auto"/>
              <w:bottom w:val="single" w:sz="4" w:space="0" w:color="auto"/>
            </w:tcBorders>
          </w:tcPr>
          <w:p w14:paraId="55AF6FD0" w14:textId="77777777" w:rsidR="00D81C20" w:rsidRDefault="00D81C20" w:rsidP="00A91894">
            <w:pPr>
              <w:rPr>
                <w:rFonts w:ascii="Arial" w:hAnsi="Arial" w:cs="Arial"/>
                <w:sz w:val="22"/>
                <w:szCs w:val="22"/>
              </w:rPr>
            </w:pPr>
          </w:p>
          <w:p w14:paraId="466172ED" w14:textId="77777777" w:rsidR="00D81C20" w:rsidRDefault="00D81C20" w:rsidP="00A91894">
            <w:pPr>
              <w:rPr>
                <w:rFonts w:ascii="Arial" w:hAnsi="Arial" w:cs="Arial"/>
                <w:sz w:val="22"/>
                <w:szCs w:val="22"/>
              </w:rPr>
            </w:pPr>
            <w:r>
              <w:rPr>
                <w:rFonts w:ascii="Arial" w:hAnsi="Arial" w:cs="Arial"/>
                <w:sz w:val="22"/>
                <w:szCs w:val="22"/>
              </w:rPr>
              <w:t>N/A</w:t>
            </w:r>
          </w:p>
          <w:p w14:paraId="2382CB4F" w14:textId="77777777" w:rsidR="00D81C20" w:rsidRPr="004C3A0B" w:rsidRDefault="00D81C20" w:rsidP="00A91894">
            <w:pPr>
              <w:rPr>
                <w:rFonts w:ascii="Arial" w:hAnsi="Arial" w:cs="Arial"/>
                <w:sz w:val="22"/>
                <w:szCs w:val="22"/>
              </w:rPr>
            </w:pPr>
          </w:p>
          <w:p w14:paraId="6BBE6E0A" w14:textId="77777777" w:rsidR="00D81C20" w:rsidRPr="004C3A0B" w:rsidRDefault="00D81C20"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r w:rsidR="00D81C20" w:rsidRPr="004C3A0B" w14:paraId="2EF9F60A" w14:textId="77777777" w:rsidTr="00D81C20">
        <w:tc>
          <w:tcPr>
            <w:tcW w:w="283" w:type="pct"/>
            <w:tcBorders>
              <w:top w:val="single" w:sz="4" w:space="0" w:color="auto"/>
              <w:bottom w:val="single" w:sz="4" w:space="0" w:color="auto"/>
            </w:tcBorders>
            <w:shd w:val="clear" w:color="auto" w:fill="F2F2F2"/>
          </w:tcPr>
          <w:p w14:paraId="5328BC90" w14:textId="77777777" w:rsidR="00D81C20" w:rsidRPr="002132F9" w:rsidRDefault="00D81C20" w:rsidP="00A91894">
            <w:pPr>
              <w:rPr>
                <w:rFonts w:ascii="Arial" w:hAnsi="Arial" w:cs="Arial"/>
                <w:bCs/>
                <w:sz w:val="22"/>
                <w:szCs w:val="22"/>
              </w:rPr>
            </w:pPr>
            <w:r w:rsidRPr="002132F9">
              <w:rPr>
                <w:rFonts w:ascii="Arial" w:hAnsi="Arial" w:cs="Arial"/>
                <w:bCs/>
                <w:sz w:val="22"/>
                <w:szCs w:val="22"/>
              </w:rPr>
              <w:t>2</w:t>
            </w:r>
          </w:p>
        </w:tc>
        <w:tc>
          <w:tcPr>
            <w:tcW w:w="4717" w:type="pct"/>
            <w:tcBorders>
              <w:top w:val="single" w:sz="4" w:space="0" w:color="auto"/>
              <w:bottom w:val="single" w:sz="4" w:space="0" w:color="auto"/>
            </w:tcBorders>
            <w:shd w:val="clear" w:color="auto" w:fill="F2F2F2"/>
          </w:tcPr>
          <w:p w14:paraId="5CD6B4FB" w14:textId="77777777" w:rsidR="00D81C20" w:rsidRPr="004C3A0B" w:rsidRDefault="00D81C20" w:rsidP="00A91894">
            <w:pPr>
              <w:rPr>
                <w:rFonts w:ascii="Arial" w:hAnsi="Arial" w:cs="Arial"/>
                <w:sz w:val="22"/>
                <w:szCs w:val="22"/>
              </w:rPr>
            </w:pPr>
            <w:r w:rsidRPr="004C3A0B">
              <w:rPr>
                <w:rFonts w:ascii="Arial" w:hAnsi="Arial" w:cs="Arial"/>
                <w:b/>
                <w:sz w:val="22"/>
                <w:szCs w:val="22"/>
              </w:rPr>
              <w:t>Informed consent</w:t>
            </w:r>
          </w:p>
          <w:p w14:paraId="33E9E4C4" w14:textId="77777777" w:rsidR="00D81C20" w:rsidRPr="004C3A0B" w:rsidRDefault="00D81C20" w:rsidP="00A91894">
            <w:pPr>
              <w:autoSpaceDE w:val="0"/>
              <w:autoSpaceDN w:val="0"/>
              <w:adjustRightInd w:val="0"/>
              <w:rPr>
                <w:rFonts w:ascii="Arial" w:hAnsi="Arial" w:cs="Arial"/>
                <w:sz w:val="22"/>
                <w:szCs w:val="22"/>
              </w:rPr>
            </w:pPr>
            <w:r w:rsidRPr="004C3A0B">
              <w:rPr>
                <w:rFonts w:ascii="Arial" w:hAnsi="Arial" w:cs="Arial"/>
                <w:sz w:val="22"/>
                <w:szCs w:val="22"/>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r>
              <w:rPr>
                <w:rFonts w:ascii="Arial" w:hAnsi="Arial" w:cs="Arial"/>
                <w:sz w:val="22"/>
                <w:szCs w:val="22"/>
              </w:rPr>
              <w:t xml:space="preserve"> in accordance with prevailing data protection legislation.</w:t>
            </w:r>
          </w:p>
        </w:tc>
      </w:tr>
      <w:tr w:rsidR="00D81C20" w:rsidRPr="004C3A0B" w14:paraId="5DABCEE6" w14:textId="77777777" w:rsidTr="00D81C20">
        <w:tc>
          <w:tcPr>
            <w:tcW w:w="283" w:type="pct"/>
            <w:tcBorders>
              <w:top w:val="single" w:sz="4" w:space="0" w:color="auto"/>
              <w:bottom w:val="single" w:sz="4" w:space="0" w:color="auto"/>
            </w:tcBorders>
          </w:tcPr>
          <w:p w14:paraId="4660B85F" w14:textId="77777777" w:rsidR="00D81C20" w:rsidRPr="00E32138" w:rsidRDefault="00D81C20" w:rsidP="00A91894">
            <w:pPr>
              <w:rPr>
                <w:rFonts w:ascii="Arial" w:hAnsi="Arial" w:cs="Arial"/>
                <w:bCs/>
                <w:sz w:val="22"/>
                <w:szCs w:val="22"/>
              </w:rPr>
            </w:pPr>
          </w:p>
        </w:tc>
        <w:tc>
          <w:tcPr>
            <w:tcW w:w="4717" w:type="pct"/>
            <w:tcBorders>
              <w:top w:val="single" w:sz="4" w:space="0" w:color="auto"/>
              <w:bottom w:val="single" w:sz="4" w:space="0" w:color="auto"/>
            </w:tcBorders>
          </w:tcPr>
          <w:p w14:paraId="078DED15" w14:textId="77777777" w:rsidR="00D81C20" w:rsidRDefault="00D81C20" w:rsidP="00A91894">
            <w:pPr>
              <w:rPr>
                <w:rFonts w:ascii="Arial" w:hAnsi="Arial" w:cs="Arial"/>
                <w:sz w:val="22"/>
                <w:szCs w:val="22"/>
              </w:rPr>
            </w:pPr>
          </w:p>
          <w:p w14:paraId="6ACCE690" w14:textId="77777777" w:rsidR="00D81C20" w:rsidRDefault="00D81C20" w:rsidP="00A91894">
            <w:pPr>
              <w:rPr>
                <w:rFonts w:ascii="Arial" w:hAnsi="Arial" w:cs="Arial"/>
                <w:sz w:val="22"/>
                <w:szCs w:val="22"/>
              </w:rPr>
            </w:pPr>
            <w:r>
              <w:rPr>
                <w:rFonts w:ascii="Arial" w:hAnsi="Arial" w:cs="Arial"/>
                <w:sz w:val="22"/>
                <w:szCs w:val="22"/>
              </w:rPr>
              <w:t>N/A</w:t>
            </w:r>
          </w:p>
          <w:p w14:paraId="51B61B65" w14:textId="77777777" w:rsidR="00D81C20" w:rsidRPr="004C3A0B" w:rsidRDefault="00D81C20" w:rsidP="00A91894">
            <w:pPr>
              <w:rPr>
                <w:rFonts w:ascii="Arial" w:hAnsi="Arial" w:cs="Arial"/>
                <w:sz w:val="22"/>
                <w:szCs w:val="22"/>
              </w:rPr>
            </w:pPr>
          </w:p>
          <w:p w14:paraId="5245DFE9" w14:textId="77777777" w:rsidR="00D81C20" w:rsidRPr="004C3A0B" w:rsidRDefault="00D81C20"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r w:rsidR="00D81C20" w:rsidRPr="004C3A0B" w14:paraId="14885877" w14:textId="77777777" w:rsidTr="00D81C20">
        <w:tc>
          <w:tcPr>
            <w:tcW w:w="283" w:type="pct"/>
            <w:tcBorders>
              <w:top w:val="single" w:sz="4" w:space="0" w:color="auto"/>
              <w:bottom w:val="single" w:sz="4" w:space="0" w:color="auto"/>
            </w:tcBorders>
            <w:shd w:val="clear" w:color="auto" w:fill="F2F2F2"/>
          </w:tcPr>
          <w:p w14:paraId="232D44EB" w14:textId="77777777" w:rsidR="00D81C20" w:rsidRPr="002132F9" w:rsidRDefault="00D81C20" w:rsidP="00A91894">
            <w:pPr>
              <w:rPr>
                <w:rFonts w:ascii="Arial" w:hAnsi="Arial" w:cs="Arial"/>
                <w:bCs/>
                <w:sz w:val="22"/>
                <w:szCs w:val="22"/>
              </w:rPr>
            </w:pPr>
            <w:r>
              <w:rPr>
                <w:rFonts w:ascii="Arial" w:hAnsi="Arial" w:cs="Arial"/>
                <w:bCs/>
                <w:sz w:val="22"/>
                <w:szCs w:val="22"/>
              </w:rPr>
              <w:t>3</w:t>
            </w:r>
          </w:p>
        </w:tc>
        <w:tc>
          <w:tcPr>
            <w:tcW w:w="4717" w:type="pct"/>
            <w:tcBorders>
              <w:top w:val="single" w:sz="4" w:space="0" w:color="auto"/>
              <w:bottom w:val="single" w:sz="4" w:space="0" w:color="auto"/>
            </w:tcBorders>
            <w:shd w:val="clear" w:color="auto" w:fill="F2F2F2"/>
          </w:tcPr>
          <w:p w14:paraId="1AB9AC69" w14:textId="77777777" w:rsidR="00D81C20" w:rsidRPr="004C3A0B" w:rsidRDefault="00D81C20" w:rsidP="00A91894">
            <w:pPr>
              <w:rPr>
                <w:rFonts w:ascii="Arial" w:hAnsi="Arial" w:cs="Arial"/>
                <w:b/>
                <w:sz w:val="22"/>
                <w:szCs w:val="22"/>
              </w:rPr>
            </w:pPr>
            <w:r w:rsidRPr="004C3A0B">
              <w:rPr>
                <w:rFonts w:ascii="Arial" w:hAnsi="Arial" w:cs="Arial"/>
                <w:b/>
                <w:sz w:val="22"/>
                <w:szCs w:val="22"/>
              </w:rPr>
              <w:t>Confidentiality / Anonymity</w:t>
            </w:r>
          </w:p>
          <w:p w14:paraId="60180518" w14:textId="77777777" w:rsidR="00D81C20" w:rsidRPr="004C3A0B" w:rsidRDefault="00D81C20" w:rsidP="00A91894">
            <w:pPr>
              <w:rPr>
                <w:rFonts w:ascii="Arial" w:hAnsi="Arial" w:cs="Arial"/>
                <w:sz w:val="22"/>
                <w:szCs w:val="22"/>
              </w:rPr>
            </w:pPr>
            <w:r w:rsidRPr="004C3A0B">
              <w:rPr>
                <w:rFonts w:ascii="Arial" w:hAnsi="Arial" w:cs="Arial"/>
                <w:sz w:val="22"/>
                <w:szCs w:val="22"/>
              </w:rPr>
              <w:t xml:space="preserve">Set out how anonymity of participants and confidentiality will be ensured in any outputs. If anonymity is not being offered, explain why this is the case. </w:t>
            </w:r>
          </w:p>
        </w:tc>
      </w:tr>
      <w:tr w:rsidR="00D81C20" w:rsidRPr="004C3A0B" w14:paraId="0334A633" w14:textId="77777777" w:rsidTr="00D81C20">
        <w:tc>
          <w:tcPr>
            <w:tcW w:w="283" w:type="pct"/>
            <w:tcBorders>
              <w:top w:val="single" w:sz="4" w:space="0" w:color="auto"/>
              <w:bottom w:val="single" w:sz="4" w:space="0" w:color="auto"/>
            </w:tcBorders>
          </w:tcPr>
          <w:p w14:paraId="4DB6928A" w14:textId="77777777" w:rsidR="00D81C20" w:rsidRPr="00E32138" w:rsidRDefault="00D81C20" w:rsidP="00A91894">
            <w:pPr>
              <w:rPr>
                <w:rFonts w:ascii="Arial" w:hAnsi="Arial" w:cs="Arial"/>
                <w:bCs/>
                <w:sz w:val="22"/>
                <w:szCs w:val="22"/>
              </w:rPr>
            </w:pPr>
          </w:p>
        </w:tc>
        <w:tc>
          <w:tcPr>
            <w:tcW w:w="4717" w:type="pct"/>
            <w:tcBorders>
              <w:top w:val="single" w:sz="4" w:space="0" w:color="auto"/>
              <w:bottom w:val="single" w:sz="4" w:space="0" w:color="auto"/>
            </w:tcBorders>
          </w:tcPr>
          <w:p w14:paraId="702092A5" w14:textId="77777777" w:rsidR="00D81C20" w:rsidRDefault="00D81C20" w:rsidP="00A91894">
            <w:pPr>
              <w:rPr>
                <w:rFonts w:ascii="Arial" w:hAnsi="Arial" w:cs="Arial"/>
                <w:sz w:val="22"/>
                <w:szCs w:val="22"/>
              </w:rPr>
            </w:pPr>
          </w:p>
          <w:p w14:paraId="2CA6ADF7" w14:textId="77777777" w:rsidR="00D81C20" w:rsidRDefault="00D81C20" w:rsidP="00A91894">
            <w:pPr>
              <w:rPr>
                <w:rFonts w:ascii="Arial" w:hAnsi="Arial" w:cs="Arial"/>
                <w:sz w:val="22"/>
                <w:szCs w:val="22"/>
              </w:rPr>
            </w:pPr>
            <w:r>
              <w:rPr>
                <w:rFonts w:ascii="Arial" w:hAnsi="Arial" w:cs="Arial"/>
                <w:sz w:val="22"/>
                <w:szCs w:val="22"/>
              </w:rPr>
              <w:t>N/S</w:t>
            </w:r>
          </w:p>
          <w:p w14:paraId="116CB779" w14:textId="77777777" w:rsidR="00D81C20" w:rsidRPr="004C3A0B" w:rsidRDefault="00D81C20" w:rsidP="00A91894">
            <w:pPr>
              <w:rPr>
                <w:rFonts w:ascii="Arial" w:hAnsi="Arial" w:cs="Arial"/>
                <w:sz w:val="22"/>
                <w:szCs w:val="22"/>
              </w:rPr>
            </w:pPr>
          </w:p>
          <w:p w14:paraId="12C74F29" w14:textId="77777777" w:rsidR="00D81C20" w:rsidRPr="004C3A0B" w:rsidRDefault="00D81C20"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15D89EE3" w14:textId="77777777" w:rsidR="00D81C20" w:rsidRPr="004C3A0B" w:rsidRDefault="00D81C20" w:rsidP="00A91894">
      <w:pPr>
        <w:rPr>
          <w:rFonts w:ascii="Arial" w:hAnsi="Arial" w:cs="Arial"/>
          <w:sz w:val="22"/>
          <w:szCs w:val="22"/>
        </w:rPr>
      </w:pPr>
    </w:p>
    <w:p w14:paraId="32543253" w14:textId="77777777" w:rsidR="00D81C20" w:rsidRDefault="00D81C20" w:rsidP="00A91894">
      <w:pPr>
        <w:rPr>
          <w:rFonts w:ascii="Arial" w:hAnsi="Arial" w:cs="Arial"/>
          <w:b/>
          <w:sz w:val="22"/>
          <w:szCs w:val="22"/>
        </w:rPr>
      </w:pPr>
      <w:r w:rsidRPr="00354F34">
        <w:rPr>
          <w:rFonts w:ascii="Arial" w:hAnsi="Arial" w:cs="Arial"/>
          <w:b/>
          <w:sz w:val="22"/>
          <w:szCs w:val="22"/>
        </w:rPr>
        <w:t>SECTION J: Data Protection and Storage</w:t>
      </w:r>
    </w:p>
    <w:p w14:paraId="631B6C0C" w14:textId="77777777" w:rsidR="00D81C20" w:rsidRPr="00354F34" w:rsidRDefault="00D81C20" w:rsidP="00A91894">
      <w:pPr>
        <w:rPr>
          <w:rFonts w:ascii="Arial" w:hAnsi="Arial" w:cs="Arial"/>
          <w:b/>
          <w:sz w:val="22"/>
          <w:szCs w:val="22"/>
        </w:rPr>
      </w:pPr>
    </w:p>
    <w:tbl>
      <w:tblPr>
        <w:tblW w:w="5000" w:type="pct"/>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448"/>
        <w:gridCol w:w="6252"/>
        <w:gridCol w:w="785"/>
        <w:gridCol w:w="811"/>
      </w:tblGrid>
      <w:tr w:rsidR="00D81C20" w14:paraId="21412B13" w14:textId="77777777" w:rsidTr="00D81C20">
        <w:trPr>
          <w:trHeight w:val="403"/>
        </w:trPr>
        <w:tc>
          <w:tcPr>
            <w:tcW w:w="270" w:type="pct"/>
            <w:tcBorders>
              <w:left w:val="single" w:sz="4" w:space="0" w:color="auto"/>
              <w:bottom w:val="single" w:sz="4" w:space="0" w:color="auto"/>
              <w:right w:val="single" w:sz="4" w:space="0" w:color="auto"/>
            </w:tcBorders>
            <w:shd w:val="clear" w:color="auto" w:fill="F2F2F2"/>
            <w:vAlign w:val="center"/>
          </w:tcPr>
          <w:p w14:paraId="2E0CF6A8" w14:textId="77777777" w:rsidR="00D81C20" w:rsidRDefault="00D81C20" w:rsidP="00A91894">
            <w:pPr>
              <w:pStyle w:val="NormalWeb"/>
              <w:autoSpaceDE w:val="0"/>
              <w:autoSpaceDN w:val="0"/>
              <w:adjustRightInd w:val="0"/>
              <w:jc w:val="center"/>
              <w:rPr>
                <w:rFonts w:ascii="Arial" w:hAnsi="Arial" w:cs="Arial"/>
                <w:sz w:val="22"/>
                <w:szCs w:val="22"/>
              </w:rPr>
            </w:pPr>
          </w:p>
        </w:tc>
        <w:tc>
          <w:tcPr>
            <w:tcW w:w="3768" w:type="pct"/>
            <w:tcBorders>
              <w:left w:val="single" w:sz="4" w:space="0" w:color="auto"/>
              <w:bottom w:val="single" w:sz="4" w:space="0" w:color="auto"/>
              <w:right w:val="single" w:sz="4" w:space="0" w:color="auto"/>
            </w:tcBorders>
            <w:shd w:val="clear" w:color="auto" w:fill="F2F2F2"/>
            <w:vAlign w:val="center"/>
          </w:tcPr>
          <w:p w14:paraId="425F4CE5" w14:textId="77777777" w:rsidR="00D81C20" w:rsidRDefault="00D81C20" w:rsidP="00A9189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sidRPr="00D81C20">
              <w:rPr>
                <w:rFonts w:ascii="Arial" w:hAnsi="Arial" w:cs="Arial"/>
                <w:sz w:val="22"/>
                <w:szCs w:val="22"/>
                <w:shd w:val="clear" w:color="auto" w:fill="F2F2F2"/>
              </w:rPr>
              <w:t>t</w:t>
            </w:r>
            <w:r>
              <w:rPr>
                <w:rFonts w:ascii="Arial" w:hAnsi="Arial" w:cs="Arial"/>
                <w:sz w:val="22"/>
                <w:szCs w:val="22"/>
              </w:rPr>
              <w:t>a (as defined by the General Data Protection Regulation 2016 “GDPR” and the Data Protection Act 2018 “DPA”)?</w:t>
            </w:r>
          </w:p>
        </w:tc>
        <w:tc>
          <w:tcPr>
            <w:tcW w:w="473" w:type="pct"/>
            <w:tcBorders>
              <w:top w:val="single" w:sz="4" w:space="0" w:color="auto"/>
              <w:left w:val="single" w:sz="4" w:space="0" w:color="auto"/>
              <w:bottom w:val="single" w:sz="4" w:space="0" w:color="auto"/>
              <w:right w:val="single" w:sz="4" w:space="0" w:color="auto"/>
            </w:tcBorders>
            <w:shd w:val="clear" w:color="auto" w:fill="F2F2F2"/>
            <w:vAlign w:val="center"/>
          </w:tcPr>
          <w:p w14:paraId="5D15BA11" w14:textId="77777777" w:rsidR="00D81C20" w:rsidRDefault="00D81C20" w:rsidP="00A9189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489" w:type="pct"/>
            <w:tcBorders>
              <w:top w:val="single" w:sz="4" w:space="0" w:color="auto"/>
              <w:left w:val="single" w:sz="4" w:space="0" w:color="auto"/>
              <w:bottom w:val="single" w:sz="4" w:space="0" w:color="auto"/>
              <w:right w:val="single" w:sz="4" w:space="0" w:color="auto"/>
            </w:tcBorders>
            <w:shd w:val="clear" w:color="auto" w:fill="F2F2F2"/>
            <w:vAlign w:val="center"/>
          </w:tcPr>
          <w:p w14:paraId="259005F4" w14:textId="77777777" w:rsidR="00D81C20" w:rsidRDefault="00D81C20" w:rsidP="00A9189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D81C20" w14:paraId="478D1D5D" w14:textId="77777777" w:rsidTr="00D81C20">
        <w:trPr>
          <w:trHeight w:val="403"/>
        </w:trPr>
        <w:tc>
          <w:tcPr>
            <w:tcW w:w="270" w:type="pct"/>
            <w:tcBorders>
              <w:left w:val="single" w:sz="4" w:space="0" w:color="auto"/>
              <w:bottom w:val="single" w:sz="4" w:space="0" w:color="auto"/>
              <w:right w:val="single" w:sz="4" w:space="0" w:color="auto"/>
            </w:tcBorders>
            <w:shd w:val="clear" w:color="auto" w:fill="F2F2F2"/>
            <w:vAlign w:val="center"/>
          </w:tcPr>
          <w:p w14:paraId="5C1E2BAD" w14:textId="77777777" w:rsidR="00D81C20" w:rsidRPr="00CF6CA5" w:rsidRDefault="00D81C20" w:rsidP="00A91894">
            <w:pPr>
              <w:pStyle w:val="NormalWeb"/>
              <w:autoSpaceDE w:val="0"/>
              <w:autoSpaceDN w:val="0"/>
              <w:adjustRightInd w:val="0"/>
              <w:spacing w:before="0" w:beforeAutospacing="0" w:after="0" w:afterAutospacing="0"/>
              <w:jc w:val="center"/>
              <w:rPr>
                <w:rFonts w:ascii="Arial" w:hAnsi="Arial" w:cs="Arial"/>
                <w:bCs/>
                <w:iCs/>
                <w:sz w:val="22"/>
                <w:szCs w:val="22"/>
              </w:rPr>
            </w:pPr>
            <w:r w:rsidRPr="00CF6CA5">
              <w:rPr>
                <w:rFonts w:ascii="Arial" w:hAnsi="Arial" w:cs="Arial"/>
                <w:bCs/>
                <w:iCs/>
                <w:sz w:val="22"/>
                <w:szCs w:val="22"/>
              </w:rPr>
              <w:t>1</w:t>
            </w:r>
          </w:p>
        </w:tc>
        <w:tc>
          <w:tcPr>
            <w:tcW w:w="3768" w:type="pct"/>
            <w:tcBorders>
              <w:left w:val="single" w:sz="4" w:space="0" w:color="auto"/>
              <w:bottom w:val="single" w:sz="4" w:space="0" w:color="auto"/>
              <w:right w:val="single" w:sz="4" w:space="0" w:color="auto"/>
            </w:tcBorders>
            <w:shd w:val="clear" w:color="auto" w:fill="F2F2F2"/>
            <w:vAlign w:val="center"/>
          </w:tcPr>
          <w:p w14:paraId="0C7E7965" w14:textId="77777777" w:rsidR="00D81C20" w:rsidRDefault="00D81C20" w:rsidP="00A91894">
            <w:pPr>
              <w:pStyle w:val="NormalWeb"/>
              <w:autoSpaceDE w:val="0"/>
              <w:autoSpaceDN w:val="0"/>
              <w:adjustRightInd w:val="0"/>
              <w:spacing w:before="0" w:beforeAutospacing="0" w:after="0" w:afterAutospacing="0"/>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D81C20">
              <w:rPr>
                <w:rFonts w:ascii="Arial" w:hAnsi="Arial" w:cs="Arial"/>
                <w:i/>
                <w:iCs/>
                <w:color w:val="333333"/>
                <w:sz w:val="22"/>
                <w:shd w:val="clear" w:color="auto" w:fill="F2F2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is considered to be personal data.</w:t>
            </w:r>
          </w:p>
        </w:tc>
        <w:tc>
          <w:tcPr>
            <w:tcW w:w="473" w:type="pct"/>
            <w:tcBorders>
              <w:top w:val="single" w:sz="4" w:space="0" w:color="auto"/>
              <w:left w:val="single" w:sz="4" w:space="0" w:color="auto"/>
              <w:bottom w:val="single" w:sz="4" w:space="0" w:color="auto"/>
              <w:right w:val="single" w:sz="4" w:space="0" w:color="auto"/>
            </w:tcBorders>
            <w:shd w:val="clear" w:color="auto" w:fill="BFBFBF"/>
            <w:vAlign w:val="center"/>
          </w:tcPr>
          <w:p w14:paraId="6B03E098" w14:textId="77777777" w:rsidR="00D81C20" w:rsidRPr="000B38C3" w:rsidRDefault="00D81C20" w:rsidP="00A91894">
            <w:pPr>
              <w:pStyle w:val="NormalWeb"/>
              <w:autoSpaceDE w:val="0"/>
              <w:autoSpaceDN w:val="0"/>
              <w:adjustRightInd w:val="0"/>
              <w:jc w:val="center"/>
              <w:rPr>
                <w:rFonts w:ascii="MS Gothic" w:eastAsia="MS Gothic" w:hAnsi="MS Gothic" w:cs="Arial"/>
                <w:sz w:val="22"/>
                <w:szCs w:val="22"/>
                <w:lang w:val="en-US"/>
              </w:rPr>
            </w:pPr>
            <w:r w:rsidRPr="000B38C3">
              <w:rPr>
                <w:rFonts w:ascii="MS Gothic" w:eastAsia="MS Gothic" w:hAnsi="MS Gothic" w:cs="Arial" w:hint="eastAsia"/>
                <w:sz w:val="22"/>
                <w:szCs w:val="22"/>
                <w:lang w:val="en-US"/>
              </w:rPr>
              <w:t>☐</w:t>
            </w:r>
          </w:p>
        </w:tc>
        <w:tc>
          <w:tcPr>
            <w:tcW w:w="489" w:type="pct"/>
            <w:tcBorders>
              <w:top w:val="single" w:sz="4" w:space="0" w:color="auto"/>
              <w:left w:val="single" w:sz="4" w:space="0" w:color="auto"/>
              <w:bottom w:val="single" w:sz="4" w:space="0" w:color="auto"/>
              <w:right w:val="single" w:sz="4" w:space="0" w:color="auto"/>
            </w:tcBorders>
            <w:shd w:val="clear" w:color="auto" w:fill="BFBFBF"/>
            <w:vAlign w:val="center"/>
          </w:tcPr>
          <w:p w14:paraId="0ECC1D4F" w14:textId="2DA34246" w:rsidR="00D81C20" w:rsidRPr="000B38C3" w:rsidRDefault="00D81C20" w:rsidP="00A91894">
            <w:pPr>
              <w:pStyle w:val="NormalWeb"/>
              <w:autoSpaceDE w:val="0"/>
              <w:autoSpaceDN w:val="0"/>
              <w:adjustRightInd w:val="0"/>
              <w:jc w:val="center"/>
              <w:rPr>
                <w:rFonts w:ascii="MS Gothic" w:eastAsia="MS Gothic" w:hAnsi="MS Gothic" w:cs="Arial"/>
                <w:sz w:val="22"/>
                <w:szCs w:val="22"/>
                <w:lang w:val="en-US"/>
              </w:rPr>
            </w:pPr>
            <w:r>
              <w:rPr>
                <w:rFonts w:ascii="MS Gothic" w:eastAsia="MS Gothic" w:hAnsi="MS Gothic" w:cs="Arial" w:hint="eastAsia"/>
                <w:sz w:val="22"/>
                <w:szCs w:val="22"/>
              </w:rPr>
              <w:t>☒</w:t>
            </w:r>
          </w:p>
        </w:tc>
      </w:tr>
      <w:tr w:rsidR="00D81C20" w14:paraId="1D8B5F0F" w14:textId="77777777" w:rsidTr="00D81C20">
        <w:trPr>
          <w:trHeight w:val="403"/>
        </w:trPr>
        <w:tc>
          <w:tcPr>
            <w:tcW w:w="270" w:type="pct"/>
            <w:tcBorders>
              <w:top w:val="single" w:sz="4" w:space="0" w:color="auto"/>
              <w:left w:val="single" w:sz="4" w:space="0" w:color="auto"/>
              <w:bottom w:val="single" w:sz="4" w:space="0" w:color="auto"/>
              <w:right w:val="single" w:sz="4" w:space="0" w:color="auto"/>
            </w:tcBorders>
            <w:shd w:val="clear" w:color="auto" w:fill="F2F2F2"/>
            <w:vAlign w:val="center"/>
          </w:tcPr>
          <w:p w14:paraId="0BAC656F" w14:textId="77777777" w:rsidR="00D81C20" w:rsidRDefault="00D81C20" w:rsidP="00A91894">
            <w:pPr>
              <w:pStyle w:val="NormalWeb"/>
              <w:autoSpaceDE w:val="0"/>
              <w:autoSpaceDN w:val="0"/>
              <w:adjustRightInd w:val="0"/>
              <w:jc w:val="center"/>
              <w:rPr>
                <w:rFonts w:ascii="Arial" w:hAnsi="Arial" w:cs="Arial"/>
                <w:sz w:val="22"/>
                <w:szCs w:val="22"/>
              </w:rPr>
            </w:pPr>
          </w:p>
        </w:tc>
        <w:tc>
          <w:tcPr>
            <w:tcW w:w="4730" w:type="pct"/>
            <w:gridSpan w:val="3"/>
            <w:tcBorders>
              <w:top w:val="single" w:sz="4" w:space="0" w:color="auto"/>
              <w:left w:val="single" w:sz="4" w:space="0" w:color="auto"/>
              <w:bottom w:val="single" w:sz="4" w:space="0" w:color="auto"/>
              <w:right w:val="single" w:sz="4" w:space="0" w:color="auto"/>
            </w:tcBorders>
            <w:shd w:val="clear" w:color="auto" w:fill="F2F2F2"/>
            <w:vAlign w:val="center"/>
            <w:hideMark/>
          </w:tcPr>
          <w:p w14:paraId="6FBC1555" w14:textId="77777777" w:rsidR="00D81C20" w:rsidRDefault="00D81C20" w:rsidP="00A9189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D81C20" w14:paraId="27D70A62" w14:textId="77777777" w:rsidTr="00D81C20">
        <w:trPr>
          <w:trHeight w:val="403"/>
        </w:trPr>
        <w:tc>
          <w:tcPr>
            <w:tcW w:w="270" w:type="pct"/>
            <w:tcBorders>
              <w:top w:val="single" w:sz="4" w:space="0" w:color="auto"/>
              <w:left w:val="single" w:sz="4" w:space="0" w:color="auto"/>
              <w:bottom w:val="single" w:sz="4" w:space="0" w:color="auto"/>
              <w:right w:val="single" w:sz="4" w:space="0" w:color="auto"/>
            </w:tcBorders>
            <w:vAlign w:val="center"/>
          </w:tcPr>
          <w:p w14:paraId="06CA7BA0" w14:textId="77777777" w:rsidR="00D81C20" w:rsidRDefault="00D81C20" w:rsidP="00A91894">
            <w:pPr>
              <w:jc w:val="center"/>
              <w:rPr>
                <w:rFonts w:ascii="Arial" w:hAnsi="Arial" w:cs="Arial"/>
                <w:sz w:val="22"/>
                <w:szCs w:val="22"/>
              </w:rPr>
            </w:pPr>
            <w:r>
              <w:rPr>
                <w:rFonts w:ascii="Arial" w:hAnsi="Arial" w:cs="Arial"/>
                <w:sz w:val="22"/>
                <w:szCs w:val="22"/>
              </w:rPr>
              <w:t>2</w:t>
            </w:r>
          </w:p>
        </w:tc>
        <w:tc>
          <w:tcPr>
            <w:tcW w:w="4730" w:type="pct"/>
            <w:gridSpan w:val="3"/>
            <w:tcBorders>
              <w:top w:val="single" w:sz="4" w:space="0" w:color="auto"/>
              <w:left w:val="single" w:sz="4" w:space="0" w:color="auto"/>
              <w:bottom w:val="single" w:sz="4" w:space="0" w:color="auto"/>
              <w:right w:val="single" w:sz="4" w:space="0" w:color="auto"/>
            </w:tcBorders>
            <w:vAlign w:val="center"/>
            <w:hideMark/>
          </w:tcPr>
          <w:p w14:paraId="20F54CF1" w14:textId="77777777" w:rsidR="00D81C20" w:rsidRDefault="00D81C20" w:rsidP="00A91894">
            <w:pPr>
              <w:rPr>
                <w:rFonts w:ascii="Arial" w:hAnsi="Arial" w:cs="Arial"/>
                <w:sz w:val="22"/>
                <w:szCs w:val="22"/>
              </w:rPr>
            </w:pPr>
          </w:p>
          <w:p w14:paraId="7D958CA5" w14:textId="77777777" w:rsidR="00D81C20" w:rsidRDefault="00D81C20" w:rsidP="00A91894">
            <w:pPr>
              <w:rPr>
                <w:rFonts w:ascii="Arial" w:hAnsi="Arial" w:cs="Arial"/>
                <w:sz w:val="22"/>
                <w:szCs w:val="22"/>
              </w:rPr>
            </w:pPr>
          </w:p>
          <w:p w14:paraId="6D4180A3" w14:textId="77777777" w:rsidR="00D81C20" w:rsidRPr="004C3A0B" w:rsidRDefault="00D81C20" w:rsidP="00A91894">
            <w:pPr>
              <w:rPr>
                <w:rFonts w:ascii="Arial" w:hAnsi="Arial" w:cs="Arial"/>
                <w:sz w:val="22"/>
                <w:szCs w:val="22"/>
              </w:rPr>
            </w:pPr>
          </w:p>
          <w:p w14:paraId="04F0E03C" w14:textId="77777777" w:rsidR="00D81C20" w:rsidRPr="00354F34" w:rsidRDefault="00D81C20" w:rsidP="00A91894">
            <w:pPr>
              <w:autoSpaceDE w:val="0"/>
              <w:autoSpaceDN w:val="0"/>
              <w:adjustRightInd w:val="0"/>
              <w:rPr>
                <w:i/>
              </w:rPr>
            </w:pPr>
            <w:r w:rsidRPr="003257BD">
              <w:rPr>
                <w:rFonts w:ascii="Arial" w:hAnsi="Arial" w:cs="Arial"/>
                <w:i/>
                <w:color w:val="808080"/>
                <w:sz w:val="18"/>
                <w:szCs w:val="18"/>
              </w:rPr>
              <w:t>(this box should expand as you type)</w:t>
            </w:r>
          </w:p>
        </w:tc>
      </w:tr>
      <w:tr w:rsidR="00D81C20" w14:paraId="1D40B94F" w14:textId="77777777" w:rsidTr="00D81C20">
        <w:trPr>
          <w:trHeight w:val="403"/>
        </w:trPr>
        <w:tc>
          <w:tcPr>
            <w:tcW w:w="270" w:type="pct"/>
            <w:tcBorders>
              <w:left w:val="single" w:sz="4" w:space="0" w:color="auto"/>
              <w:bottom w:val="single" w:sz="4" w:space="0" w:color="auto"/>
              <w:right w:val="single" w:sz="4" w:space="0" w:color="auto"/>
            </w:tcBorders>
            <w:shd w:val="clear" w:color="auto" w:fill="F2F2F2"/>
            <w:vAlign w:val="center"/>
          </w:tcPr>
          <w:p w14:paraId="7FB607FF" w14:textId="77777777" w:rsidR="00D81C20" w:rsidRDefault="00D81C20" w:rsidP="00A91894">
            <w:pPr>
              <w:pStyle w:val="NormalWeb"/>
              <w:autoSpaceDE w:val="0"/>
              <w:autoSpaceDN w:val="0"/>
              <w:adjustRightInd w:val="0"/>
              <w:spacing w:before="0" w:beforeAutospacing="0" w:after="0" w:afterAutospacing="0"/>
              <w:jc w:val="center"/>
              <w:rPr>
                <w:rFonts w:ascii="Arial" w:hAnsi="Arial" w:cs="Arial"/>
                <w:sz w:val="22"/>
                <w:szCs w:val="22"/>
              </w:rPr>
            </w:pPr>
          </w:p>
        </w:tc>
        <w:tc>
          <w:tcPr>
            <w:tcW w:w="3768" w:type="pct"/>
            <w:tcBorders>
              <w:left w:val="single" w:sz="4" w:space="0" w:color="auto"/>
              <w:bottom w:val="single" w:sz="4" w:space="0" w:color="auto"/>
              <w:right w:val="single" w:sz="4" w:space="0" w:color="auto"/>
            </w:tcBorders>
            <w:shd w:val="clear" w:color="auto" w:fill="F2F2F2"/>
            <w:vAlign w:val="center"/>
          </w:tcPr>
          <w:p w14:paraId="055DBCE6" w14:textId="77777777" w:rsidR="00D81C20" w:rsidRPr="00D81C20" w:rsidRDefault="00D81C20" w:rsidP="00A91894">
            <w:pPr>
              <w:pStyle w:val="NormalWeb"/>
              <w:autoSpaceDE w:val="0"/>
              <w:autoSpaceDN w:val="0"/>
              <w:adjustRightInd w:val="0"/>
              <w:spacing w:before="0" w:beforeAutospacing="0" w:after="0" w:afterAutospacing="0"/>
              <w:rPr>
                <w:rFonts w:eastAsia="Calibri"/>
              </w:rPr>
            </w:pPr>
            <w:r>
              <w:rPr>
                <w:rFonts w:ascii="Arial" w:hAnsi="Arial" w:cs="Arial"/>
                <w:sz w:val="22"/>
                <w:szCs w:val="22"/>
              </w:rPr>
              <w:t>Does it involve special category data (as defined by the GDPR)?</w:t>
            </w:r>
          </w:p>
        </w:tc>
        <w:tc>
          <w:tcPr>
            <w:tcW w:w="473" w:type="pct"/>
            <w:tcBorders>
              <w:top w:val="single" w:sz="4" w:space="0" w:color="auto"/>
              <w:left w:val="single" w:sz="4" w:space="0" w:color="auto"/>
              <w:bottom w:val="single" w:sz="4" w:space="0" w:color="auto"/>
              <w:right w:val="single" w:sz="4" w:space="0" w:color="auto"/>
            </w:tcBorders>
            <w:shd w:val="clear" w:color="auto" w:fill="F2F2F2"/>
            <w:vAlign w:val="center"/>
          </w:tcPr>
          <w:p w14:paraId="78246F62" w14:textId="77777777" w:rsidR="00D81C20" w:rsidRDefault="00D81C20" w:rsidP="00A9189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489" w:type="pct"/>
            <w:tcBorders>
              <w:top w:val="single" w:sz="4" w:space="0" w:color="auto"/>
              <w:left w:val="single" w:sz="4" w:space="0" w:color="auto"/>
              <w:bottom w:val="single" w:sz="4" w:space="0" w:color="auto"/>
              <w:right w:val="single" w:sz="4" w:space="0" w:color="auto"/>
            </w:tcBorders>
            <w:shd w:val="clear" w:color="auto" w:fill="F2F2F2"/>
            <w:vAlign w:val="center"/>
          </w:tcPr>
          <w:p w14:paraId="28D20CC5" w14:textId="77777777" w:rsidR="00D81C20" w:rsidRDefault="00D81C20" w:rsidP="00A9189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D81C20" w14:paraId="216ADFFA" w14:textId="77777777" w:rsidTr="00D81C20">
        <w:trPr>
          <w:trHeight w:val="403"/>
        </w:trPr>
        <w:tc>
          <w:tcPr>
            <w:tcW w:w="270" w:type="pct"/>
            <w:tcBorders>
              <w:top w:val="single" w:sz="4" w:space="0" w:color="auto"/>
              <w:left w:val="single" w:sz="4" w:space="0" w:color="auto"/>
              <w:bottom w:val="single" w:sz="4" w:space="0" w:color="auto"/>
              <w:right w:val="single" w:sz="4" w:space="0" w:color="auto"/>
            </w:tcBorders>
            <w:shd w:val="clear" w:color="auto" w:fill="F2F2F2"/>
            <w:vAlign w:val="center"/>
          </w:tcPr>
          <w:p w14:paraId="5711DA13" w14:textId="77777777" w:rsidR="00D81C20" w:rsidRPr="00CF6CA5" w:rsidRDefault="00D81C20" w:rsidP="00A91894">
            <w:pPr>
              <w:pStyle w:val="NormalWeb"/>
              <w:spacing w:before="0" w:beforeAutospacing="0" w:after="0" w:afterAutospacing="0"/>
              <w:jc w:val="center"/>
              <w:rPr>
                <w:rStyle w:val="Strong"/>
                <w:rFonts w:ascii="Arial" w:hAnsi="Arial" w:cs="Arial"/>
                <w:b w:val="0"/>
                <w:iCs/>
                <w:color w:val="000000"/>
                <w:sz w:val="20"/>
                <w:szCs w:val="23"/>
              </w:rPr>
            </w:pPr>
            <w:r w:rsidRPr="00CF6CA5">
              <w:rPr>
                <w:rStyle w:val="Strong"/>
                <w:rFonts w:ascii="Arial" w:hAnsi="Arial" w:cs="Arial"/>
                <w:iCs/>
                <w:color w:val="000000"/>
                <w:sz w:val="20"/>
                <w:szCs w:val="23"/>
              </w:rPr>
              <w:t>3</w:t>
            </w:r>
          </w:p>
        </w:tc>
        <w:tc>
          <w:tcPr>
            <w:tcW w:w="3768" w:type="pct"/>
            <w:tcBorders>
              <w:top w:val="single" w:sz="4" w:space="0" w:color="auto"/>
              <w:left w:val="single" w:sz="4" w:space="0" w:color="auto"/>
              <w:bottom w:val="single" w:sz="4" w:space="0" w:color="auto"/>
              <w:right w:val="single" w:sz="4" w:space="0" w:color="auto"/>
            </w:tcBorders>
            <w:shd w:val="clear" w:color="auto" w:fill="F2F2F2"/>
            <w:vAlign w:val="center"/>
            <w:hideMark/>
          </w:tcPr>
          <w:p w14:paraId="62E7E497" w14:textId="77777777" w:rsidR="00D81C20" w:rsidRDefault="00D81C20" w:rsidP="00A91894">
            <w:pPr>
              <w:pStyle w:val="NormalWeb"/>
              <w:spacing w:before="0" w:beforeAutospacing="0" w:after="0" w:afterAutospacing="0"/>
            </w:pPr>
            <w:r>
              <w:rPr>
                <w:rStyle w:val="Strong"/>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14:paraId="75395EF3" w14:textId="77777777" w:rsidR="00D81C20" w:rsidRDefault="00D81C20" w:rsidP="00A91894">
            <w:pPr>
              <w:pStyle w:val="NormalWeb"/>
              <w:spacing w:before="0" w:beforeAutospacing="0" w:after="0" w:afterAutospacing="0"/>
            </w:pPr>
            <w:r>
              <w:rPr>
                <w:rFonts w:ascii="Arial" w:hAnsi="Arial" w:cs="Arial"/>
                <w:i/>
                <w:iCs/>
                <w:color w:val="000000"/>
                <w:sz w:val="20"/>
                <w:szCs w:val="23"/>
              </w:rPr>
              <w:t>(a) racial or ethnic origin,</w:t>
            </w:r>
          </w:p>
          <w:p w14:paraId="34FC9846" w14:textId="77777777" w:rsidR="00D81C20" w:rsidRDefault="00D81C20" w:rsidP="00A91894">
            <w:pPr>
              <w:pStyle w:val="NormalWeb"/>
              <w:spacing w:before="0" w:beforeAutospacing="0" w:after="0" w:afterAutospacing="0"/>
            </w:pPr>
            <w:r>
              <w:rPr>
                <w:rFonts w:ascii="Arial" w:hAnsi="Arial" w:cs="Arial"/>
                <w:i/>
                <w:iCs/>
                <w:color w:val="000000"/>
                <w:sz w:val="20"/>
                <w:szCs w:val="23"/>
              </w:rPr>
              <w:t>(b) political opinions,</w:t>
            </w:r>
          </w:p>
          <w:p w14:paraId="596A82FB" w14:textId="77777777" w:rsidR="00D81C20" w:rsidRDefault="00D81C20" w:rsidP="00A91894">
            <w:pPr>
              <w:pStyle w:val="NormalWeb"/>
              <w:spacing w:before="0" w:beforeAutospacing="0" w:after="0" w:afterAutospacing="0"/>
            </w:pPr>
            <w:r>
              <w:rPr>
                <w:rFonts w:ascii="Arial" w:hAnsi="Arial" w:cs="Arial"/>
                <w:i/>
                <w:iCs/>
                <w:color w:val="000000"/>
                <w:sz w:val="20"/>
                <w:szCs w:val="23"/>
              </w:rPr>
              <w:t>(c ) religious beliefs or other beliefs of a similar nature,</w:t>
            </w:r>
          </w:p>
          <w:p w14:paraId="662FB0F2" w14:textId="77777777" w:rsidR="00D81C20" w:rsidRDefault="00D81C20" w:rsidP="00A91894">
            <w:pPr>
              <w:pStyle w:val="NormalWeb"/>
              <w:spacing w:before="0" w:beforeAutospacing="0" w:after="0" w:afterAutospacing="0"/>
            </w:pPr>
            <w:r>
              <w:rPr>
                <w:rFonts w:ascii="Arial" w:hAnsi="Arial" w:cs="Arial"/>
                <w:i/>
                <w:iCs/>
                <w:color w:val="000000"/>
                <w:sz w:val="20"/>
                <w:szCs w:val="23"/>
              </w:rPr>
              <w:t>(d) membership of a trade union (within the meaning of the Trade Union and Labour Relations (Consolidation) Act 1992),</w:t>
            </w:r>
          </w:p>
          <w:p w14:paraId="4EA424FB" w14:textId="77777777" w:rsidR="00D81C20" w:rsidRDefault="00D81C20" w:rsidP="00A91894">
            <w:pPr>
              <w:pStyle w:val="NormalWeb"/>
              <w:spacing w:before="0" w:beforeAutospacing="0" w:after="0" w:afterAutospacing="0"/>
            </w:pPr>
            <w:r>
              <w:rPr>
                <w:rFonts w:ascii="Arial" w:hAnsi="Arial" w:cs="Arial"/>
                <w:i/>
                <w:iCs/>
                <w:color w:val="000000"/>
                <w:sz w:val="20"/>
                <w:szCs w:val="23"/>
              </w:rPr>
              <w:t>(e) physical or mental health or condition,</w:t>
            </w:r>
          </w:p>
          <w:p w14:paraId="0A2B8EB3" w14:textId="77777777" w:rsidR="00D81C20" w:rsidRDefault="00D81C20" w:rsidP="00A91894">
            <w:pPr>
              <w:pStyle w:val="NormalWeb"/>
              <w:spacing w:before="0" w:beforeAutospacing="0" w:after="0" w:afterAutospacing="0"/>
            </w:pPr>
            <w:r>
              <w:rPr>
                <w:rFonts w:ascii="Arial" w:hAnsi="Arial" w:cs="Arial"/>
                <w:i/>
                <w:iCs/>
                <w:color w:val="000000"/>
                <w:sz w:val="20"/>
                <w:szCs w:val="23"/>
              </w:rPr>
              <w:t>(f) sexual life,</w:t>
            </w:r>
          </w:p>
          <w:p w14:paraId="440E1084" w14:textId="77777777" w:rsidR="00D81C20" w:rsidRDefault="00D81C20" w:rsidP="00A91894">
            <w:pPr>
              <w:pStyle w:val="NormalWeb"/>
              <w:spacing w:before="0" w:beforeAutospacing="0" w:after="0" w:afterAutospacing="0"/>
            </w:pPr>
            <w:r>
              <w:rPr>
                <w:rFonts w:ascii="Arial" w:hAnsi="Arial" w:cs="Arial"/>
                <w:i/>
                <w:iCs/>
                <w:color w:val="000000"/>
                <w:sz w:val="20"/>
                <w:szCs w:val="23"/>
              </w:rPr>
              <w:lastRenderedPageBreak/>
              <w:t>(g) genetics,</w:t>
            </w:r>
          </w:p>
          <w:p w14:paraId="6A9C673A" w14:textId="77777777" w:rsidR="00D81C20" w:rsidRPr="00354F34" w:rsidRDefault="00D81C20" w:rsidP="00A91894">
            <w:pPr>
              <w:pStyle w:val="NormalWeb"/>
              <w:spacing w:before="0" w:beforeAutospacing="0" w:after="0" w:afterAutospacing="0"/>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473" w:type="pct"/>
            <w:tcBorders>
              <w:top w:val="single" w:sz="4" w:space="0" w:color="auto"/>
              <w:left w:val="single" w:sz="4" w:space="0" w:color="auto"/>
              <w:bottom w:val="single" w:sz="4" w:space="0" w:color="auto"/>
              <w:right w:val="single" w:sz="4" w:space="0" w:color="auto"/>
            </w:tcBorders>
            <w:shd w:val="clear" w:color="auto" w:fill="BFBFBF"/>
            <w:vAlign w:val="center"/>
            <w:hideMark/>
          </w:tcPr>
          <w:p w14:paraId="0D30FCA8" w14:textId="77777777" w:rsidR="00D81C20" w:rsidRPr="000B38C3" w:rsidRDefault="00D81C20" w:rsidP="00A91894">
            <w:pPr>
              <w:pStyle w:val="NormalWeb"/>
              <w:autoSpaceDE w:val="0"/>
              <w:autoSpaceDN w:val="0"/>
              <w:adjustRightInd w:val="0"/>
              <w:jc w:val="center"/>
            </w:pPr>
            <w:r w:rsidRPr="000B38C3">
              <w:rPr>
                <w:rFonts w:ascii="MS Gothic" w:eastAsia="MS Gothic" w:hAnsi="MS Gothic" w:cs="Arial" w:hint="eastAsia"/>
                <w:sz w:val="22"/>
                <w:szCs w:val="22"/>
                <w:lang w:val="en-US"/>
              </w:rPr>
              <w:lastRenderedPageBreak/>
              <w:t>☐</w:t>
            </w:r>
          </w:p>
        </w:tc>
        <w:tc>
          <w:tcPr>
            <w:tcW w:w="489" w:type="pct"/>
            <w:tcBorders>
              <w:top w:val="single" w:sz="4" w:space="0" w:color="auto"/>
              <w:left w:val="single" w:sz="4" w:space="0" w:color="auto"/>
              <w:bottom w:val="single" w:sz="4" w:space="0" w:color="auto"/>
              <w:right w:val="single" w:sz="4" w:space="0" w:color="auto"/>
            </w:tcBorders>
            <w:shd w:val="clear" w:color="auto" w:fill="BFBFBF"/>
            <w:vAlign w:val="center"/>
            <w:hideMark/>
          </w:tcPr>
          <w:p w14:paraId="2B5971AE" w14:textId="7710E021" w:rsidR="00D81C20" w:rsidRPr="000B38C3" w:rsidRDefault="00D81C20" w:rsidP="00A91894">
            <w:pPr>
              <w:pStyle w:val="NormalWeb"/>
              <w:autoSpaceDE w:val="0"/>
              <w:autoSpaceDN w:val="0"/>
              <w:adjustRightInd w:val="0"/>
              <w:jc w:val="center"/>
            </w:pPr>
            <w:r>
              <w:rPr>
                <w:rFonts w:ascii="MS Gothic" w:eastAsia="MS Gothic" w:hAnsi="MS Gothic" w:cs="Arial" w:hint="eastAsia"/>
                <w:sz w:val="22"/>
                <w:szCs w:val="22"/>
              </w:rPr>
              <w:t>☒</w:t>
            </w:r>
          </w:p>
        </w:tc>
      </w:tr>
      <w:tr w:rsidR="00D81C20" w14:paraId="49983F4B" w14:textId="77777777" w:rsidTr="00D81C20">
        <w:trPr>
          <w:trHeight w:val="403"/>
        </w:trPr>
        <w:tc>
          <w:tcPr>
            <w:tcW w:w="270" w:type="pct"/>
            <w:tcBorders>
              <w:top w:val="single" w:sz="4" w:space="0" w:color="auto"/>
              <w:left w:val="single" w:sz="4" w:space="0" w:color="auto"/>
              <w:bottom w:val="single" w:sz="4" w:space="0" w:color="auto"/>
              <w:right w:val="single" w:sz="4" w:space="0" w:color="auto"/>
            </w:tcBorders>
            <w:shd w:val="clear" w:color="auto" w:fill="F2F2F2"/>
            <w:vAlign w:val="center"/>
          </w:tcPr>
          <w:p w14:paraId="1C1F4367" w14:textId="77777777" w:rsidR="00D81C20" w:rsidRDefault="00D81C20" w:rsidP="00A91894">
            <w:pPr>
              <w:pStyle w:val="NormalWeb"/>
              <w:autoSpaceDE w:val="0"/>
              <w:autoSpaceDN w:val="0"/>
              <w:adjustRightInd w:val="0"/>
              <w:jc w:val="center"/>
              <w:rPr>
                <w:rFonts w:ascii="Arial" w:hAnsi="Arial" w:cs="Arial"/>
                <w:sz w:val="22"/>
                <w:szCs w:val="22"/>
              </w:rPr>
            </w:pPr>
          </w:p>
        </w:tc>
        <w:tc>
          <w:tcPr>
            <w:tcW w:w="4730" w:type="pct"/>
            <w:gridSpan w:val="3"/>
            <w:tcBorders>
              <w:top w:val="single" w:sz="4" w:space="0" w:color="auto"/>
              <w:left w:val="single" w:sz="4" w:space="0" w:color="auto"/>
              <w:bottom w:val="single" w:sz="4" w:space="0" w:color="auto"/>
              <w:right w:val="single" w:sz="4" w:space="0" w:color="auto"/>
            </w:tcBorders>
            <w:shd w:val="clear" w:color="auto" w:fill="F2F2F2"/>
            <w:vAlign w:val="center"/>
            <w:hideMark/>
          </w:tcPr>
          <w:p w14:paraId="76698821" w14:textId="77777777" w:rsidR="00D81C20" w:rsidRDefault="00D81C20" w:rsidP="00A9189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D81C20" w14:paraId="78EFCFFC" w14:textId="77777777" w:rsidTr="00D81C20">
        <w:trPr>
          <w:trHeight w:val="403"/>
        </w:trPr>
        <w:tc>
          <w:tcPr>
            <w:tcW w:w="270" w:type="pct"/>
            <w:tcBorders>
              <w:top w:val="single" w:sz="4" w:space="0" w:color="auto"/>
              <w:left w:val="single" w:sz="4" w:space="0" w:color="auto"/>
              <w:bottom w:val="single" w:sz="4" w:space="0" w:color="auto"/>
              <w:right w:val="single" w:sz="4" w:space="0" w:color="auto"/>
            </w:tcBorders>
            <w:vAlign w:val="center"/>
          </w:tcPr>
          <w:p w14:paraId="70C0E9E6" w14:textId="77777777" w:rsidR="00D81C20" w:rsidRDefault="00D81C20" w:rsidP="00A91894">
            <w:pPr>
              <w:jc w:val="center"/>
              <w:rPr>
                <w:rFonts w:ascii="Arial" w:hAnsi="Arial" w:cs="Arial"/>
                <w:sz w:val="22"/>
                <w:szCs w:val="22"/>
              </w:rPr>
            </w:pPr>
            <w:r>
              <w:rPr>
                <w:rFonts w:ascii="Arial" w:hAnsi="Arial" w:cs="Arial"/>
                <w:sz w:val="22"/>
                <w:szCs w:val="22"/>
              </w:rPr>
              <w:t>4</w:t>
            </w:r>
          </w:p>
        </w:tc>
        <w:tc>
          <w:tcPr>
            <w:tcW w:w="4730" w:type="pct"/>
            <w:gridSpan w:val="3"/>
            <w:tcBorders>
              <w:top w:val="single" w:sz="4" w:space="0" w:color="auto"/>
              <w:left w:val="single" w:sz="4" w:space="0" w:color="auto"/>
              <w:bottom w:val="single" w:sz="4" w:space="0" w:color="auto"/>
              <w:right w:val="single" w:sz="4" w:space="0" w:color="auto"/>
            </w:tcBorders>
            <w:vAlign w:val="center"/>
            <w:hideMark/>
          </w:tcPr>
          <w:p w14:paraId="33DA0B99" w14:textId="77777777" w:rsidR="00D81C20" w:rsidRDefault="00D81C20" w:rsidP="00A91894">
            <w:pPr>
              <w:rPr>
                <w:rFonts w:ascii="Arial" w:hAnsi="Arial" w:cs="Arial"/>
                <w:sz w:val="22"/>
                <w:szCs w:val="22"/>
              </w:rPr>
            </w:pPr>
          </w:p>
          <w:p w14:paraId="4EFBCDEA" w14:textId="77777777" w:rsidR="00D81C20" w:rsidRDefault="00D81C20" w:rsidP="00A91894">
            <w:pPr>
              <w:rPr>
                <w:rFonts w:ascii="Arial" w:hAnsi="Arial" w:cs="Arial"/>
                <w:sz w:val="22"/>
                <w:szCs w:val="22"/>
              </w:rPr>
            </w:pPr>
          </w:p>
          <w:p w14:paraId="2D1761FA" w14:textId="77777777" w:rsidR="00D81C20" w:rsidRPr="004C3A0B" w:rsidRDefault="00D81C20" w:rsidP="00A91894">
            <w:pPr>
              <w:rPr>
                <w:rFonts w:ascii="Arial" w:hAnsi="Arial" w:cs="Arial"/>
                <w:sz w:val="22"/>
                <w:szCs w:val="22"/>
              </w:rPr>
            </w:pPr>
          </w:p>
          <w:p w14:paraId="751670BC" w14:textId="77777777" w:rsidR="00D81C20" w:rsidRDefault="00D81C20" w:rsidP="00A91894">
            <w:pPr>
              <w:autoSpaceDE w:val="0"/>
              <w:autoSpaceDN w:val="0"/>
              <w:adjustRightInd w:val="0"/>
            </w:pPr>
            <w:r w:rsidRPr="003257BD">
              <w:rPr>
                <w:rFonts w:ascii="Arial" w:hAnsi="Arial" w:cs="Arial"/>
                <w:i/>
                <w:color w:val="808080"/>
                <w:sz w:val="18"/>
                <w:szCs w:val="18"/>
              </w:rPr>
              <w:t>(this box should expand as you type)</w:t>
            </w:r>
          </w:p>
        </w:tc>
      </w:tr>
    </w:tbl>
    <w:p w14:paraId="230AE1C5" w14:textId="77777777" w:rsidR="00D81C20" w:rsidRDefault="00D81C20" w:rsidP="00A91894"/>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1"/>
        <w:gridCol w:w="6249"/>
        <w:gridCol w:w="780"/>
        <w:gridCol w:w="806"/>
      </w:tblGrid>
      <w:tr w:rsidR="00D81C20" w:rsidRPr="004C3A0B" w14:paraId="058BE21B" w14:textId="77777777" w:rsidTr="00D81C20">
        <w:trPr>
          <w:trHeight w:val="439"/>
        </w:trPr>
        <w:tc>
          <w:tcPr>
            <w:tcW w:w="268" w:type="pct"/>
            <w:shd w:val="clear" w:color="auto" w:fill="F2F2F2"/>
            <w:vAlign w:val="center"/>
          </w:tcPr>
          <w:p w14:paraId="738419B5" w14:textId="77777777" w:rsidR="00D81C20" w:rsidRPr="00D81C20" w:rsidRDefault="00D81C20" w:rsidP="00D81C20">
            <w:pPr>
              <w:autoSpaceDE w:val="0"/>
              <w:autoSpaceDN w:val="0"/>
              <w:adjustRightInd w:val="0"/>
              <w:jc w:val="center"/>
              <w:rPr>
                <w:rFonts w:ascii="Arial" w:eastAsia="Calibri" w:hAnsi="Arial" w:cs="Arial"/>
                <w:sz w:val="22"/>
                <w:szCs w:val="22"/>
                <w:lang w:eastAsia="en-US"/>
              </w:rPr>
            </w:pPr>
          </w:p>
        </w:tc>
        <w:tc>
          <w:tcPr>
            <w:tcW w:w="3770" w:type="pct"/>
            <w:shd w:val="clear" w:color="auto" w:fill="F2F2F2"/>
          </w:tcPr>
          <w:p w14:paraId="2DDB181C" w14:textId="77777777" w:rsidR="00D81C20" w:rsidRPr="00D81C20" w:rsidRDefault="00D81C20" w:rsidP="00D81C20">
            <w:pPr>
              <w:autoSpaceDE w:val="0"/>
              <w:autoSpaceDN w:val="0"/>
              <w:adjustRightInd w:val="0"/>
              <w:rPr>
                <w:rFonts w:ascii="Arial" w:eastAsia="Calibri" w:hAnsi="Arial" w:cs="Arial"/>
                <w:b/>
                <w:bCs/>
                <w:sz w:val="22"/>
                <w:szCs w:val="22"/>
                <w:lang w:eastAsia="en-US"/>
              </w:rPr>
            </w:pPr>
            <w:r w:rsidRPr="00D81C20">
              <w:rPr>
                <w:rFonts w:ascii="Calibri" w:eastAsia="Calibri" w:hAnsi="Calibri"/>
                <w:b/>
                <w:sz w:val="22"/>
                <w:szCs w:val="22"/>
                <w:lang w:eastAsia="en-US"/>
              </w:rPr>
              <w:br w:type="page"/>
            </w:r>
            <w:r w:rsidRPr="00D81C20">
              <w:rPr>
                <w:rFonts w:ascii="Arial" w:eastAsia="Calibri" w:hAnsi="Arial" w:cs="Arial"/>
                <w:b/>
                <w:sz w:val="22"/>
                <w:szCs w:val="22"/>
                <w:lang w:eastAsia="en-US"/>
              </w:rPr>
              <w:t>Will data from the research activity (collected data, drafts of the thesis, or materials for publication) be stored in any of the following ways?</w:t>
            </w:r>
          </w:p>
        </w:tc>
        <w:tc>
          <w:tcPr>
            <w:tcW w:w="473" w:type="pct"/>
            <w:shd w:val="clear" w:color="auto" w:fill="F2F2F2"/>
          </w:tcPr>
          <w:p w14:paraId="4938BE9E" w14:textId="77777777" w:rsidR="00D81C20" w:rsidRPr="00D81C20" w:rsidRDefault="00D81C20" w:rsidP="00D81C20">
            <w:pPr>
              <w:autoSpaceDE w:val="0"/>
              <w:autoSpaceDN w:val="0"/>
              <w:adjustRightInd w:val="0"/>
              <w:jc w:val="center"/>
              <w:rPr>
                <w:rFonts w:ascii="Arial" w:eastAsia="Calibri" w:hAnsi="Arial" w:cs="Arial"/>
                <w:b/>
                <w:bCs/>
                <w:sz w:val="22"/>
                <w:szCs w:val="22"/>
                <w:lang w:eastAsia="en-US"/>
              </w:rPr>
            </w:pPr>
            <w:r w:rsidRPr="00D81C20">
              <w:rPr>
                <w:rFonts w:ascii="Arial" w:eastAsia="Calibri" w:hAnsi="Arial" w:cs="Arial"/>
                <w:b/>
                <w:bCs/>
                <w:sz w:val="22"/>
                <w:szCs w:val="22"/>
                <w:lang w:eastAsia="en-US"/>
              </w:rPr>
              <w:t>YES</w:t>
            </w:r>
          </w:p>
        </w:tc>
        <w:tc>
          <w:tcPr>
            <w:tcW w:w="489" w:type="pct"/>
            <w:shd w:val="clear" w:color="auto" w:fill="F2F2F2"/>
          </w:tcPr>
          <w:p w14:paraId="20F58213" w14:textId="77777777" w:rsidR="00D81C20" w:rsidRPr="00D81C20" w:rsidRDefault="00D81C20" w:rsidP="00D81C20">
            <w:pPr>
              <w:autoSpaceDE w:val="0"/>
              <w:autoSpaceDN w:val="0"/>
              <w:adjustRightInd w:val="0"/>
              <w:jc w:val="center"/>
              <w:rPr>
                <w:rFonts w:ascii="Arial" w:eastAsia="Calibri" w:hAnsi="Arial" w:cs="Arial"/>
                <w:b/>
                <w:bCs/>
                <w:sz w:val="22"/>
                <w:szCs w:val="22"/>
                <w:lang w:eastAsia="en-US"/>
              </w:rPr>
            </w:pPr>
            <w:r w:rsidRPr="00D81C20">
              <w:rPr>
                <w:rFonts w:ascii="Arial" w:eastAsia="Calibri" w:hAnsi="Arial" w:cs="Arial"/>
                <w:b/>
                <w:bCs/>
                <w:sz w:val="22"/>
                <w:szCs w:val="22"/>
                <w:lang w:eastAsia="en-US"/>
              </w:rPr>
              <w:t>NO</w:t>
            </w:r>
          </w:p>
        </w:tc>
      </w:tr>
      <w:tr w:rsidR="00D81C20" w:rsidRPr="004C3A0B" w14:paraId="402C8C44" w14:textId="77777777" w:rsidTr="00D81C20">
        <w:trPr>
          <w:trHeight w:val="439"/>
        </w:trPr>
        <w:tc>
          <w:tcPr>
            <w:tcW w:w="268" w:type="pct"/>
            <w:shd w:val="clear" w:color="auto" w:fill="F2F2F2"/>
            <w:vAlign w:val="center"/>
          </w:tcPr>
          <w:p w14:paraId="626DD90F" w14:textId="77777777" w:rsidR="00D81C20" w:rsidRPr="00D81C20" w:rsidRDefault="00D81C20" w:rsidP="00D81C20">
            <w:pPr>
              <w:autoSpaceDE w:val="0"/>
              <w:autoSpaceDN w:val="0"/>
              <w:adjustRightInd w:val="0"/>
              <w:jc w:val="center"/>
              <w:rPr>
                <w:rFonts w:ascii="Arial" w:eastAsia="Calibri" w:hAnsi="Arial" w:cs="Arial"/>
                <w:sz w:val="22"/>
                <w:szCs w:val="22"/>
                <w:lang w:eastAsia="en-US"/>
              </w:rPr>
            </w:pPr>
            <w:r w:rsidRPr="00D81C20">
              <w:rPr>
                <w:rFonts w:ascii="Arial" w:eastAsia="Calibri" w:hAnsi="Arial" w:cs="Arial"/>
                <w:sz w:val="22"/>
                <w:szCs w:val="22"/>
                <w:lang w:eastAsia="en-US"/>
              </w:rPr>
              <w:t>5</w:t>
            </w:r>
          </w:p>
        </w:tc>
        <w:tc>
          <w:tcPr>
            <w:tcW w:w="3770" w:type="pct"/>
            <w:shd w:val="clear" w:color="auto" w:fill="F2F2F2"/>
            <w:vAlign w:val="center"/>
          </w:tcPr>
          <w:p w14:paraId="2B2CF795" w14:textId="77777777" w:rsidR="00D81C20" w:rsidRPr="00D81C20" w:rsidRDefault="00D81C20" w:rsidP="00D81C20">
            <w:pPr>
              <w:autoSpaceDE w:val="0"/>
              <w:autoSpaceDN w:val="0"/>
              <w:adjustRightInd w:val="0"/>
              <w:rPr>
                <w:rFonts w:ascii="Arial" w:eastAsia="Calibri" w:hAnsi="Arial" w:cs="Arial"/>
                <w:sz w:val="22"/>
                <w:szCs w:val="22"/>
                <w:lang w:eastAsia="en-US"/>
              </w:rPr>
            </w:pPr>
            <w:r w:rsidRPr="00D81C20">
              <w:rPr>
                <w:rFonts w:ascii="Arial" w:eastAsia="Calibri" w:hAnsi="Arial" w:cs="Arial"/>
                <w:sz w:val="22"/>
                <w:szCs w:val="22"/>
                <w:lang w:eastAsia="en-US"/>
              </w:rPr>
              <w:t>Manual files (i.e. in paper form)?</w:t>
            </w:r>
          </w:p>
        </w:tc>
        <w:tc>
          <w:tcPr>
            <w:tcW w:w="473" w:type="pct"/>
            <w:shd w:val="clear" w:color="auto" w:fill="BFBFBF"/>
          </w:tcPr>
          <w:p w14:paraId="7722CE84" w14:textId="04F75737" w:rsidR="00D81C20" w:rsidRPr="00D81C20" w:rsidRDefault="00D81C20" w:rsidP="00D81C20">
            <w:pPr>
              <w:autoSpaceDE w:val="0"/>
              <w:autoSpaceDN w:val="0"/>
              <w:adjustRightInd w:val="0"/>
              <w:jc w:val="center"/>
              <w:rPr>
                <w:rFonts w:ascii="Arial" w:eastAsia="Calibri" w:hAnsi="Arial" w:cs="Arial"/>
                <w:sz w:val="22"/>
                <w:szCs w:val="22"/>
                <w:lang w:eastAsia="en-US"/>
              </w:rPr>
            </w:pPr>
            <w:r w:rsidRPr="00D81C20">
              <w:rPr>
                <w:rFonts w:ascii="MS Gothic" w:eastAsia="MS Gothic" w:hAnsi="MS Gothic" w:cs="Arial" w:hint="eastAsia"/>
                <w:sz w:val="22"/>
                <w:szCs w:val="22"/>
                <w:lang w:eastAsia="en-US"/>
              </w:rPr>
              <w:t>☐</w:t>
            </w:r>
          </w:p>
        </w:tc>
        <w:tc>
          <w:tcPr>
            <w:tcW w:w="489" w:type="pct"/>
            <w:shd w:val="clear" w:color="auto" w:fill="BFBFBF"/>
          </w:tcPr>
          <w:p w14:paraId="0D59916C" w14:textId="2F0A04AD" w:rsidR="00D81C20" w:rsidRPr="00D81C20" w:rsidRDefault="00D81C20" w:rsidP="00D81C20">
            <w:pPr>
              <w:autoSpaceDE w:val="0"/>
              <w:autoSpaceDN w:val="0"/>
              <w:adjustRightInd w:val="0"/>
              <w:jc w:val="center"/>
              <w:rPr>
                <w:rFonts w:ascii="Arial" w:eastAsia="Calibri" w:hAnsi="Arial" w:cs="Arial"/>
                <w:sz w:val="22"/>
                <w:szCs w:val="22"/>
                <w:lang w:eastAsia="en-US"/>
              </w:rPr>
            </w:pPr>
            <w:r w:rsidRPr="00D81C20">
              <w:rPr>
                <w:rFonts w:ascii="MS Gothic" w:eastAsia="MS Gothic" w:hAnsi="MS Gothic" w:cs="Arial" w:hint="eastAsia"/>
                <w:sz w:val="22"/>
                <w:szCs w:val="22"/>
                <w:lang w:eastAsia="en-US"/>
              </w:rPr>
              <w:t>☐</w:t>
            </w:r>
          </w:p>
        </w:tc>
      </w:tr>
      <w:tr w:rsidR="00D81C20" w:rsidRPr="004C3A0B" w14:paraId="617AA2CD" w14:textId="77777777" w:rsidTr="00D81C20">
        <w:trPr>
          <w:trHeight w:val="403"/>
        </w:trPr>
        <w:tc>
          <w:tcPr>
            <w:tcW w:w="268" w:type="pct"/>
            <w:shd w:val="clear" w:color="auto" w:fill="F2F2F2"/>
            <w:vAlign w:val="center"/>
          </w:tcPr>
          <w:p w14:paraId="080DD0BE" w14:textId="77777777" w:rsidR="00D81C20" w:rsidRPr="00D81C20" w:rsidRDefault="00D81C20" w:rsidP="00D81C20">
            <w:pPr>
              <w:autoSpaceDE w:val="0"/>
              <w:autoSpaceDN w:val="0"/>
              <w:adjustRightInd w:val="0"/>
              <w:jc w:val="center"/>
              <w:rPr>
                <w:rFonts w:ascii="Arial" w:eastAsia="Calibri" w:hAnsi="Arial" w:cs="Arial"/>
                <w:sz w:val="22"/>
                <w:szCs w:val="22"/>
                <w:lang w:eastAsia="en-US"/>
              </w:rPr>
            </w:pPr>
            <w:r w:rsidRPr="00D81C20">
              <w:rPr>
                <w:rFonts w:ascii="Arial" w:eastAsia="Calibri" w:hAnsi="Arial" w:cs="Arial"/>
                <w:sz w:val="22"/>
                <w:szCs w:val="22"/>
                <w:lang w:eastAsia="en-US"/>
              </w:rPr>
              <w:t>6</w:t>
            </w:r>
          </w:p>
        </w:tc>
        <w:tc>
          <w:tcPr>
            <w:tcW w:w="3770" w:type="pct"/>
            <w:shd w:val="clear" w:color="auto" w:fill="F2F2F2"/>
            <w:vAlign w:val="center"/>
          </w:tcPr>
          <w:p w14:paraId="150DB9CE" w14:textId="77777777" w:rsidR="00D81C20" w:rsidRPr="00D81C20" w:rsidRDefault="00D81C20" w:rsidP="00D81C20">
            <w:pPr>
              <w:autoSpaceDE w:val="0"/>
              <w:autoSpaceDN w:val="0"/>
              <w:adjustRightInd w:val="0"/>
              <w:rPr>
                <w:rFonts w:ascii="Arial" w:eastAsia="Calibri" w:hAnsi="Arial" w:cs="Arial"/>
                <w:sz w:val="22"/>
                <w:szCs w:val="22"/>
                <w:lang w:eastAsia="en-US"/>
              </w:rPr>
            </w:pPr>
            <w:r w:rsidRPr="00D81C20">
              <w:rPr>
                <w:rFonts w:ascii="Arial" w:eastAsia="Calibri" w:hAnsi="Arial" w:cs="Arial"/>
                <w:sz w:val="22"/>
                <w:szCs w:val="22"/>
                <w:lang w:eastAsia="en-US"/>
              </w:rPr>
              <w:t>University computers?</w:t>
            </w:r>
          </w:p>
        </w:tc>
        <w:tc>
          <w:tcPr>
            <w:tcW w:w="473" w:type="pct"/>
            <w:shd w:val="clear" w:color="auto" w:fill="BFBFBF"/>
          </w:tcPr>
          <w:p w14:paraId="4A9DD0D4" w14:textId="3BA5C733" w:rsidR="00D81C20" w:rsidRPr="00D81C20" w:rsidRDefault="00D81C20" w:rsidP="00D81C20">
            <w:pPr>
              <w:autoSpaceDE w:val="0"/>
              <w:autoSpaceDN w:val="0"/>
              <w:adjustRightInd w:val="0"/>
              <w:jc w:val="center"/>
              <w:rPr>
                <w:rFonts w:ascii="Arial" w:eastAsia="Calibri" w:hAnsi="Arial" w:cs="Arial"/>
                <w:sz w:val="22"/>
                <w:szCs w:val="22"/>
                <w:lang w:eastAsia="en-US"/>
              </w:rPr>
            </w:pPr>
            <w:r w:rsidRPr="00D81C20">
              <w:rPr>
                <w:rFonts w:ascii="MS Gothic" w:eastAsia="MS Gothic" w:hAnsi="MS Gothic" w:cs="Arial" w:hint="eastAsia"/>
                <w:sz w:val="22"/>
                <w:szCs w:val="22"/>
                <w:lang w:eastAsia="en-US"/>
              </w:rPr>
              <w:t>☐</w:t>
            </w:r>
          </w:p>
        </w:tc>
        <w:tc>
          <w:tcPr>
            <w:tcW w:w="489" w:type="pct"/>
            <w:shd w:val="clear" w:color="auto" w:fill="BFBFBF"/>
          </w:tcPr>
          <w:p w14:paraId="23612950" w14:textId="7189AA0C" w:rsidR="00D81C20" w:rsidRPr="00D81C20" w:rsidRDefault="00D81C20" w:rsidP="00D81C20">
            <w:pPr>
              <w:autoSpaceDE w:val="0"/>
              <w:autoSpaceDN w:val="0"/>
              <w:adjustRightInd w:val="0"/>
              <w:jc w:val="center"/>
              <w:rPr>
                <w:rFonts w:ascii="Arial" w:eastAsia="Calibri" w:hAnsi="Arial" w:cs="Arial"/>
                <w:sz w:val="22"/>
                <w:szCs w:val="22"/>
                <w:lang w:eastAsia="en-US"/>
              </w:rPr>
            </w:pPr>
            <w:r w:rsidRPr="00D81C20">
              <w:rPr>
                <w:rFonts w:ascii="MS Gothic" w:eastAsia="MS Gothic" w:hAnsi="MS Gothic" w:cs="Arial" w:hint="eastAsia"/>
                <w:sz w:val="22"/>
                <w:szCs w:val="22"/>
                <w:lang w:eastAsia="en-US"/>
              </w:rPr>
              <w:t>☐</w:t>
            </w:r>
          </w:p>
        </w:tc>
      </w:tr>
      <w:tr w:rsidR="00D81C20" w:rsidRPr="004C3A0B" w14:paraId="5E2A0034" w14:textId="77777777" w:rsidTr="00D81C20">
        <w:trPr>
          <w:trHeight w:val="439"/>
        </w:trPr>
        <w:tc>
          <w:tcPr>
            <w:tcW w:w="268" w:type="pct"/>
            <w:shd w:val="clear" w:color="auto" w:fill="F2F2F2"/>
            <w:vAlign w:val="center"/>
          </w:tcPr>
          <w:p w14:paraId="38C469EA" w14:textId="77777777" w:rsidR="00D81C20" w:rsidRPr="00D81C20" w:rsidRDefault="00D81C20" w:rsidP="00D81C20">
            <w:pPr>
              <w:autoSpaceDE w:val="0"/>
              <w:autoSpaceDN w:val="0"/>
              <w:adjustRightInd w:val="0"/>
              <w:jc w:val="center"/>
              <w:rPr>
                <w:rFonts w:ascii="Arial" w:eastAsia="Calibri" w:hAnsi="Arial" w:cs="Arial"/>
                <w:sz w:val="22"/>
                <w:szCs w:val="22"/>
                <w:lang w:eastAsia="en-US"/>
              </w:rPr>
            </w:pPr>
            <w:r w:rsidRPr="00D81C20">
              <w:rPr>
                <w:rFonts w:ascii="Arial" w:eastAsia="Calibri" w:hAnsi="Arial" w:cs="Arial"/>
                <w:sz w:val="22"/>
                <w:szCs w:val="22"/>
                <w:lang w:eastAsia="en-US"/>
              </w:rPr>
              <w:t>7</w:t>
            </w:r>
          </w:p>
        </w:tc>
        <w:tc>
          <w:tcPr>
            <w:tcW w:w="3770" w:type="pct"/>
            <w:shd w:val="clear" w:color="auto" w:fill="F2F2F2"/>
            <w:vAlign w:val="center"/>
          </w:tcPr>
          <w:p w14:paraId="62200EDF" w14:textId="77777777" w:rsidR="00D81C20" w:rsidRPr="00D81C20" w:rsidRDefault="00D81C20" w:rsidP="00D81C20">
            <w:pPr>
              <w:autoSpaceDE w:val="0"/>
              <w:autoSpaceDN w:val="0"/>
              <w:adjustRightInd w:val="0"/>
              <w:rPr>
                <w:rFonts w:ascii="Arial" w:eastAsia="Calibri" w:hAnsi="Arial" w:cs="Arial"/>
                <w:sz w:val="22"/>
                <w:szCs w:val="22"/>
                <w:lang w:eastAsia="en-US"/>
              </w:rPr>
            </w:pPr>
            <w:r w:rsidRPr="00D81C20">
              <w:rPr>
                <w:rFonts w:ascii="Arial" w:eastAsia="Calibri" w:hAnsi="Arial" w:cs="Arial"/>
                <w:sz w:val="22"/>
                <w:szCs w:val="22"/>
                <w:lang w:eastAsia="en-US"/>
              </w:rPr>
              <w:t>Private company computers?</w:t>
            </w:r>
          </w:p>
        </w:tc>
        <w:tc>
          <w:tcPr>
            <w:tcW w:w="473" w:type="pct"/>
            <w:shd w:val="clear" w:color="auto" w:fill="BFBFBF"/>
          </w:tcPr>
          <w:p w14:paraId="02E76B30" w14:textId="0BD9EA10" w:rsidR="00D81C20" w:rsidRPr="00D81C20" w:rsidRDefault="00D81C20" w:rsidP="00D81C20">
            <w:pPr>
              <w:autoSpaceDE w:val="0"/>
              <w:autoSpaceDN w:val="0"/>
              <w:adjustRightInd w:val="0"/>
              <w:jc w:val="center"/>
              <w:rPr>
                <w:rFonts w:ascii="Arial" w:eastAsia="Calibri" w:hAnsi="Arial" w:cs="Arial"/>
                <w:sz w:val="22"/>
                <w:szCs w:val="22"/>
                <w:lang w:eastAsia="en-US"/>
              </w:rPr>
            </w:pPr>
            <w:r w:rsidRPr="00D81C20">
              <w:rPr>
                <w:rFonts w:ascii="MS Gothic" w:eastAsia="MS Gothic" w:hAnsi="MS Gothic" w:cs="Arial" w:hint="eastAsia"/>
                <w:sz w:val="22"/>
                <w:szCs w:val="22"/>
                <w:lang w:eastAsia="en-US"/>
              </w:rPr>
              <w:t>☐</w:t>
            </w:r>
          </w:p>
        </w:tc>
        <w:tc>
          <w:tcPr>
            <w:tcW w:w="489" w:type="pct"/>
            <w:shd w:val="clear" w:color="auto" w:fill="BFBFBF"/>
          </w:tcPr>
          <w:p w14:paraId="0307D2AE" w14:textId="7BB70FD2" w:rsidR="00D81C20" w:rsidRPr="00D81C20" w:rsidRDefault="00D81C20" w:rsidP="00D81C20">
            <w:pPr>
              <w:autoSpaceDE w:val="0"/>
              <w:autoSpaceDN w:val="0"/>
              <w:adjustRightInd w:val="0"/>
              <w:jc w:val="center"/>
              <w:rPr>
                <w:rFonts w:ascii="Arial" w:eastAsia="Calibri" w:hAnsi="Arial" w:cs="Arial"/>
                <w:sz w:val="22"/>
                <w:szCs w:val="22"/>
                <w:lang w:eastAsia="en-US"/>
              </w:rPr>
            </w:pPr>
            <w:r w:rsidRPr="00D81C20">
              <w:rPr>
                <w:rFonts w:ascii="MS Gothic" w:eastAsia="MS Gothic" w:hAnsi="MS Gothic" w:cs="Arial" w:hint="eastAsia"/>
                <w:sz w:val="22"/>
                <w:szCs w:val="22"/>
                <w:lang w:eastAsia="en-US"/>
              </w:rPr>
              <w:t>☐</w:t>
            </w:r>
          </w:p>
        </w:tc>
      </w:tr>
      <w:tr w:rsidR="00D81C20" w:rsidRPr="004C3A0B" w14:paraId="4829F241" w14:textId="77777777" w:rsidTr="00D81C20">
        <w:trPr>
          <w:trHeight w:val="403"/>
        </w:trPr>
        <w:tc>
          <w:tcPr>
            <w:tcW w:w="268" w:type="pct"/>
            <w:shd w:val="clear" w:color="auto" w:fill="F2F2F2"/>
            <w:vAlign w:val="center"/>
          </w:tcPr>
          <w:p w14:paraId="0C56B510" w14:textId="77777777" w:rsidR="00D81C20" w:rsidRPr="00D81C20" w:rsidRDefault="00D81C20" w:rsidP="00D81C20">
            <w:pPr>
              <w:autoSpaceDE w:val="0"/>
              <w:autoSpaceDN w:val="0"/>
              <w:adjustRightInd w:val="0"/>
              <w:jc w:val="center"/>
              <w:rPr>
                <w:rFonts w:ascii="Arial" w:eastAsia="Calibri" w:hAnsi="Arial" w:cs="Arial"/>
                <w:sz w:val="22"/>
                <w:szCs w:val="22"/>
                <w:lang w:eastAsia="en-US"/>
              </w:rPr>
            </w:pPr>
            <w:r w:rsidRPr="00D81C20">
              <w:rPr>
                <w:rFonts w:ascii="Arial" w:eastAsia="Calibri" w:hAnsi="Arial" w:cs="Arial"/>
                <w:sz w:val="22"/>
                <w:szCs w:val="22"/>
                <w:lang w:eastAsia="en-US"/>
              </w:rPr>
              <w:t>8</w:t>
            </w:r>
          </w:p>
        </w:tc>
        <w:tc>
          <w:tcPr>
            <w:tcW w:w="3770" w:type="pct"/>
            <w:shd w:val="clear" w:color="auto" w:fill="F2F2F2"/>
            <w:vAlign w:val="center"/>
          </w:tcPr>
          <w:p w14:paraId="756CE167" w14:textId="77777777" w:rsidR="00D81C20" w:rsidRPr="00D81C20" w:rsidRDefault="00D81C20" w:rsidP="00D81C20">
            <w:pPr>
              <w:autoSpaceDE w:val="0"/>
              <w:autoSpaceDN w:val="0"/>
              <w:adjustRightInd w:val="0"/>
              <w:rPr>
                <w:rFonts w:ascii="Arial" w:eastAsia="Calibri" w:hAnsi="Arial" w:cs="Arial"/>
                <w:sz w:val="22"/>
                <w:szCs w:val="22"/>
                <w:lang w:eastAsia="en-US"/>
              </w:rPr>
            </w:pPr>
            <w:r w:rsidRPr="00D81C20">
              <w:rPr>
                <w:rFonts w:ascii="Arial" w:eastAsia="Calibri" w:hAnsi="Arial" w:cs="Arial"/>
                <w:sz w:val="22"/>
                <w:szCs w:val="22"/>
                <w:lang w:eastAsia="en-US"/>
              </w:rPr>
              <w:t>Home or other personal computers?</w:t>
            </w:r>
          </w:p>
        </w:tc>
        <w:tc>
          <w:tcPr>
            <w:tcW w:w="473" w:type="pct"/>
            <w:shd w:val="clear" w:color="auto" w:fill="BFBFBF"/>
          </w:tcPr>
          <w:p w14:paraId="6D102E44" w14:textId="3F926FEC" w:rsidR="00D81C20" w:rsidRPr="00D81C20" w:rsidRDefault="00D81C20" w:rsidP="00D81C20">
            <w:pPr>
              <w:autoSpaceDE w:val="0"/>
              <w:autoSpaceDN w:val="0"/>
              <w:adjustRightInd w:val="0"/>
              <w:jc w:val="center"/>
              <w:rPr>
                <w:rFonts w:ascii="Arial" w:eastAsia="Calibri" w:hAnsi="Arial" w:cs="Arial"/>
                <w:sz w:val="22"/>
                <w:szCs w:val="22"/>
                <w:lang w:eastAsia="en-US"/>
              </w:rPr>
            </w:pPr>
            <w:r w:rsidRPr="00D81C20">
              <w:rPr>
                <w:rFonts w:ascii="MS Gothic" w:eastAsia="MS Gothic" w:hAnsi="MS Gothic" w:cs="Arial" w:hint="eastAsia"/>
                <w:sz w:val="22"/>
                <w:szCs w:val="22"/>
                <w:lang w:eastAsia="en-US"/>
              </w:rPr>
              <w:t>☒</w:t>
            </w:r>
          </w:p>
        </w:tc>
        <w:tc>
          <w:tcPr>
            <w:tcW w:w="489" w:type="pct"/>
            <w:shd w:val="clear" w:color="auto" w:fill="BFBFBF"/>
          </w:tcPr>
          <w:p w14:paraId="20CBDEAA" w14:textId="79631A70" w:rsidR="00D81C20" w:rsidRPr="00D81C20" w:rsidRDefault="00D81C20" w:rsidP="00D81C20">
            <w:pPr>
              <w:autoSpaceDE w:val="0"/>
              <w:autoSpaceDN w:val="0"/>
              <w:adjustRightInd w:val="0"/>
              <w:jc w:val="center"/>
              <w:rPr>
                <w:rFonts w:ascii="Arial" w:eastAsia="Calibri" w:hAnsi="Arial" w:cs="Arial"/>
                <w:sz w:val="22"/>
                <w:szCs w:val="22"/>
                <w:lang w:eastAsia="en-US"/>
              </w:rPr>
            </w:pPr>
            <w:r w:rsidRPr="00D81C20">
              <w:rPr>
                <w:rFonts w:ascii="MS Gothic" w:eastAsia="MS Gothic" w:hAnsi="MS Gothic" w:cs="Arial" w:hint="eastAsia"/>
                <w:sz w:val="22"/>
                <w:szCs w:val="22"/>
                <w:lang w:eastAsia="en-US"/>
              </w:rPr>
              <w:t>☐</w:t>
            </w:r>
          </w:p>
        </w:tc>
      </w:tr>
      <w:tr w:rsidR="00D81C20" w:rsidRPr="004C3A0B" w14:paraId="4762868F" w14:textId="77777777" w:rsidTr="00D81C20">
        <w:trPr>
          <w:trHeight w:val="403"/>
        </w:trPr>
        <w:tc>
          <w:tcPr>
            <w:tcW w:w="268" w:type="pct"/>
            <w:shd w:val="clear" w:color="auto" w:fill="F2F2F2"/>
            <w:vAlign w:val="center"/>
          </w:tcPr>
          <w:p w14:paraId="0C3F80EE" w14:textId="77777777" w:rsidR="00D81C20" w:rsidRPr="00D81C20" w:rsidRDefault="00D81C20" w:rsidP="00D81C20">
            <w:pPr>
              <w:autoSpaceDE w:val="0"/>
              <w:autoSpaceDN w:val="0"/>
              <w:adjustRightInd w:val="0"/>
              <w:jc w:val="center"/>
              <w:rPr>
                <w:rFonts w:ascii="Arial" w:eastAsia="Calibri" w:hAnsi="Arial" w:cs="Arial"/>
                <w:sz w:val="22"/>
                <w:szCs w:val="22"/>
                <w:lang w:eastAsia="en-US"/>
              </w:rPr>
            </w:pPr>
            <w:r w:rsidRPr="00D81C20">
              <w:rPr>
                <w:rFonts w:ascii="Arial" w:eastAsia="Calibri" w:hAnsi="Arial" w:cs="Arial"/>
                <w:sz w:val="22"/>
                <w:szCs w:val="22"/>
                <w:lang w:eastAsia="en-US"/>
              </w:rPr>
              <w:t>9</w:t>
            </w:r>
          </w:p>
        </w:tc>
        <w:tc>
          <w:tcPr>
            <w:tcW w:w="3770" w:type="pct"/>
            <w:shd w:val="clear" w:color="auto" w:fill="F2F2F2"/>
            <w:vAlign w:val="center"/>
          </w:tcPr>
          <w:p w14:paraId="7B41F1B7" w14:textId="77777777" w:rsidR="00D81C20" w:rsidRPr="00D81C20" w:rsidRDefault="00D81C20" w:rsidP="00D81C20">
            <w:pPr>
              <w:autoSpaceDE w:val="0"/>
              <w:autoSpaceDN w:val="0"/>
              <w:adjustRightInd w:val="0"/>
              <w:rPr>
                <w:rFonts w:ascii="Arial" w:eastAsia="Calibri" w:hAnsi="Arial" w:cs="Arial"/>
                <w:sz w:val="22"/>
                <w:szCs w:val="22"/>
                <w:lang w:eastAsia="en-US"/>
              </w:rPr>
            </w:pPr>
            <w:r w:rsidRPr="00D81C20">
              <w:rPr>
                <w:rFonts w:ascii="Arial" w:eastAsia="Calibri" w:hAnsi="Arial" w:cs="Arial"/>
                <w:sz w:val="22"/>
                <w:szCs w:val="22"/>
                <w:lang w:eastAsia="en-US"/>
              </w:rPr>
              <w:t>Laptop computers/ CDs/ Portable disk-drives/ memory sticks?</w:t>
            </w:r>
          </w:p>
        </w:tc>
        <w:tc>
          <w:tcPr>
            <w:tcW w:w="473" w:type="pct"/>
            <w:shd w:val="clear" w:color="auto" w:fill="BFBFBF"/>
          </w:tcPr>
          <w:p w14:paraId="2BE2EFB8" w14:textId="089C280C" w:rsidR="00D81C20" w:rsidRPr="00D81C20" w:rsidRDefault="00D81C20" w:rsidP="00D81C20">
            <w:pPr>
              <w:autoSpaceDE w:val="0"/>
              <w:autoSpaceDN w:val="0"/>
              <w:adjustRightInd w:val="0"/>
              <w:jc w:val="center"/>
              <w:rPr>
                <w:rFonts w:ascii="Arial" w:eastAsia="Calibri" w:hAnsi="Arial" w:cs="Arial"/>
                <w:sz w:val="22"/>
                <w:szCs w:val="22"/>
                <w:lang w:eastAsia="en-US"/>
              </w:rPr>
            </w:pPr>
            <w:r w:rsidRPr="00D81C20">
              <w:rPr>
                <w:rFonts w:ascii="MS Gothic" w:eastAsia="MS Gothic" w:hAnsi="MS Gothic" w:cs="Arial" w:hint="eastAsia"/>
                <w:sz w:val="22"/>
                <w:szCs w:val="22"/>
                <w:lang w:eastAsia="en-US"/>
              </w:rPr>
              <w:t>☐</w:t>
            </w:r>
          </w:p>
        </w:tc>
        <w:tc>
          <w:tcPr>
            <w:tcW w:w="489" w:type="pct"/>
            <w:shd w:val="clear" w:color="auto" w:fill="BFBFBF"/>
          </w:tcPr>
          <w:p w14:paraId="3C133199" w14:textId="77B44D06" w:rsidR="00D81C20" w:rsidRPr="00D81C20" w:rsidRDefault="00D81C20" w:rsidP="00D81C20">
            <w:pPr>
              <w:autoSpaceDE w:val="0"/>
              <w:autoSpaceDN w:val="0"/>
              <w:adjustRightInd w:val="0"/>
              <w:jc w:val="center"/>
              <w:rPr>
                <w:rFonts w:ascii="Arial" w:eastAsia="Calibri" w:hAnsi="Arial" w:cs="Arial"/>
                <w:sz w:val="22"/>
                <w:szCs w:val="22"/>
                <w:lang w:eastAsia="en-US"/>
              </w:rPr>
            </w:pPr>
            <w:r w:rsidRPr="00D81C20">
              <w:rPr>
                <w:rFonts w:ascii="MS Gothic" w:eastAsia="MS Gothic" w:hAnsi="MS Gothic" w:cs="Arial" w:hint="eastAsia"/>
                <w:sz w:val="22"/>
                <w:szCs w:val="22"/>
                <w:lang w:eastAsia="en-US"/>
              </w:rPr>
              <w:t>☐</w:t>
            </w:r>
          </w:p>
        </w:tc>
      </w:tr>
      <w:tr w:rsidR="00D81C20" w:rsidRPr="004C3A0B" w14:paraId="5420534C" w14:textId="77777777" w:rsidTr="00D81C20">
        <w:trPr>
          <w:trHeight w:val="403"/>
        </w:trPr>
        <w:tc>
          <w:tcPr>
            <w:tcW w:w="268" w:type="pct"/>
            <w:shd w:val="clear" w:color="auto" w:fill="F2F2F2"/>
            <w:vAlign w:val="center"/>
          </w:tcPr>
          <w:p w14:paraId="29D0FCD5" w14:textId="77777777" w:rsidR="00D81C20" w:rsidRPr="00D81C20" w:rsidRDefault="00D81C20" w:rsidP="00D81C20">
            <w:pPr>
              <w:autoSpaceDE w:val="0"/>
              <w:autoSpaceDN w:val="0"/>
              <w:adjustRightInd w:val="0"/>
              <w:jc w:val="center"/>
              <w:rPr>
                <w:rFonts w:ascii="Arial" w:eastAsia="Calibri" w:hAnsi="Arial" w:cs="Arial"/>
                <w:sz w:val="22"/>
                <w:szCs w:val="22"/>
                <w:lang w:eastAsia="en-US"/>
              </w:rPr>
            </w:pPr>
            <w:r w:rsidRPr="00D81C20">
              <w:rPr>
                <w:rFonts w:ascii="Arial" w:eastAsia="Calibri" w:hAnsi="Arial" w:cs="Arial"/>
                <w:sz w:val="22"/>
                <w:szCs w:val="22"/>
                <w:lang w:eastAsia="en-US"/>
              </w:rPr>
              <w:t>10</w:t>
            </w:r>
          </w:p>
        </w:tc>
        <w:tc>
          <w:tcPr>
            <w:tcW w:w="3770" w:type="pct"/>
            <w:shd w:val="clear" w:color="auto" w:fill="F2F2F2"/>
            <w:vAlign w:val="center"/>
          </w:tcPr>
          <w:p w14:paraId="51804BE6" w14:textId="77777777" w:rsidR="00D81C20" w:rsidRPr="00D81C20" w:rsidRDefault="00D81C20" w:rsidP="00D81C20">
            <w:pPr>
              <w:autoSpaceDE w:val="0"/>
              <w:autoSpaceDN w:val="0"/>
              <w:adjustRightInd w:val="0"/>
              <w:rPr>
                <w:rFonts w:ascii="Arial" w:eastAsia="Calibri" w:hAnsi="Arial" w:cs="Arial"/>
                <w:sz w:val="22"/>
                <w:szCs w:val="22"/>
                <w:lang w:eastAsia="en-US"/>
              </w:rPr>
            </w:pPr>
            <w:r w:rsidRPr="00D81C20">
              <w:rPr>
                <w:rFonts w:ascii="Arial" w:eastAsia="Calibri" w:hAnsi="Arial" w:cs="Arial"/>
                <w:sz w:val="22"/>
                <w:szCs w:val="22"/>
                <w:lang w:eastAsia="en-US"/>
              </w:rPr>
              <w:t>“Cloud” storage or websites?</w:t>
            </w:r>
          </w:p>
        </w:tc>
        <w:tc>
          <w:tcPr>
            <w:tcW w:w="473" w:type="pct"/>
            <w:shd w:val="clear" w:color="auto" w:fill="BFBFBF"/>
          </w:tcPr>
          <w:p w14:paraId="41EC8C33" w14:textId="15CDE98D" w:rsidR="00D81C20" w:rsidRPr="00D81C20" w:rsidRDefault="00D81C20" w:rsidP="00D81C20">
            <w:pPr>
              <w:autoSpaceDE w:val="0"/>
              <w:autoSpaceDN w:val="0"/>
              <w:adjustRightInd w:val="0"/>
              <w:jc w:val="center"/>
              <w:rPr>
                <w:rFonts w:ascii="Arial" w:eastAsia="Calibri" w:hAnsi="Arial" w:cs="Arial"/>
                <w:sz w:val="22"/>
                <w:szCs w:val="22"/>
                <w:lang w:eastAsia="en-US"/>
              </w:rPr>
            </w:pPr>
            <w:r w:rsidRPr="00D81C20">
              <w:rPr>
                <w:rFonts w:ascii="MS Gothic" w:eastAsia="MS Gothic" w:hAnsi="MS Gothic" w:cs="Arial" w:hint="eastAsia"/>
                <w:sz w:val="22"/>
                <w:szCs w:val="22"/>
                <w:lang w:eastAsia="en-US"/>
              </w:rPr>
              <w:t>☒</w:t>
            </w:r>
          </w:p>
        </w:tc>
        <w:tc>
          <w:tcPr>
            <w:tcW w:w="489" w:type="pct"/>
            <w:shd w:val="clear" w:color="auto" w:fill="BFBFBF"/>
          </w:tcPr>
          <w:p w14:paraId="2ACB4B9B" w14:textId="3DC29DAF" w:rsidR="00D81C20" w:rsidRPr="00D81C20" w:rsidRDefault="00D81C20" w:rsidP="00D81C20">
            <w:pPr>
              <w:autoSpaceDE w:val="0"/>
              <w:autoSpaceDN w:val="0"/>
              <w:adjustRightInd w:val="0"/>
              <w:jc w:val="center"/>
              <w:rPr>
                <w:rFonts w:ascii="Arial" w:eastAsia="Calibri" w:hAnsi="Arial" w:cs="Arial"/>
                <w:sz w:val="22"/>
                <w:szCs w:val="22"/>
                <w:lang w:eastAsia="en-US"/>
              </w:rPr>
            </w:pPr>
            <w:r w:rsidRPr="00D81C20">
              <w:rPr>
                <w:rFonts w:ascii="MS Gothic" w:eastAsia="MS Gothic" w:hAnsi="MS Gothic" w:cs="Arial" w:hint="eastAsia"/>
                <w:sz w:val="22"/>
                <w:szCs w:val="22"/>
                <w:lang w:eastAsia="en-US"/>
              </w:rPr>
              <w:t>☐</w:t>
            </w:r>
          </w:p>
        </w:tc>
      </w:tr>
      <w:tr w:rsidR="00D81C20" w:rsidRPr="004C3A0B" w14:paraId="1ABDD779" w14:textId="77777777" w:rsidTr="00D81C20">
        <w:trPr>
          <w:trHeight w:val="403"/>
        </w:trPr>
        <w:tc>
          <w:tcPr>
            <w:tcW w:w="268" w:type="pct"/>
            <w:shd w:val="clear" w:color="auto" w:fill="F2F2F2"/>
            <w:vAlign w:val="center"/>
          </w:tcPr>
          <w:p w14:paraId="77286A37" w14:textId="77777777" w:rsidR="00D81C20" w:rsidRPr="00D81C20" w:rsidRDefault="00D81C20" w:rsidP="00D81C20">
            <w:pPr>
              <w:autoSpaceDE w:val="0"/>
              <w:autoSpaceDN w:val="0"/>
              <w:adjustRightInd w:val="0"/>
              <w:jc w:val="center"/>
              <w:rPr>
                <w:rFonts w:ascii="Arial" w:eastAsia="Calibri" w:hAnsi="Arial" w:cs="Arial"/>
                <w:sz w:val="22"/>
                <w:szCs w:val="22"/>
                <w:lang w:eastAsia="en-US"/>
              </w:rPr>
            </w:pPr>
            <w:r w:rsidRPr="00D81C20">
              <w:rPr>
                <w:rFonts w:ascii="Arial" w:eastAsia="Calibri" w:hAnsi="Arial" w:cs="Arial"/>
                <w:sz w:val="22"/>
                <w:szCs w:val="22"/>
                <w:lang w:eastAsia="en-US"/>
              </w:rPr>
              <w:t>11</w:t>
            </w:r>
          </w:p>
        </w:tc>
        <w:tc>
          <w:tcPr>
            <w:tcW w:w="3770" w:type="pct"/>
            <w:shd w:val="clear" w:color="auto" w:fill="F2F2F2"/>
          </w:tcPr>
          <w:p w14:paraId="647FB77D" w14:textId="77777777" w:rsidR="00D81C20" w:rsidRPr="00D81C20" w:rsidRDefault="00D81C20" w:rsidP="00D81C20">
            <w:pPr>
              <w:autoSpaceDE w:val="0"/>
              <w:autoSpaceDN w:val="0"/>
              <w:adjustRightInd w:val="0"/>
              <w:rPr>
                <w:rFonts w:ascii="Arial" w:eastAsia="Calibri" w:hAnsi="Arial" w:cs="Arial"/>
                <w:sz w:val="22"/>
                <w:szCs w:val="22"/>
                <w:lang w:eastAsia="en-US"/>
              </w:rPr>
            </w:pPr>
            <w:r w:rsidRPr="00D81C20">
              <w:rPr>
                <w:rFonts w:ascii="Arial" w:eastAsia="Calibri" w:hAnsi="Arial" w:cs="Arial"/>
                <w:sz w:val="22"/>
                <w:szCs w:val="22"/>
                <w:lang w:eastAsia="en-US"/>
              </w:rPr>
              <w:t>Other – specify:</w:t>
            </w:r>
          </w:p>
          <w:p w14:paraId="12AF2BD3" w14:textId="77777777" w:rsidR="00D81C20" w:rsidRPr="00D81C20" w:rsidRDefault="00D81C20" w:rsidP="00D81C20">
            <w:pPr>
              <w:autoSpaceDE w:val="0"/>
              <w:autoSpaceDN w:val="0"/>
              <w:adjustRightInd w:val="0"/>
              <w:rPr>
                <w:rFonts w:ascii="Arial" w:eastAsia="Calibri" w:hAnsi="Arial" w:cs="Arial"/>
                <w:sz w:val="22"/>
                <w:szCs w:val="22"/>
                <w:lang w:eastAsia="en-US"/>
              </w:rPr>
            </w:pPr>
          </w:p>
        </w:tc>
        <w:tc>
          <w:tcPr>
            <w:tcW w:w="473" w:type="pct"/>
            <w:shd w:val="clear" w:color="auto" w:fill="BFBFBF"/>
            <w:vAlign w:val="center"/>
          </w:tcPr>
          <w:p w14:paraId="65310954" w14:textId="255F2041" w:rsidR="00D81C20" w:rsidRPr="00D81C20" w:rsidRDefault="00D81C20" w:rsidP="00D81C20">
            <w:pPr>
              <w:autoSpaceDE w:val="0"/>
              <w:autoSpaceDN w:val="0"/>
              <w:adjustRightInd w:val="0"/>
              <w:jc w:val="center"/>
              <w:rPr>
                <w:rFonts w:ascii="Arial" w:eastAsia="Calibri" w:hAnsi="Arial" w:cs="Arial"/>
                <w:sz w:val="22"/>
                <w:szCs w:val="22"/>
                <w:lang w:eastAsia="en-US"/>
              </w:rPr>
            </w:pPr>
            <w:r w:rsidRPr="00D81C20">
              <w:rPr>
                <w:rFonts w:ascii="MS Gothic" w:eastAsia="MS Gothic" w:hAnsi="MS Gothic" w:cs="Arial" w:hint="eastAsia"/>
                <w:sz w:val="22"/>
                <w:szCs w:val="22"/>
                <w:lang w:eastAsia="en-US"/>
              </w:rPr>
              <w:t>☐</w:t>
            </w:r>
          </w:p>
        </w:tc>
        <w:tc>
          <w:tcPr>
            <w:tcW w:w="489" w:type="pct"/>
            <w:shd w:val="clear" w:color="auto" w:fill="BFBFBF"/>
            <w:vAlign w:val="center"/>
          </w:tcPr>
          <w:p w14:paraId="253FC6E4" w14:textId="06C52F53" w:rsidR="00D81C20" w:rsidRPr="00D81C20" w:rsidRDefault="00D81C20" w:rsidP="00D81C20">
            <w:pPr>
              <w:autoSpaceDE w:val="0"/>
              <w:autoSpaceDN w:val="0"/>
              <w:adjustRightInd w:val="0"/>
              <w:jc w:val="center"/>
              <w:rPr>
                <w:rFonts w:ascii="Arial" w:eastAsia="Calibri" w:hAnsi="Arial" w:cs="Arial"/>
                <w:sz w:val="22"/>
                <w:szCs w:val="22"/>
                <w:lang w:eastAsia="en-US"/>
              </w:rPr>
            </w:pPr>
            <w:r w:rsidRPr="00D81C20">
              <w:rPr>
                <w:rFonts w:ascii="MS Gothic" w:eastAsia="MS Gothic" w:hAnsi="MS Gothic" w:cs="Arial" w:hint="eastAsia"/>
                <w:sz w:val="22"/>
                <w:szCs w:val="22"/>
                <w:lang w:eastAsia="en-US"/>
              </w:rPr>
              <w:t>☐</w:t>
            </w:r>
          </w:p>
        </w:tc>
      </w:tr>
      <w:tr w:rsidR="00D81C20" w:rsidRPr="004C3A0B" w14:paraId="1B33D77D" w14:textId="77777777" w:rsidTr="00D81C20">
        <w:trPr>
          <w:trHeight w:val="403"/>
        </w:trPr>
        <w:tc>
          <w:tcPr>
            <w:tcW w:w="268" w:type="pct"/>
            <w:shd w:val="clear" w:color="auto" w:fill="F2F2F2"/>
            <w:vAlign w:val="center"/>
          </w:tcPr>
          <w:p w14:paraId="7FFFEABC" w14:textId="77777777" w:rsidR="00D81C20" w:rsidRPr="00D81C20" w:rsidRDefault="00D81C20" w:rsidP="00D81C20">
            <w:pPr>
              <w:autoSpaceDE w:val="0"/>
              <w:autoSpaceDN w:val="0"/>
              <w:adjustRightInd w:val="0"/>
              <w:jc w:val="center"/>
              <w:rPr>
                <w:rFonts w:ascii="Arial" w:eastAsia="Calibri" w:hAnsi="Arial" w:cs="Arial"/>
                <w:bCs/>
                <w:sz w:val="22"/>
                <w:szCs w:val="22"/>
                <w:lang w:eastAsia="en-US"/>
              </w:rPr>
            </w:pPr>
            <w:r w:rsidRPr="00D81C20">
              <w:rPr>
                <w:rFonts w:ascii="Arial" w:eastAsia="Calibri" w:hAnsi="Arial" w:cs="Arial"/>
                <w:sz w:val="22"/>
                <w:szCs w:val="22"/>
                <w:lang w:eastAsia="en-US"/>
              </w:rPr>
              <w:t>12</w:t>
            </w:r>
          </w:p>
        </w:tc>
        <w:tc>
          <w:tcPr>
            <w:tcW w:w="4732" w:type="pct"/>
            <w:gridSpan w:val="3"/>
            <w:shd w:val="clear" w:color="auto" w:fill="F2F2F2"/>
          </w:tcPr>
          <w:p w14:paraId="17DD2DD4" w14:textId="77777777" w:rsidR="00D81C20" w:rsidRPr="00D81C20" w:rsidRDefault="00D81C20" w:rsidP="00D81C20">
            <w:pPr>
              <w:autoSpaceDE w:val="0"/>
              <w:autoSpaceDN w:val="0"/>
              <w:adjustRightInd w:val="0"/>
              <w:rPr>
                <w:rFonts w:ascii="Arial" w:eastAsia="Calibri" w:hAnsi="Arial" w:cs="Arial"/>
                <w:b/>
                <w:bCs/>
                <w:sz w:val="22"/>
                <w:szCs w:val="22"/>
                <w:lang w:eastAsia="en-US"/>
              </w:rPr>
            </w:pPr>
            <w:r w:rsidRPr="00D81C20">
              <w:rPr>
                <w:rFonts w:ascii="Arial" w:eastAsia="Calibri" w:hAnsi="Arial" w:cs="Arial"/>
                <w:bCs/>
                <w:sz w:val="22"/>
                <w:szCs w:val="22"/>
                <w:lang w:eastAsia="en-US"/>
              </w:rPr>
              <w:t xml:space="preserve">For all stored data, explain the measures in place to ensure the security of the data collected, data confidentiality, including details of backup procedures, </w:t>
            </w:r>
            <w:r w:rsidRPr="00D81C20">
              <w:rPr>
                <w:rFonts w:ascii="Arial" w:eastAsia="Calibri" w:hAnsi="Arial" w:cs="Arial"/>
                <w:bCs/>
                <w:sz w:val="22"/>
                <w:szCs w:val="22"/>
                <w:shd w:val="clear" w:color="auto" w:fill="F2F2F2"/>
                <w:lang w:eastAsia="en-US"/>
              </w:rPr>
              <w:t>password</w:t>
            </w:r>
            <w:r w:rsidRPr="00D81C20">
              <w:rPr>
                <w:rFonts w:ascii="Arial" w:eastAsia="Calibri" w:hAnsi="Arial" w:cs="Arial"/>
                <w:bCs/>
                <w:sz w:val="22"/>
                <w:szCs w:val="22"/>
                <w:lang w:eastAsia="en-US"/>
              </w:rPr>
              <w:t xml:space="preserve"> protection, encryption, anonymisation and pseudonymisation</w:t>
            </w:r>
            <w:r w:rsidRPr="00D81C20">
              <w:rPr>
                <w:rFonts w:ascii="Arial" w:eastAsia="Calibri" w:hAnsi="Arial" w:cs="Arial"/>
                <w:sz w:val="22"/>
                <w:szCs w:val="22"/>
                <w:lang w:eastAsia="en-US"/>
              </w:rPr>
              <w:t>:</w:t>
            </w:r>
          </w:p>
        </w:tc>
      </w:tr>
      <w:tr w:rsidR="00D81C20" w:rsidRPr="004C3A0B" w14:paraId="1BC6573F" w14:textId="77777777" w:rsidTr="00D81C20">
        <w:trPr>
          <w:trHeight w:val="403"/>
        </w:trPr>
        <w:tc>
          <w:tcPr>
            <w:tcW w:w="268" w:type="pct"/>
            <w:shd w:val="clear" w:color="auto" w:fill="auto"/>
            <w:vAlign w:val="center"/>
          </w:tcPr>
          <w:p w14:paraId="2EDE961A" w14:textId="77777777" w:rsidR="00D81C20" w:rsidRPr="00D81C20" w:rsidRDefault="00D81C20" w:rsidP="00D81C20">
            <w:pPr>
              <w:jc w:val="center"/>
              <w:rPr>
                <w:rFonts w:ascii="Arial" w:eastAsia="Calibri" w:hAnsi="Arial" w:cs="Arial"/>
                <w:sz w:val="22"/>
                <w:szCs w:val="22"/>
                <w:lang w:eastAsia="en-US"/>
              </w:rPr>
            </w:pPr>
          </w:p>
        </w:tc>
        <w:tc>
          <w:tcPr>
            <w:tcW w:w="4732" w:type="pct"/>
            <w:gridSpan w:val="3"/>
            <w:shd w:val="clear" w:color="auto" w:fill="auto"/>
          </w:tcPr>
          <w:p w14:paraId="2C31260F" w14:textId="77777777" w:rsidR="00D81C20" w:rsidRPr="00D81C20" w:rsidRDefault="00D81C20" w:rsidP="00A91894">
            <w:pPr>
              <w:rPr>
                <w:rFonts w:ascii="Arial" w:eastAsia="Calibri" w:hAnsi="Arial" w:cs="Arial"/>
                <w:sz w:val="22"/>
                <w:szCs w:val="22"/>
                <w:lang w:eastAsia="en-US"/>
              </w:rPr>
            </w:pPr>
          </w:p>
          <w:p w14:paraId="748DD348" w14:textId="77777777" w:rsidR="00D81C20" w:rsidRPr="00D81C20" w:rsidRDefault="00D81C20" w:rsidP="00A91894">
            <w:pPr>
              <w:rPr>
                <w:rFonts w:ascii="Arial" w:eastAsia="Calibri" w:hAnsi="Arial" w:cs="Arial"/>
                <w:sz w:val="22"/>
                <w:szCs w:val="22"/>
                <w:lang w:eastAsia="en-US"/>
              </w:rPr>
            </w:pPr>
            <w:r w:rsidRPr="00D81C20">
              <w:rPr>
                <w:rFonts w:ascii="Arial" w:eastAsia="Calibri" w:hAnsi="Arial" w:cs="Arial"/>
                <w:sz w:val="22"/>
                <w:szCs w:val="22"/>
                <w:lang w:eastAsia="en-US"/>
              </w:rPr>
              <w:t>Data will be saved on the student’s university’s Microsoft 365 account only.</w:t>
            </w:r>
          </w:p>
          <w:p w14:paraId="7FEF5615" w14:textId="77777777" w:rsidR="00D81C20" w:rsidRPr="00D81C20" w:rsidRDefault="00D81C20" w:rsidP="00D81C20">
            <w:pPr>
              <w:autoSpaceDE w:val="0"/>
              <w:autoSpaceDN w:val="0"/>
              <w:adjustRightInd w:val="0"/>
              <w:rPr>
                <w:rFonts w:ascii="Arial" w:eastAsia="Calibri" w:hAnsi="Arial" w:cs="Arial"/>
                <w:b/>
                <w:bCs/>
                <w:sz w:val="22"/>
                <w:szCs w:val="22"/>
                <w:lang w:eastAsia="en-US"/>
              </w:rPr>
            </w:pPr>
            <w:r w:rsidRPr="00D81C20">
              <w:rPr>
                <w:rFonts w:ascii="Arial" w:eastAsia="Calibri" w:hAnsi="Arial" w:cs="Arial"/>
                <w:i/>
                <w:color w:val="808080"/>
                <w:sz w:val="18"/>
                <w:szCs w:val="18"/>
                <w:lang w:eastAsia="en-US"/>
              </w:rPr>
              <w:t>(this box should expand as you type)</w:t>
            </w:r>
          </w:p>
        </w:tc>
      </w:tr>
    </w:tbl>
    <w:p w14:paraId="230DC9DB" w14:textId="77777777" w:rsidR="00D81C20" w:rsidRDefault="00D81C20" w:rsidP="00A91894"/>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1"/>
        <w:gridCol w:w="6249"/>
        <w:gridCol w:w="780"/>
        <w:gridCol w:w="806"/>
      </w:tblGrid>
      <w:tr w:rsidR="00D81C20" w:rsidRPr="004C3A0B" w14:paraId="26557CCE" w14:textId="77777777" w:rsidTr="00D81C20">
        <w:trPr>
          <w:trHeight w:val="439"/>
        </w:trPr>
        <w:tc>
          <w:tcPr>
            <w:tcW w:w="268" w:type="pct"/>
            <w:shd w:val="clear" w:color="auto" w:fill="F2F2F2"/>
          </w:tcPr>
          <w:p w14:paraId="63059259" w14:textId="77777777" w:rsidR="00D81C20" w:rsidRPr="00D81C20" w:rsidRDefault="00D81C20" w:rsidP="00D81C20">
            <w:pPr>
              <w:autoSpaceDE w:val="0"/>
              <w:autoSpaceDN w:val="0"/>
              <w:adjustRightInd w:val="0"/>
              <w:rPr>
                <w:rFonts w:ascii="Arial" w:eastAsia="Calibri" w:hAnsi="Arial" w:cs="Arial"/>
                <w:sz w:val="22"/>
                <w:szCs w:val="22"/>
                <w:lang w:eastAsia="en-US"/>
              </w:rPr>
            </w:pPr>
          </w:p>
        </w:tc>
        <w:tc>
          <w:tcPr>
            <w:tcW w:w="4732" w:type="pct"/>
            <w:gridSpan w:val="3"/>
            <w:shd w:val="clear" w:color="auto" w:fill="F2F2F2"/>
            <w:vAlign w:val="center"/>
          </w:tcPr>
          <w:p w14:paraId="67CC5E96" w14:textId="77777777" w:rsidR="00D81C20" w:rsidRPr="00D81C20" w:rsidRDefault="00D81C20" w:rsidP="00D81C20">
            <w:pPr>
              <w:autoSpaceDE w:val="0"/>
              <w:autoSpaceDN w:val="0"/>
              <w:adjustRightInd w:val="0"/>
              <w:rPr>
                <w:rFonts w:ascii="Arial" w:eastAsia="Calibri" w:hAnsi="Arial" w:cs="Arial"/>
                <w:b/>
                <w:bCs/>
                <w:sz w:val="22"/>
                <w:szCs w:val="22"/>
                <w:lang w:eastAsia="en-US"/>
              </w:rPr>
            </w:pPr>
            <w:r w:rsidRPr="00D81C20">
              <w:rPr>
                <w:rFonts w:ascii="Arial" w:eastAsia="Calibri" w:hAnsi="Arial" w:cs="Arial"/>
                <w:b/>
                <w:bCs/>
                <w:sz w:val="22"/>
                <w:szCs w:val="22"/>
                <w:lang w:eastAsia="en-US"/>
              </w:rPr>
              <w:t>Data Protection</w:t>
            </w:r>
          </w:p>
        </w:tc>
      </w:tr>
      <w:tr w:rsidR="00D81C20" w:rsidRPr="004C3A0B" w14:paraId="3049419C" w14:textId="77777777" w:rsidTr="00D81C20">
        <w:trPr>
          <w:trHeight w:val="439"/>
        </w:trPr>
        <w:tc>
          <w:tcPr>
            <w:tcW w:w="268" w:type="pct"/>
            <w:shd w:val="clear" w:color="auto" w:fill="F2F2F2"/>
            <w:vAlign w:val="center"/>
          </w:tcPr>
          <w:p w14:paraId="38A1BC49" w14:textId="77777777" w:rsidR="00D81C20" w:rsidRPr="00D81C20" w:rsidRDefault="00D81C20" w:rsidP="00D81C20">
            <w:pPr>
              <w:autoSpaceDE w:val="0"/>
              <w:autoSpaceDN w:val="0"/>
              <w:adjustRightInd w:val="0"/>
              <w:jc w:val="center"/>
              <w:rPr>
                <w:rFonts w:ascii="Arial" w:eastAsia="Calibri" w:hAnsi="Arial" w:cs="Arial"/>
                <w:sz w:val="22"/>
                <w:szCs w:val="22"/>
                <w:lang w:eastAsia="en-US"/>
              </w:rPr>
            </w:pPr>
          </w:p>
        </w:tc>
        <w:tc>
          <w:tcPr>
            <w:tcW w:w="3770" w:type="pct"/>
            <w:shd w:val="clear" w:color="auto" w:fill="F2F2F2"/>
            <w:vAlign w:val="center"/>
          </w:tcPr>
          <w:p w14:paraId="2FC10101" w14:textId="77777777" w:rsidR="00D81C20" w:rsidRPr="00D81C20" w:rsidRDefault="00D81C20" w:rsidP="00D81C20">
            <w:pPr>
              <w:autoSpaceDE w:val="0"/>
              <w:autoSpaceDN w:val="0"/>
              <w:adjustRightInd w:val="0"/>
              <w:rPr>
                <w:rFonts w:ascii="Arial" w:eastAsia="Calibri" w:hAnsi="Arial" w:cs="Arial"/>
                <w:b/>
                <w:bCs/>
                <w:sz w:val="22"/>
                <w:szCs w:val="22"/>
                <w:lang w:eastAsia="en-US"/>
              </w:rPr>
            </w:pPr>
            <w:r w:rsidRPr="00D81C20">
              <w:rPr>
                <w:rFonts w:ascii="Arial" w:eastAsia="Calibri" w:hAnsi="Arial" w:cs="Arial"/>
                <w:sz w:val="22"/>
                <w:szCs w:val="22"/>
                <w:lang w:eastAsia="en-US"/>
              </w:rPr>
              <w:t xml:space="preserve">Will the research activity </w:t>
            </w:r>
            <w:r w:rsidRPr="00D81C20">
              <w:rPr>
                <w:rFonts w:ascii="Arial" w:eastAsia="Calibri" w:hAnsi="Arial" w:cs="Arial"/>
                <w:bCs/>
                <w:sz w:val="22"/>
                <w:szCs w:val="22"/>
                <w:lang w:eastAsia="en-US"/>
              </w:rPr>
              <w:t>involve any of the following activities:</w:t>
            </w:r>
          </w:p>
        </w:tc>
        <w:tc>
          <w:tcPr>
            <w:tcW w:w="473" w:type="pct"/>
            <w:shd w:val="clear" w:color="auto" w:fill="F2F2F2"/>
            <w:vAlign w:val="center"/>
          </w:tcPr>
          <w:p w14:paraId="1A505DF4" w14:textId="77777777" w:rsidR="00D81C20" w:rsidRPr="00D81C20" w:rsidRDefault="00D81C20" w:rsidP="00D81C20">
            <w:pPr>
              <w:autoSpaceDE w:val="0"/>
              <w:autoSpaceDN w:val="0"/>
              <w:adjustRightInd w:val="0"/>
              <w:jc w:val="center"/>
              <w:rPr>
                <w:rFonts w:ascii="Arial" w:eastAsia="Calibri" w:hAnsi="Arial" w:cs="Arial"/>
                <w:b/>
                <w:bCs/>
                <w:sz w:val="22"/>
                <w:szCs w:val="22"/>
                <w:lang w:eastAsia="en-US"/>
              </w:rPr>
            </w:pPr>
            <w:r w:rsidRPr="00D81C20">
              <w:rPr>
                <w:rFonts w:ascii="Arial" w:eastAsia="Calibri" w:hAnsi="Arial" w:cs="Arial"/>
                <w:b/>
                <w:bCs/>
                <w:sz w:val="22"/>
                <w:szCs w:val="22"/>
                <w:lang w:eastAsia="en-US"/>
              </w:rPr>
              <w:t>YES</w:t>
            </w:r>
          </w:p>
        </w:tc>
        <w:tc>
          <w:tcPr>
            <w:tcW w:w="489" w:type="pct"/>
            <w:shd w:val="clear" w:color="auto" w:fill="F2F2F2"/>
            <w:vAlign w:val="center"/>
          </w:tcPr>
          <w:p w14:paraId="18312446" w14:textId="77777777" w:rsidR="00D81C20" w:rsidRPr="00D81C20" w:rsidRDefault="00D81C20" w:rsidP="00D81C20">
            <w:pPr>
              <w:autoSpaceDE w:val="0"/>
              <w:autoSpaceDN w:val="0"/>
              <w:adjustRightInd w:val="0"/>
              <w:jc w:val="center"/>
              <w:rPr>
                <w:rFonts w:ascii="Arial" w:eastAsia="Calibri" w:hAnsi="Arial" w:cs="Arial"/>
                <w:b/>
                <w:bCs/>
                <w:sz w:val="22"/>
                <w:szCs w:val="22"/>
                <w:lang w:eastAsia="en-US"/>
              </w:rPr>
            </w:pPr>
            <w:r w:rsidRPr="00D81C20">
              <w:rPr>
                <w:rFonts w:ascii="Arial" w:eastAsia="Calibri" w:hAnsi="Arial" w:cs="Arial"/>
                <w:b/>
                <w:bCs/>
                <w:sz w:val="22"/>
                <w:szCs w:val="22"/>
                <w:lang w:eastAsia="en-US"/>
              </w:rPr>
              <w:t>NO</w:t>
            </w:r>
          </w:p>
        </w:tc>
      </w:tr>
      <w:tr w:rsidR="00D81C20" w:rsidRPr="004C3A0B" w14:paraId="2BE79FE7" w14:textId="77777777" w:rsidTr="00D81C20">
        <w:trPr>
          <w:trHeight w:val="439"/>
        </w:trPr>
        <w:tc>
          <w:tcPr>
            <w:tcW w:w="268" w:type="pct"/>
            <w:shd w:val="clear" w:color="auto" w:fill="F2F2F2"/>
            <w:vAlign w:val="center"/>
          </w:tcPr>
          <w:p w14:paraId="0566CFA6" w14:textId="77777777" w:rsidR="00D81C20" w:rsidRPr="00D81C20" w:rsidRDefault="00D81C20" w:rsidP="00D81C20">
            <w:pPr>
              <w:autoSpaceDE w:val="0"/>
              <w:autoSpaceDN w:val="0"/>
              <w:adjustRightInd w:val="0"/>
              <w:jc w:val="center"/>
              <w:rPr>
                <w:rFonts w:ascii="Arial" w:eastAsia="Calibri" w:hAnsi="Arial" w:cs="Arial"/>
                <w:sz w:val="22"/>
                <w:szCs w:val="22"/>
                <w:lang w:eastAsia="en-US"/>
              </w:rPr>
            </w:pPr>
            <w:r w:rsidRPr="00D81C20">
              <w:rPr>
                <w:rFonts w:ascii="Arial" w:eastAsia="Calibri" w:hAnsi="Arial" w:cs="Arial"/>
                <w:sz w:val="22"/>
                <w:szCs w:val="22"/>
                <w:lang w:eastAsia="en-US"/>
              </w:rPr>
              <w:t>13</w:t>
            </w:r>
          </w:p>
        </w:tc>
        <w:tc>
          <w:tcPr>
            <w:tcW w:w="3770" w:type="pct"/>
            <w:shd w:val="clear" w:color="auto" w:fill="F2F2F2"/>
            <w:vAlign w:val="center"/>
          </w:tcPr>
          <w:p w14:paraId="5438BBD7" w14:textId="77777777" w:rsidR="00D81C20" w:rsidRPr="00D81C20" w:rsidRDefault="00D81C20" w:rsidP="00D81C20">
            <w:pPr>
              <w:autoSpaceDE w:val="0"/>
              <w:autoSpaceDN w:val="0"/>
              <w:adjustRightInd w:val="0"/>
              <w:rPr>
                <w:rFonts w:ascii="Arial" w:eastAsia="Calibri" w:hAnsi="Arial" w:cs="Arial"/>
                <w:sz w:val="22"/>
                <w:szCs w:val="22"/>
                <w:lang w:eastAsia="en-US"/>
              </w:rPr>
            </w:pPr>
            <w:r w:rsidRPr="00D81C20">
              <w:rPr>
                <w:rFonts w:ascii="Arial" w:eastAsia="Calibri" w:hAnsi="Arial" w:cs="Arial"/>
                <w:sz w:val="22"/>
                <w:szCs w:val="22"/>
                <w:lang w:eastAsia="en-US"/>
              </w:rPr>
              <w:t>Electronic transfer of data in any form?</w:t>
            </w:r>
          </w:p>
        </w:tc>
        <w:tc>
          <w:tcPr>
            <w:tcW w:w="473" w:type="pct"/>
            <w:shd w:val="clear" w:color="auto" w:fill="BFBFBF"/>
            <w:vAlign w:val="center"/>
          </w:tcPr>
          <w:p w14:paraId="1F8B0B36" w14:textId="6E038D58" w:rsidR="00D81C20" w:rsidRPr="00D81C20" w:rsidRDefault="00D81C20" w:rsidP="00D81C20">
            <w:pPr>
              <w:autoSpaceDE w:val="0"/>
              <w:autoSpaceDN w:val="0"/>
              <w:adjustRightInd w:val="0"/>
              <w:jc w:val="center"/>
              <w:rPr>
                <w:rFonts w:ascii="Arial" w:eastAsia="Calibri" w:hAnsi="Arial" w:cs="Arial"/>
                <w:sz w:val="22"/>
                <w:szCs w:val="22"/>
                <w:lang w:eastAsia="en-US"/>
              </w:rPr>
            </w:pPr>
            <w:r w:rsidRPr="00D81C20">
              <w:rPr>
                <w:rFonts w:ascii="MS Gothic" w:eastAsia="MS Gothic" w:hAnsi="MS Gothic" w:cs="Arial" w:hint="eastAsia"/>
                <w:sz w:val="22"/>
                <w:szCs w:val="22"/>
                <w:lang w:eastAsia="en-US"/>
              </w:rPr>
              <w:t>☐</w:t>
            </w:r>
          </w:p>
        </w:tc>
        <w:tc>
          <w:tcPr>
            <w:tcW w:w="489" w:type="pct"/>
            <w:shd w:val="clear" w:color="auto" w:fill="BFBFBF"/>
            <w:vAlign w:val="center"/>
          </w:tcPr>
          <w:p w14:paraId="3439E3DF" w14:textId="20382B64" w:rsidR="00D81C20" w:rsidRPr="00D81C20" w:rsidRDefault="00D81C20" w:rsidP="00D81C20">
            <w:pPr>
              <w:autoSpaceDE w:val="0"/>
              <w:autoSpaceDN w:val="0"/>
              <w:adjustRightInd w:val="0"/>
              <w:jc w:val="center"/>
              <w:rPr>
                <w:rFonts w:ascii="Arial" w:eastAsia="Calibri" w:hAnsi="Arial" w:cs="Arial"/>
                <w:sz w:val="22"/>
                <w:szCs w:val="22"/>
                <w:lang w:eastAsia="en-US"/>
              </w:rPr>
            </w:pPr>
            <w:r w:rsidRPr="00D81C20">
              <w:rPr>
                <w:rFonts w:ascii="MS Gothic" w:eastAsia="MS Gothic" w:hAnsi="MS Gothic" w:cs="Arial" w:hint="eastAsia"/>
                <w:sz w:val="22"/>
                <w:szCs w:val="22"/>
                <w:lang w:eastAsia="en-US"/>
              </w:rPr>
              <w:t>☒</w:t>
            </w:r>
          </w:p>
        </w:tc>
      </w:tr>
      <w:tr w:rsidR="00D81C20" w:rsidRPr="004C3A0B" w14:paraId="3C0579DF" w14:textId="77777777" w:rsidTr="00D81C20">
        <w:trPr>
          <w:trHeight w:val="403"/>
        </w:trPr>
        <w:tc>
          <w:tcPr>
            <w:tcW w:w="268" w:type="pct"/>
            <w:shd w:val="clear" w:color="auto" w:fill="F2F2F2"/>
            <w:vAlign w:val="center"/>
          </w:tcPr>
          <w:p w14:paraId="6FEE3C1A" w14:textId="77777777" w:rsidR="00D81C20" w:rsidRPr="00D81C20" w:rsidRDefault="00D81C20" w:rsidP="00D81C20">
            <w:pPr>
              <w:autoSpaceDE w:val="0"/>
              <w:autoSpaceDN w:val="0"/>
              <w:adjustRightInd w:val="0"/>
              <w:jc w:val="center"/>
              <w:rPr>
                <w:rFonts w:ascii="Arial" w:eastAsia="Calibri" w:hAnsi="Arial" w:cs="Arial"/>
                <w:sz w:val="22"/>
                <w:szCs w:val="22"/>
                <w:lang w:eastAsia="en-US"/>
              </w:rPr>
            </w:pPr>
            <w:r w:rsidRPr="00D81C20">
              <w:rPr>
                <w:rFonts w:ascii="Arial" w:eastAsia="Calibri" w:hAnsi="Arial" w:cs="Arial"/>
                <w:sz w:val="22"/>
                <w:szCs w:val="22"/>
                <w:lang w:eastAsia="en-US"/>
              </w:rPr>
              <w:t>14</w:t>
            </w:r>
          </w:p>
        </w:tc>
        <w:tc>
          <w:tcPr>
            <w:tcW w:w="3770" w:type="pct"/>
            <w:shd w:val="clear" w:color="auto" w:fill="F2F2F2"/>
            <w:vAlign w:val="center"/>
          </w:tcPr>
          <w:p w14:paraId="2184B3D3" w14:textId="77777777" w:rsidR="00D81C20" w:rsidRPr="00D81C20" w:rsidRDefault="00D81C20" w:rsidP="00D81C20">
            <w:pPr>
              <w:autoSpaceDE w:val="0"/>
              <w:autoSpaceDN w:val="0"/>
              <w:adjustRightInd w:val="0"/>
              <w:rPr>
                <w:rFonts w:ascii="Arial" w:eastAsia="Calibri" w:hAnsi="Arial" w:cs="Arial"/>
                <w:sz w:val="22"/>
                <w:szCs w:val="22"/>
                <w:lang w:eastAsia="en-US"/>
              </w:rPr>
            </w:pPr>
            <w:r w:rsidRPr="00D81C20">
              <w:rPr>
                <w:rFonts w:ascii="Arial" w:eastAsia="Calibri" w:hAnsi="Arial" w:cs="Arial"/>
                <w:sz w:val="22"/>
                <w:szCs w:val="22"/>
                <w:lang w:eastAsia="en-US"/>
              </w:rPr>
              <w:t>Sharing of data with others at the University outside of the immediate research team?</w:t>
            </w:r>
          </w:p>
        </w:tc>
        <w:tc>
          <w:tcPr>
            <w:tcW w:w="473" w:type="pct"/>
            <w:shd w:val="clear" w:color="auto" w:fill="BFBFBF"/>
            <w:vAlign w:val="center"/>
          </w:tcPr>
          <w:p w14:paraId="7AF35B39" w14:textId="354A0730" w:rsidR="00D81C20" w:rsidRPr="00D81C20" w:rsidRDefault="00D81C20" w:rsidP="00D81C20">
            <w:pPr>
              <w:autoSpaceDE w:val="0"/>
              <w:autoSpaceDN w:val="0"/>
              <w:adjustRightInd w:val="0"/>
              <w:jc w:val="center"/>
              <w:rPr>
                <w:rFonts w:ascii="Arial" w:eastAsia="Calibri" w:hAnsi="Arial" w:cs="Arial"/>
                <w:sz w:val="22"/>
                <w:szCs w:val="22"/>
                <w:lang w:eastAsia="en-US"/>
              </w:rPr>
            </w:pPr>
            <w:r w:rsidRPr="00D81C20">
              <w:rPr>
                <w:rFonts w:ascii="MS Gothic" w:eastAsia="MS Gothic" w:hAnsi="MS Gothic" w:cs="Arial" w:hint="eastAsia"/>
                <w:sz w:val="22"/>
                <w:szCs w:val="22"/>
                <w:lang w:eastAsia="en-US"/>
              </w:rPr>
              <w:t>☐</w:t>
            </w:r>
          </w:p>
        </w:tc>
        <w:tc>
          <w:tcPr>
            <w:tcW w:w="489" w:type="pct"/>
            <w:shd w:val="clear" w:color="auto" w:fill="BFBFBF"/>
            <w:vAlign w:val="center"/>
          </w:tcPr>
          <w:p w14:paraId="64FF9509" w14:textId="2BBDFBF5" w:rsidR="00D81C20" w:rsidRPr="00D81C20" w:rsidRDefault="00D81C20" w:rsidP="00D81C20">
            <w:pPr>
              <w:autoSpaceDE w:val="0"/>
              <w:autoSpaceDN w:val="0"/>
              <w:adjustRightInd w:val="0"/>
              <w:jc w:val="center"/>
              <w:rPr>
                <w:rFonts w:ascii="Arial" w:eastAsia="Calibri" w:hAnsi="Arial" w:cs="Arial"/>
                <w:sz w:val="22"/>
                <w:szCs w:val="22"/>
                <w:lang w:eastAsia="en-US"/>
              </w:rPr>
            </w:pPr>
            <w:r w:rsidRPr="00D81C20">
              <w:rPr>
                <w:rFonts w:ascii="MS Gothic" w:eastAsia="MS Gothic" w:hAnsi="MS Gothic" w:cs="Arial" w:hint="eastAsia"/>
                <w:sz w:val="22"/>
                <w:szCs w:val="22"/>
                <w:lang w:eastAsia="en-US"/>
              </w:rPr>
              <w:t>☒</w:t>
            </w:r>
          </w:p>
        </w:tc>
      </w:tr>
      <w:tr w:rsidR="00D81C20" w:rsidRPr="004C3A0B" w14:paraId="286B1BC6" w14:textId="77777777" w:rsidTr="00D81C20">
        <w:trPr>
          <w:trHeight w:val="439"/>
        </w:trPr>
        <w:tc>
          <w:tcPr>
            <w:tcW w:w="268" w:type="pct"/>
            <w:shd w:val="clear" w:color="auto" w:fill="F2F2F2"/>
            <w:vAlign w:val="center"/>
          </w:tcPr>
          <w:p w14:paraId="392146AA" w14:textId="77777777" w:rsidR="00D81C20" w:rsidRPr="00D81C20" w:rsidRDefault="00D81C20" w:rsidP="00D81C20">
            <w:pPr>
              <w:autoSpaceDE w:val="0"/>
              <w:autoSpaceDN w:val="0"/>
              <w:adjustRightInd w:val="0"/>
              <w:jc w:val="center"/>
              <w:rPr>
                <w:rFonts w:ascii="Arial" w:eastAsia="Calibri" w:hAnsi="Arial" w:cs="Arial"/>
                <w:sz w:val="22"/>
                <w:szCs w:val="22"/>
                <w:lang w:eastAsia="en-US"/>
              </w:rPr>
            </w:pPr>
            <w:r w:rsidRPr="00D81C20">
              <w:rPr>
                <w:rFonts w:ascii="Arial" w:eastAsia="Calibri" w:hAnsi="Arial" w:cs="Arial"/>
                <w:sz w:val="22"/>
                <w:szCs w:val="22"/>
                <w:lang w:eastAsia="en-US"/>
              </w:rPr>
              <w:t>15</w:t>
            </w:r>
          </w:p>
        </w:tc>
        <w:tc>
          <w:tcPr>
            <w:tcW w:w="3770" w:type="pct"/>
            <w:shd w:val="clear" w:color="auto" w:fill="F2F2F2"/>
            <w:vAlign w:val="center"/>
          </w:tcPr>
          <w:p w14:paraId="4CA0BBC1" w14:textId="77777777" w:rsidR="00D81C20" w:rsidRPr="00D81C20" w:rsidRDefault="00D81C20" w:rsidP="00D81C20">
            <w:pPr>
              <w:autoSpaceDE w:val="0"/>
              <w:autoSpaceDN w:val="0"/>
              <w:adjustRightInd w:val="0"/>
              <w:rPr>
                <w:rFonts w:ascii="Arial" w:eastAsia="Calibri" w:hAnsi="Arial" w:cs="Arial"/>
                <w:sz w:val="22"/>
                <w:szCs w:val="22"/>
                <w:lang w:eastAsia="en-US"/>
              </w:rPr>
            </w:pPr>
            <w:r w:rsidRPr="00D81C20">
              <w:rPr>
                <w:rFonts w:ascii="Arial" w:eastAsia="Calibri" w:hAnsi="Arial" w:cs="Arial"/>
                <w:sz w:val="22"/>
                <w:szCs w:val="22"/>
                <w:lang w:eastAsia="en-US"/>
              </w:rPr>
              <w:t>Sharing of data with other organisations?</w:t>
            </w:r>
          </w:p>
        </w:tc>
        <w:tc>
          <w:tcPr>
            <w:tcW w:w="473" w:type="pct"/>
            <w:shd w:val="clear" w:color="auto" w:fill="BFBFBF"/>
            <w:vAlign w:val="center"/>
          </w:tcPr>
          <w:p w14:paraId="4D4FA657" w14:textId="68DEDCEC" w:rsidR="00D81C20" w:rsidRPr="00D81C20" w:rsidRDefault="00D81C20" w:rsidP="00D81C20">
            <w:pPr>
              <w:autoSpaceDE w:val="0"/>
              <w:autoSpaceDN w:val="0"/>
              <w:adjustRightInd w:val="0"/>
              <w:jc w:val="center"/>
              <w:rPr>
                <w:rFonts w:ascii="Arial" w:eastAsia="Calibri" w:hAnsi="Arial" w:cs="Arial"/>
                <w:sz w:val="22"/>
                <w:szCs w:val="22"/>
                <w:lang w:eastAsia="en-US"/>
              </w:rPr>
            </w:pPr>
            <w:r w:rsidRPr="00D81C20">
              <w:rPr>
                <w:rFonts w:ascii="MS Gothic" w:eastAsia="MS Gothic" w:hAnsi="MS Gothic" w:cs="Arial" w:hint="eastAsia"/>
                <w:sz w:val="22"/>
                <w:szCs w:val="22"/>
                <w:lang w:eastAsia="en-US"/>
              </w:rPr>
              <w:t>☐</w:t>
            </w:r>
          </w:p>
        </w:tc>
        <w:tc>
          <w:tcPr>
            <w:tcW w:w="489" w:type="pct"/>
            <w:shd w:val="clear" w:color="auto" w:fill="BFBFBF"/>
            <w:vAlign w:val="center"/>
          </w:tcPr>
          <w:p w14:paraId="03AD3F89" w14:textId="1FE13D64" w:rsidR="00D81C20" w:rsidRPr="00D81C20" w:rsidRDefault="00D81C20" w:rsidP="00D81C20">
            <w:pPr>
              <w:autoSpaceDE w:val="0"/>
              <w:autoSpaceDN w:val="0"/>
              <w:adjustRightInd w:val="0"/>
              <w:jc w:val="center"/>
              <w:rPr>
                <w:rFonts w:ascii="Arial" w:eastAsia="Calibri" w:hAnsi="Arial" w:cs="Arial"/>
                <w:sz w:val="22"/>
                <w:szCs w:val="22"/>
                <w:lang w:eastAsia="en-US"/>
              </w:rPr>
            </w:pPr>
            <w:r w:rsidRPr="00D81C20">
              <w:rPr>
                <w:rFonts w:ascii="MS Gothic" w:eastAsia="MS Gothic" w:hAnsi="MS Gothic" w:cs="Arial" w:hint="eastAsia"/>
                <w:sz w:val="22"/>
                <w:szCs w:val="22"/>
                <w:lang w:eastAsia="en-US"/>
              </w:rPr>
              <w:t>☒</w:t>
            </w:r>
          </w:p>
        </w:tc>
      </w:tr>
      <w:tr w:rsidR="00D81C20" w:rsidRPr="004C3A0B" w14:paraId="2B60996B" w14:textId="77777777" w:rsidTr="00D81C20">
        <w:trPr>
          <w:trHeight w:val="403"/>
        </w:trPr>
        <w:tc>
          <w:tcPr>
            <w:tcW w:w="268" w:type="pct"/>
            <w:shd w:val="clear" w:color="auto" w:fill="F2F2F2"/>
            <w:vAlign w:val="center"/>
          </w:tcPr>
          <w:p w14:paraId="30154CD4" w14:textId="77777777" w:rsidR="00D81C20" w:rsidRPr="00D81C20" w:rsidRDefault="00D81C20" w:rsidP="00D81C20">
            <w:pPr>
              <w:autoSpaceDE w:val="0"/>
              <w:autoSpaceDN w:val="0"/>
              <w:adjustRightInd w:val="0"/>
              <w:jc w:val="center"/>
              <w:rPr>
                <w:rFonts w:ascii="Arial" w:eastAsia="Calibri" w:hAnsi="Arial" w:cs="Arial"/>
                <w:sz w:val="22"/>
                <w:szCs w:val="22"/>
                <w:lang w:eastAsia="en-US"/>
              </w:rPr>
            </w:pPr>
            <w:r w:rsidRPr="00D81C20">
              <w:rPr>
                <w:rFonts w:ascii="Arial" w:eastAsia="Calibri" w:hAnsi="Arial" w:cs="Arial"/>
                <w:sz w:val="22"/>
                <w:szCs w:val="22"/>
                <w:lang w:eastAsia="en-US"/>
              </w:rPr>
              <w:t>16</w:t>
            </w:r>
          </w:p>
        </w:tc>
        <w:tc>
          <w:tcPr>
            <w:tcW w:w="3770" w:type="pct"/>
            <w:shd w:val="clear" w:color="auto" w:fill="F2F2F2"/>
            <w:vAlign w:val="center"/>
          </w:tcPr>
          <w:p w14:paraId="3C3128F3" w14:textId="77777777" w:rsidR="00D81C20" w:rsidRPr="00D81C20" w:rsidRDefault="00D81C20" w:rsidP="00D81C20">
            <w:pPr>
              <w:autoSpaceDE w:val="0"/>
              <w:autoSpaceDN w:val="0"/>
              <w:adjustRightInd w:val="0"/>
              <w:rPr>
                <w:rFonts w:ascii="Arial" w:eastAsia="Calibri" w:hAnsi="Arial" w:cs="Arial"/>
                <w:sz w:val="22"/>
                <w:szCs w:val="22"/>
                <w:lang w:eastAsia="en-US"/>
              </w:rPr>
            </w:pPr>
            <w:r w:rsidRPr="00D81C20">
              <w:rPr>
                <w:rFonts w:ascii="Arial" w:eastAsia="Calibri" w:hAnsi="Arial" w:cs="Arial"/>
                <w:sz w:val="22"/>
                <w:szCs w:val="22"/>
                <w:lang w:eastAsia="en-US"/>
              </w:rPr>
              <w:t>Export of data outside the UK or importing of data from outside the UK?</w:t>
            </w:r>
          </w:p>
        </w:tc>
        <w:tc>
          <w:tcPr>
            <w:tcW w:w="473" w:type="pct"/>
            <w:shd w:val="clear" w:color="auto" w:fill="BFBFBF"/>
            <w:vAlign w:val="center"/>
          </w:tcPr>
          <w:p w14:paraId="44FCB424" w14:textId="545A1127" w:rsidR="00D81C20" w:rsidRPr="00D81C20" w:rsidRDefault="00D81C20" w:rsidP="00D81C20">
            <w:pPr>
              <w:autoSpaceDE w:val="0"/>
              <w:autoSpaceDN w:val="0"/>
              <w:adjustRightInd w:val="0"/>
              <w:jc w:val="center"/>
              <w:rPr>
                <w:rFonts w:ascii="Arial" w:eastAsia="Calibri" w:hAnsi="Arial" w:cs="Arial"/>
                <w:sz w:val="22"/>
                <w:szCs w:val="22"/>
                <w:lang w:eastAsia="en-US"/>
              </w:rPr>
            </w:pPr>
            <w:r w:rsidRPr="00D81C20">
              <w:rPr>
                <w:rFonts w:ascii="MS Gothic" w:eastAsia="MS Gothic" w:hAnsi="MS Gothic" w:cs="Arial" w:hint="eastAsia"/>
                <w:sz w:val="22"/>
                <w:szCs w:val="22"/>
                <w:lang w:eastAsia="en-US"/>
              </w:rPr>
              <w:t>☐</w:t>
            </w:r>
          </w:p>
        </w:tc>
        <w:tc>
          <w:tcPr>
            <w:tcW w:w="489" w:type="pct"/>
            <w:shd w:val="clear" w:color="auto" w:fill="BFBFBF"/>
            <w:vAlign w:val="center"/>
          </w:tcPr>
          <w:p w14:paraId="2D9795F5" w14:textId="7543DF98" w:rsidR="00D81C20" w:rsidRPr="00D81C20" w:rsidRDefault="00D81C20" w:rsidP="00D81C20">
            <w:pPr>
              <w:autoSpaceDE w:val="0"/>
              <w:autoSpaceDN w:val="0"/>
              <w:adjustRightInd w:val="0"/>
              <w:jc w:val="center"/>
              <w:rPr>
                <w:rFonts w:ascii="Arial" w:eastAsia="Calibri" w:hAnsi="Arial" w:cs="Arial"/>
                <w:sz w:val="22"/>
                <w:szCs w:val="22"/>
                <w:lang w:eastAsia="en-US"/>
              </w:rPr>
            </w:pPr>
            <w:r w:rsidRPr="00D81C20">
              <w:rPr>
                <w:rFonts w:ascii="MS Gothic" w:eastAsia="MS Gothic" w:hAnsi="MS Gothic" w:cs="Arial" w:hint="eastAsia"/>
                <w:sz w:val="22"/>
                <w:szCs w:val="22"/>
                <w:lang w:eastAsia="en-US"/>
              </w:rPr>
              <w:t>☒</w:t>
            </w:r>
          </w:p>
        </w:tc>
      </w:tr>
      <w:tr w:rsidR="00D81C20" w:rsidRPr="004C3A0B" w14:paraId="0F12067A" w14:textId="77777777" w:rsidTr="00D81C20">
        <w:trPr>
          <w:trHeight w:val="403"/>
        </w:trPr>
        <w:tc>
          <w:tcPr>
            <w:tcW w:w="268" w:type="pct"/>
            <w:shd w:val="clear" w:color="auto" w:fill="F2F2F2"/>
            <w:vAlign w:val="center"/>
          </w:tcPr>
          <w:p w14:paraId="33EA674D" w14:textId="77777777" w:rsidR="00D81C20" w:rsidRPr="00D81C20" w:rsidRDefault="00D81C20" w:rsidP="00D81C20">
            <w:pPr>
              <w:autoSpaceDE w:val="0"/>
              <w:autoSpaceDN w:val="0"/>
              <w:adjustRightInd w:val="0"/>
              <w:jc w:val="center"/>
              <w:rPr>
                <w:rFonts w:ascii="Arial" w:eastAsia="Calibri" w:hAnsi="Arial" w:cs="Arial"/>
                <w:sz w:val="22"/>
                <w:szCs w:val="22"/>
                <w:lang w:eastAsia="en-US"/>
              </w:rPr>
            </w:pPr>
            <w:r w:rsidRPr="00D81C20">
              <w:rPr>
                <w:rFonts w:ascii="Arial" w:eastAsia="Calibri" w:hAnsi="Arial" w:cs="Arial"/>
                <w:sz w:val="22"/>
                <w:szCs w:val="22"/>
                <w:lang w:eastAsia="en-US"/>
              </w:rPr>
              <w:t>17</w:t>
            </w:r>
          </w:p>
        </w:tc>
        <w:tc>
          <w:tcPr>
            <w:tcW w:w="3770" w:type="pct"/>
            <w:shd w:val="clear" w:color="auto" w:fill="F2F2F2"/>
            <w:vAlign w:val="center"/>
          </w:tcPr>
          <w:p w14:paraId="4289CF1D" w14:textId="77777777" w:rsidR="00D81C20" w:rsidRPr="00D81C20" w:rsidRDefault="00D81C20" w:rsidP="00D81C20">
            <w:pPr>
              <w:autoSpaceDE w:val="0"/>
              <w:autoSpaceDN w:val="0"/>
              <w:adjustRightInd w:val="0"/>
              <w:rPr>
                <w:rFonts w:ascii="Arial" w:eastAsia="Calibri" w:hAnsi="Arial" w:cs="Arial"/>
                <w:sz w:val="22"/>
                <w:szCs w:val="22"/>
                <w:lang w:eastAsia="en-US"/>
              </w:rPr>
            </w:pPr>
            <w:r w:rsidRPr="00D81C20">
              <w:rPr>
                <w:rFonts w:ascii="Arial" w:eastAsia="Calibri" w:hAnsi="Arial" w:cs="Arial"/>
                <w:sz w:val="22"/>
                <w:szCs w:val="22"/>
                <w:lang w:eastAsia="en-US"/>
              </w:rPr>
              <w:t>Use of personal addresses, postcodes, faxes, emails or telephone numbers?</w:t>
            </w:r>
          </w:p>
        </w:tc>
        <w:tc>
          <w:tcPr>
            <w:tcW w:w="473" w:type="pct"/>
            <w:shd w:val="clear" w:color="auto" w:fill="BFBFBF"/>
            <w:vAlign w:val="center"/>
          </w:tcPr>
          <w:p w14:paraId="3BDB52B8" w14:textId="138E10B0" w:rsidR="00D81C20" w:rsidRPr="00D81C20" w:rsidRDefault="00D81C20" w:rsidP="00D81C20">
            <w:pPr>
              <w:autoSpaceDE w:val="0"/>
              <w:autoSpaceDN w:val="0"/>
              <w:adjustRightInd w:val="0"/>
              <w:jc w:val="center"/>
              <w:rPr>
                <w:rFonts w:ascii="Arial" w:eastAsia="Calibri" w:hAnsi="Arial" w:cs="Arial"/>
                <w:sz w:val="22"/>
                <w:szCs w:val="22"/>
                <w:lang w:eastAsia="en-US"/>
              </w:rPr>
            </w:pPr>
            <w:r w:rsidRPr="00D81C20">
              <w:rPr>
                <w:rFonts w:ascii="MS Gothic" w:eastAsia="MS Gothic" w:hAnsi="MS Gothic" w:cs="Arial" w:hint="eastAsia"/>
                <w:sz w:val="22"/>
                <w:szCs w:val="22"/>
                <w:lang w:eastAsia="en-US"/>
              </w:rPr>
              <w:t>☐</w:t>
            </w:r>
          </w:p>
        </w:tc>
        <w:tc>
          <w:tcPr>
            <w:tcW w:w="489" w:type="pct"/>
            <w:shd w:val="clear" w:color="auto" w:fill="BFBFBF"/>
            <w:vAlign w:val="center"/>
          </w:tcPr>
          <w:p w14:paraId="680125BF" w14:textId="115A3959" w:rsidR="00D81C20" w:rsidRPr="00D81C20" w:rsidRDefault="00D81C20" w:rsidP="00D81C20">
            <w:pPr>
              <w:autoSpaceDE w:val="0"/>
              <w:autoSpaceDN w:val="0"/>
              <w:adjustRightInd w:val="0"/>
              <w:jc w:val="center"/>
              <w:rPr>
                <w:rFonts w:ascii="Arial" w:eastAsia="Calibri" w:hAnsi="Arial" w:cs="Arial"/>
                <w:sz w:val="22"/>
                <w:szCs w:val="22"/>
                <w:lang w:eastAsia="en-US"/>
              </w:rPr>
            </w:pPr>
            <w:r w:rsidRPr="00D81C20">
              <w:rPr>
                <w:rFonts w:ascii="MS Gothic" w:eastAsia="MS Gothic" w:hAnsi="MS Gothic" w:cs="Arial" w:hint="eastAsia"/>
                <w:sz w:val="22"/>
                <w:szCs w:val="22"/>
                <w:lang w:eastAsia="en-US"/>
              </w:rPr>
              <w:t>☒</w:t>
            </w:r>
          </w:p>
        </w:tc>
      </w:tr>
      <w:tr w:rsidR="00D81C20" w:rsidRPr="004C3A0B" w14:paraId="04F8EC6F" w14:textId="77777777" w:rsidTr="00D81C20">
        <w:trPr>
          <w:trHeight w:val="403"/>
        </w:trPr>
        <w:tc>
          <w:tcPr>
            <w:tcW w:w="268" w:type="pct"/>
            <w:shd w:val="clear" w:color="auto" w:fill="F2F2F2"/>
            <w:vAlign w:val="center"/>
          </w:tcPr>
          <w:p w14:paraId="418F33FD" w14:textId="77777777" w:rsidR="00D81C20" w:rsidRPr="00D81C20" w:rsidRDefault="00D81C20" w:rsidP="00D81C20">
            <w:pPr>
              <w:autoSpaceDE w:val="0"/>
              <w:autoSpaceDN w:val="0"/>
              <w:adjustRightInd w:val="0"/>
              <w:jc w:val="center"/>
              <w:rPr>
                <w:rFonts w:ascii="Arial" w:eastAsia="Calibri" w:hAnsi="Arial" w:cs="Arial"/>
                <w:sz w:val="22"/>
                <w:szCs w:val="22"/>
                <w:lang w:eastAsia="en-US"/>
              </w:rPr>
            </w:pPr>
            <w:r w:rsidRPr="00D81C20">
              <w:rPr>
                <w:rFonts w:ascii="Arial" w:eastAsia="Calibri" w:hAnsi="Arial" w:cs="Arial"/>
                <w:sz w:val="22"/>
                <w:szCs w:val="22"/>
                <w:lang w:eastAsia="en-US"/>
              </w:rPr>
              <w:t>18</w:t>
            </w:r>
          </w:p>
        </w:tc>
        <w:tc>
          <w:tcPr>
            <w:tcW w:w="3770" w:type="pct"/>
            <w:shd w:val="clear" w:color="auto" w:fill="F2F2F2"/>
            <w:vAlign w:val="center"/>
          </w:tcPr>
          <w:p w14:paraId="2DCA3732" w14:textId="77777777" w:rsidR="00D81C20" w:rsidRPr="00D81C20" w:rsidRDefault="00D81C20" w:rsidP="00D81C20">
            <w:pPr>
              <w:autoSpaceDE w:val="0"/>
              <w:autoSpaceDN w:val="0"/>
              <w:adjustRightInd w:val="0"/>
              <w:rPr>
                <w:rFonts w:ascii="Arial" w:eastAsia="Calibri" w:hAnsi="Arial" w:cs="Arial"/>
                <w:sz w:val="22"/>
                <w:szCs w:val="22"/>
                <w:lang w:eastAsia="en-US"/>
              </w:rPr>
            </w:pPr>
            <w:r w:rsidRPr="00D81C20">
              <w:rPr>
                <w:rFonts w:ascii="Arial" w:eastAsia="Calibri" w:hAnsi="Arial" w:cs="Arial"/>
                <w:sz w:val="22"/>
                <w:szCs w:val="22"/>
                <w:lang w:eastAsia="en-US"/>
              </w:rPr>
              <w:t>Publication of data that might allow identification of individuals?</w:t>
            </w:r>
          </w:p>
        </w:tc>
        <w:tc>
          <w:tcPr>
            <w:tcW w:w="473" w:type="pct"/>
            <w:shd w:val="clear" w:color="auto" w:fill="BFBFBF"/>
            <w:vAlign w:val="center"/>
          </w:tcPr>
          <w:p w14:paraId="41B43B2D" w14:textId="32DF0F98" w:rsidR="00D81C20" w:rsidRPr="00D81C20" w:rsidRDefault="00D81C20" w:rsidP="00D81C20">
            <w:pPr>
              <w:autoSpaceDE w:val="0"/>
              <w:autoSpaceDN w:val="0"/>
              <w:adjustRightInd w:val="0"/>
              <w:jc w:val="center"/>
              <w:rPr>
                <w:rFonts w:ascii="Arial" w:eastAsia="Calibri" w:hAnsi="Arial" w:cs="Arial"/>
                <w:sz w:val="22"/>
                <w:szCs w:val="22"/>
                <w:lang w:eastAsia="en-US"/>
              </w:rPr>
            </w:pPr>
            <w:r w:rsidRPr="00D81C20">
              <w:rPr>
                <w:rFonts w:ascii="MS Gothic" w:eastAsia="MS Gothic" w:hAnsi="MS Gothic" w:cs="Arial" w:hint="eastAsia"/>
                <w:sz w:val="22"/>
                <w:szCs w:val="22"/>
                <w:lang w:eastAsia="en-US"/>
              </w:rPr>
              <w:t>☐</w:t>
            </w:r>
          </w:p>
        </w:tc>
        <w:tc>
          <w:tcPr>
            <w:tcW w:w="489" w:type="pct"/>
            <w:shd w:val="clear" w:color="auto" w:fill="BFBFBF"/>
            <w:vAlign w:val="center"/>
          </w:tcPr>
          <w:p w14:paraId="3A4F0829" w14:textId="09CC70FD" w:rsidR="00D81C20" w:rsidRPr="00D81C20" w:rsidRDefault="00D81C20" w:rsidP="00D81C20">
            <w:pPr>
              <w:autoSpaceDE w:val="0"/>
              <w:autoSpaceDN w:val="0"/>
              <w:adjustRightInd w:val="0"/>
              <w:jc w:val="center"/>
              <w:rPr>
                <w:rFonts w:ascii="Arial" w:eastAsia="Calibri" w:hAnsi="Arial" w:cs="Arial"/>
                <w:sz w:val="22"/>
                <w:szCs w:val="22"/>
                <w:lang w:eastAsia="en-US"/>
              </w:rPr>
            </w:pPr>
            <w:r w:rsidRPr="00D81C20">
              <w:rPr>
                <w:rFonts w:ascii="MS Gothic" w:eastAsia="MS Gothic" w:hAnsi="MS Gothic" w:cs="Arial" w:hint="eastAsia"/>
                <w:sz w:val="22"/>
                <w:szCs w:val="22"/>
                <w:lang w:eastAsia="en-US"/>
              </w:rPr>
              <w:t>☒</w:t>
            </w:r>
          </w:p>
        </w:tc>
      </w:tr>
      <w:tr w:rsidR="00D81C20" w:rsidRPr="004C3A0B" w14:paraId="4F5F7DF1" w14:textId="77777777" w:rsidTr="00D81C20">
        <w:trPr>
          <w:trHeight w:val="403"/>
        </w:trPr>
        <w:tc>
          <w:tcPr>
            <w:tcW w:w="268" w:type="pct"/>
            <w:shd w:val="clear" w:color="auto" w:fill="F2F2F2"/>
            <w:vAlign w:val="center"/>
          </w:tcPr>
          <w:p w14:paraId="5C930223" w14:textId="77777777" w:rsidR="00D81C20" w:rsidRPr="00D81C20" w:rsidRDefault="00D81C20" w:rsidP="00D81C20">
            <w:pPr>
              <w:autoSpaceDE w:val="0"/>
              <w:autoSpaceDN w:val="0"/>
              <w:adjustRightInd w:val="0"/>
              <w:jc w:val="center"/>
              <w:rPr>
                <w:rFonts w:ascii="Arial" w:eastAsia="Calibri" w:hAnsi="Arial" w:cs="Arial"/>
                <w:sz w:val="22"/>
                <w:szCs w:val="22"/>
                <w:lang w:eastAsia="en-US"/>
              </w:rPr>
            </w:pPr>
            <w:r w:rsidRPr="00D81C20">
              <w:rPr>
                <w:rFonts w:ascii="Arial" w:eastAsia="Calibri" w:hAnsi="Arial" w:cs="Arial"/>
                <w:sz w:val="22"/>
                <w:szCs w:val="22"/>
                <w:lang w:eastAsia="en-US"/>
              </w:rPr>
              <w:t>19</w:t>
            </w:r>
          </w:p>
        </w:tc>
        <w:tc>
          <w:tcPr>
            <w:tcW w:w="3770" w:type="pct"/>
            <w:shd w:val="clear" w:color="auto" w:fill="F2F2F2"/>
            <w:vAlign w:val="center"/>
          </w:tcPr>
          <w:p w14:paraId="0EC5F22D" w14:textId="77777777" w:rsidR="00D81C20" w:rsidRPr="00D81C20" w:rsidRDefault="00D81C20" w:rsidP="00D81C20">
            <w:pPr>
              <w:autoSpaceDE w:val="0"/>
              <w:autoSpaceDN w:val="0"/>
              <w:adjustRightInd w:val="0"/>
              <w:rPr>
                <w:rFonts w:ascii="Arial" w:eastAsia="Calibri" w:hAnsi="Arial" w:cs="Arial"/>
                <w:sz w:val="22"/>
                <w:szCs w:val="22"/>
                <w:lang w:eastAsia="en-US"/>
              </w:rPr>
            </w:pPr>
            <w:r w:rsidRPr="00D81C20">
              <w:rPr>
                <w:rFonts w:ascii="Arial" w:eastAsia="Calibri" w:hAnsi="Arial" w:cs="Arial"/>
                <w:sz w:val="22"/>
                <w:szCs w:val="22"/>
                <w:lang w:eastAsia="en-US"/>
              </w:rPr>
              <w:t>Use of data management system?</w:t>
            </w:r>
          </w:p>
        </w:tc>
        <w:tc>
          <w:tcPr>
            <w:tcW w:w="473" w:type="pct"/>
            <w:shd w:val="clear" w:color="auto" w:fill="BFBFBF"/>
            <w:vAlign w:val="center"/>
          </w:tcPr>
          <w:p w14:paraId="5AE86CAE" w14:textId="013DA4F0" w:rsidR="00D81C20" w:rsidRPr="00D81C20" w:rsidRDefault="00D81C20" w:rsidP="00D81C20">
            <w:pPr>
              <w:autoSpaceDE w:val="0"/>
              <w:autoSpaceDN w:val="0"/>
              <w:adjustRightInd w:val="0"/>
              <w:jc w:val="center"/>
              <w:rPr>
                <w:rFonts w:ascii="Arial" w:eastAsia="Calibri" w:hAnsi="Arial" w:cs="Arial"/>
                <w:sz w:val="22"/>
                <w:szCs w:val="22"/>
                <w:lang w:eastAsia="en-US"/>
              </w:rPr>
            </w:pPr>
            <w:r w:rsidRPr="00D81C20">
              <w:rPr>
                <w:rFonts w:ascii="MS Gothic" w:eastAsia="MS Gothic" w:hAnsi="MS Gothic" w:cs="Arial" w:hint="eastAsia"/>
                <w:sz w:val="22"/>
                <w:szCs w:val="22"/>
                <w:lang w:eastAsia="en-US"/>
              </w:rPr>
              <w:t>☐</w:t>
            </w:r>
          </w:p>
        </w:tc>
        <w:tc>
          <w:tcPr>
            <w:tcW w:w="489" w:type="pct"/>
            <w:shd w:val="clear" w:color="auto" w:fill="BFBFBF"/>
            <w:vAlign w:val="center"/>
          </w:tcPr>
          <w:p w14:paraId="219E423A" w14:textId="06C404FD" w:rsidR="00D81C20" w:rsidRPr="00D81C20" w:rsidRDefault="00D81C20" w:rsidP="00D81C20">
            <w:pPr>
              <w:autoSpaceDE w:val="0"/>
              <w:autoSpaceDN w:val="0"/>
              <w:adjustRightInd w:val="0"/>
              <w:jc w:val="center"/>
              <w:rPr>
                <w:rFonts w:ascii="Arial" w:eastAsia="Calibri" w:hAnsi="Arial" w:cs="Arial"/>
                <w:sz w:val="22"/>
                <w:szCs w:val="22"/>
                <w:lang w:eastAsia="en-US"/>
              </w:rPr>
            </w:pPr>
            <w:r w:rsidRPr="00D81C20">
              <w:rPr>
                <w:rFonts w:ascii="MS Gothic" w:eastAsia="MS Gothic" w:hAnsi="MS Gothic" w:cs="Arial" w:hint="eastAsia"/>
                <w:sz w:val="22"/>
                <w:szCs w:val="22"/>
                <w:lang w:eastAsia="en-US"/>
              </w:rPr>
              <w:t>☒</w:t>
            </w:r>
          </w:p>
        </w:tc>
      </w:tr>
      <w:tr w:rsidR="00D81C20" w:rsidRPr="004C3A0B" w14:paraId="309CCE6A" w14:textId="77777777" w:rsidTr="00D81C20">
        <w:trPr>
          <w:trHeight w:val="403"/>
        </w:trPr>
        <w:tc>
          <w:tcPr>
            <w:tcW w:w="268" w:type="pct"/>
            <w:shd w:val="clear" w:color="auto" w:fill="F2F2F2"/>
            <w:vAlign w:val="center"/>
          </w:tcPr>
          <w:p w14:paraId="1D6F5C59" w14:textId="77777777" w:rsidR="00D81C20" w:rsidRPr="00D81C20" w:rsidRDefault="00D81C20" w:rsidP="00D81C20">
            <w:pPr>
              <w:autoSpaceDE w:val="0"/>
              <w:autoSpaceDN w:val="0"/>
              <w:adjustRightInd w:val="0"/>
              <w:jc w:val="center"/>
              <w:rPr>
                <w:rFonts w:ascii="Arial" w:eastAsia="Calibri" w:hAnsi="Arial" w:cs="Arial"/>
                <w:sz w:val="22"/>
                <w:szCs w:val="22"/>
                <w:lang w:eastAsia="en-US"/>
              </w:rPr>
            </w:pPr>
            <w:r w:rsidRPr="00D81C20">
              <w:rPr>
                <w:rFonts w:ascii="Arial" w:eastAsia="Calibri" w:hAnsi="Arial" w:cs="Arial"/>
                <w:sz w:val="22"/>
                <w:szCs w:val="22"/>
                <w:lang w:eastAsia="en-US"/>
              </w:rPr>
              <w:t>20</w:t>
            </w:r>
          </w:p>
        </w:tc>
        <w:tc>
          <w:tcPr>
            <w:tcW w:w="3770" w:type="pct"/>
            <w:shd w:val="clear" w:color="auto" w:fill="F2F2F2"/>
            <w:vAlign w:val="center"/>
          </w:tcPr>
          <w:p w14:paraId="543674FC" w14:textId="77777777" w:rsidR="00D81C20" w:rsidRPr="00D81C20" w:rsidRDefault="00D81C20" w:rsidP="00D81C20">
            <w:pPr>
              <w:autoSpaceDE w:val="0"/>
              <w:autoSpaceDN w:val="0"/>
              <w:adjustRightInd w:val="0"/>
              <w:rPr>
                <w:rFonts w:ascii="Arial" w:eastAsia="Calibri" w:hAnsi="Arial" w:cs="Arial"/>
                <w:b/>
                <w:bCs/>
                <w:sz w:val="22"/>
                <w:szCs w:val="22"/>
                <w:lang w:eastAsia="en-US"/>
              </w:rPr>
            </w:pPr>
            <w:r w:rsidRPr="00D81C20">
              <w:rPr>
                <w:rFonts w:ascii="Arial" w:eastAsia="Calibri" w:hAnsi="Arial" w:cs="Arial"/>
                <w:sz w:val="22"/>
                <w:szCs w:val="22"/>
                <w:lang w:eastAsia="en-US"/>
              </w:rPr>
              <w:t>Data archiving?</w:t>
            </w:r>
          </w:p>
        </w:tc>
        <w:tc>
          <w:tcPr>
            <w:tcW w:w="473" w:type="pct"/>
            <w:shd w:val="clear" w:color="auto" w:fill="BFBFBF"/>
            <w:vAlign w:val="center"/>
          </w:tcPr>
          <w:p w14:paraId="4832B94B" w14:textId="1E089BA1" w:rsidR="00D81C20" w:rsidRPr="00D81C20" w:rsidRDefault="00D81C20" w:rsidP="00D81C20">
            <w:pPr>
              <w:autoSpaceDE w:val="0"/>
              <w:autoSpaceDN w:val="0"/>
              <w:adjustRightInd w:val="0"/>
              <w:jc w:val="center"/>
              <w:rPr>
                <w:rFonts w:ascii="Arial" w:eastAsia="Calibri" w:hAnsi="Arial" w:cs="Arial"/>
                <w:sz w:val="22"/>
                <w:szCs w:val="22"/>
                <w:lang w:eastAsia="en-US"/>
              </w:rPr>
            </w:pPr>
            <w:r w:rsidRPr="00D81C20">
              <w:rPr>
                <w:rFonts w:ascii="MS Gothic" w:eastAsia="MS Gothic" w:hAnsi="MS Gothic" w:cs="Arial" w:hint="eastAsia"/>
                <w:sz w:val="22"/>
                <w:szCs w:val="22"/>
                <w:lang w:eastAsia="en-US"/>
              </w:rPr>
              <w:t>☐</w:t>
            </w:r>
          </w:p>
        </w:tc>
        <w:tc>
          <w:tcPr>
            <w:tcW w:w="489" w:type="pct"/>
            <w:shd w:val="clear" w:color="auto" w:fill="BFBFBF"/>
            <w:vAlign w:val="center"/>
          </w:tcPr>
          <w:p w14:paraId="5CFB529A" w14:textId="6187DED3" w:rsidR="00D81C20" w:rsidRPr="00D81C20" w:rsidRDefault="00D81C20" w:rsidP="00D81C20">
            <w:pPr>
              <w:autoSpaceDE w:val="0"/>
              <w:autoSpaceDN w:val="0"/>
              <w:adjustRightInd w:val="0"/>
              <w:jc w:val="center"/>
              <w:rPr>
                <w:rFonts w:ascii="Arial" w:eastAsia="Calibri" w:hAnsi="Arial" w:cs="Arial"/>
                <w:sz w:val="22"/>
                <w:szCs w:val="22"/>
                <w:lang w:eastAsia="en-US"/>
              </w:rPr>
            </w:pPr>
            <w:r w:rsidRPr="00D81C20">
              <w:rPr>
                <w:rFonts w:ascii="MS Gothic" w:eastAsia="MS Gothic" w:hAnsi="MS Gothic" w:cs="Arial" w:hint="eastAsia"/>
                <w:sz w:val="22"/>
                <w:szCs w:val="22"/>
                <w:lang w:eastAsia="en-US"/>
              </w:rPr>
              <w:t>☒</w:t>
            </w:r>
          </w:p>
        </w:tc>
      </w:tr>
      <w:tr w:rsidR="00D81C20" w:rsidRPr="004C3A0B" w14:paraId="038377C4" w14:textId="77777777" w:rsidTr="00D81C20">
        <w:trPr>
          <w:trHeight w:val="403"/>
        </w:trPr>
        <w:tc>
          <w:tcPr>
            <w:tcW w:w="268" w:type="pct"/>
            <w:shd w:val="clear" w:color="auto" w:fill="F2F2F2"/>
            <w:vAlign w:val="center"/>
          </w:tcPr>
          <w:p w14:paraId="0AA784A3" w14:textId="77777777" w:rsidR="00D81C20" w:rsidRPr="00D81C20" w:rsidRDefault="00D81C20" w:rsidP="00D81C20">
            <w:pPr>
              <w:spacing w:before="120" w:after="120"/>
              <w:jc w:val="center"/>
              <w:rPr>
                <w:rFonts w:ascii="Arial" w:eastAsia="Calibri" w:hAnsi="Arial" w:cs="Arial"/>
                <w:sz w:val="22"/>
                <w:szCs w:val="22"/>
                <w:lang w:eastAsia="en-US"/>
              </w:rPr>
            </w:pPr>
            <w:r w:rsidRPr="00D81C20">
              <w:rPr>
                <w:rFonts w:ascii="Arial" w:eastAsia="Calibri" w:hAnsi="Arial" w:cs="Arial"/>
                <w:sz w:val="22"/>
                <w:szCs w:val="22"/>
                <w:lang w:eastAsia="en-US"/>
              </w:rPr>
              <w:t>21</w:t>
            </w:r>
          </w:p>
        </w:tc>
        <w:tc>
          <w:tcPr>
            <w:tcW w:w="4732" w:type="pct"/>
            <w:gridSpan w:val="3"/>
            <w:shd w:val="clear" w:color="auto" w:fill="F2F2F2"/>
            <w:vAlign w:val="center"/>
          </w:tcPr>
          <w:p w14:paraId="579829AB" w14:textId="77777777" w:rsidR="00D81C20" w:rsidRPr="00D81C20" w:rsidRDefault="00D81C20" w:rsidP="00D81C20">
            <w:pPr>
              <w:spacing w:before="120" w:after="120"/>
              <w:rPr>
                <w:rFonts w:ascii="Arial" w:eastAsia="Calibri" w:hAnsi="Arial" w:cs="Arial"/>
                <w:bCs/>
                <w:sz w:val="22"/>
                <w:szCs w:val="22"/>
                <w:lang w:eastAsia="en-US"/>
              </w:rPr>
            </w:pPr>
            <w:r w:rsidRPr="00D81C20">
              <w:rPr>
                <w:rFonts w:ascii="Arial" w:eastAsia="Calibri" w:hAnsi="Arial" w:cs="Arial"/>
                <w:sz w:val="22"/>
                <w:szCs w:val="22"/>
                <w:lang w:eastAsia="en-US"/>
              </w:rPr>
              <w:t>If YES</w:t>
            </w:r>
            <w:r w:rsidRPr="00D81C20">
              <w:rPr>
                <w:rFonts w:ascii="Arial" w:eastAsia="Calibri" w:hAnsi="Arial" w:cs="Arial"/>
                <w:b/>
                <w:bCs/>
                <w:sz w:val="22"/>
                <w:szCs w:val="22"/>
                <w:lang w:eastAsia="en-US"/>
              </w:rPr>
              <w:t xml:space="preserve"> </w:t>
            </w:r>
            <w:r w:rsidRPr="00D81C20">
              <w:rPr>
                <w:rFonts w:ascii="Arial" w:eastAsia="Calibri" w:hAnsi="Arial" w:cs="Arial"/>
                <w:sz w:val="22"/>
                <w:szCs w:val="22"/>
                <w:lang w:eastAsia="en-US"/>
              </w:rPr>
              <w:t xml:space="preserve">to any question, please provide full details, </w:t>
            </w:r>
            <w:r w:rsidRPr="00D81C20">
              <w:rPr>
                <w:rFonts w:ascii="Arial" w:eastAsia="Calibri" w:hAnsi="Arial" w:cs="Arial"/>
                <w:bCs/>
                <w:sz w:val="22"/>
                <w:szCs w:val="22"/>
                <w:lang w:eastAsia="en-US"/>
              </w:rPr>
              <w:t>explaining how this will be conducted in accordance with the GDPR and Data Protection Act (2018) (and any international equivalents, where appropriate):</w:t>
            </w:r>
          </w:p>
        </w:tc>
      </w:tr>
      <w:tr w:rsidR="00D81C20" w:rsidRPr="004C3A0B" w14:paraId="4271A165" w14:textId="77777777" w:rsidTr="00D81C20">
        <w:trPr>
          <w:trHeight w:val="403"/>
        </w:trPr>
        <w:tc>
          <w:tcPr>
            <w:tcW w:w="268" w:type="pct"/>
            <w:shd w:val="clear" w:color="auto" w:fill="auto"/>
            <w:vAlign w:val="center"/>
          </w:tcPr>
          <w:p w14:paraId="65964A3B" w14:textId="77777777" w:rsidR="00D81C20" w:rsidRPr="00D81C20" w:rsidRDefault="00D81C20" w:rsidP="00D81C20">
            <w:pPr>
              <w:autoSpaceDE w:val="0"/>
              <w:autoSpaceDN w:val="0"/>
              <w:adjustRightInd w:val="0"/>
              <w:jc w:val="center"/>
              <w:rPr>
                <w:rFonts w:ascii="Arial" w:eastAsia="Calibri" w:hAnsi="Arial" w:cs="Arial"/>
                <w:sz w:val="22"/>
                <w:szCs w:val="22"/>
                <w:lang w:eastAsia="en-US"/>
              </w:rPr>
            </w:pPr>
          </w:p>
        </w:tc>
        <w:tc>
          <w:tcPr>
            <w:tcW w:w="4732" w:type="pct"/>
            <w:gridSpan w:val="3"/>
            <w:shd w:val="clear" w:color="auto" w:fill="auto"/>
            <w:vAlign w:val="center"/>
          </w:tcPr>
          <w:p w14:paraId="51AAA3D5" w14:textId="77777777" w:rsidR="00D81C20" w:rsidRPr="00D81C20" w:rsidRDefault="00D81C20" w:rsidP="00D81C20">
            <w:pPr>
              <w:autoSpaceDE w:val="0"/>
              <w:autoSpaceDN w:val="0"/>
              <w:adjustRightInd w:val="0"/>
              <w:rPr>
                <w:rFonts w:ascii="Arial" w:eastAsia="Calibri" w:hAnsi="Arial" w:cs="Arial"/>
                <w:sz w:val="22"/>
                <w:szCs w:val="22"/>
                <w:lang w:eastAsia="en-US"/>
              </w:rPr>
            </w:pPr>
          </w:p>
          <w:p w14:paraId="1A5BF986" w14:textId="77777777" w:rsidR="00D81C20" w:rsidRPr="00D81C20" w:rsidRDefault="00D81C20" w:rsidP="00D81C20">
            <w:pPr>
              <w:autoSpaceDE w:val="0"/>
              <w:autoSpaceDN w:val="0"/>
              <w:adjustRightInd w:val="0"/>
              <w:rPr>
                <w:rFonts w:ascii="Arial" w:eastAsia="Calibri" w:hAnsi="Arial" w:cs="Arial"/>
                <w:sz w:val="22"/>
                <w:szCs w:val="22"/>
                <w:lang w:eastAsia="en-US"/>
              </w:rPr>
            </w:pPr>
          </w:p>
          <w:p w14:paraId="558046AC" w14:textId="77777777" w:rsidR="00D81C20" w:rsidRPr="00D81C20" w:rsidRDefault="00D81C20" w:rsidP="00D81C20">
            <w:pPr>
              <w:autoSpaceDE w:val="0"/>
              <w:autoSpaceDN w:val="0"/>
              <w:adjustRightInd w:val="0"/>
              <w:rPr>
                <w:rFonts w:ascii="Arial" w:eastAsia="Calibri" w:hAnsi="Arial" w:cs="Arial"/>
                <w:sz w:val="22"/>
                <w:szCs w:val="22"/>
                <w:lang w:eastAsia="en-US"/>
              </w:rPr>
            </w:pPr>
          </w:p>
          <w:p w14:paraId="352408C8" w14:textId="77777777" w:rsidR="00D81C20" w:rsidRPr="00D81C20" w:rsidRDefault="00D81C20" w:rsidP="00D81C20">
            <w:pPr>
              <w:autoSpaceDE w:val="0"/>
              <w:autoSpaceDN w:val="0"/>
              <w:adjustRightInd w:val="0"/>
              <w:rPr>
                <w:rFonts w:ascii="Calibri" w:eastAsia="Calibri" w:hAnsi="Calibri" w:cs="Arial"/>
                <w:sz w:val="22"/>
                <w:szCs w:val="22"/>
                <w:lang w:eastAsia="en-US"/>
              </w:rPr>
            </w:pPr>
            <w:r w:rsidRPr="00D81C20">
              <w:rPr>
                <w:rFonts w:ascii="Arial" w:eastAsia="Calibri" w:hAnsi="Arial" w:cs="Arial"/>
                <w:i/>
                <w:color w:val="808080"/>
                <w:sz w:val="18"/>
                <w:szCs w:val="18"/>
                <w:lang w:eastAsia="en-US"/>
              </w:rPr>
              <w:t>(this box should expand as you type)</w:t>
            </w:r>
          </w:p>
        </w:tc>
      </w:tr>
      <w:tr w:rsidR="00D81C20" w:rsidRPr="004C3A0B" w14:paraId="55E92427" w14:textId="77777777" w:rsidTr="00D81C20">
        <w:trPr>
          <w:trHeight w:val="403"/>
        </w:trPr>
        <w:tc>
          <w:tcPr>
            <w:tcW w:w="268" w:type="pct"/>
            <w:shd w:val="clear" w:color="auto" w:fill="F2F2F2"/>
            <w:vAlign w:val="center"/>
          </w:tcPr>
          <w:p w14:paraId="1C497723" w14:textId="77777777" w:rsidR="00D81C20" w:rsidRPr="00D81C20" w:rsidRDefault="00D81C20" w:rsidP="00D81C20">
            <w:pPr>
              <w:autoSpaceDE w:val="0"/>
              <w:autoSpaceDN w:val="0"/>
              <w:adjustRightInd w:val="0"/>
              <w:jc w:val="center"/>
              <w:rPr>
                <w:rFonts w:ascii="Arial" w:eastAsia="Calibri" w:hAnsi="Arial" w:cs="Arial"/>
                <w:bCs/>
                <w:sz w:val="22"/>
                <w:szCs w:val="22"/>
                <w:lang w:eastAsia="en-US"/>
              </w:rPr>
            </w:pPr>
            <w:r w:rsidRPr="00D81C20">
              <w:rPr>
                <w:rFonts w:ascii="Arial" w:eastAsia="Calibri" w:hAnsi="Arial" w:cs="Arial"/>
                <w:sz w:val="22"/>
                <w:szCs w:val="22"/>
                <w:lang w:eastAsia="en-US"/>
              </w:rPr>
              <w:t>22</w:t>
            </w:r>
          </w:p>
        </w:tc>
        <w:tc>
          <w:tcPr>
            <w:tcW w:w="4732" w:type="pct"/>
            <w:gridSpan w:val="3"/>
            <w:shd w:val="clear" w:color="auto" w:fill="F2F2F2"/>
            <w:vAlign w:val="center"/>
          </w:tcPr>
          <w:p w14:paraId="496C2C37" w14:textId="77777777" w:rsidR="00D81C20" w:rsidRPr="00D81C20" w:rsidRDefault="00D81C20" w:rsidP="00D81C20">
            <w:pPr>
              <w:autoSpaceDE w:val="0"/>
              <w:autoSpaceDN w:val="0"/>
              <w:adjustRightInd w:val="0"/>
              <w:rPr>
                <w:rFonts w:ascii="Arial" w:eastAsia="Calibri" w:hAnsi="Arial" w:cs="Arial"/>
                <w:sz w:val="22"/>
                <w:szCs w:val="22"/>
                <w:lang w:eastAsia="en-US"/>
              </w:rPr>
            </w:pPr>
            <w:r w:rsidRPr="00D81C20">
              <w:rPr>
                <w:rFonts w:ascii="Arial" w:eastAsia="Calibri" w:hAnsi="Arial" w:cs="Arial"/>
                <w:bCs/>
                <w:sz w:val="22"/>
                <w:szCs w:val="22"/>
                <w:lang w:eastAsia="en-US"/>
              </w:rPr>
              <w:t>List all who will have access to the data generated by the research activity</w:t>
            </w:r>
            <w:r w:rsidRPr="00D81C20">
              <w:rPr>
                <w:rFonts w:ascii="Arial" w:eastAsia="Calibri" w:hAnsi="Arial" w:cs="Arial"/>
                <w:sz w:val="22"/>
                <w:szCs w:val="22"/>
                <w:lang w:eastAsia="en-US"/>
              </w:rPr>
              <w:t>:</w:t>
            </w:r>
          </w:p>
        </w:tc>
      </w:tr>
      <w:tr w:rsidR="00D81C20" w:rsidRPr="004C3A0B" w14:paraId="66C289A0" w14:textId="77777777" w:rsidTr="00D81C20">
        <w:trPr>
          <w:trHeight w:val="403"/>
        </w:trPr>
        <w:tc>
          <w:tcPr>
            <w:tcW w:w="268" w:type="pct"/>
            <w:shd w:val="clear" w:color="auto" w:fill="auto"/>
            <w:vAlign w:val="center"/>
          </w:tcPr>
          <w:p w14:paraId="6C1CD4C4" w14:textId="77777777" w:rsidR="00D81C20" w:rsidRPr="00D81C20" w:rsidRDefault="00D81C20" w:rsidP="00D81C20">
            <w:pPr>
              <w:autoSpaceDE w:val="0"/>
              <w:autoSpaceDN w:val="0"/>
              <w:adjustRightInd w:val="0"/>
              <w:jc w:val="center"/>
              <w:rPr>
                <w:rFonts w:ascii="Arial" w:eastAsia="Calibri" w:hAnsi="Arial" w:cs="Arial"/>
                <w:sz w:val="22"/>
                <w:szCs w:val="22"/>
                <w:lang w:eastAsia="en-US"/>
              </w:rPr>
            </w:pPr>
          </w:p>
        </w:tc>
        <w:tc>
          <w:tcPr>
            <w:tcW w:w="4732" w:type="pct"/>
            <w:gridSpan w:val="3"/>
            <w:shd w:val="clear" w:color="auto" w:fill="auto"/>
            <w:vAlign w:val="center"/>
          </w:tcPr>
          <w:p w14:paraId="291B52EC" w14:textId="77777777" w:rsidR="00D81C20" w:rsidRPr="00D81C20" w:rsidRDefault="00D81C20" w:rsidP="00D81C20">
            <w:pPr>
              <w:autoSpaceDE w:val="0"/>
              <w:autoSpaceDN w:val="0"/>
              <w:adjustRightInd w:val="0"/>
              <w:rPr>
                <w:rFonts w:ascii="Arial" w:eastAsia="Calibri" w:hAnsi="Arial" w:cs="Arial"/>
                <w:sz w:val="22"/>
                <w:szCs w:val="22"/>
                <w:lang w:eastAsia="en-US"/>
              </w:rPr>
            </w:pPr>
          </w:p>
          <w:p w14:paraId="1848FAFC" w14:textId="77777777" w:rsidR="00D81C20" w:rsidRPr="00D81C20" w:rsidRDefault="00D81C20" w:rsidP="00D81C20">
            <w:pPr>
              <w:autoSpaceDE w:val="0"/>
              <w:autoSpaceDN w:val="0"/>
              <w:adjustRightInd w:val="0"/>
              <w:rPr>
                <w:rFonts w:ascii="Arial" w:eastAsia="Calibri" w:hAnsi="Arial" w:cs="Arial"/>
                <w:sz w:val="22"/>
                <w:szCs w:val="22"/>
                <w:lang w:eastAsia="en-US"/>
              </w:rPr>
            </w:pPr>
          </w:p>
          <w:p w14:paraId="42D14174" w14:textId="77777777" w:rsidR="00D81C20" w:rsidRPr="00D81C20" w:rsidRDefault="00D81C20" w:rsidP="00D81C20">
            <w:pPr>
              <w:autoSpaceDE w:val="0"/>
              <w:autoSpaceDN w:val="0"/>
              <w:adjustRightInd w:val="0"/>
              <w:rPr>
                <w:rFonts w:ascii="Arial" w:eastAsia="Calibri" w:hAnsi="Arial" w:cs="Arial"/>
                <w:sz w:val="22"/>
                <w:szCs w:val="22"/>
                <w:lang w:eastAsia="en-US"/>
              </w:rPr>
            </w:pPr>
          </w:p>
          <w:p w14:paraId="70C8E9E9" w14:textId="77777777" w:rsidR="00D81C20" w:rsidRPr="00D81C20" w:rsidRDefault="00D81C20" w:rsidP="00D81C20">
            <w:pPr>
              <w:autoSpaceDE w:val="0"/>
              <w:autoSpaceDN w:val="0"/>
              <w:adjustRightInd w:val="0"/>
              <w:rPr>
                <w:rFonts w:ascii="Arial" w:eastAsia="Calibri" w:hAnsi="Arial" w:cs="Arial"/>
                <w:sz w:val="22"/>
                <w:szCs w:val="22"/>
                <w:lang w:eastAsia="en-US"/>
              </w:rPr>
            </w:pPr>
            <w:r w:rsidRPr="00D81C20">
              <w:rPr>
                <w:rFonts w:ascii="Arial" w:eastAsia="Calibri" w:hAnsi="Arial" w:cs="Arial"/>
                <w:i/>
                <w:color w:val="808080"/>
                <w:sz w:val="18"/>
                <w:szCs w:val="18"/>
                <w:lang w:eastAsia="en-US"/>
              </w:rPr>
              <w:t>(this box should expand as you type)</w:t>
            </w:r>
          </w:p>
        </w:tc>
      </w:tr>
      <w:tr w:rsidR="00D81C20" w:rsidRPr="004C3A0B" w14:paraId="02789203" w14:textId="77777777" w:rsidTr="00D81C20">
        <w:trPr>
          <w:trHeight w:val="403"/>
        </w:trPr>
        <w:tc>
          <w:tcPr>
            <w:tcW w:w="268" w:type="pct"/>
            <w:shd w:val="clear" w:color="auto" w:fill="F2F2F2"/>
            <w:vAlign w:val="center"/>
          </w:tcPr>
          <w:p w14:paraId="5026B43D" w14:textId="77777777" w:rsidR="00D81C20" w:rsidRPr="00D81C20" w:rsidRDefault="00D81C20" w:rsidP="00D81C20">
            <w:pPr>
              <w:autoSpaceDE w:val="0"/>
              <w:autoSpaceDN w:val="0"/>
              <w:adjustRightInd w:val="0"/>
              <w:jc w:val="center"/>
              <w:rPr>
                <w:rFonts w:ascii="Arial" w:eastAsia="Calibri" w:hAnsi="Arial" w:cs="Arial"/>
                <w:bCs/>
                <w:sz w:val="22"/>
                <w:szCs w:val="22"/>
                <w:lang w:eastAsia="en-US"/>
              </w:rPr>
            </w:pPr>
            <w:r w:rsidRPr="00D81C20">
              <w:rPr>
                <w:rFonts w:ascii="Arial" w:eastAsia="Calibri" w:hAnsi="Arial" w:cs="Arial"/>
                <w:sz w:val="22"/>
                <w:szCs w:val="22"/>
                <w:lang w:eastAsia="en-US"/>
              </w:rPr>
              <w:t>23</w:t>
            </w:r>
          </w:p>
        </w:tc>
        <w:tc>
          <w:tcPr>
            <w:tcW w:w="4732" w:type="pct"/>
            <w:gridSpan w:val="3"/>
            <w:shd w:val="clear" w:color="auto" w:fill="F2F2F2"/>
          </w:tcPr>
          <w:p w14:paraId="77DD5E53" w14:textId="77777777" w:rsidR="00D81C20" w:rsidRPr="00D81C20" w:rsidRDefault="00D81C20" w:rsidP="00D81C20">
            <w:pPr>
              <w:autoSpaceDE w:val="0"/>
              <w:autoSpaceDN w:val="0"/>
              <w:adjustRightInd w:val="0"/>
              <w:rPr>
                <w:rFonts w:ascii="Arial" w:eastAsia="Calibri" w:hAnsi="Arial" w:cs="Arial"/>
                <w:sz w:val="22"/>
                <w:szCs w:val="22"/>
                <w:lang w:eastAsia="en-US"/>
              </w:rPr>
            </w:pPr>
            <w:r w:rsidRPr="00D81C20">
              <w:rPr>
                <w:rFonts w:ascii="Arial" w:eastAsia="Calibri" w:hAnsi="Arial" w:cs="Arial"/>
                <w:bCs/>
                <w:sz w:val="22"/>
                <w:szCs w:val="22"/>
                <w:lang w:eastAsia="en-US"/>
              </w:rPr>
              <w:t>List who will have control of, and act as custodian(s) for, data generated by the research activity</w:t>
            </w:r>
            <w:r w:rsidRPr="00D81C20">
              <w:rPr>
                <w:rFonts w:ascii="Arial" w:eastAsia="Calibri" w:hAnsi="Arial" w:cs="Arial"/>
                <w:sz w:val="22"/>
                <w:szCs w:val="22"/>
                <w:lang w:eastAsia="en-US"/>
              </w:rPr>
              <w:t>:</w:t>
            </w:r>
          </w:p>
        </w:tc>
      </w:tr>
      <w:tr w:rsidR="00D81C20" w:rsidRPr="004C3A0B" w14:paraId="5F446F33" w14:textId="77777777" w:rsidTr="00D81C20">
        <w:trPr>
          <w:trHeight w:val="403"/>
        </w:trPr>
        <w:tc>
          <w:tcPr>
            <w:tcW w:w="268" w:type="pct"/>
            <w:shd w:val="clear" w:color="auto" w:fill="auto"/>
            <w:vAlign w:val="center"/>
          </w:tcPr>
          <w:p w14:paraId="66863A4E" w14:textId="77777777" w:rsidR="00D81C20" w:rsidRPr="00D81C20" w:rsidRDefault="00D81C20" w:rsidP="00D81C20">
            <w:pPr>
              <w:autoSpaceDE w:val="0"/>
              <w:autoSpaceDN w:val="0"/>
              <w:adjustRightInd w:val="0"/>
              <w:jc w:val="center"/>
              <w:rPr>
                <w:rFonts w:ascii="Arial" w:eastAsia="Calibri" w:hAnsi="Arial" w:cs="Arial"/>
                <w:sz w:val="22"/>
                <w:szCs w:val="22"/>
                <w:lang w:eastAsia="en-US"/>
              </w:rPr>
            </w:pPr>
          </w:p>
        </w:tc>
        <w:tc>
          <w:tcPr>
            <w:tcW w:w="4732" w:type="pct"/>
            <w:gridSpan w:val="3"/>
            <w:shd w:val="clear" w:color="auto" w:fill="auto"/>
          </w:tcPr>
          <w:p w14:paraId="4677AB8A" w14:textId="77777777" w:rsidR="00D81C20" w:rsidRPr="00D81C20" w:rsidRDefault="00D81C20" w:rsidP="00D81C20">
            <w:pPr>
              <w:autoSpaceDE w:val="0"/>
              <w:autoSpaceDN w:val="0"/>
              <w:adjustRightInd w:val="0"/>
              <w:rPr>
                <w:rFonts w:ascii="Arial" w:eastAsia="Calibri" w:hAnsi="Arial" w:cs="Arial"/>
                <w:sz w:val="22"/>
                <w:szCs w:val="22"/>
                <w:lang w:eastAsia="en-US"/>
              </w:rPr>
            </w:pPr>
          </w:p>
          <w:p w14:paraId="77FC9882" w14:textId="77777777" w:rsidR="00D81C20" w:rsidRPr="00D81C20" w:rsidRDefault="00D81C20" w:rsidP="00D81C20">
            <w:pPr>
              <w:autoSpaceDE w:val="0"/>
              <w:autoSpaceDN w:val="0"/>
              <w:adjustRightInd w:val="0"/>
              <w:rPr>
                <w:rFonts w:ascii="Arial" w:eastAsia="Calibri" w:hAnsi="Arial" w:cs="Arial"/>
                <w:sz w:val="22"/>
                <w:szCs w:val="22"/>
                <w:lang w:eastAsia="en-US"/>
              </w:rPr>
            </w:pPr>
          </w:p>
          <w:p w14:paraId="3073A917" w14:textId="77777777" w:rsidR="00D81C20" w:rsidRPr="00D81C20" w:rsidRDefault="00D81C20" w:rsidP="00D81C20">
            <w:pPr>
              <w:autoSpaceDE w:val="0"/>
              <w:autoSpaceDN w:val="0"/>
              <w:adjustRightInd w:val="0"/>
              <w:rPr>
                <w:rFonts w:ascii="Arial" w:eastAsia="Calibri" w:hAnsi="Arial" w:cs="Arial"/>
                <w:sz w:val="22"/>
                <w:szCs w:val="22"/>
                <w:lang w:eastAsia="en-US"/>
              </w:rPr>
            </w:pPr>
          </w:p>
          <w:p w14:paraId="602AA68E" w14:textId="77777777" w:rsidR="00D81C20" w:rsidRPr="00D81C20" w:rsidRDefault="00D81C20" w:rsidP="00D81C20">
            <w:pPr>
              <w:autoSpaceDE w:val="0"/>
              <w:autoSpaceDN w:val="0"/>
              <w:adjustRightInd w:val="0"/>
              <w:rPr>
                <w:rFonts w:ascii="Arial" w:eastAsia="Calibri" w:hAnsi="Arial" w:cs="Arial"/>
                <w:sz w:val="22"/>
                <w:szCs w:val="22"/>
                <w:lang w:eastAsia="en-US"/>
              </w:rPr>
            </w:pPr>
            <w:r w:rsidRPr="00D81C20">
              <w:rPr>
                <w:rFonts w:ascii="Arial" w:eastAsia="Calibri" w:hAnsi="Arial" w:cs="Arial"/>
                <w:i/>
                <w:color w:val="808080"/>
                <w:sz w:val="18"/>
                <w:szCs w:val="18"/>
                <w:lang w:eastAsia="en-US"/>
              </w:rPr>
              <w:t>(this box should expand as you type)</w:t>
            </w:r>
          </w:p>
        </w:tc>
      </w:tr>
      <w:tr w:rsidR="00D81C20" w:rsidRPr="004C3A0B" w14:paraId="1282A020" w14:textId="77777777" w:rsidTr="00D81C20">
        <w:trPr>
          <w:trHeight w:val="403"/>
        </w:trPr>
        <w:tc>
          <w:tcPr>
            <w:tcW w:w="268" w:type="pct"/>
            <w:shd w:val="clear" w:color="auto" w:fill="F2F2F2"/>
            <w:vAlign w:val="center"/>
          </w:tcPr>
          <w:p w14:paraId="5F6ADAA8" w14:textId="77777777" w:rsidR="00D81C20" w:rsidRPr="00D81C20" w:rsidRDefault="00D81C20" w:rsidP="00D81C20">
            <w:pPr>
              <w:autoSpaceDE w:val="0"/>
              <w:autoSpaceDN w:val="0"/>
              <w:adjustRightInd w:val="0"/>
              <w:jc w:val="center"/>
              <w:rPr>
                <w:rFonts w:ascii="Arial" w:eastAsia="Calibri" w:hAnsi="Arial" w:cs="Arial"/>
                <w:bCs/>
                <w:sz w:val="22"/>
                <w:szCs w:val="22"/>
                <w:lang w:eastAsia="en-US"/>
              </w:rPr>
            </w:pPr>
            <w:r w:rsidRPr="00D81C20">
              <w:rPr>
                <w:rFonts w:ascii="Arial" w:eastAsia="Calibri" w:hAnsi="Arial" w:cs="Arial"/>
                <w:sz w:val="22"/>
                <w:szCs w:val="22"/>
                <w:lang w:eastAsia="en-US"/>
              </w:rPr>
              <w:t>24</w:t>
            </w:r>
          </w:p>
        </w:tc>
        <w:tc>
          <w:tcPr>
            <w:tcW w:w="4732" w:type="pct"/>
            <w:gridSpan w:val="3"/>
            <w:shd w:val="clear" w:color="auto" w:fill="F2F2F2"/>
          </w:tcPr>
          <w:p w14:paraId="215344C9" w14:textId="77777777" w:rsidR="00D81C20" w:rsidRPr="00D81C20" w:rsidRDefault="00D81C20" w:rsidP="00D81C20">
            <w:pPr>
              <w:autoSpaceDE w:val="0"/>
              <w:autoSpaceDN w:val="0"/>
              <w:adjustRightInd w:val="0"/>
              <w:rPr>
                <w:rFonts w:ascii="Arial" w:eastAsia="Calibri" w:hAnsi="Arial" w:cs="Arial"/>
                <w:sz w:val="22"/>
                <w:szCs w:val="22"/>
                <w:lang w:eastAsia="en-US"/>
              </w:rPr>
            </w:pPr>
            <w:r w:rsidRPr="00D81C20">
              <w:rPr>
                <w:rFonts w:ascii="Arial" w:eastAsia="Calibri" w:hAnsi="Arial" w:cs="Arial"/>
                <w:bCs/>
                <w:sz w:val="22"/>
                <w:szCs w:val="22"/>
                <w:lang w:eastAsia="en-US"/>
              </w:rPr>
              <w:t xml:space="preserve">Give details of data storage arrangements, including security measures in place to protect the data, where data will be stored, how long for, and in what form. Will data be archived – if so how and if not why not.  </w:t>
            </w:r>
          </w:p>
        </w:tc>
      </w:tr>
      <w:tr w:rsidR="00D81C20" w:rsidRPr="004C3A0B" w14:paraId="098D0F7A" w14:textId="77777777" w:rsidTr="00D81C20">
        <w:trPr>
          <w:trHeight w:val="403"/>
        </w:trPr>
        <w:tc>
          <w:tcPr>
            <w:tcW w:w="268" w:type="pct"/>
            <w:shd w:val="clear" w:color="auto" w:fill="auto"/>
            <w:vAlign w:val="center"/>
          </w:tcPr>
          <w:p w14:paraId="38459B94" w14:textId="77777777" w:rsidR="00D81C20" w:rsidRPr="00D81C20" w:rsidRDefault="00D81C20" w:rsidP="00D81C20">
            <w:pPr>
              <w:autoSpaceDE w:val="0"/>
              <w:autoSpaceDN w:val="0"/>
              <w:adjustRightInd w:val="0"/>
              <w:jc w:val="center"/>
              <w:rPr>
                <w:rFonts w:ascii="Arial" w:eastAsia="Calibri" w:hAnsi="Arial" w:cs="Arial"/>
                <w:sz w:val="22"/>
                <w:szCs w:val="22"/>
                <w:lang w:eastAsia="en-US"/>
              </w:rPr>
            </w:pPr>
          </w:p>
        </w:tc>
        <w:tc>
          <w:tcPr>
            <w:tcW w:w="4732" w:type="pct"/>
            <w:gridSpan w:val="3"/>
            <w:shd w:val="clear" w:color="auto" w:fill="auto"/>
          </w:tcPr>
          <w:p w14:paraId="616E6032" w14:textId="77777777" w:rsidR="00D81C20" w:rsidRPr="00D81C20" w:rsidRDefault="00D81C20" w:rsidP="00D81C20">
            <w:pPr>
              <w:autoSpaceDE w:val="0"/>
              <w:autoSpaceDN w:val="0"/>
              <w:adjustRightInd w:val="0"/>
              <w:rPr>
                <w:rFonts w:ascii="Arial" w:eastAsia="Calibri" w:hAnsi="Arial" w:cs="Arial"/>
                <w:sz w:val="22"/>
                <w:szCs w:val="22"/>
                <w:lang w:eastAsia="en-US"/>
              </w:rPr>
            </w:pPr>
          </w:p>
          <w:p w14:paraId="626D396D" w14:textId="77777777" w:rsidR="00D81C20" w:rsidRPr="00D81C20" w:rsidRDefault="00D81C20" w:rsidP="00D81C20">
            <w:pPr>
              <w:autoSpaceDE w:val="0"/>
              <w:autoSpaceDN w:val="0"/>
              <w:adjustRightInd w:val="0"/>
              <w:rPr>
                <w:rFonts w:ascii="Arial" w:eastAsia="Calibri" w:hAnsi="Arial" w:cs="Arial"/>
                <w:sz w:val="22"/>
                <w:szCs w:val="22"/>
                <w:lang w:eastAsia="en-US"/>
              </w:rPr>
            </w:pPr>
          </w:p>
          <w:p w14:paraId="1340ED95" w14:textId="77777777" w:rsidR="00D81C20" w:rsidRPr="00D81C20" w:rsidRDefault="00D81C20" w:rsidP="00D81C20">
            <w:pPr>
              <w:autoSpaceDE w:val="0"/>
              <w:autoSpaceDN w:val="0"/>
              <w:adjustRightInd w:val="0"/>
              <w:rPr>
                <w:rFonts w:ascii="Arial" w:eastAsia="Calibri" w:hAnsi="Arial" w:cs="Arial"/>
                <w:sz w:val="22"/>
                <w:szCs w:val="22"/>
                <w:lang w:eastAsia="en-US"/>
              </w:rPr>
            </w:pPr>
          </w:p>
          <w:p w14:paraId="3CE71E95" w14:textId="77777777" w:rsidR="00D81C20" w:rsidRPr="00D81C20" w:rsidRDefault="00D81C20" w:rsidP="00D81C20">
            <w:pPr>
              <w:autoSpaceDE w:val="0"/>
              <w:autoSpaceDN w:val="0"/>
              <w:adjustRightInd w:val="0"/>
              <w:rPr>
                <w:rFonts w:ascii="Arial" w:eastAsia="Calibri" w:hAnsi="Arial" w:cs="Arial"/>
                <w:sz w:val="22"/>
                <w:szCs w:val="22"/>
                <w:lang w:eastAsia="en-US"/>
              </w:rPr>
            </w:pPr>
            <w:r w:rsidRPr="00D81C20">
              <w:rPr>
                <w:rFonts w:ascii="Arial" w:eastAsia="Calibri" w:hAnsi="Arial" w:cs="Arial"/>
                <w:i/>
                <w:color w:val="808080"/>
                <w:sz w:val="18"/>
                <w:szCs w:val="18"/>
                <w:lang w:eastAsia="en-US"/>
              </w:rPr>
              <w:t>(this box should expand as you type)</w:t>
            </w:r>
          </w:p>
        </w:tc>
      </w:tr>
      <w:tr w:rsidR="00D81C20" w:rsidRPr="004C3A0B" w14:paraId="0D0D9348" w14:textId="77777777" w:rsidTr="00D81C20">
        <w:trPr>
          <w:trHeight w:val="403"/>
        </w:trPr>
        <w:tc>
          <w:tcPr>
            <w:tcW w:w="268" w:type="pct"/>
            <w:shd w:val="clear" w:color="auto" w:fill="F2F2F2"/>
            <w:vAlign w:val="center"/>
          </w:tcPr>
          <w:p w14:paraId="03976A87" w14:textId="77777777" w:rsidR="00D81C20" w:rsidRPr="00D81C20" w:rsidRDefault="00D81C20" w:rsidP="00D81C20">
            <w:pPr>
              <w:autoSpaceDE w:val="0"/>
              <w:autoSpaceDN w:val="0"/>
              <w:adjustRightInd w:val="0"/>
              <w:jc w:val="center"/>
              <w:rPr>
                <w:rFonts w:ascii="Arial" w:eastAsia="Calibri" w:hAnsi="Arial" w:cs="Arial"/>
                <w:sz w:val="22"/>
                <w:szCs w:val="22"/>
                <w:lang w:eastAsia="en-US"/>
              </w:rPr>
            </w:pPr>
            <w:r w:rsidRPr="00D81C20">
              <w:rPr>
                <w:rFonts w:ascii="Arial" w:eastAsia="Calibri" w:hAnsi="Arial" w:cs="Arial"/>
                <w:sz w:val="22"/>
                <w:szCs w:val="22"/>
                <w:lang w:eastAsia="en-US"/>
              </w:rPr>
              <w:t>25</w:t>
            </w:r>
          </w:p>
        </w:tc>
        <w:tc>
          <w:tcPr>
            <w:tcW w:w="4732" w:type="pct"/>
            <w:gridSpan w:val="3"/>
            <w:shd w:val="clear" w:color="auto" w:fill="F2F2F2"/>
          </w:tcPr>
          <w:p w14:paraId="62DE8127" w14:textId="77777777" w:rsidR="00D81C20" w:rsidRPr="00D81C20" w:rsidRDefault="00D81C20" w:rsidP="00D81C20">
            <w:pPr>
              <w:autoSpaceDE w:val="0"/>
              <w:autoSpaceDN w:val="0"/>
              <w:adjustRightInd w:val="0"/>
              <w:rPr>
                <w:rFonts w:ascii="Arial" w:eastAsia="Calibri" w:hAnsi="Arial" w:cs="Arial"/>
                <w:sz w:val="22"/>
                <w:szCs w:val="22"/>
                <w:lang w:eastAsia="en-US"/>
              </w:rPr>
            </w:pPr>
            <w:r w:rsidRPr="00D81C20">
              <w:rPr>
                <w:rFonts w:ascii="Arial" w:eastAsia="Calibri" w:hAnsi="Arial" w:cs="Arial"/>
                <w:sz w:val="22"/>
                <w:szCs w:val="22"/>
                <w:lang w:eastAsia="en-US"/>
              </w:rPr>
              <w:t xml:space="preserve">Please indicate if your data will be stored in the UWTSD Research Data Repository (see </w:t>
            </w:r>
            <w:hyperlink r:id="rId118" w:history="1">
              <w:r w:rsidRPr="00D81C20">
                <w:rPr>
                  <w:rStyle w:val="Hyperlink"/>
                  <w:rFonts w:ascii="Arial" w:eastAsia="Calibri" w:hAnsi="Arial" w:cs="Arial"/>
                  <w:color w:val="000000"/>
                  <w:sz w:val="22"/>
                  <w:szCs w:val="22"/>
                  <w:lang w:eastAsia="en-US"/>
                </w:rPr>
                <w:t>https://researchdata.uwtsd.ac.uk/</w:t>
              </w:r>
            </w:hyperlink>
            <w:r w:rsidRPr="00D81C20">
              <w:rPr>
                <w:rFonts w:ascii="Arial" w:eastAsia="Calibri" w:hAnsi="Arial" w:cs="Arial"/>
                <w:color w:val="000000"/>
                <w:sz w:val="22"/>
                <w:szCs w:val="22"/>
                <w:lang w:eastAsia="en-US"/>
              </w:rPr>
              <w:t xml:space="preserve"> ).   If so please explain. (</w:t>
            </w:r>
            <w:r w:rsidRPr="00D81C20">
              <w:rPr>
                <w:rFonts w:ascii="Arial" w:eastAsia="Calibri" w:hAnsi="Arial" w:cs="Arial"/>
                <w:i/>
                <w:color w:val="000000"/>
                <w:sz w:val="22"/>
                <w:szCs w:val="22"/>
                <w:lang w:eastAsia="en-US"/>
              </w:rPr>
              <w:t>Most relevant to academic staff)</w:t>
            </w:r>
            <w:r w:rsidRPr="00D81C20">
              <w:rPr>
                <w:rFonts w:ascii="Calibri" w:eastAsia="Calibri" w:hAnsi="Calibri"/>
                <w:color w:val="000000"/>
                <w:sz w:val="22"/>
                <w:szCs w:val="22"/>
                <w:lang w:eastAsia="en-US"/>
              </w:rPr>
              <w:t xml:space="preserve"> </w:t>
            </w:r>
          </w:p>
        </w:tc>
      </w:tr>
      <w:tr w:rsidR="00D81C20" w:rsidRPr="004C3A0B" w14:paraId="4200683F" w14:textId="77777777" w:rsidTr="00D81C20">
        <w:trPr>
          <w:trHeight w:val="403"/>
        </w:trPr>
        <w:tc>
          <w:tcPr>
            <w:tcW w:w="268" w:type="pct"/>
            <w:shd w:val="clear" w:color="auto" w:fill="auto"/>
            <w:vAlign w:val="center"/>
          </w:tcPr>
          <w:p w14:paraId="5CD7EA07" w14:textId="77777777" w:rsidR="00D81C20" w:rsidRPr="00D81C20" w:rsidRDefault="00D81C20" w:rsidP="00D81C20">
            <w:pPr>
              <w:autoSpaceDE w:val="0"/>
              <w:autoSpaceDN w:val="0"/>
              <w:adjustRightInd w:val="0"/>
              <w:jc w:val="center"/>
              <w:rPr>
                <w:rFonts w:ascii="Arial" w:eastAsia="Calibri" w:hAnsi="Arial" w:cs="Arial"/>
                <w:sz w:val="22"/>
                <w:szCs w:val="22"/>
                <w:lang w:eastAsia="en-US"/>
              </w:rPr>
            </w:pPr>
          </w:p>
        </w:tc>
        <w:tc>
          <w:tcPr>
            <w:tcW w:w="4732" w:type="pct"/>
            <w:gridSpan w:val="3"/>
            <w:shd w:val="clear" w:color="auto" w:fill="auto"/>
          </w:tcPr>
          <w:p w14:paraId="6239E336" w14:textId="77777777" w:rsidR="00D81C20" w:rsidRPr="00D81C20" w:rsidRDefault="00D81C20" w:rsidP="00D81C20">
            <w:pPr>
              <w:autoSpaceDE w:val="0"/>
              <w:autoSpaceDN w:val="0"/>
              <w:adjustRightInd w:val="0"/>
              <w:rPr>
                <w:rFonts w:ascii="Arial" w:eastAsia="Calibri" w:hAnsi="Arial" w:cs="Arial"/>
                <w:sz w:val="22"/>
                <w:szCs w:val="22"/>
                <w:lang w:eastAsia="en-US"/>
              </w:rPr>
            </w:pPr>
          </w:p>
          <w:p w14:paraId="61CE7232" w14:textId="77777777" w:rsidR="00D81C20" w:rsidRPr="00D81C20" w:rsidRDefault="00D81C20" w:rsidP="00D81C20">
            <w:pPr>
              <w:autoSpaceDE w:val="0"/>
              <w:autoSpaceDN w:val="0"/>
              <w:adjustRightInd w:val="0"/>
              <w:rPr>
                <w:rFonts w:ascii="Arial" w:eastAsia="Calibri" w:hAnsi="Arial" w:cs="Arial"/>
                <w:sz w:val="22"/>
                <w:szCs w:val="22"/>
                <w:lang w:eastAsia="en-US"/>
              </w:rPr>
            </w:pPr>
          </w:p>
          <w:p w14:paraId="47FFD15D" w14:textId="77777777" w:rsidR="00D81C20" w:rsidRPr="00D81C20" w:rsidRDefault="00D81C20" w:rsidP="00D81C20">
            <w:pPr>
              <w:autoSpaceDE w:val="0"/>
              <w:autoSpaceDN w:val="0"/>
              <w:adjustRightInd w:val="0"/>
              <w:rPr>
                <w:rFonts w:ascii="Arial" w:eastAsia="Calibri" w:hAnsi="Arial" w:cs="Arial"/>
                <w:sz w:val="22"/>
                <w:szCs w:val="22"/>
                <w:lang w:eastAsia="en-US"/>
              </w:rPr>
            </w:pPr>
          </w:p>
          <w:p w14:paraId="3C0FB786" w14:textId="77777777" w:rsidR="00D81C20" w:rsidRPr="00D81C20" w:rsidRDefault="00D81C20" w:rsidP="00D81C20">
            <w:pPr>
              <w:autoSpaceDE w:val="0"/>
              <w:autoSpaceDN w:val="0"/>
              <w:adjustRightInd w:val="0"/>
              <w:rPr>
                <w:rFonts w:ascii="Arial" w:eastAsia="Calibri" w:hAnsi="Arial" w:cs="Arial"/>
                <w:sz w:val="22"/>
                <w:szCs w:val="22"/>
                <w:lang w:eastAsia="en-US"/>
              </w:rPr>
            </w:pPr>
            <w:r w:rsidRPr="00D81C20">
              <w:rPr>
                <w:rFonts w:ascii="Arial" w:eastAsia="Calibri" w:hAnsi="Arial" w:cs="Arial"/>
                <w:i/>
                <w:color w:val="808080"/>
                <w:sz w:val="18"/>
                <w:szCs w:val="18"/>
                <w:lang w:eastAsia="en-US"/>
              </w:rPr>
              <w:t>(this box should expand as you type)</w:t>
            </w:r>
          </w:p>
        </w:tc>
      </w:tr>
      <w:tr w:rsidR="00D81C20" w:rsidRPr="004C3A0B" w14:paraId="73D9BFAB" w14:textId="77777777" w:rsidTr="00D81C20">
        <w:trPr>
          <w:trHeight w:val="606"/>
        </w:trPr>
        <w:tc>
          <w:tcPr>
            <w:tcW w:w="268" w:type="pct"/>
            <w:shd w:val="clear" w:color="auto" w:fill="F2F2F2"/>
            <w:vAlign w:val="center"/>
          </w:tcPr>
          <w:p w14:paraId="24AC0730" w14:textId="77777777" w:rsidR="00D81C20" w:rsidRPr="00D81C20" w:rsidRDefault="00D81C20" w:rsidP="00D81C20">
            <w:pPr>
              <w:autoSpaceDE w:val="0"/>
              <w:autoSpaceDN w:val="0"/>
              <w:adjustRightInd w:val="0"/>
              <w:jc w:val="center"/>
              <w:rPr>
                <w:rFonts w:ascii="Arial" w:eastAsia="Calibri" w:hAnsi="Arial" w:cs="Arial"/>
                <w:bCs/>
                <w:sz w:val="22"/>
                <w:szCs w:val="22"/>
                <w:lang w:eastAsia="en-US"/>
              </w:rPr>
            </w:pPr>
            <w:r w:rsidRPr="00D81C20">
              <w:rPr>
                <w:rFonts w:ascii="Arial" w:eastAsia="Calibri" w:hAnsi="Arial" w:cs="Arial"/>
                <w:bCs/>
                <w:sz w:val="22"/>
                <w:szCs w:val="22"/>
                <w:lang w:eastAsia="en-US"/>
              </w:rPr>
              <w:t>26</w:t>
            </w:r>
          </w:p>
        </w:tc>
        <w:tc>
          <w:tcPr>
            <w:tcW w:w="3770" w:type="pct"/>
            <w:shd w:val="clear" w:color="auto" w:fill="F2F2F2"/>
          </w:tcPr>
          <w:p w14:paraId="769C8F28" w14:textId="77777777" w:rsidR="00D81C20" w:rsidRPr="00D81C20" w:rsidRDefault="00D81C20" w:rsidP="00D81C20">
            <w:pPr>
              <w:autoSpaceDE w:val="0"/>
              <w:autoSpaceDN w:val="0"/>
              <w:adjustRightInd w:val="0"/>
              <w:rPr>
                <w:rFonts w:ascii="Arial" w:eastAsia="Calibri" w:hAnsi="Arial" w:cs="Arial"/>
                <w:color w:val="000000"/>
                <w:sz w:val="22"/>
                <w:szCs w:val="22"/>
                <w:lang w:eastAsia="en-US"/>
              </w:rPr>
            </w:pPr>
            <w:r w:rsidRPr="00D81C20">
              <w:rPr>
                <w:rFonts w:ascii="Arial" w:eastAsia="Calibri" w:hAnsi="Arial" w:cs="Arial"/>
                <w:bCs/>
                <w:sz w:val="22"/>
                <w:szCs w:val="22"/>
                <w:lang w:eastAsia="en-US"/>
              </w:rPr>
              <w:t xml:space="preserve">Confirm that you have read the UWTSD guidance on data management (see </w:t>
            </w:r>
            <w:hyperlink r:id="rId119" w:history="1">
              <w:r w:rsidRPr="00D81C20">
                <w:rPr>
                  <w:rStyle w:val="Hyperlink"/>
                  <w:rFonts w:ascii="Arial" w:eastAsia="Calibri" w:hAnsi="Arial" w:cs="Arial"/>
                  <w:color w:val="000000"/>
                  <w:sz w:val="22"/>
                  <w:szCs w:val="22"/>
                  <w:lang w:eastAsia="en-US"/>
                </w:rPr>
                <w:t>https://www.uwtsd.ac.uk/library/research-data-management/</w:t>
              </w:r>
            </w:hyperlink>
            <w:r w:rsidRPr="00D81C20">
              <w:rPr>
                <w:rFonts w:ascii="Arial" w:eastAsia="Calibri" w:hAnsi="Arial" w:cs="Arial"/>
                <w:color w:val="000000"/>
                <w:sz w:val="22"/>
                <w:szCs w:val="22"/>
                <w:lang w:eastAsia="en-US"/>
              </w:rPr>
              <w:t>)</w:t>
            </w:r>
          </w:p>
        </w:tc>
        <w:tc>
          <w:tcPr>
            <w:tcW w:w="473" w:type="pct"/>
            <w:shd w:val="clear" w:color="auto" w:fill="F2F2F2"/>
            <w:vAlign w:val="center"/>
          </w:tcPr>
          <w:p w14:paraId="6F2CDFC0" w14:textId="77777777" w:rsidR="00D81C20" w:rsidRPr="00D81C20" w:rsidRDefault="00D81C20" w:rsidP="00D81C20">
            <w:pPr>
              <w:autoSpaceDE w:val="0"/>
              <w:autoSpaceDN w:val="0"/>
              <w:adjustRightInd w:val="0"/>
              <w:jc w:val="center"/>
              <w:rPr>
                <w:rFonts w:ascii="Arial" w:eastAsia="Calibri" w:hAnsi="Arial" w:cs="Arial"/>
                <w:b/>
                <w:sz w:val="22"/>
                <w:szCs w:val="22"/>
                <w:lang w:eastAsia="en-US"/>
              </w:rPr>
            </w:pPr>
            <w:r w:rsidRPr="00D81C20">
              <w:rPr>
                <w:rFonts w:ascii="Arial" w:eastAsia="Calibri" w:hAnsi="Arial" w:cs="Arial"/>
                <w:b/>
                <w:sz w:val="22"/>
                <w:szCs w:val="22"/>
                <w:lang w:eastAsia="en-US"/>
              </w:rPr>
              <w:t>YES</w:t>
            </w:r>
          </w:p>
        </w:tc>
        <w:tc>
          <w:tcPr>
            <w:tcW w:w="489" w:type="pct"/>
            <w:shd w:val="clear" w:color="auto" w:fill="BFBFBF"/>
            <w:vAlign w:val="center"/>
          </w:tcPr>
          <w:p w14:paraId="2790AA15" w14:textId="5D248936" w:rsidR="00D81C20" w:rsidRPr="00D81C20" w:rsidRDefault="00D81C20" w:rsidP="00D81C20">
            <w:pPr>
              <w:autoSpaceDE w:val="0"/>
              <w:autoSpaceDN w:val="0"/>
              <w:adjustRightInd w:val="0"/>
              <w:jc w:val="center"/>
              <w:rPr>
                <w:rFonts w:ascii="Arial" w:eastAsia="Calibri" w:hAnsi="Arial" w:cs="Arial"/>
                <w:sz w:val="22"/>
                <w:szCs w:val="22"/>
                <w:lang w:eastAsia="en-US"/>
              </w:rPr>
            </w:pPr>
            <w:r w:rsidRPr="00D81C20">
              <w:rPr>
                <w:rFonts w:ascii="MS Gothic" w:eastAsia="MS Gothic" w:hAnsi="MS Gothic" w:cs="Arial" w:hint="eastAsia"/>
                <w:sz w:val="22"/>
                <w:szCs w:val="22"/>
                <w:lang w:eastAsia="en-US"/>
              </w:rPr>
              <w:t>☒</w:t>
            </w:r>
          </w:p>
        </w:tc>
      </w:tr>
      <w:tr w:rsidR="00D81C20" w:rsidRPr="004C3A0B" w14:paraId="3C9A8BD3" w14:textId="77777777" w:rsidTr="00D81C20">
        <w:trPr>
          <w:trHeight w:val="632"/>
        </w:trPr>
        <w:tc>
          <w:tcPr>
            <w:tcW w:w="268" w:type="pct"/>
            <w:shd w:val="clear" w:color="auto" w:fill="F2F2F2"/>
            <w:vAlign w:val="center"/>
          </w:tcPr>
          <w:p w14:paraId="039AED60" w14:textId="77777777" w:rsidR="00D81C20" w:rsidRPr="00D81C20" w:rsidRDefault="00D81C20" w:rsidP="00D81C20">
            <w:pPr>
              <w:autoSpaceDE w:val="0"/>
              <w:autoSpaceDN w:val="0"/>
              <w:adjustRightInd w:val="0"/>
              <w:jc w:val="center"/>
              <w:rPr>
                <w:rFonts w:ascii="Arial" w:eastAsia="Calibri" w:hAnsi="Arial" w:cs="Arial"/>
                <w:bCs/>
                <w:sz w:val="22"/>
                <w:szCs w:val="22"/>
                <w:lang w:eastAsia="en-US"/>
              </w:rPr>
            </w:pPr>
            <w:r w:rsidRPr="00D81C20">
              <w:rPr>
                <w:rFonts w:ascii="Arial" w:eastAsia="Calibri" w:hAnsi="Arial" w:cs="Arial"/>
                <w:bCs/>
                <w:sz w:val="22"/>
                <w:szCs w:val="22"/>
                <w:lang w:eastAsia="en-US"/>
              </w:rPr>
              <w:t>27</w:t>
            </w:r>
          </w:p>
        </w:tc>
        <w:tc>
          <w:tcPr>
            <w:tcW w:w="3770" w:type="pct"/>
            <w:shd w:val="clear" w:color="auto" w:fill="F2F2F2"/>
          </w:tcPr>
          <w:p w14:paraId="69911EDD" w14:textId="77777777" w:rsidR="00D81C20" w:rsidRPr="00D81C20" w:rsidRDefault="00D81C20" w:rsidP="00D81C20">
            <w:pPr>
              <w:autoSpaceDE w:val="0"/>
              <w:autoSpaceDN w:val="0"/>
              <w:adjustRightInd w:val="0"/>
              <w:rPr>
                <w:rFonts w:ascii="Arial" w:eastAsia="Calibri" w:hAnsi="Arial" w:cs="Arial"/>
                <w:sz w:val="22"/>
                <w:szCs w:val="22"/>
                <w:lang w:eastAsia="en-US"/>
              </w:rPr>
            </w:pPr>
            <w:r w:rsidRPr="00D81C20">
              <w:rPr>
                <w:rFonts w:ascii="Arial" w:eastAsia="Calibri" w:hAnsi="Arial" w:cs="Arial"/>
                <w:bCs/>
                <w:sz w:val="22"/>
                <w:szCs w:val="22"/>
                <w:lang w:eastAsia="en-US"/>
              </w:rPr>
              <w:t>Confirm that you are aware that you need to keep all data until after your research has completed or the end of your funding</w:t>
            </w:r>
          </w:p>
        </w:tc>
        <w:tc>
          <w:tcPr>
            <w:tcW w:w="473" w:type="pct"/>
            <w:shd w:val="clear" w:color="auto" w:fill="F2F2F2"/>
            <w:vAlign w:val="center"/>
          </w:tcPr>
          <w:p w14:paraId="7F59FDD1" w14:textId="77777777" w:rsidR="00D81C20" w:rsidRPr="00D81C20" w:rsidRDefault="00D81C20" w:rsidP="00D81C20">
            <w:pPr>
              <w:autoSpaceDE w:val="0"/>
              <w:autoSpaceDN w:val="0"/>
              <w:adjustRightInd w:val="0"/>
              <w:jc w:val="center"/>
              <w:rPr>
                <w:rFonts w:ascii="Arial" w:eastAsia="Calibri" w:hAnsi="Arial" w:cs="Arial"/>
                <w:b/>
                <w:sz w:val="22"/>
                <w:szCs w:val="22"/>
                <w:lang w:eastAsia="en-US"/>
              </w:rPr>
            </w:pPr>
            <w:r w:rsidRPr="00D81C20">
              <w:rPr>
                <w:rFonts w:ascii="Arial" w:eastAsia="Calibri" w:hAnsi="Arial" w:cs="Arial"/>
                <w:b/>
                <w:sz w:val="22"/>
                <w:szCs w:val="22"/>
                <w:lang w:eastAsia="en-US"/>
              </w:rPr>
              <w:t>YES</w:t>
            </w:r>
          </w:p>
        </w:tc>
        <w:tc>
          <w:tcPr>
            <w:tcW w:w="489" w:type="pct"/>
            <w:shd w:val="clear" w:color="auto" w:fill="BFBFBF"/>
            <w:vAlign w:val="center"/>
          </w:tcPr>
          <w:p w14:paraId="3A6B2C98" w14:textId="1CA881C3" w:rsidR="00D81C20" w:rsidRPr="00D81C20" w:rsidRDefault="00D81C20" w:rsidP="00D81C20">
            <w:pPr>
              <w:autoSpaceDE w:val="0"/>
              <w:autoSpaceDN w:val="0"/>
              <w:adjustRightInd w:val="0"/>
              <w:jc w:val="center"/>
              <w:rPr>
                <w:rFonts w:ascii="Arial" w:eastAsia="Calibri" w:hAnsi="Arial" w:cs="Arial"/>
                <w:sz w:val="22"/>
                <w:szCs w:val="22"/>
                <w:lang w:eastAsia="en-US"/>
              </w:rPr>
            </w:pPr>
            <w:r w:rsidRPr="00D81C20">
              <w:rPr>
                <w:rFonts w:ascii="MS Gothic" w:eastAsia="MS Gothic" w:hAnsi="MS Gothic" w:cs="Arial" w:hint="eastAsia"/>
                <w:sz w:val="22"/>
                <w:szCs w:val="22"/>
                <w:lang w:eastAsia="en-US"/>
              </w:rPr>
              <w:t>☒</w:t>
            </w:r>
          </w:p>
        </w:tc>
      </w:tr>
    </w:tbl>
    <w:p w14:paraId="0FF2F7DF" w14:textId="77777777" w:rsidR="00D81C20" w:rsidRDefault="00D81C20" w:rsidP="00A91894">
      <w:pPr>
        <w:rPr>
          <w:rFonts w:ascii="Arial" w:hAnsi="Arial" w:cs="Arial"/>
          <w:b/>
          <w:bCs/>
          <w:sz w:val="22"/>
          <w:szCs w:val="22"/>
        </w:rPr>
      </w:pPr>
    </w:p>
    <w:p w14:paraId="771BCDCC" w14:textId="77777777" w:rsidR="00D81C20" w:rsidRDefault="00D81C20" w:rsidP="00A91894">
      <w:pPr>
        <w:rPr>
          <w:rFonts w:ascii="Arial" w:hAnsi="Arial" w:cs="Arial"/>
          <w:b/>
          <w:bCs/>
          <w:sz w:val="22"/>
          <w:szCs w:val="22"/>
        </w:rPr>
      </w:pPr>
      <w:r>
        <w:rPr>
          <w:rFonts w:ascii="Arial" w:hAnsi="Arial" w:cs="Arial"/>
          <w:b/>
          <w:bCs/>
          <w:sz w:val="22"/>
          <w:szCs w:val="22"/>
        </w:rPr>
        <w:br w:type="page"/>
      </w:r>
    </w:p>
    <w:p w14:paraId="00B2F643" w14:textId="77777777" w:rsidR="00D81C20" w:rsidRPr="00354F34" w:rsidRDefault="00D81C20" w:rsidP="00A9189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SECTION K: Declaration</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438"/>
        <w:gridCol w:w="2348"/>
        <w:gridCol w:w="3816"/>
        <w:gridCol w:w="1694"/>
      </w:tblGrid>
      <w:tr w:rsidR="00D81C20" w:rsidRPr="004C3A0B" w14:paraId="6B2A1F41" w14:textId="77777777" w:rsidTr="00D81C20">
        <w:trPr>
          <w:trHeight w:val="1807"/>
        </w:trPr>
        <w:tc>
          <w:tcPr>
            <w:tcW w:w="264" w:type="pct"/>
            <w:shd w:val="clear" w:color="auto" w:fill="F2F2F2"/>
            <w:vAlign w:val="center"/>
          </w:tcPr>
          <w:p w14:paraId="6C9E1239" w14:textId="77777777" w:rsidR="00D81C20" w:rsidRPr="004C3A0B" w:rsidRDefault="00D81C20" w:rsidP="00A91894">
            <w:pPr>
              <w:jc w:val="center"/>
              <w:rPr>
                <w:rFonts w:ascii="Arial" w:hAnsi="Arial" w:cs="Arial"/>
                <w:sz w:val="22"/>
                <w:szCs w:val="22"/>
              </w:rPr>
            </w:pPr>
          </w:p>
        </w:tc>
        <w:tc>
          <w:tcPr>
            <w:tcW w:w="4736" w:type="pct"/>
            <w:gridSpan w:val="3"/>
            <w:shd w:val="clear" w:color="auto" w:fill="F2F2F2"/>
            <w:vAlign w:val="center"/>
          </w:tcPr>
          <w:p w14:paraId="072E0328" w14:textId="77777777" w:rsidR="00D81C20" w:rsidRPr="004C3A0B" w:rsidRDefault="00D81C20" w:rsidP="00A91894">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0B3BCA82" w14:textId="77777777" w:rsidR="00D81C20" w:rsidRPr="004C3A0B" w:rsidRDefault="00D81C20" w:rsidP="00A91894">
            <w:pPr>
              <w:jc w:val="both"/>
              <w:rPr>
                <w:rFonts w:ascii="Arial" w:hAnsi="Arial" w:cs="Arial"/>
                <w:b/>
                <w:bCs/>
                <w:color w:val="000000"/>
                <w:sz w:val="22"/>
                <w:szCs w:val="22"/>
              </w:rPr>
            </w:pPr>
          </w:p>
          <w:p w14:paraId="0FD4A0D1" w14:textId="77777777" w:rsidR="00D81C20" w:rsidRPr="004C3A0B" w:rsidRDefault="00D81C20" w:rsidP="00A91894">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will meet the University’s </w:t>
            </w:r>
            <w:r w:rsidRPr="00CA510C">
              <w:rPr>
                <w:rFonts w:ascii="Arial" w:hAnsi="Arial" w:cs="Arial"/>
                <w:sz w:val="22"/>
                <w:szCs w:val="22"/>
              </w:rPr>
              <w:t>Research Ethics and Integrity Code of Practice</w:t>
            </w:r>
            <w:r>
              <w:rPr>
                <w:rFonts w:ascii="Arial" w:hAnsi="Arial" w:cs="Arial"/>
                <w:sz w:val="22"/>
                <w:szCs w:val="22"/>
              </w:rPr>
              <w:t xml:space="preserve"> which is published on the website: </w:t>
            </w:r>
            <w:hyperlink r:id="rId120" w:history="1">
              <w:r w:rsidRPr="00100C35">
                <w:rPr>
                  <w:rStyle w:val="Hyperlink"/>
                  <w:rFonts w:ascii="Arial" w:hAnsi="Arial" w:cs="Arial"/>
                  <w:sz w:val="22"/>
                  <w:szCs w:val="22"/>
                </w:rPr>
                <w:t>https://www.uwtsd.ac.uk/research/research-ethics/</w:t>
              </w:r>
            </w:hyperlink>
            <w:r>
              <w:rPr>
                <w:rFonts w:ascii="Arial" w:hAnsi="Arial" w:cs="Arial"/>
                <w:sz w:val="22"/>
                <w:szCs w:val="22"/>
              </w:rPr>
              <w:t xml:space="preserve"> </w:t>
            </w:r>
          </w:p>
        </w:tc>
      </w:tr>
      <w:tr w:rsidR="00D81C20" w:rsidRPr="004C3A0B" w14:paraId="7734B295" w14:textId="77777777" w:rsidTr="00D81C20">
        <w:trPr>
          <w:trHeight w:val="657"/>
        </w:trPr>
        <w:tc>
          <w:tcPr>
            <w:tcW w:w="264" w:type="pct"/>
            <w:tcBorders>
              <w:top w:val="single" w:sz="4" w:space="0" w:color="auto"/>
              <w:left w:val="single" w:sz="4" w:space="0" w:color="auto"/>
              <w:bottom w:val="single" w:sz="4" w:space="0" w:color="auto"/>
              <w:right w:val="single" w:sz="4" w:space="0" w:color="auto"/>
            </w:tcBorders>
            <w:shd w:val="clear" w:color="auto" w:fill="F2F2F2"/>
            <w:vAlign w:val="center"/>
          </w:tcPr>
          <w:p w14:paraId="49FDFCB2" w14:textId="77777777" w:rsidR="00D81C20" w:rsidRPr="00BC301B" w:rsidRDefault="00D81C20" w:rsidP="00A91894">
            <w:pPr>
              <w:spacing w:before="100" w:beforeAutospacing="1" w:after="100" w:afterAutospacing="1"/>
              <w:jc w:val="center"/>
              <w:rPr>
                <w:rFonts w:ascii="Arial" w:hAnsi="Arial" w:cs="Arial"/>
                <w:bCs/>
                <w:sz w:val="22"/>
                <w:szCs w:val="22"/>
              </w:rPr>
            </w:pPr>
            <w:r>
              <w:rPr>
                <w:rFonts w:ascii="Arial" w:hAnsi="Arial" w:cs="Arial"/>
                <w:bCs/>
                <w:sz w:val="22"/>
                <w:szCs w:val="22"/>
              </w:rPr>
              <w:t>1</w:t>
            </w:r>
          </w:p>
        </w:tc>
        <w:tc>
          <w:tcPr>
            <w:tcW w:w="1415" w:type="pct"/>
            <w:tcBorders>
              <w:top w:val="single" w:sz="4" w:space="0" w:color="auto"/>
              <w:left w:val="single" w:sz="4" w:space="0" w:color="auto"/>
              <w:bottom w:val="single" w:sz="4" w:space="0" w:color="auto"/>
              <w:right w:val="single" w:sz="4" w:space="0" w:color="auto"/>
            </w:tcBorders>
            <w:shd w:val="clear" w:color="auto" w:fill="F2F2F2"/>
            <w:vAlign w:val="center"/>
          </w:tcPr>
          <w:p w14:paraId="2FD40AB6" w14:textId="77777777" w:rsidR="00D81C20" w:rsidRPr="004C3A0B" w:rsidRDefault="00D81C20" w:rsidP="00A91894">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2300" w:type="pct"/>
            <w:tcBorders>
              <w:left w:val="single" w:sz="4" w:space="0" w:color="auto"/>
            </w:tcBorders>
            <w:vAlign w:val="center"/>
          </w:tcPr>
          <w:p w14:paraId="74ABBDFB" w14:textId="3B9AEAA7" w:rsidR="00D81C20" w:rsidRPr="004C3A0B" w:rsidRDefault="005F7C25" w:rsidP="00A91894">
            <w:pPr>
              <w:spacing w:before="100" w:beforeAutospacing="1" w:after="100" w:afterAutospacing="1"/>
              <w:rPr>
                <w:rFonts w:ascii="Arial" w:hAnsi="Arial" w:cs="Arial"/>
                <w:sz w:val="22"/>
                <w:szCs w:val="22"/>
              </w:rPr>
            </w:pPr>
            <w:r>
              <w:rPr>
                <w:rFonts w:ascii="Arial" w:hAnsi="Arial" w:cs="Arial"/>
                <w:noProof/>
                <w:sz w:val="22"/>
                <w:szCs w:val="22"/>
              </w:rPr>
              <w:drawing>
                <wp:inline distT="0" distB="0" distL="0" distR="0" wp14:anchorId="7AAFA118" wp14:editId="454678F3">
                  <wp:extent cx="1449070" cy="829945"/>
                  <wp:effectExtent l="0" t="0" r="0" b="0"/>
                  <wp:docPr id="3" name="Picture 1" descr="A picture containing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picture containing letter&#10;&#10;Description automatically generated"/>
                          <pic:cNvPicPr>
                            <a:picLocks noChangeAspect="1" noChangeArrowheads="1"/>
                          </pic:cNvPicPr>
                        </pic:nvPicPr>
                        <pic:blipFill>
                          <a:blip r:embed="rId121" cstate="print">
                            <a:extLst>
                              <a:ext uri="{28A0092B-C50C-407E-A947-70E740481C1C}">
                                <a14:useLocalDpi xmlns:a14="http://schemas.microsoft.com/office/drawing/2010/main" val="0"/>
                              </a:ext>
                            </a:extLst>
                          </a:blip>
                          <a:srcRect/>
                          <a:stretch>
                            <a:fillRect/>
                          </a:stretch>
                        </pic:blipFill>
                        <pic:spPr bwMode="auto">
                          <a:xfrm>
                            <a:off x="0" y="0"/>
                            <a:ext cx="1449070" cy="829945"/>
                          </a:xfrm>
                          <a:prstGeom prst="rect">
                            <a:avLst/>
                          </a:prstGeom>
                          <a:noFill/>
                          <a:ln>
                            <a:noFill/>
                          </a:ln>
                        </pic:spPr>
                      </pic:pic>
                    </a:graphicData>
                  </a:graphic>
                </wp:inline>
              </w:drawing>
            </w:r>
          </w:p>
        </w:tc>
        <w:tc>
          <w:tcPr>
            <w:tcW w:w="1021" w:type="pct"/>
            <w:vAlign w:val="center"/>
          </w:tcPr>
          <w:p w14:paraId="7BA44C87" w14:textId="77777777" w:rsidR="00D81C20" w:rsidRDefault="00D81C20" w:rsidP="00A91894">
            <w:pPr>
              <w:spacing w:before="100" w:beforeAutospacing="1" w:after="100" w:afterAutospacing="1"/>
              <w:rPr>
                <w:rFonts w:ascii="Arial" w:hAnsi="Arial" w:cs="Arial"/>
                <w:b/>
                <w:bCs/>
                <w:sz w:val="22"/>
                <w:szCs w:val="22"/>
              </w:rPr>
            </w:pPr>
            <w:r w:rsidRPr="004C3A0B">
              <w:rPr>
                <w:rFonts w:ascii="Arial" w:hAnsi="Arial" w:cs="Arial"/>
                <w:b/>
                <w:bCs/>
                <w:sz w:val="22"/>
                <w:szCs w:val="22"/>
              </w:rPr>
              <w:t>Date:</w:t>
            </w:r>
            <w:r>
              <w:rPr>
                <w:rFonts w:ascii="Arial" w:hAnsi="Arial" w:cs="Arial"/>
                <w:b/>
                <w:bCs/>
                <w:sz w:val="22"/>
                <w:szCs w:val="22"/>
              </w:rPr>
              <w:t xml:space="preserve"> 29/10/2022</w:t>
            </w:r>
          </w:p>
          <w:p w14:paraId="6918CB1B" w14:textId="77777777" w:rsidR="00D81C20" w:rsidRPr="004C3A0B" w:rsidRDefault="00D81C20" w:rsidP="00A91894">
            <w:pPr>
              <w:spacing w:before="100" w:beforeAutospacing="1" w:after="100" w:afterAutospacing="1"/>
              <w:rPr>
                <w:rFonts w:ascii="Arial" w:hAnsi="Arial" w:cs="Arial"/>
                <w:sz w:val="22"/>
                <w:szCs w:val="22"/>
              </w:rPr>
            </w:pPr>
          </w:p>
        </w:tc>
      </w:tr>
    </w:tbl>
    <w:p w14:paraId="3BB3EDEC" w14:textId="77777777" w:rsidR="00D81C20" w:rsidRPr="004C3A0B" w:rsidRDefault="00D81C20" w:rsidP="00A91894">
      <w:pPr>
        <w:rPr>
          <w:rFonts w:ascii="Arial" w:hAnsi="Arial" w:cs="Arial"/>
          <w:sz w:val="22"/>
          <w:szCs w:val="22"/>
        </w:rPr>
      </w:pPr>
    </w:p>
    <w:p w14:paraId="00BB50E1" w14:textId="77777777" w:rsidR="00D81C20" w:rsidRPr="004C3A0B" w:rsidRDefault="00D81C20" w:rsidP="00A91894">
      <w:pPr>
        <w:rPr>
          <w:rFonts w:ascii="Arial" w:hAnsi="Arial" w:cs="Arial"/>
          <w:b/>
          <w:i/>
          <w:sz w:val="22"/>
          <w:szCs w:val="22"/>
        </w:rPr>
      </w:pPr>
      <w:r w:rsidRPr="004C3A0B">
        <w:rPr>
          <w:rFonts w:ascii="Arial" w:hAnsi="Arial" w:cs="Arial"/>
          <w:b/>
          <w:i/>
          <w:sz w:val="22"/>
          <w:szCs w:val="22"/>
        </w:rPr>
        <w:t>For STUDENT</w:t>
      </w:r>
      <w:r>
        <w:rPr>
          <w:rFonts w:ascii="Arial" w:hAnsi="Arial" w:cs="Arial"/>
          <w:b/>
          <w:i/>
          <w:sz w:val="22"/>
          <w:szCs w:val="22"/>
        </w:rPr>
        <w:t xml:space="preserve"> Submissions</w:t>
      </w:r>
      <w:r w:rsidRPr="004C3A0B">
        <w:rPr>
          <w:rFonts w:ascii="Arial" w:hAnsi="Arial" w:cs="Arial"/>
          <w:b/>
          <w:i/>
          <w:sz w:val="22"/>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7"/>
        <w:gridCol w:w="2397"/>
        <w:gridCol w:w="3610"/>
        <w:gridCol w:w="1682"/>
      </w:tblGrid>
      <w:tr w:rsidR="00D81C20" w:rsidRPr="004C3A0B" w14:paraId="71AB9B00" w14:textId="77777777" w:rsidTr="00D81C20">
        <w:trPr>
          <w:trHeight w:val="346"/>
        </w:trPr>
        <w:tc>
          <w:tcPr>
            <w:tcW w:w="365" w:type="pct"/>
            <w:shd w:val="clear" w:color="auto" w:fill="F2F2F2"/>
            <w:vAlign w:val="center"/>
          </w:tcPr>
          <w:p w14:paraId="2D1A688F" w14:textId="77777777" w:rsidR="00D81C20" w:rsidRPr="004C3A0B" w:rsidRDefault="00D81C20" w:rsidP="00A91894">
            <w:pPr>
              <w:pStyle w:val="ListParagraph"/>
              <w:ind w:left="0"/>
              <w:jc w:val="center"/>
              <w:rPr>
                <w:rFonts w:ascii="Arial" w:hAnsi="Arial" w:cs="Arial"/>
              </w:rPr>
            </w:pPr>
            <w:r>
              <w:rPr>
                <w:rFonts w:ascii="Arial" w:hAnsi="Arial" w:cs="Arial"/>
              </w:rPr>
              <w:t>2</w:t>
            </w:r>
          </w:p>
        </w:tc>
        <w:tc>
          <w:tcPr>
            <w:tcW w:w="1444" w:type="pct"/>
            <w:shd w:val="clear" w:color="auto" w:fill="F2F2F2"/>
            <w:vAlign w:val="center"/>
          </w:tcPr>
          <w:p w14:paraId="6929FEDA" w14:textId="77777777" w:rsidR="00D81C20" w:rsidRPr="004C3A0B" w:rsidRDefault="00D81C20" w:rsidP="00A91894">
            <w:pPr>
              <w:pStyle w:val="ListParagraph"/>
              <w:ind w:left="0"/>
              <w:rPr>
                <w:rFonts w:ascii="Arial" w:hAnsi="Arial" w:cs="Arial"/>
              </w:rPr>
            </w:pPr>
            <w:r w:rsidRPr="004C3A0B">
              <w:rPr>
                <w:rFonts w:ascii="Arial" w:hAnsi="Arial" w:cs="Arial"/>
              </w:rPr>
              <w:t>Director of Studies/Supervisor:</w:t>
            </w:r>
          </w:p>
        </w:tc>
        <w:tc>
          <w:tcPr>
            <w:tcW w:w="2176" w:type="pct"/>
            <w:shd w:val="clear" w:color="auto" w:fill="auto"/>
            <w:vAlign w:val="center"/>
          </w:tcPr>
          <w:p w14:paraId="0B22F2CA" w14:textId="77777777" w:rsidR="00D81C20" w:rsidRPr="004C3A0B" w:rsidRDefault="00D81C20" w:rsidP="00A91894">
            <w:pPr>
              <w:pStyle w:val="ListParagraph"/>
              <w:ind w:left="0"/>
              <w:rPr>
                <w:rFonts w:ascii="Arial" w:hAnsi="Arial" w:cs="Arial"/>
              </w:rPr>
            </w:pPr>
            <w:r>
              <w:rPr>
                <w:rFonts w:ascii="Arial" w:hAnsi="Arial" w:cs="Arial"/>
              </w:rPr>
              <w:t>Ken Dicks</w:t>
            </w:r>
          </w:p>
        </w:tc>
        <w:tc>
          <w:tcPr>
            <w:tcW w:w="1014" w:type="pct"/>
            <w:vMerge w:val="restart"/>
          </w:tcPr>
          <w:p w14:paraId="56C8D54C" w14:textId="77777777" w:rsidR="00D81C20" w:rsidRPr="004C3A0B" w:rsidRDefault="00D81C20" w:rsidP="00A91894">
            <w:pPr>
              <w:pStyle w:val="ListParagraph"/>
              <w:ind w:left="0"/>
              <w:rPr>
                <w:rFonts w:ascii="Arial" w:hAnsi="Arial" w:cs="Arial"/>
              </w:rPr>
            </w:pPr>
            <w:r w:rsidRPr="004C3A0B">
              <w:rPr>
                <w:rFonts w:ascii="Arial" w:hAnsi="Arial" w:cs="Arial"/>
                <w:b/>
                <w:bCs/>
              </w:rPr>
              <w:t>Date:</w:t>
            </w:r>
            <w:r>
              <w:rPr>
                <w:rFonts w:ascii="Arial" w:hAnsi="Arial" w:cs="Arial"/>
                <w:b/>
                <w:bCs/>
              </w:rPr>
              <w:t xml:space="preserve"> 10/02/2023</w:t>
            </w:r>
          </w:p>
        </w:tc>
      </w:tr>
      <w:tr w:rsidR="00D81C20" w:rsidRPr="004C3A0B" w14:paraId="6AE43E26" w14:textId="77777777" w:rsidTr="00D81C20">
        <w:trPr>
          <w:trHeight w:val="347"/>
        </w:trPr>
        <w:tc>
          <w:tcPr>
            <w:tcW w:w="365" w:type="pct"/>
            <w:shd w:val="clear" w:color="auto" w:fill="F2F2F2"/>
            <w:vAlign w:val="center"/>
          </w:tcPr>
          <w:p w14:paraId="5F663966" w14:textId="77777777" w:rsidR="00D81C20" w:rsidRPr="004C3A0B" w:rsidRDefault="00D81C20" w:rsidP="00A91894">
            <w:pPr>
              <w:pStyle w:val="ListParagraph"/>
              <w:ind w:left="0"/>
              <w:jc w:val="center"/>
              <w:rPr>
                <w:rFonts w:ascii="Arial" w:hAnsi="Arial" w:cs="Arial"/>
              </w:rPr>
            </w:pPr>
            <w:r>
              <w:rPr>
                <w:rFonts w:ascii="Arial" w:hAnsi="Arial" w:cs="Arial"/>
              </w:rPr>
              <w:t>3</w:t>
            </w:r>
          </w:p>
        </w:tc>
        <w:tc>
          <w:tcPr>
            <w:tcW w:w="1444" w:type="pct"/>
            <w:shd w:val="clear" w:color="auto" w:fill="F2F2F2"/>
            <w:vAlign w:val="center"/>
          </w:tcPr>
          <w:p w14:paraId="6FB4D532" w14:textId="77777777" w:rsidR="00D81C20" w:rsidRPr="004C3A0B" w:rsidRDefault="00D81C20" w:rsidP="00A91894">
            <w:pPr>
              <w:pStyle w:val="ListParagraph"/>
              <w:ind w:left="0"/>
              <w:rPr>
                <w:rFonts w:ascii="Arial" w:hAnsi="Arial" w:cs="Arial"/>
              </w:rPr>
            </w:pPr>
            <w:r w:rsidRPr="004C3A0B">
              <w:rPr>
                <w:rFonts w:ascii="Arial" w:hAnsi="Arial" w:cs="Arial"/>
              </w:rPr>
              <w:t>Signature:</w:t>
            </w:r>
          </w:p>
        </w:tc>
        <w:tc>
          <w:tcPr>
            <w:tcW w:w="2176" w:type="pct"/>
            <w:shd w:val="clear" w:color="auto" w:fill="auto"/>
            <w:vAlign w:val="center"/>
          </w:tcPr>
          <w:p w14:paraId="0763C286" w14:textId="77777777" w:rsidR="00D81C20" w:rsidRPr="004C3A0B" w:rsidRDefault="00D81C20" w:rsidP="00A91894">
            <w:pPr>
              <w:pStyle w:val="ListParagraph"/>
              <w:ind w:left="0"/>
              <w:rPr>
                <w:rFonts w:ascii="Arial" w:hAnsi="Arial" w:cs="Arial"/>
              </w:rPr>
            </w:pPr>
          </w:p>
          <w:p w14:paraId="192A3CC3" w14:textId="77777777" w:rsidR="00D81C20" w:rsidRPr="004C3A0B" w:rsidRDefault="00D81C20" w:rsidP="00A91894">
            <w:pPr>
              <w:pStyle w:val="ListParagraph"/>
              <w:ind w:left="0"/>
              <w:rPr>
                <w:rFonts w:ascii="Arial" w:hAnsi="Arial" w:cs="Arial"/>
              </w:rPr>
            </w:pPr>
          </w:p>
        </w:tc>
        <w:tc>
          <w:tcPr>
            <w:tcW w:w="1014" w:type="pct"/>
            <w:vMerge/>
            <w:vAlign w:val="center"/>
          </w:tcPr>
          <w:p w14:paraId="0469D385" w14:textId="77777777" w:rsidR="00D81C20" w:rsidRPr="004C3A0B" w:rsidRDefault="00D81C20" w:rsidP="00A91894">
            <w:pPr>
              <w:pStyle w:val="ListParagraph"/>
              <w:ind w:left="0"/>
              <w:rPr>
                <w:rFonts w:ascii="Arial" w:hAnsi="Arial" w:cs="Arial"/>
              </w:rPr>
            </w:pPr>
          </w:p>
        </w:tc>
      </w:tr>
    </w:tbl>
    <w:p w14:paraId="513137C8" w14:textId="77777777" w:rsidR="00D81C20" w:rsidRPr="004C3A0B" w:rsidRDefault="00D81C20" w:rsidP="00A91894">
      <w:pPr>
        <w:rPr>
          <w:rFonts w:ascii="Arial" w:hAnsi="Arial" w:cs="Arial"/>
          <w:sz w:val="22"/>
          <w:szCs w:val="22"/>
        </w:rPr>
      </w:pPr>
    </w:p>
    <w:p w14:paraId="6835D6C9" w14:textId="77777777" w:rsidR="00D81C20" w:rsidRDefault="00D81C20" w:rsidP="00A91894">
      <w:pPr>
        <w:rPr>
          <w:rFonts w:ascii="Arial" w:hAnsi="Arial" w:cs="Arial"/>
          <w:b/>
          <w:i/>
          <w:sz w:val="22"/>
          <w:szCs w:val="22"/>
        </w:rPr>
      </w:pPr>
      <w:r w:rsidRPr="004C3A0B">
        <w:rPr>
          <w:rFonts w:ascii="Arial" w:hAnsi="Arial" w:cs="Arial"/>
          <w:b/>
          <w:i/>
          <w:sz w:val="22"/>
          <w:szCs w:val="22"/>
        </w:rPr>
        <w:t xml:space="preserve">For </w:t>
      </w:r>
      <w:r>
        <w:rPr>
          <w:rFonts w:ascii="Arial" w:hAnsi="Arial" w:cs="Arial"/>
          <w:b/>
          <w:i/>
          <w:sz w:val="22"/>
          <w:szCs w:val="22"/>
        </w:rPr>
        <w:t>S</w:t>
      </w:r>
      <w:r w:rsidRPr="004C3A0B">
        <w:rPr>
          <w:rFonts w:ascii="Arial" w:hAnsi="Arial" w:cs="Arial"/>
          <w:b/>
          <w:i/>
          <w:sz w:val="22"/>
          <w:szCs w:val="22"/>
        </w:rPr>
        <w:t>TAFF</w:t>
      </w:r>
      <w:r>
        <w:rPr>
          <w:rFonts w:ascii="Arial" w:hAnsi="Arial" w:cs="Arial"/>
          <w:b/>
          <w:i/>
          <w:sz w:val="22"/>
          <w:szCs w:val="22"/>
        </w:rPr>
        <w:t xml:space="preserve"> Submissions</w:t>
      </w:r>
      <w:r w:rsidRPr="004C3A0B">
        <w:rPr>
          <w:rFonts w:ascii="Arial" w:hAnsi="Arial" w:cs="Arial"/>
          <w:b/>
          <w:i/>
          <w:sz w:val="22"/>
          <w:szCs w:val="22"/>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8"/>
        <w:gridCol w:w="2398"/>
        <w:gridCol w:w="3612"/>
        <w:gridCol w:w="1681"/>
      </w:tblGrid>
      <w:tr w:rsidR="00D81C20" w:rsidRPr="004C3A0B" w14:paraId="453549DE" w14:textId="77777777" w:rsidTr="00D81C20">
        <w:trPr>
          <w:trHeight w:val="346"/>
        </w:trPr>
        <w:tc>
          <w:tcPr>
            <w:tcW w:w="366" w:type="pct"/>
            <w:shd w:val="clear" w:color="auto" w:fill="F2F2F2"/>
            <w:vAlign w:val="center"/>
          </w:tcPr>
          <w:p w14:paraId="747DC2C5" w14:textId="77777777" w:rsidR="00D81C20" w:rsidRDefault="00D81C20" w:rsidP="00A91894">
            <w:pPr>
              <w:pStyle w:val="ListParagraph"/>
              <w:ind w:left="0"/>
              <w:jc w:val="center"/>
              <w:rPr>
                <w:rFonts w:ascii="Arial" w:hAnsi="Arial" w:cs="Arial"/>
              </w:rPr>
            </w:pPr>
            <w:r>
              <w:rPr>
                <w:rFonts w:ascii="Arial" w:hAnsi="Arial" w:cs="Arial"/>
              </w:rPr>
              <w:t>4</w:t>
            </w:r>
          </w:p>
        </w:tc>
        <w:tc>
          <w:tcPr>
            <w:tcW w:w="1444" w:type="pct"/>
            <w:shd w:val="clear" w:color="auto" w:fill="F2F2F2"/>
            <w:vAlign w:val="center"/>
          </w:tcPr>
          <w:p w14:paraId="17A5F309" w14:textId="77777777" w:rsidR="00D81C20" w:rsidRPr="004C3A0B" w:rsidRDefault="00D81C20" w:rsidP="00A91894">
            <w:pPr>
              <w:pStyle w:val="ListParagraph"/>
              <w:ind w:left="0"/>
              <w:rPr>
                <w:rFonts w:ascii="Arial" w:hAnsi="Arial" w:cs="Arial"/>
              </w:rPr>
            </w:pPr>
            <w:r>
              <w:rPr>
                <w:rFonts w:ascii="Arial" w:hAnsi="Arial" w:cs="Arial"/>
              </w:rPr>
              <w:t>Academic Director/ Assistant Dean</w:t>
            </w:r>
            <w:r w:rsidRPr="004C3A0B">
              <w:rPr>
                <w:rFonts w:ascii="Arial" w:hAnsi="Arial" w:cs="Arial"/>
              </w:rPr>
              <w:t>:</w:t>
            </w:r>
          </w:p>
        </w:tc>
        <w:tc>
          <w:tcPr>
            <w:tcW w:w="2176" w:type="pct"/>
            <w:shd w:val="clear" w:color="auto" w:fill="auto"/>
            <w:vAlign w:val="center"/>
          </w:tcPr>
          <w:p w14:paraId="5469504C" w14:textId="77777777" w:rsidR="00D81C20" w:rsidRPr="004C3A0B" w:rsidRDefault="00D81C20" w:rsidP="00A91894">
            <w:pPr>
              <w:pStyle w:val="ListParagraph"/>
              <w:ind w:left="0"/>
              <w:rPr>
                <w:rFonts w:ascii="Arial" w:hAnsi="Arial" w:cs="Arial"/>
              </w:rPr>
            </w:pPr>
          </w:p>
        </w:tc>
        <w:tc>
          <w:tcPr>
            <w:tcW w:w="1013" w:type="pct"/>
            <w:vMerge w:val="restart"/>
          </w:tcPr>
          <w:p w14:paraId="673A5E01" w14:textId="77777777" w:rsidR="00D81C20" w:rsidRPr="004C3A0B" w:rsidRDefault="00D81C20" w:rsidP="00A91894">
            <w:pPr>
              <w:pStyle w:val="ListParagraph"/>
              <w:ind w:left="0"/>
              <w:rPr>
                <w:rFonts w:ascii="Arial" w:hAnsi="Arial" w:cs="Arial"/>
              </w:rPr>
            </w:pPr>
            <w:r w:rsidRPr="004C3A0B">
              <w:rPr>
                <w:rFonts w:ascii="Arial" w:hAnsi="Arial" w:cs="Arial"/>
                <w:b/>
                <w:bCs/>
              </w:rPr>
              <w:t>Date:</w:t>
            </w:r>
          </w:p>
        </w:tc>
      </w:tr>
      <w:tr w:rsidR="00D81C20" w:rsidRPr="004C3A0B" w14:paraId="40A74CD8" w14:textId="77777777" w:rsidTr="00D81C20">
        <w:trPr>
          <w:trHeight w:val="347"/>
        </w:trPr>
        <w:tc>
          <w:tcPr>
            <w:tcW w:w="366" w:type="pct"/>
            <w:shd w:val="clear" w:color="auto" w:fill="F2F2F2"/>
            <w:vAlign w:val="center"/>
          </w:tcPr>
          <w:p w14:paraId="285FAD01" w14:textId="77777777" w:rsidR="00D81C20" w:rsidRPr="004C3A0B" w:rsidRDefault="00D81C20" w:rsidP="00A91894">
            <w:pPr>
              <w:pStyle w:val="ListParagraph"/>
              <w:ind w:left="0"/>
              <w:jc w:val="center"/>
              <w:rPr>
                <w:rFonts w:ascii="Arial" w:hAnsi="Arial" w:cs="Arial"/>
              </w:rPr>
            </w:pPr>
            <w:r>
              <w:rPr>
                <w:rFonts w:ascii="Arial" w:hAnsi="Arial" w:cs="Arial"/>
              </w:rPr>
              <w:t>5</w:t>
            </w:r>
          </w:p>
        </w:tc>
        <w:tc>
          <w:tcPr>
            <w:tcW w:w="1444" w:type="pct"/>
            <w:shd w:val="clear" w:color="auto" w:fill="F2F2F2"/>
            <w:vAlign w:val="center"/>
          </w:tcPr>
          <w:p w14:paraId="797CD3A8" w14:textId="77777777" w:rsidR="00D81C20" w:rsidRPr="004C3A0B" w:rsidRDefault="00D81C20" w:rsidP="00A91894">
            <w:pPr>
              <w:pStyle w:val="ListParagraph"/>
              <w:ind w:left="0"/>
              <w:rPr>
                <w:rFonts w:ascii="Arial" w:hAnsi="Arial" w:cs="Arial"/>
              </w:rPr>
            </w:pPr>
            <w:r w:rsidRPr="004C3A0B">
              <w:rPr>
                <w:rFonts w:ascii="Arial" w:hAnsi="Arial" w:cs="Arial"/>
              </w:rPr>
              <w:t>Signature:</w:t>
            </w:r>
          </w:p>
        </w:tc>
        <w:tc>
          <w:tcPr>
            <w:tcW w:w="2176" w:type="pct"/>
            <w:shd w:val="clear" w:color="auto" w:fill="auto"/>
            <w:vAlign w:val="center"/>
          </w:tcPr>
          <w:p w14:paraId="44D0BB22" w14:textId="77777777" w:rsidR="00D81C20" w:rsidRPr="004C3A0B" w:rsidRDefault="00D81C20" w:rsidP="00A91894">
            <w:pPr>
              <w:pStyle w:val="ListParagraph"/>
              <w:ind w:left="0"/>
              <w:rPr>
                <w:rFonts w:ascii="Arial" w:hAnsi="Arial" w:cs="Arial"/>
              </w:rPr>
            </w:pPr>
          </w:p>
          <w:p w14:paraId="16A7DECC" w14:textId="77777777" w:rsidR="00D81C20" w:rsidRPr="004C3A0B" w:rsidRDefault="00D81C20" w:rsidP="00A91894">
            <w:pPr>
              <w:pStyle w:val="ListParagraph"/>
              <w:ind w:left="0"/>
              <w:rPr>
                <w:rFonts w:ascii="Arial" w:hAnsi="Arial" w:cs="Arial"/>
              </w:rPr>
            </w:pPr>
          </w:p>
        </w:tc>
        <w:tc>
          <w:tcPr>
            <w:tcW w:w="1013" w:type="pct"/>
            <w:vMerge/>
            <w:vAlign w:val="center"/>
          </w:tcPr>
          <w:p w14:paraId="411AEA9C" w14:textId="77777777" w:rsidR="00D81C20" w:rsidRPr="004C3A0B" w:rsidRDefault="00D81C20" w:rsidP="00A91894">
            <w:pPr>
              <w:pStyle w:val="ListParagraph"/>
              <w:ind w:left="0"/>
              <w:rPr>
                <w:rFonts w:ascii="Arial" w:hAnsi="Arial" w:cs="Arial"/>
              </w:rPr>
            </w:pPr>
          </w:p>
        </w:tc>
      </w:tr>
    </w:tbl>
    <w:p w14:paraId="6D3BE311" w14:textId="77777777" w:rsidR="00D81C20" w:rsidRDefault="00D81C20" w:rsidP="00A91894">
      <w:pPr>
        <w:rPr>
          <w:rFonts w:ascii="Arial" w:hAnsi="Arial" w:cs="Arial"/>
          <w:b/>
          <w:sz w:val="22"/>
          <w:szCs w:val="22"/>
        </w:rPr>
      </w:pPr>
    </w:p>
    <w:p w14:paraId="2D82F2E5" w14:textId="77777777" w:rsidR="00D81C20" w:rsidRPr="004C3A0B" w:rsidRDefault="00D81C20" w:rsidP="00A91894">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Please complete the checklist below to ensure that you have completed the form according to the guidelines and attached any required documentation:</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4"/>
        <w:gridCol w:w="7762"/>
      </w:tblGrid>
      <w:tr w:rsidR="00D81C20" w:rsidRPr="004C3A0B" w14:paraId="020491C8" w14:textId="77777777" w:rsidTr="00D81C20">
        <w:trPr>
          <w:trHeight w:val="491"/>
        </w:trPr>
        <w:tc>
          <w:tcPr>
            <w:tcW w:w="322" w:type="pct"/>
            <w:shd w:val="clear" w:color="auto" w:fill="BFBFBF"/>
            <w:vAlign w:val="center"/>
          </w:tcPr>
          <w:p w14:paraId="13AD0E71" w14:textId="789B1F98" w:rsidR="00D81C20" w:rsidRPr="00D81C20" w:rsidRDefault="00D81C20" w:rsidP="00D81C20">
            <w:pPr>
              <w:jc w:val="center"/>
              <w:rPr>
                <w:rFonts w:ascii="Arial" w:eastAsia="MS Gothic" w:hAnsi="Arial" w:cs="Arial"/>
                <w:sz w:val="22"/>
                <w:szCs w:val="22"/>
                <w:lang w:eastAsia="en-US"/>
              </w:rPr>
            </w:pPr>
            <w:r w:rsidRPr="00D81C20">
              <w:rPr>
                <w:rFonts w:ascii="MS Gothic" w:eastAsia="MS Gothic" w:hAnsi="MS Gothic" w:cs="Arial" w:hint="eastAsia"/>
                <w:sz w:val="22"/>
                <w:szCs w:val="22"/>
                <w:lang w:eastAsia="en-US"/>
              </w:rPr>
              <w:t>☒</w:t>
            </w:r>
          </w:p>
        </w:tc>
        <w:tc>
          <w:tcPr>
            <w:tcW w:w="4678" w:type="pct"/>
            <w:shd w:val="clear" w:color="auto" w:fill="auto"/>
            <w:vAlign w:val="center"/>
          </w:tcPr>
          <w:p w14:paraId="710FB0F5" w14:textId="77777777" w:rsidR="00D81C20" w:rsidRPr="00D81C20" w:rsidRDefault="00D81C20" w:rsidP="00A91894">
            <w:pPr>
              <w:rPr>
                <w:rFonts w:ascii="Arial" w:eastAsia="MS Gothic" w:hAnsi="Arial" w:cs="Arial"/>
                <w:bCs/>
                <w:sz w:val="22"/>
                <w:szCs w:val="22"/>
                <w:lang w:eastAsia="en-US"/>
              </w:rPr>
            </w:pPr>
            <w:r w:rsidRPr="00D81C20">
              <w:rPr>
                <w:rFonts w:ascii="Arial" w:eastAsia="MS Gothic" w:hAnsi="Arial" w:cs="Arial"/>
                <w:bCs/>
                <w:sz w:val="22"/>
                <w:szCs w:val="22"/>
                <w:lang w:eastAsia="en-US"/>
              </w:rPr>
              <w:t>I have read the guidance notes supplied before completing the form.</w:t>
            </w:r>
          </w:p>
        </w:tc>
      </w:tr>
      <w:tr w:rsidR="00D81C20" w:rsidRPr="004C3A0B" w14:paraId="0E99CE88" w14:textId="77777777" w:rsidTr="00D81C20">
        <w:trPr>
          <w:trHeight w:val="413"/>
        </w:trPr>
        <w:tc>
          <w:tcPr>
            <w:tcW w:w="322" w:type="pct"/>
            <w:shd w:val="clear" w:color="auto" w:fill="BFBFBF"/>
            <w:vAlign w:val="center"/>
          </w:tcPr>
          <w:p w14:paraId="045952FE" w14:textId="4CA1081B" w:rsidR="00D81C20" w:rsidRPr="00D81C20" w:rsidRDefault="00D81C20" w:rsidP="00D81C20">
            <w:pPr>
              <w:jc w:val="center"/>
              <w:rPr>
                <w:rFonts w:ascii="Arial" w:eastAsia="MS Gothic" w:hAnsi="Arial" w:cs="Arial"/>
                <w:sz w:val="22"/>
                <w:szCs w:val="22"/>
                <w:lang w:eastAsia="en-US"/>
              </w:rPr>
            </w:pPr>
            <w:r w:rsidRPr="00D81C20">
              <w:rPr>
                <w:rFonts w:ascii="MS Gothic" w:eastAsia="MS Gothic" w:hAnsi="MS Gothic" w:cs="Arial" w:hint="eastAsia"/>
                <w:sz w:val="22"/>
                <w:szCs w:val="22"/>
                <w:lang w:eastAsia="en-US"/>
              </w:rPr>
              <w:t>☒</w:t>
            </w:r>
          </w:p>
        </w:tc>
        <w:tc>
          <w:tcPr>
            <w:tcW w:w="4678" w:type="pct"/>
            <w:shd w:val="clear" w:color="auto" w:fill="auto"/>
            <w:vAlign w:val="center"/>
          </w:tcPr>
          <w:p w14:paraId="71D189A1" w14:textId="77777777" w:rsidR="00D81C20" w:rsidRPr="00D81C20" w:rsidRDefault="00D81C20" w:rsidP="00A91894">
            <w:pPr>
              <w:rPr>
                <w:rFonts w:ascii="Arial" w:eastAsia="Calibri" w:hAnsi="Arial" w:cs="Arial"/>
                <w:sz w:val="22"/>
                <w:szCs w:val="22"/>
                <w:lang w:eastAsia="en-US"/>
              </w:rPr>
            </w:pPr>
            <w:r w:rsidRPr="00D81C20">
              <w:rPr>
                <w:rFonts w:ascii="Arial" w:eastAsia="Calibri" w:hAnsi="Arial" w:cs="Arial"/>
                <w:sz w:val="22"/>
                <w:szCs w:val="22"/>
                <w:lang w:eastAsia="en-US"/>
              </w:rPr>
              <w:t xml:space="preserve">I have completed </w:t>
            </w:r>
            <w:r w:rsidRPr="00D81C20">
              <w:rPr>
                <w:rFonts w:ascii="Arial" w:eastAsia="Calibri" w:hAnsi="Arial" w:cs="Arial"/>
                <w:b/>
                <w:sz w:val="22"/>
                <w:szCs w:val="22"/>
                <w:lang w:eastAsia="en-US"/>
              </w:rPr>
              <w:t>ALL RELEVANT</w:t>
            </w:r>
            <w:r w:rsidRPr="00D81C20">
              <w:rPr>
                <w:rFonts w:ascii="Arial" w:eastAsia="Calibri" w:hAnsi="Arial" w:cs="Arial"/>
                <w:sz w:val="22"/>
                <w:szCs w:val="22"/>
                <w:lang w:eastAsia="en-US"/>
              </w:rPr>
              <w:t xml:space="preserve"> sections of the form in full.</w:t>
            </w:r>
          </w:p>
        </w:tc>
      </w:tr>
      <w:tr w:rsidR="00D81C20" w:rsidRPr="004C3A0B" w14:paraId="5F301373" w14:textId="77777777" w:rsidTr="00D81C20">
        <w:trPr>
          <w:trHeight w:val="419"/>
        </w:trPr>
        <w:tc>
          <w:tcPr>
            <w:tcW w:w="322" w:type="pct"/>
            <w:shd w:val="clear" w:color="auto" w:fill="BFBFBF"/>
            <w:vAlign w:val="center"/>
          </w:tcPr>
          <w:p w14:paraId="3D94F513" w14:textId="2FBDEA1F" w:rsidR="00D81C20" w:rsidRPr="00D81C20" w:rsidRDefault="00D81C20" w:rsidP="00D81C20">
            <w:pPr>
              <w:jc w:val="center"/>
              <w:rPr>
                <w:rFonts w:ascii="Arial" w:eastAsia="Calibri" w:hAnsi="Arial" w:cs="Arial"/>
                <w:sz w:val="22"/>
                <w:szCs w:val="22"/>
                <w:lang w:eastAsia="en-US"/>
              </w:rPr>
            </w:pPr>
            <w:r w:rsidRPr="00D81C20">
              <w:rPr>
                <w:rFonts w:ascii="MS Gothic" w:eastAsia="MS Gothic" w:hAnsi="MS Gothic" w:cs="Arial" w:hint="eastAsia"/>
                <w:sz w:val="22"/>
                <w:szCs w:val="22"/>
                <w:lang w:eastAsia="en-US"/>
              </w:rPr>
              <w:t>☒</w:t>
            </w:r>
          </w:p>
        </w:tc>
        <w:tc>
          <w:tcPr>
            <w:tcW w:w="4678" w:type="pct"/>
            <w:shd w:val="clear" w:color="auto" w:fill="auto"/>
            <w:vAlign w:val="center"/>
          </w:tcPr>
          <w:p w14:paraId="168AA030" w14:textId="77777777" w:rsidR="00D81C20" w:rsidRPr="00D81C20" w:rsidRDefault="00D81C20" w:rsidP="00A91894">
            <w:pPr>
              <w:rPr>
                <w:rFonts w:ascii="Arial" w:eastAsia="Calibri" w:hAnsi="Arial" w:cs="Arial"/>
                <w:sz w:val="22"/>
                <w:szCs w:val="22"/>
                <w:lang w:eastAsia="en-US"/>
              </w:rPr>
            </w:pPr>
            <w:r w:rsidRPr="00D81C20">
              <w:rPr>
                <w:rFonts w:ascii="Arial" w:eastAsia="Calibri" w:hAnsi="Arial" w:cs="Arial"/>
                <w:sz w:val="22"/>
                <w:szCs w:val="22"/>
                <w:lang w:eastAsia="en-US"/>
              </w:rPr>
              <w:t>I confirm that the research activity has received approval in principle</w:t>
            </w:r>
          </w:p>
        </w:tc>
      </w:tr>
      <w:tr w:rsidR="00D81C20" w:rsidRPr="004C3A0B" w14:paraId="3AA6EB82" w14:textId="77777777" w:rsidTr="00D81C20">
        <w:trPr>
          <w:trHeight w:val="492"/>
        </w:trPr>
        <w:tc>
          <w:tcPr>
            <w:tcW w:w="322" w:type="pct"/>
            <w:shd w:val="clear" w:color="auto" w:fill="BFBFBF"/>
            <w:vAlign w:val="center"/>
          </w:tcPr>
          <w:p w14:paraId="5266FD97" w14:textId="0A9BA9B3" w:rsidR="00D81C20" w:rsidRPr="00D81C20" w:rsidRDefault="00D81C20" w:rsidP="00D81C20">
            <w:pPr>
              <w:jc w:val="center"/>
              <w:rPr>
                <w:rFonts w:ascii="Arial" w:eastAsia="Calibri" w:hAnsi="Arial" w:cs="Arial"/>
                <w:sz w:val="22"/>
                <w:szCs w:val="22"/>
                <w:lang w:eastAsia="en-US"/>
              </w:rPr>
            </w:pPr>
            <w:r w:rsidRPr="00D81C20">
              <w:rPr>
                <w:rFonts w:ascii="MS Gothic" w:eastAsia="MS Gothic" w:hAnsi="MS Gothic" w:cs="Arial" w:hint="eastAsia"/>
                <w:sz w:val="22"/>
                <w:szCs w:val="22"/>
                <w:lang w:eastAsia="en-US"/>
              </w:rPr>
              <w:t>☐</w:t>
            </w:r>
          </w:p>
        </w:tc>
        <w:tc>
          <w:tcPr>
            <w:tcW w:w="4678" w:type="pct"/>
            <w:shd w:val="clear" w:color="auto" w:fill="auto"/>
            <w:vAlign w:val="center"/>
          </w:tcPr>
          <w:p w14:paraId="541B6963" w14:textId="77777777" w:rsidR="00D81C20" w:rsidRPr="00D81C20" w:rsidRDefault="00D81C20" w:rsidP="00A91894">
            <w:pPr>
              <w:rPr>
                <w:rFonts w:ascii="Arial" w:eastAsia="Calibri" w:hAnsi="Arial" w:cs="Arial"/>
                <w:sz w:val="22"/>
                <w:szCs w:val="22"/>
                <w:lang w:eastAsia="en-US"/>
              </w:rPr>
            </w:pPr>
            <w:r w:rsidRPr="00D81C20">
              <w:rPr>
                <w:rFonts w:ascii="Arial" w:eastAsia="Calibri" w:hAnsi="Arial" w:cs="Arial"/>
                <w:sz w:val="22"/>
                <w:szCs w:val="22"/>
                <w:lang w:eastAsia="en-US"/>
              </w:rPr>
              <w:t>I have attached a copy of final/interim approval from external organisation (</w:t>
            </w:r>
            <w:r w:rsidRPr="00D81C20">
              <w:rPr>
                <w:rFonts w:ascii="Arial" w:eastAsia="Calibri" w:hAnsi="Arial" w:cs="Arial"/>
                <w:b/>
                <w:sz w:val="22"/>
                <w:szCs w:val="22"/>
                <w:lang w:eastAsia="en-US"/>
              </w:rPr>
              <w:t>where appropriate</w:t>
            </w:r>
            <w:r w:rsidRPr="00D81C20">
              <w:rPr>
                <w:rFonts w:ascii="Arial" w:eastAsia="Calibri" w:hAnsi="Arial" w:cs="Arial"/>
                <w:sz w:val="22"/>
                <w:szCs w:val="22"/>
                <w:lang w:eastAsia="en-US"/>
              </w:rPr>
              <w:t>)</w:t>
            </w:r>
          </w:p>
        </w:tc>
      </w:tr>
      <w:tr w:rsidR="00D81C20" w:rsidRPr="004C3A0B" w14:paraId="46CD4110" w14:textId="77777777" w:rsidTr="00D81C20">
        <w:trPr>
          <w:trHeight w:val="720"/>
        </w:trPr>
        <w:tc>
          <w:tcPr>
            <w:tcW w:w="322" w:type="pct"/>
            <w:shd w:val="clear" w:color="auto" w:fill="BFBFBF"/>
            <w:vAlign w:val="center"/>
          </w:tcPr>
          <w:p w14:paraId="30A5AD53" w14:textId="22BA03C3" w:rsidR="00D81C20" w:rsidRPr="00D81C20" w:rsidRDefault="00D81C20" w:rsidP="00D81C20">
            <w:pPr>
              <w:jc w:val="center"/>
              <w:rPr>
                <w:rFonts w:ascii="Arial" w:eastAsia="Calibri" w:hAnsi="Arial" w:cs="Arial"/>
                <w:sz w:val="22"/>
                <w:szCs w:val="22"/>
                <w:lang w:eastAsia="en-US"/>
              </w:rPr>
            </w:pPr>
            <w:r w:rsidRPr="00D81C20">
              <w:rPr>
                <w:rFonts w:ascii="MS Gothic" w:eastAsia="MS Gothic" w:hAnsi="MS Gothic" w:cs="Arial" w:hint="eastAsia"/>
                <w:sz w:val="22"/>
                <w:szCs w:val="22"/>
                <w:lang w:eastAsia="en-US"/>
              </w:rPr>
              <w:t>☐</w:t>
            </w:r>
          </w:p>
        </w:tc>
        <w:tc>
          <w:tcPr>
            <w:tcW w:w="4678" w:type="pct"/>
            <w:shd w:val="clear" w:color="auto" w:fill="auto"/>
            <w:vAlign w:val="center"/>
          </w:tcPr>
          <w:p w14:paraId="5EF70D7C" w14:textId="77777777" w:rsidR="00D81C20" w:rsidRPr="00D81C20" w:rsidRDefault="00D81C20" w:rsidP="00A91894">
            <w:pPr>
              <w:rPr>
                <w:rFonts w:ascii="Arial" w:eastAsia="Calibri" w:hAnsi="Arial" w:cs="Arial"/>
                <w:sz w:val="22"/>
                <w:szCs w:val="22"/>
                <w:lang w:eastAsia="en-US"/>
              </w:rPr>
            </w:pPr>
            <w:r w:rsidRPr="00D81C20">
              <w:rPr>
                <w:rFonts w:ascii="Arial" w:eastAsia="Calibri" w:hAnsi="Arial" w:cs="Arial"/>
                <w:sz w:val="22"/>
                <w:szCs w:val="22"/>
                <w:lang w:eastAsia="en-US"/>
              </w:rPr>
              <w:t xml:space="preserve">I have attached a full risk assessment (where appropriate)  </w:t>
            </w:r>
            <w:r w:rsidRPr="00D81C20">
              <w:rPr>
                <w:rFonts w:ascii="Arial" w:eastAsia="Calibri" w:hAnsi="Arial" w:cs="Arial"/>
                <w:i/>
                <w:sz w:val="22"/>
                <w:szCs w:val="22"/>
                <w:lang w:eastAsia="en-US"/>
              </w:rPr>
              <w:t>ONLY TICK IF YOU HAVE</w:t>
            </w:r>
            <w:r w:rsidRPr="00D81C20">
              <w:rPr>
                <w:rFonts w:ascii="Arial" w:eastAsia="Calibri" w:hAnsi="Arial" w:cs="Arial"/>
                <w:b/>
                <w:i/>
                <w:sz w:val="22"/>
                <w:szCs w:val="22"/>
                <w:lang w:eastAsia="en-US"/>
              </w:rPr>
              <w:t xml:space="preserve"> ATTACHED A FULL RISK ASSESSMENT</w:t>
            </w:r>
          </w:p>
        </w:tc>
      </w:tr>
      <w:tr w:rsidR="00D81C20" w:rsidRPr="004C3A0B" w14:paraId="579A9F2A" w14:textId="77777777" w:rsidTr="00D81C20">
        <w:trPr>
          <w:trHeight w:val="858"/>
        </w:trPr>
        <w:tc>
          <w:tcPr>
            <w:tcW w:w="322" w:type="pct"/>
            <w:shd w:val="clear" w:color="auto" w:fill="BFBFBF"/>
            <w:vAlign w:val="center"/>
          </w:tcPr>
          <w:p w14:paraId="4B45D5AF" w14:textId="3EB92C43" w:rsidR="00D81C20" w:rsidRPr="00D81C20" w:rsidRDefault="00D81C20" w:rsidP="00D81C20">
            <w:pPr>
              <w:jc w:val="center"/>
              <w:rPr>
                <w:rFonts w:ascii="Arial" w:eastAsia="Calibri" w:hAnsi="Arial" w:cs="Arial"/>
                <w:sz w:val="22"/>
                <w:szCs w:val="22"/>
                <w:lang w:eastAsia="en-US"/>
              </w:rPr>
            </w:pPr>
            <w:r w:rsidRPr="00D81C20">
              <w:rPr>
                <w:rFonts w:ascii="MS Gothic" w:eastAsia="MS Gothic" w:hAnsi="MS Gothic" w:cs="Arial" w:hint="eastAsia"/>
                <w:sz w:val="22"/>
                <w:szCs w:val="22"/>
                <w:lang w:eastAsia="en-US"/>
              </w:rPr>
              <w:t>☒</w:t>
            </w:r>
          </w:p>
        </w:tc>
        <w:tc>
          <w:tcPr>
            <w:tcW w:w="4678" w:type="pct"/>
            <w:shd w:val="clear" w:color="auto" w:fill="auto"/>
            <w:vAlign w:val="center"/>
          </w:tcPr>
          <w:p w14:paraId="5123705E" w14:textId="77777777" w:rsidR="00D81C20" w:rsidRPr="00D81C20" w:rsidRDefault="00D81C20" w:rsidP="00A91894">
            <w:pPr>
              <w:rPr>
                <w:rFonts w:ascii="Arial" w:eastAsia="Calibri" w:hAnsi="Arial" w:cs="Arial"/>
                <w:sz w:val="22"/>
                <w:szCs w:val="22"/>
                <w:lang w:eastAsia="en-US"/>
              </w:rPr>
            </w:pPr>
            <w:r w:rsidRPr="00D81C20">
              <w:rPr>
                <w:rFonts w:ascii="Arial" w:eastAsia="Calibri" w:hAnsi="Arial" w:cs="Arial"/>
                <w:sz w:val="22"/>
                <w:szCs w:val="22"/>
                <w:lang w:eastAsia="en-US"/>
              </w:rPr>
              <w:t>I understand that it is my responsibility to ensure that the above named research activity will meet the University’s Research Ethics and Integrity Code of Practice.</w:t>
            </w:r>
          </w:p>
        </w:tc>
      </w:tr>
      <w:tr w:rsidR="00D81C20" w:rsidRPr="004C3A0B" w14:paraId="6E6F914F" w14:textId="77777777" w:rsidTr="00D81C20">
        <w:trPr>
          <w:trHeight w:val="969"/>
        </w:trPr>
        <w:tc>
          <w:tcPr>
            <w:tcW w:w="322" w:type="pct"/>
            <w:shd w:val="clear" w:color="auto" w:fill="BFBFBF"/>
            <w:vAlign w:val="center"/>
          </w:tcPr>
          <w:p w14:paraId="61D8E001" w14:textId="5FEF456D" w:rsidR="00D81C20" w:rsidRPr="00D81C20" w:rsidRDefault="00D81C20" w:rsidP="00D81C20">
            <w:pPr>
              <w:jc w:val="center"/>
              <w:rPr>
                <w:rFonts w:ascii="Arial" w:eastAsia="Calibri" w:hAnsi="Arial" w:cs="Arial"/>
                <w:sz w:val="22"/>
                <w:szCs w:val="22"/>
                <w:lang w:eastAsia="en-US"/>
              </w:rPr>
            </w:pPr>
            <w:r w:rsidRPr="00D81C20">
              <w:rPr>
                <w:rFonts w:ascii="MS Gothic" w:eastAsia="MS Gothic" w:hAnsi="MS Gothic" w:cs="Arial" w:hint="eastAsia"/>
                <w:sz w:val="22"/>
                <w:szCs w:val="22"/>
                <w:lang w:eastAsia="en-US"/>
              </w:rPr>
              <w:t>☒</w:t>
            </w:r>
          </w:p>
        </w:tc>
        <w:tc>
          <w:tcPr>
            <w:tcW w:w="4678" w:type="pct"/>
            <w:shd w:val="clear" w:color="auto" w:fill="auto"/>
            <w:vAlign w:val="center"/>
          </w:tcPr>
          <w:p w14:paraId="581666B8" w14:textId="77777777" w:rsidR="00D81C20" w:rsidRPr="00D81C20" w:rsidRDefault="00D81C20" w:rsidP="00A91894">
            <w:pPr>
              <w:rPr>
                <w:rFonts w:ascii="Arial" w:eastAsia="Calibri" w:hAnsi="Arial" w:cs="Arial"/>
                <w:sz w:val="22"/>
                <w:szCs w:val="22"/>
                <w:lang w:eastAsia="en-US"/>
              </w:rPr>
            </w:pPr>
            <w:r w:rsidRPr="00D81C20">
              <w:rPr>
                <w:rFonts w:ascii="Arial" w:eastAsia="Calibri" w:hAnsi="Arial" w:cs="Arial"/>
                <w:sz w:val="22"/>
                <w:szCs w:val="22"/>
                <w:lang w:eastAsia="en-US"/>
              </w:rPr>
              <w:t>I understand that before commencing data collection all documents aimed at respondents (including information sheets, consent forms, questionnaires, interview schedules etc.) must be confirmed by the DoS/Supervisor, module tutor or Academic Director.</w:t>
            </w:r>
          </w:p>
        </w:tc>
      </w:tr>
    </w:tbl>
    <w:p w14:paraId="49267630" w14:textId="77777777" w:rsidR="00D81C20" w:rsidRPr="004C3A0B" w:rsidRDefault="00D81C20" w:rsidP="00A91894">
      <w:pPr>
        <w:tabs>
          <w:tab w:val="left" w:pos="5103"/>
        </w:tabs>
        <w:rPr>
          <w:rFonts w:ascii="Arial" w:hAnsi="Arial" w:cs="Arial"/>
          <w:b/>
          <w:bCs/>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8296"/>
      </w:tblGrid>
      <w:tr w:rsidR="00D81C20" w:rsidRPr="004C3A0B" w14:paraId="333DFAC3" w14:textId="77777777" w:rsidTr="00D81C20">
        <w:tc>
          <w:tcPr>
            <w:tcW w:w="5000" w:type="pct"/>
            <w:shd w:val="clear" w:color="auto" w:fill="D9D9D9"/>
          </w:tcPr>
          <w:p w14:paraId="6390FE41" w14:textId="77777777" w:rsidR="00D81C20" w:rsidRPr="004C3A0B" w:rsidRDefault="00D81C20" w:rsidP="00A91894">
            <w:pPr>
              <w:rPr>
                <w:rFonts w:ascii="Arial" w:hAnsi="Arial" w:cs="Arial"/>
                <w:b/>
                <w:sz w:val="22"/>
                <w:szCs w:val="22"/>
              </w:rPr>
            </w:pPr>
            <w:r w:rsidRPr="004C3A0B">
              <w:rPr>
                <w:rFonts w:ascii="Arial" w:hAnsi="Arial" w:cs="Arial"/>
                <w:b/>
                <w:sz w:val="22"/>
                <w:szCs w:val="22"/>
              </w:rPr>
              <w:t>RESEARCH STUDENTS AND STAFF ONLY</w:t>
            </w:r>
          </w:p>
          <w:p w14:paraId="4C76F641" w14:textId="77777777" w:rsidR="00D81C20" w:rsidRPr="004C3A0B" w:rsidRDefault="00D81C20" w:rsidP="00A91894">
            <w:pPr>
              <w:rPr>
                <w:rFonts w:ascii="Arial" w:hAnsi="Arial" w:cs="Arial"/>
                <w:sz w:val="22"/>
                <w:szCs w:val="22"/>
              </w:rPr>
            </w:pPr>
            <w:r w:rsidRPr="004C3A0B">
              <w:rPr>
                <w:rFonts w:ascii="Arial" w:hAnsi="Arial" w:cs="Arial"/>
                <w:sz w:val="22"/>
                <w:szCs w:val="22"/>
              </w:rPr>
              <w:lastRenderedPageBreak/>
              <w:t xml:space="preserve">All communications relating to this application during its processing must be in writing and emailed to </w:t>
            </w:r>
            <w:hyperlink r:id="rId122"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14:paraId="0AD1F202" w14:textId="77777777" w:rsidR="00D81C20" w:rsidRPr="004C3A0B" w:rsidRDefault="00D81C20" w:rsidP="00A91894">
            <w:pPr>
              <w:rPr>
                <w:rFonts w:ascii="Arial" w:hAnsi="Arial" w:cs="Arial"/>
                <w:sz w:val="22"/>
                <w:szCs w:val="22"/>
              </w:rPr>
            </w:pPr>
            <w:r w:rsidRPr="004C3A0B">
              <w:rPr>
                <w:rFonts w:ascii="Arial" w:hAnsi="Arial" w:cs="Arial"/>
                <w:color w:val="000000"/>
                <w:sz w:val="22"/>
                <w:szCs w:val="22"/>
              </w:rPr>
              <w:t>You will be informed of the outcome of your claim by email; therefore</w:t>
            </w:r>
            <w:r w:rsidRPr="004C3A0B">
              <w:rPr>
                <w:rFonts w:ascii="Arial" w:hAnsi="Arial" w:cs="Arial"/>
                <w:b/>
                <w:color w:val="000000"/>
                <w:sz w:val="22"/>
                <w:szCs w:val="22"/>
              </w:rPr>
              <w:t xml:space="preserve"> </w:t>
            </w:r>
            <w:r w:rsidRPr="004C3A0B">
              <w:rPr>
                <w:rStyle w:val="Strong"/>
                <w:rFonts w:ascii="Arial" w:hAnsi="Arial" w:cs="Arial"/>
                <w:color w:val="000000"/>
                <w:sz w:val="22"/>
                <w:szCs w:val="22"/>
              </w:rPr>
              <w:t>it is important that you check your University and personal email accounts regularly</w:t>
            </w:r>
            <w:r w:rsidRPr="004C3A0B">
              <w:rPr>
                <w:rFonts w:ascii="Arial" w:hAnsi="Arial" w:cs="Arial"/>
                <w:b/>
                <w:bCs/>
                <w:sz w:val="22"/>
                <w:szCs w:val="22"/>
              </w:rPr>
              <w:t>.</w:t>
            </w:r>
          </w:p>
        </w:tc>
      </w:tr>
      <w:tr w:rsidR="00D81C20" w:rsidRPr="004C3A0B" w14:paraId="3AEF3D8A" w14:textId="77777777" w:rsidTr="00D81C20">
        <w:tc>
          <w:tcPr>
            <w:tcW w:w="5000" w:type="pct"/>
            <w:shd w:val="clear" w:color="auto" w:fill="D9D9D9"/>
          </w:tcPr>
          <w:p w14:paraId="6BC9E1FB" w14:textId="77777777" w:rsidR="00D81C20" w:rsidRPr="004C3A0B" w:rsidRDefault="00D81C20" w:rsidP="00A91894">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4C3A0B">
              <w:rPr>
                <w:rFonts w:ascii="Arial" w:hAnsi="Arial" w:cs="Arial"/>
                <w:b/>
                <w:bCs/>
                <w:sz w:val="22"/>
                <w:szCs w:val="22"/>
              </w:rPr>
              <w:lastRenderedPageBreak/>
              <w:t xml:space="preserve">STUDENTS ON UNDERGRADUATE OR TAUGHT MASTERS PROGRAMMES </w:t>
            </w:r>
            <w:r>
              <w:rPr>
                <w:rFonts w:ascii="Arial" w:hAnsi="Arial" w:cs="Arial"/>
                <w:bCs/>
                <w:sz w:val="22"/>
                <w:szCs w:val="22"/>
              </w:rPr>
              <w:t>should submit</w:t>
            </w:r>
            <w:r w:rsidRPr="004C3A0B">
              <w:rPr>
                <w:rFonts w:ascii="Arial" w:hAnsi="Arial" w:cs="Arial"/>
                <w:bCs/>
                <w:sz w:val="22"/>
                <w:szCs w:val="22"/>
              </w:rPr>
              <w:t xml:space="preserve"> this form (and receive the outcome) via systems explained to you by the supervisor/module leader.</w:t>
            </w:r>
          </w:p>
        </w:tc>
      </w:tr>
    </w:tbl>
    <w:p w14:paraId="0718AB95" w14:textId="77777777" w:rsidR="00D81C20" w:rsidRPr="004C3A0B" w:rsidRDefault="00D81C20" w:rsidP="00A91894">
      <w:pPr>
        <w:tabs>
          <w:tab w:val="left" w:pos="5103"/>
        </w:tabs>
        <w:rPr>
          <w:rFonts w:ascii="Arial" w:hAnsi="Arial" w:cs="Arial"/>
          <w:bCs/>
          <w:sz w:val="22"/>
          <w:szCs w:val="22"/>
        </w:rPr>
      </w:pPr>
    </w:p>
    <w:p w14:paraId="587B1B70" w14:textId="77777777" w:rsidR="00D81C20" w:rsidRPr="00431025" w:rsidRDefault="00D81C20" w:rsidP="00A91894">
      <w:pPr>
        <w:jc w:val="center"/>
        <w:rPr>
          <w:rFonts w:ascii="Arial" w:hAnsi="Arial" w:cs="Arial"/>
          <w:sz w:val="22"/>
          <w:szCs w:val="22"/>
        </w:rPr>
      </w:pPr>
      <w:r w:rsidRPr="00431025">
        <w:rPr>
          <w:rFonts w:ascii="Arial" w:hAnsi="Arial" w:cs="Arial"/>
          <w:b/>
          <w:bCs/>
          <w:sz w:val="22"/>
          <w:szCs w:val="22"/>
        </w:rPr>
        <w:t>This form is available electronically from the Academic Office web pages:</w:t>
      </w:r>
      <w:r w:rsidRPr="00431025">
        <w:rPr>
          <w:rFonts w:ascii="Arial" w:hAnsi="Arial" w:cs="Arial"/>
          <w:sz w:val="22"/>
          <w:szCs w:val="22"/>
        </w:rPr>
        <w:t xml:space="preserve"> </w:t>
      </w:r>
      <w:hyperlink r:id="rId123" w:history="1">
        <w:r w:rsidRPr="00431025">
          <w:rPr>
            <w:rStyle w:val="Hyperlink"/>
            <w:rFonts w:ascii="Arial" w:hAnsi="Arial" w:cs="Arial"/>
            <w:sz w:val="22"/>
            <w:szCs w:val="22"/>
          </w:rPr>
          <w:t>https://www.uwtsd.ac.uk/academic-office/appendices-and-forms/</w:t>
        </w:r>
      </w:hyperlink>
    </w:p>
    <w:p w14:paraId="5857BD07" w14:textId="77777777" w:rsidR="00BA5248" w:rsidRDefault="00BA5248" w:rsidP="00F05D06">
      <w:pPr>
        <w:tabs>
          <w:tab w:val="left" w:pos="5103"/>
        </w:tabs>
        <w:jc w:val="center"/>
        <w:rPr>
          <w:rFonts w:ascii="Arial" w:hAnsi="Arial" w:cs="Arial"/>
          <w:b/>
          <w:bCs/>
        </w:rPr>
      </w:pPr>
    </w:p>
    <w:p w14:paraId="38FB9AEC" w14:textId="77777777" w:rsidR="00FE7B91" w:rsidRDefault="00FE7B91" w:rsidP="00FE7B91"/>
    <w:p w14:paraId="2773205C" w14:textId="77777777" w:rsidR="00FE7B91" w:rsidRDefault="00FE7B91" w:rsidP="00FE7B91"/>
    <w:p w14:paraId="06AD2DFC" w14:textId="77777777" w:rsidR="00FE7B91" w:rsidRPr="00FE7B91" w:rsidRDefault="00FE7B91" w:rsidP="00FE7B91">
      <w:pPr>
        <w:spacing w:line="276" w:lineRule="auto"/>
      </w:pPr>
    </w:p>
    <w:p w14:paraId="3CC9D7BE" w14:textId="77777777" w:rsidR="00FE7B91" w:rsidRPr="00C26D16" w:rsidRDefault="00FE7B91" w:rsidP="00FE7B91">
      <w:pPr>
        <w:spacing w:line="276" w:lineRule="auto"/>
        <w:rPr>
          <w:b/>
        </w:rPr>
      </w:pPr>
    </w:p>
    <w:p w14:paraId="26665A88" w14:textId="77777777" w:rsidR="00C26D16" w:rsidRDefault="000F0B25" w:rsidP="00173B7D">
      <w:pPr>
        <w:numPr>
          <w:ilvl w:val="1"/>
          <w:numId w:val="1"/>
        </w:numPr>
        <w:spacing w:line="480" w:lineRule="auto"/>
        <w:outlineLvl w:val="1"/>
        <w:rPr>
          <w:b/>
        </w:rPr>
      </w:pPr>
      <w:r>
        <w:rPr>
          <w:b/>
        </w:rPr>
        <w:br w:type="page"/>
      </w:r>
      <w:r w:rsidR="00C26D16" w:rsidRPr="00F05D06">
        <w:rPr>
          <w:b/>
        </w:rPr>
        <w:lastRenderedPageBreak/>
        <w:t xml:space="preserve"> </w:t>
      </w:r>
      <w:bookmarkStart w:id="32" w:name="_Toc145927551"/>
      <w:r w:rsidR="00F05D06">
        <w:rPr>
          <w:b/>
        </w:rPr>
        <w:t>Appendix2:</w:t>
      </w:r>
      <w:r w:rsidR="00F05D06" w:rsidRPr="00F05D06">
        <w:rPr>
          <w:b/>
        </w:rPr>
        <w:t xml:space="preserve"> </w:t>
      </w:r>
      <w:r w:rsidR="00F05D06">
        <w:rPr>
          <w:b/>
        </w:rPr>
        <w:t>Proposal</w:t>
      </w:r>
      <w:bookmarkEnd w:id="32"/>
    </w:p>
    <w:tbl>
      <w:tblPr>
        <w:tblW w:w="0" w:type="auto"/>
        <w:tblInd w:w="-72" w:type="dxa"/>
        <w:tblLook w:val="0000" w:firstRow="0" w:lastRow="0" w:firstColumn="0" w:lastColumn="0" w:noHBand="0" w:noVBand="0"/>
      </w:tblPr>
      <w:tblGrid>
        <w:gridCol w:w="7848"/>
        <w:gridCol w:w="265"/>
        <w:gridCol w:w="265"/>
      </w:tblGrid>
      <w:tr w:rsidR="000F0B25" w:rsidRPr="00F30126" w14:paraId="72661676" w14:textId="77777777" w:rsidTr="009560A5">
        <w:trPr>
          <w:trHeight w:val="1255"/>
        </w:trPr>
        <w:tc>
          <w:tcPr>
            <w:tcW w:w="2818" w:type="dxa"/>
            <w:vAlign w:val="center"/>
          </w:tcPr>
          <w:p w14:paraId="3FABEA53" w14:textId="77777777" w:rsidR="00956421" w:rsidRPr="00111EDF" w:rsidRDefault="00956421" w:rsidP="00956421">
            <w:pPr>
              <w:jc w:val="center"/>
              <w:rPr>
                <w:rFonts w:ascii="Arial" w:hAnsi="Arial" w:cs="Arial"/>
                <w:sz w:val="32"/>
                <w:szCs w:val="32"/>
              </w:rPr>
            </w:pPr>
            <w:r w:rsidRPr="00111EDF">
              <w:rPr>
                <w:rFonts w:ascii="Arial" w:hAnsi="Arial" w:cs="Arial"/>
                <w:sz w:val="32"/>
                <w:szCs w:val="32"/>
              </w:rPr>
              <w:t>Institute of Education and Humanities/</w:t>
            </w:r>
          </w:p>
          <w:p w14:paraId="4149409A" w14:textId="77777777" w:rsidR="00956421" w:rsidRPr="00111EDF" w:rsidRDefault="00956421" w:rsidP="00956421">
            <w:pPr>
              <w:jc w:val="center"/>
              <w:rPr>
                <w:rFonts w:ascii="Arial" w:hAnsi="Arial" w:cs="Arial"/>
                <w:sz w:val="32"/>
                <w:szCs w:val="32"/>
              </w:rPr>
            </w:pPr>
            <w:r w:rsidRPr="00111EDF">
              <w:rPr>
                <w:rFonts w:ascii="Arial" w:hAnsi="Arial" w:cs="Arial"/>
                <w:sz w:val="32"/>
                <w:szCs w:val="32"/>
              </w:rPr>
              <w:t>Yr Athrofa Addysg a’r Dyniaethau</w:t>
            </w:r>
          </w:p>
          <w:p w14:paraId="3240349B" w14:textId="77777777" w:rsidR="00956421" w:rsidRPr="00111EDF" w:rsidRDefault="00956421" w:rsidP="00956421"/>
          <w:p w14:paraId="642EDDEC" w14:textId="77777777" w:rsidR="00956421" w:rsidRPr="00111EDF" w:rsidRDefault="00956421" w:rsidP="00956421">
            <w:pPr>
              <w:jc w:val="center"/>
              <w:rPr>
                <w:rFonts w:ascii="Arial" w:hAnsi="Arial" w:cs="Arial"/>
                <w:b/>
                <w:sz w:val="28"/>
                <w:szCs w:val="28"/>
              </w:rPr>
            </w:pPr>
            <w:r w:rsidRPr="00111EDF">
              <w:rPr>
                <w:rFonts w:ascii="Arial" w:hAnsi="Arial" w:cs="Arial"/>
                <w:b/>
                <w:sz w:val="28"/>
                <w:szCs w:val="28"/>
              </w:rPr>
              <w:t xml:space="preserve">MA Dissertation Approval Form/ </w:t>
            </w:r>
          </w:p>
          <w:p w14:paraId="750488BD" w14:textId="77777777" w:rsidR="00956421" w:rsidRPr="00111EDF" w:rsidRDefault="00956421" w:rsidP="00956421">
            <w:pPr>
              <w:jc w:val="center"/>
              <w:rPr>
                <w:rFonts w:ascii="Arial" w:hAnsi="Arial" w:cs="Arial"/>
                <w:b/>
                <w:sz w:val="28"/>
                <w:szCs w:val="28"/>
              </w:rPr>
            </w:pPr>
            <w:r w:rsidRPr="00111EDF">
              <w:rPr>
                <w:rFonts w:ascii="Arial" w:hAnsi="Arial" w:cs="Arial"/>
                <w:b/>
                <w:sz w:val="28"/>
                <w:szCs w:val="28"/>
              </w:rPr>
              <w:t>Ffurflen Gymeradwyo Traethawd Hir MA</w:t>
            </w:r>
          </w:p>
          <w:p w14:paraId="49FEAAFA" w14:textId="77777777" w:rsidR="00956421" w:rsidRPr="00111EDF" w:rsidRDefault="00956421" w:rsidP="00956421">
            <w:pPr>
              <w:jc w:val="center"/>
              <w:rPr>
                <w:rFonts w:ascii="Arial" w:hAnsi="Arial" w:cs="Arial"/>
                <w:b/>
                <w:sz w:val="28"/>
                <w:szCs w:val="28"/>
              </w:rPr>
            </w:pPr>
            <w:r w:rsidRPr="00111EDF">
              <w:rPr>
                <w:rFonts w:ascii="Arial" w:hAnsi="Arial" w:cs="Arial"/>
                <w:b/>
                <w:sz w:val="28"/>
                <w:szCs w:val="28"/>
              </w:rPr>
              <w:t>ECGE7002Q</w:t>
            </w:r>
          </w:p>
          <w:p w14:paraId="49F21D73" w14:textId="77777777" w:rsidR="00956421" w:rsidRPr="00111EDF" w:rsidRDefault="00956421" w:rsidP="00956421">
            <w:pPr>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06"/>
              <w:gridCol w:w="5716"/>
            </w:tblGrid>
            <w:tr w:rsidR="00956421" w:rsidRPr="00111EDF" w14:paraId="2090AECF" w14:textId="77777777" w:rsidTr="00EF77F3">
              <w:tc>
                <w:tcPr>
                  <w:tcW w:w="2088" w:type="dxa"/>
                  <w:vAlign w:val="center"/>
                </w:tcPr>
                <w:p w14:paraId="68609C71" w14:textId="77777777" w:rsidR="00956421" w:rsidRPr="00111EDF" w:rsidRDefault="00956421" w:rsidP="00956421">
                  <w:pPr>
                    <w:jc w:val="center"/>
                    <w:rPr>
                      <w:rFonts w:ascii="Arial" w:hAnsi="Arial" w:cs="Arial"/>
                    </w:rPr>
                  </w:pPr>
                  <w:r w:rsidRPr="00111EDF">
                    <w:rPr>
                      <w:rFonts w:ascii="Arial" w:hAnsi="Arial" w:cs="Arial"/>
                    </w:rPr>
                    <w:t xml:space="preserve">Student Name/ </w:t>
                  </w:r>
                  <w:r w:rsidRPr="00111EDF">
                    <w:rPr>
                      <w:rFonts w:ascii="Arial" w:hAnsi="Arial" w:cs="Arial"/>
                      <w:i/>
                    </w:rPr>
                    <w:t>Enw Myfyriwr</w:t>
                  </w:r>
                </w:p>
              </w:tc>
              <w:tc>
                <w:tcPr>
                  <w:tcW w:w="6768" w:type="dxa"/>
                </w:tcPr>
                <w:p w14:paraId="5D5E88D2" w14:textId="77777777" w:rsidR="00956421" w:rsidRPr="00111EDF" w:rsidRDefault="00956421" w:rsidP="00956421">
                  <w:pPr>
                    <w:rPr>
                      <w:rFonts w:ascii="Arial" w:hAnsi="Arial" w:cs="Arial"/>
                    </w:rPr>
                  </w:pPr>
                  <w:r w:rsidRPr="00111EDF">
                    <w:rPr>
                      <w:rFonts w:ascii="Arial" w:hAnsi="Arial" w:cs="Arial"/>
                    </w:rPr>
                    <w:t>Jake Furby</w:t>
                  </w:r>
                </w:p>
                <w:p w14:paraId="0EB3BE1A" w14:textId="77777777" w:rsidR="00956421" w:rsidRPr="00111EDF" w:rsidRDefault="00956421" w:rsidP="00956421">
                  <w:pPr>
                    <w:rPr>
                      <w:rFonts w:ascii="Arial" w:hAnsi="Arial" w:cs="Arial"/>
                    </w:rPr>
                  </w:pPr>
                </w:p>
              </w:tc>
            </w:tr>
            <w:tr w:rsidR="00956421" w:rsidRPr="00111EDF" w14:paraId="57095B98" w14:textId="77777777" w:rsidTr="00EF77F3">
              <w:tc>
                <w:tcPr>
                  <w:tcW w:w="2088" w:type="dxa"/>
                  <w:vAlign w:val="center"/>
                </w:tcPr>
                <w:p w14:paraId="698EF9FD" w14:textId="77777777" w:rsidR="00956421" w:rsidRPr="00111EDF" w:rsidRDefault="00956421" w:rsidP="00956421">
                  <w:pPr>
                    <w:jc w:val="center"/>
                    <w:rPr>
                      <w:rFonts w:ascii="Arial" w:hAnsi="Arial" w:cs="Arial"/>
                    </w:rPr>
                  </w:pPr>
                  <w:r w:rsidRPr="00111EDF">
                    <w:rPr>
                      <w:rFonts w:ascii="Arial" w:hAnsi="Arial" w:cs="Arial"/>
                    </w:rPr>
                    <w:t xml:space="preserve">Degree Scheme/ </w:t>
                  </w:r>
                  <w:r w:rsidRPr="00111EDF">
                    <w:rPr>
                      <w:rFonts w:ascii="Arial" w:hAnsi="Arial" w:cs="Arial"/>
                      <w:i/>
                    </w:rPr>
                    <w:t>Cynllun Gradd</w:t>
                  </w:r>
                </w:p>
              </w:tc>
              <w:tc>
                <w:tcPr>
                  <w:tcW w:w="6768" w:type="dxa"/>
                </w:tcPr>
                <w:p w14:paraId="2D1940FE" w14:textId="77777777" w:rsidR="00956421" w:rsidRPr="00111EDF" w:rsidRDefault="00956421" w:rsidP="00956421">
                  <w:pPr>
                    <w:rPr>
                      <w:rFonts w:ascii="Arial" w:hAnsi="Arial" w:cs="Arial"/>
                    </w:rPr>
                  </w:pPr>
                  <w:r w:rsidRPr="00111EDF">
                    <w:rPr>
                      <w:rFonts w:ascii="Arial" w:hAnsi="Arial" w:cs="Arial"/>
                    </w:rPr>
                    <w:t>MA Equity and Diversity in Society</w:t>
                  </w:r>
                </w:p>
                <w:p w14:paraId="3CDF2132" w14:textId="77777777" w:rsidR="00956421" w:rsidRPr="00111EDF" w:rsidRDefault="00956421" w:rsidP="00956421">
                  <w:pPr>
                    <w:rPr>
                      <w:rFonts w:ascii="Arial" w:hAnsi="Arial" w:cs="Arial"/>
                    </w:rPr>
                  </w:pPr>
                </w:p>
              </w:tc>
            </w:tr>
            <w:tr w:rsidR="00956421" w:rsidRPr="00111EDF" w14:paraId="701023FC" w14:textId="77777777" w:rsidTr="00EF77F3">
              <w:tc>
                <w:tcPr>
                  <w:tcW w:w="2088" w:type="dxa"/>
                  <w:vAlign w:val="center"/>
                </w:tcPr>
                <w:p w14:paraId="1D0BCDA8" w14:textId="77777777" w:rsidR="00956421" w:rsidRPr="00111EDF" w:rsidRDefault="00956421" w:rsidP="00956421">
                  <w:pPr>
                    <w:jc w:val="center"/>
                    <w:rPr>
                      <w:rFonts w:ascii="Arial" w:hAnsi="Arial" w:cs="Arial"/>
                    </w:rPr>
                  </w:pPr>
                  <w:r w:rsidRPr="00111EDF">
                    <w:rPr>
                      <w:rFonts w:ascii="Arial" w:hAnsi="Arial" w:cs="Arial"/>
                    </w:rPr>
                    <w:t xml:space="preserve">Start date/ </w:t>
                  </w:r>
                  <w:r w:rsidRPr="00111EDF">
                    <w:rPr>
                      <w:rFonts w:ascii="Arial" w:hAnsi="Arial" w:cs="Arial"/>
                      <w:i/>
                    </w:rPr>
                    <w:t>Dyddiad cychwyn</w:t>
                  </w:r>
                </w:p>
              </w:tc>
              <w:tc>
                <w:tcPr>
                  <w:tcW w:w="6768" w:type="dxa"/>
                </w:tcPr>
                <w:p w14:paraId="68DD6E09" w14:textId="77777777" w:rsidR="00956421" w:rsidRPr="00111EDF" w:rsidRDefault="00956421" w:rsidP="00956421">
                  <w:pPr>
                    <w:rPr>
                      <w:rFonts w:ascii="Arial" w:hAnsi="Arial" w:cs="Arial"/>
                    </w:rPr>
                  </w:pPr>
                  <w:r w:rsidRPr="00111EDF">
                    <w:rPr>
                      <w:rFonts w:ascii="Arial" w:hAnsi="Arial" w:cs="Arial"/>
                    </w:rPr>
                    <w:t>30/09/2022</w:t>
                  </w:r>
                </w:p>
                <w:p w14:paraId="11D33E77" w14:textId="77777777" w:rsidR="00956421" w:rsidRPr="00111EDF" w:rsidRDefault="00956421" w:rsidP="00956421">
                  <w:pPr>
                    <w:rPr>
                      <w:rFonts w:ascii="Arial" w:hAnsi="Arial" w:cs="Arial"/>
                    </w:rPr>
                  </w:pPr>
                </w:p>
              </w:tc>
            </w:tr>
          </w:tbl>
          <w:p w14:paraId="364162B3" w14:textId="77777777" w:rsidR="00956421" w:rsidRPr="00111EDF" w:rsidRDefault="00956421" w:rsidP="00956421">
            <w:pPr>
              <w:rPr>
                <w:rFonts w:ascii="Arial" w:hAnsi="Arial" w:cs="Arial"/>
              </w:rPr>
            </w:pPr>
          </w:p>
          <w:p w14:paraId="05743317" w14:textId="77777777" w:rsidR="00956421" w:rsidRPr="00111EDF" w:rsidRDefault="00956421" w:rsidP="00956421">
            <w:pPr>
              <w:rPr>
                <w:rFonts w:ascii="Arial" w:hAnsi="Arial" w:cs="Arial"/>
              </w:rPr>
            </w:pPr>
          </w:p>
          <w:p w14:paraId="55D8A676" w14:textId="77777777" w:rsidR="00956421" w:rsidRPr="00111EDF" w:rsidRDefault="00956421" w:rsidP="00956421">
            <w:pPr>
              <w:rPr>
                <w:rFonts w:ascii="Arial" w:hAnsi="Arial" w:cs="Arial"/>
              </w:rPr>
            </w:pPr>
            <w:r w:rsidRPr="00111EDF">
              <w:rPr>
                <w:rFonts w:ascii="Arial" w:hAnsi="Arial" w:cs="Arial"/>
              </w:rPr>
              <w:t>I have completed Part 1 of my degree.</w:t>
            </w:r>
          </w:p>
          <w:p w14:paraId="7376E40A" w14:textId="77777777" w:rsidR="00956421" w:rsidRPr="00111EDF" w:rsidRDefault="00956421" w:rsidP="00956421">
            <w:pPr>
              <w:rPr>
                <w:rFonts w:ascii="Arial" w:hAnsi="Arial" w:cs="Arial"/>
                <w:i/>
                <w:color w:val="222222"/>
              </w:rPr>
            </w:pPr>
          </w:p>
          <w:p w14:paraId="33175868" w14:textId="77777777" w:rsidR="00956421" w:rsidRPr="00111EDF" w:rsidRDefault="00956421" w:rsidP="00956421">
            <w:pPr>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622"/>
            </w:tblGrid>
            <w:tr w:rsidR="00956421" w:rsidRPr="00111EDF" w14:paraId="1BFBCFAE" w14:textId="77777777" w:rsidTr="00EF77F3">
              <w:tc>
                <w:tcPr>
                  <w:tcW w:w="8856" w:type="dxa"/>
                </w:tcPr>
                <w:p w14:paraId="21A76287" w14:textId="77777777" w:rsidR="00956421" w:rsidRPr="00111EDF" w:rsidRDefault="00956421" w:rsidP="00EF77F3">
                  <w:pPr>
                    <w:numPr>
                      <w:ilvl w:val="0"/>
                      <w:numId w:val="4"/>
                    </w:numPr>
                    <w:rPr>
                      <w:i/>
                      <w:iCs/>
                    </w:rPr>
                  </w:pPr>
                  <w:r w:rsidRPr="00111EDF">
                    <w:t xml:space="preserve">Title of Dissertation: </w:t>
                  </w:r>
                </w:p>
                <w:p w14:paraId="2D7B993B" w14:textId="77777777" w:rsidR="00956421" w:rsidRPr="00111EDF" w:rsidRDefault="00956421" w:rsidP="00956421">
                  <w:pPr>
                    <w:rPr>
                      <w:i/>
                      <w:iCs/>
                    </w:rPr>
                  </w:pPr>
                </w:p>
                <w:p w14:paraId="79B22B25" w14:textId="77777777" w:rsidR="00956421" w:rsidRPr="00111EDF" w:rsidRDefault="00956421" w:rsidP="00956421">
                  <w:pPr>
                    <w:rPr>
                      <w:b/>
                      <w:bCs/>
                      <w:i/>
                      <w:iCs/>
                    </w:rPr>
                  </w:pPr>
                  <w:r w:rsidRPr="00111EDF">
                    <w:rPr>
                      <w:i/>
                      <w:iCs/>
                    </w:rPr>
                    <w:t xml:space="preserve">The British Empire: The impact of anti-LGBTQIA+ legislation on ex-colonial countries. </w:t>
                  </w:r>
                </w:p>
                <w:p w14:paraId="432E2BEB" w14:textId="77777777" w:rsidR="00956421" w:rsidRPr="00111EDF" w:rsidRDefault="00956421" w:rsidP="00956421"/>
                <w:p w14:paraId="5D57AB6A" w14:textId="77777777" w:rsidR="00956421" w:rsidRPr="00111EDF" w:rsidRDefault="00956421" w:rsidP="00EF77F3">
                  <w:pPr>
                    <w:numPr>
                      <w:ilvl w:val="0"/>
                      <w:numId w:val="2"/>
                    </w:numPr>
                  </w:pPr>
                  <w:r w:rsidRPr="00111EDF">
                    <w:t>Research Question</w:t>
                  </w:r>
                </w:p>
                <w:p w14:paraId="0757E192" w14:textId="77777777" w:rsidR="00956421" w:rsidRPr="00111EDF" w:rsidRDefault="00956421" w:rsidP="00956421"/>
                <w:p w14:paraId="51754C45" w14:textId="77777777" w:rsidR="00956421" w:rsidRPr="00111EDF" w:rsidRDefault="00956421" w:rsidP="00956421">
                  <w:r w:rsidRPr="00111EDF">
                    <w:rPr>
                      <w:i/>
                      <w:iCs/>
                    </w:rPr>
                    <w:t>How did British Colonialism affect LGBTQIA+ rights in the former British Empire and what impact does this have today on former colonial countries?</w:t>
                  </w:r>
                </w:p>
              </w:tc>
            </w:tr>
            <w:tr w:rsidR="00956421" w:rsidRPr="00111EDF" w14:paraId="200C0409" w14:textId="77777777" w:rsidTr="00EF77F3">
              <w:tc>
                <w:tcPr>
                  <w:tcW w:w="8856" w:type="dxa"/>
                </w:tcPr>
                <w:p w14:paraId="265B0D2C" w14:textId="77777777" w:rsidR="00956421" w:rsidRPr="00111EDF" w:rsidRDefault="00956421" w:rsidP="00956421">
                  <w:pPr>
                    <w:rPr>
                      <w:i/>
                      <w:color w:val="222222"/>
                      <w:shd w:val="clear" w:color="auto" w:fill="F8F9FA"/>
                    </w:rPr>
                  </w:pPr>
                  <w:r w:rsidRPr="00111EDF">
                    <w:t>Abstract/Plan (approximately 500 words):</w:t>
                  </w:r>
                  <w:r w:rsidRPr="00111EDF">
                    <w:br/>
                  </w:r>
                  <w:r w:rsidRPr="00111EDF">
                    <w:rPr>
                      <w:i/>
                      <w:color w:val="222222"/>
                      <w:shd w:val="clear" w:color="auto" w:fill="F8F9FA"/>
                    </w:rPr>
                    <w:t>Crynodeb (tua 500 gair):</w:t>
                  </w:r>
                </w:p>
                <w:p w14:paraId="0E1504FD" w14:textId="77777777" w:rsidR="00956421" w:rsidRPr="00111EDF" w:rsidRDefault="00956421" w:rsidP="00956421">
                  <w:pPr>
                    <w:rPr>
                      <w:i/>
                      <w:color w:val="222222"/>
                      <w:shd w:val="clear" w:color="auto" w:fill="F8F9FA"/>
                    </w:rPr>
                  </w:pPr>
                </w:p>
                <w:p w14:paraId="576D13A2" w14:textId="77777777" w:rsidR="00956421" w:rsidRPr="00111EDF" w:rsidRDefault="00956421" w:rsidP="00956421">
                  <w:pPr>
                    <w:rPr>
                      <w:u w:val="single"/>
                    </w:rPr>
                  </w:pPr>
                  <w:r w:rsidRPr="00111EDF">
                    <w:rPr>
                      <w:u w:val="single"/>
                    </w:rPr>
                    <w:t>Introduction</w:t>
                  </w:r>
                </w:p>
                <w:p w14:paraId="0E9710C3" w14:textId="77777777" w:rsidR="00956421" w:rsidRPr="00111EDF" w:rsidRDefault="00956421" w:rsidP="00956421"/>
                <w:p w14:paraId="546AB353" w14:textId="77777777" w:rsidR="00956421" w:rsidRPr="00111EDF" w:rsidRDefault="00956421" w:rsidP="00956421">
                  <w:r w:rsidRPr="00111EDF">
                    <w:t>Aims and Objectives:</w:t>
                  </w:r>
                </w:p>
                <w:p w14:paraId="1C6E509F" w14:textId="77777777" w:rsidR="00956421" w:rsidRPr="00111EDF" w:rsidRDefault="00956421" w:rsidP="00956421">
                  <w:pPr>
                    <w:rPr>
                      <w:i/>
                    </w:rPr>
                  </w:pPr>
                  <w:r w:rsidRPr="00111EDF">
                    <w:rPr>
                      <w:i/>
                    </w:rPr>
                    <w:t>Nodau ac Amcanion</w:t>
                  </w:r>
                </w:p>
                <w:p w14:paraId="4F179297" w14:textId="77777777" w:rsidR="00956421" w:rsidRPr="00111EDF" w:rsidRDefault="00956421" w:rsidP="00956421">
                  <w:pPr>
                    <w:rPr>
                      <w:i/>
                    </w:rPr>
                  </w:pPr>
                </w:p>
                <w:p w14:paraId="565F98D9" w14:textId="77777777" w:rsidR="00956421" w:rsidRPr="00111EDF" w:rsidRDefault="00956421" w:rsidP="00956421">
                  <w:pPr>
                    <w:rPr>
                      <w:b/>
                      <w:bCs/>
                    </w:rPr>
                  </w:pPr>
                  <w:r w:rsidRPr="00111EDF">
                    <w:rPr>
                      <w:b/>
                      <w:bCs/>
                      <w:iCs/>
                    </w:rPr>
                    <w:t>Aim</w:t>
                  </w:r>
                </w:p>
                <w:p w14:paraId="2C77AF8C" w14:textId="77777777" w:rsidR="00956421" w:rsidRPr="00111EDF" w:rsidRDefault="00956421" w:rsidP="00956421"/>
                <w:p w14:paraId="06966B39" w14:textId="77777777" w:rsidR="00956421" w:rsidRPr="00111EDF" w:rsidRDefault="00956421" w:rsidP="00956421">
                  <w:r w:rsidRPr="00111EDF">
                    <w:t>An exploration of the impact that the British Empire had on former colonial countries LGBTQIA+ rights.</w:t>
                  </w:r>
                </w:p>
                <w:p w14:paraId="539C299F" w14:textId="77777777" w:rsidR="00956421" w:rsidRPr="00111EDF" w:rsidRDefault="00956421" w:rsidP="00956421">
                  <w:pPr>
                    <w:rPr>
                      <w:b/>
                      <w:bCs/>
                    </w:rPr>
                  </w:pPr>
                  <w:r w:rsidRPr="00111EDF">
                    <w:rPr>
                      <w:b/>
                      <w:bCs/>
                    </w:rPr>
                    <w:t>Objectives</w:t>
                  </w:r>
                </w:p>
                <w:p w14:paraId="28F59048" w14:textId="77777777" w:rsidR="00956421" w:rsidRPr="00111EDF" w:rsidRDefault="00956421" w:rsidP="00956421"/>
                <w:p w14:paraId="6FACD3A0" w14:textId="77777777" w:rsidR="00956421" w:rsidRPr="00111EDF" w:rsidRDefault="00956421" w:rsidP="00EF77F3">
                  <w:pPr>
                    <w:numPr>
                      <w:ilvl w:val="0"/>
                      <w:numId w:val="6"/>
                    </w:numPr>
                  </w:pPr>
                  <w:r w:rsidRPr="00111EDF">
                    <w:t>Desk research will be undertaken to establish themes</w:t>
                  </w:r>
                </w:p>
                <w:p w14:paraId="543F872D" w14:textId="77777777" w:rsidR="00956421" w:rsidRPr="00111EDF" w:rsidRDefault="00956421" w:rsidP="00EF77F3">
                  <w:pPr>
                    <w:numPr>
                      <w:ilvl w:val="0"/>
                      <w:numId w:val="6"/>
                    </w:numPr>
                    <w:rPr>
                      <w:b/>
                      <w:bCs/>
                    </w:rPr>
                  </w:pPr>
                  <w:r w:rsidRPr="00111EDF">
                    <w:t xml:space="preserve">The themes which are identified will be synthesised to establish if there is a correlation </w:t>
                  </w:r>
                  <w:r w:rsidRPr="00111EDF">
                    <w:br/>
                  </w:r>
                </w:p>
                <w:p w14:paraId="2431B279" w14:textId="77777777" w:rsidR="00956421" w:rsidRPr="00111EDF" w:rsidRDefault="00956421" w:rsidP="00956421">
                  <w:pPr>
                    <w:rPr>
                      <w:b/>
                      <w:bCs/>
                    </w:rPr>
                  </w:pPr>
                  <w:bookmarkStart w:id="33" w:name="_Hlk117164850"/>
                  <w:r w:rsidRPr="00111EDF">
                    <w:rPr>
                      <w:b/>
                      <w:bCs/>
                    </w:rPr>
                    <w:lastRenderedPageBreak/>
                    <w:t>Introduction</w:t>
                  </w:r>
                </w:p>
                <w:p w14:paraId="21989FBB" w14:textId="77777777" w:rsidR="00956421" w:rsidRPr="00111EDF" w:rsidRDefault="00956421" w:rsidP="00956421">
                  <w:pPr>
                    <w:rPr>
                      <w:b/>
                      <w:bCs/>
                    </w:rPr>
                  </w:pPr>
                </w:p>
                <w:p w14:paraId="77347F41" w14:textId="20EA128D" w:rsidR="00956421" w:rsidRPr="00111EDF" w:rsidRDefault="00956421" w:rsidP="00956421">
                  <w:r w:rsidRPr="00111EDF">
                    <w:t xml:space="preserve">Thirty-six out of fifty-four former </w:t>
                  </w:r>
                  <w:r w:rsidR="00BA2220">
                    <w:t xml:space="preserve">British Colonies </w:t>
                  </w:r>
                  <w:r w:rsidRPr="00111EDF">
                    <w:t xml:space="preserve">discriminate against same-sex sexual behaviour (BBC, 2021), although trans rights are not coded in some countries’ legislation many see trans people as deviant from heteronormative practices, which were heavily influenced by the British Empire views of morality (Human Rights Watch, 2008). The anti-same-sex legislation is an impact of the British Empire (ibid.) which introduced anti-same-sex legislation in the British Empire’s colonies (ibid). This thesis explores pre-colonisation, </w:t>
                  </w:r>
                  <w:r>
                    <w:t xml:space="preserve">during </w:t>
                  </w:r>
                  <w:r w:rsidRPr="00111EDF">
                    <w:t xml:space="preserve">colonisation and the current context to ascertain an understanding of the impact the British Empire had on LGBTQIA+ rights in former colonial countries. </w:t>
                  </w:r>
                </w:p>
                <w:p w14:paraId="3402D4E7" w14:textId="77777777" w:rsidR="00956421" w:rsidRPr="00111EDF" w:rsidRDefault="00956421" w:rsidP="00956421"/>
                <w:p w14:paraId="6BAE7828" w14:textId="77777777" w:rsidR="00956421" w:rsidRPr="00111EDF" w:rsidRDefault="00956421" w:rsidP="00EF77F3">
                  <w:pPr>
                    <w:numPr>
                      <w:ilvl w:val="0"/>
                      <w:numId w:val="3"/>
                    </w:numPr>
                    <w:rPr>
                      <w:b/>
                      <w:bCs/>
                    </w:rPr>
                  </w:pPr>
                  <w:r w:rsidRPr="00111EDF">
                    <w:rPr>
                      <w:b/>
                      <w:bCs/>
                    </w:rPr>
                    <w:t>Literature Review</w:t>
                  </w:r>
                </w:p>
                <w:p w14:paraId="1F44995C" w14:textId="1317B84E" w:rsidR="00956421" w:rsidRPr="00111EDF" w:rsidRDefault="00956421" w:rsidP="00956421">
                  <w:r w:rsidRPr="00111EDF">
                    <w:t xml:space="preserve">This thesis’s literature review will contain themes that have been identified by the </w:t>
                  </w:r>
                  <w:r w:rsidR="00EA7207">
                    <w:t>writer</w:t>
                  </w:r>
                  <w:r w:rsidRPr="00111EDF">
                    <w:t xml:space="preserve"> when examining the concepts of Colonisation, Empire, LGBTQIA+ people, Decolonisation, and </w:t>
                  </w:r>
                  <w:r w:rsidR="00BA2220">
                    <w:t>Queer Theory</w:t>
                  </w:r>
                  <w:r w:rsidRPr="00111EDF">
                    <w:t xml:space="preserve">. The research has illustrated abundant and up-to-date research. </w:t>
                  </w:r>
                </w:p>
                <w:p w14:paraId="25BC1798" w14:textId="77777777" w:rsidR="00956421" w:rsidRPr="00111EDF" w:rsidRDefault="00956421" w:rsidP="00956421"/>
                <w:p w14:paraId="3BE1EC66" w14:textId="77777777" w:rsidR="00956421" w:rsidRPr="00111EDF" w:rsidRDefault="00956421" w:rsidP="00956421">
                  <w:r w:rsidRPr="00111EDF">
                    <w:t>I used the University of Wales Trinity St David’s library website for literature which were relevant to my subject, and I used key academic databases. I searched the following key terms: Decolonis(z)ing, LGBTQIA+, Queer, British Empire, and Commonwealth.</w:t>
                  </w:r>
                </w:p>
                <w:p w14:paraId="6536D826" w14:textId="77777777" w:rsidR="00956421" w:rsidRPr="00111EDF" w:rsidRDefault="00956421" w:rsidP="00956421"/>
                <w:p w14:paraId="040F1482" w14:textId="77777777" w:rsidR="00956421" w:rsidRPr="00111EDF" w:rsidRDefault="00956421" w:rsidP="00956421">
                  <w:r w:rsidRPr="00111EDF">
                    <w:t>The purpose of this undertaking is to understand the legacy of the British Empire legislation and how it has impacted the rights of LGBTQIA+ citizens in former colonial countries in modern times (21</w:t>
                  </w:r>
                  <w:r w:rsidRPr="00111EDF">
                    <w:rPr>
                      <w:vertAlign w:val="superscript"/>
                    </w:rPr>
                    <w:t>st</w:t>
                  </w:r>
                  <w:r w:rsidRPr="00111EDF">
                    <w:t xml:space="preserve"> Century). </w:t>
                  </w:r>
                </w:p>
                <w:p w14:paraId="51926584" w14:textId="77777777" w:rsidR="00956421" w:rsidRPr="00111EDF" w:rsidRDefault="00956421" w:rsidP="00956421"/>
                <w:p w14:paraId="784D4BD2" w14:textId="3091AF4B" w:rsidR="00956421" w:rsidRPr="00111EDF" w:rsidRDefault="00956421" w:rsidP="00956421">
                  <w:r w:rsidRPr="00111EDF">
                    <w:t xml:space="preserve">The following literature came from this research. It should be noted that x number of </w:t>
                  </w:r>
                  <w:r>
                    <w:t>resources</w:t>
                  </w:r>
                  <w:r w:rsidRPr="00111EDF">
                    <w:t xml:space="preserve"> originated from x country – this illustrates a potential bias in research</w:t>
                  </w:r>
                  <w:r w:rsidRPr="00111EDF">
                    <w:br/>
                  </w:r>
                </w:p>
                <w:p w14:paraId="4862B372" w14:textId="77777777" w:rsidR="00956421" w:rsidRPr="00111EDF" w:rsidRDefault="00956421" w:rsidP="00956421"/>
                <w:p w14:paraId="0D8AF582" w14:textId="77777777" w:rsidR="00956421" w:rsidRPr="00111EDF" w:rsidRDefault="00956421" w:rsidP="00956421">
                  <w:r w:rsidRPr="00111EDF">
                    <w:t>I will first define key terms and theories that will underpin this literature review. This narrative will then give a basis for further exploration of the following themes: pre-British colonial countries’ LGBQTIA+ rights, the History of LGBTQ</w:t>
                  </w:r>
                  <w:r>
                    <w:t>IA</w:t>
                  </w:r>
                  <w:r w:rsidRPr="00111EDF">
                    <w:t>+ rights in former British colonial countries, and the current context of LGBTQ</w:t>
                  </w:r>
                  <w:r>
                    <w:t>IA</w:t>
                  </w:r>
                  <w:r w:rsidRPr="00111EDF">
                    <w:t xml:space="preserve">+ rights in former British colonial countries. </w:t>
                  </w:r>
                </w:p>
                <w:bookmarkEnd w:id="33"/>
                <w:p w14:paraId="26F92E95" w14:textId="77777777" w:rsidR="00956421" w:rsidRPr="00111EDF" w:rsidRDefault="00956421" w:rsidP="00956421">
                  <w:pPr>
                    <w:rPr>
                      <w:b/>
                      <w:bCs/>
                    </w:rPr>
                  </w:pPr>
                </w:p>
                <w:p w14:paraId="407CC001" w14:textId="77777777" w:rsidR="00956421" w:rsidRPr="00111EDF" w:rsidRDefault="00B43D00" w:rsidP="00956421">
                  <w:pPr>
                    <w:rPr>
                      <w:b/>
                      <w:bCs/>
                    </w:rPr>
                  </w:pPr>
                  <w:r>
                    <w:rPr>
                      <w:b/>
                      <w:bCs/>
                    </w:rPr>
                    <w:t xml:space="preserve">Theme 1 </w:t>
                  </w:r>
                  <w:bookmarkStart w:id="34" w:name="_Hlk117164890"/>
                  <w:r w:rsidR="00956421" w:rsidRPr="00111EDF">
                    <w:rPr>
                      <w:b/>
                      <w:bCs/>
                    </w:rPr>
                    <w:t>Key Terms and Theories</w:t>
                  </w:r>
                  <w:bookmarkEnd w:id="34"/>
                </w:p>
                <w:p w14:paraId="0CDEB0D8" w14:textId="77777777" w:rsidR="00956421" w:rsidRPr="00111EDF" w:rsidRDefault="00956421" w:rsidP="00956421"/>
                <w:p w14:paraId="56331713" w14:textId="769FAB48" w:rsidR="00956421" w:rsidRPr="00111EDF" w:rsidRDefault="00956421" w:rsidP="00956421">
                  <w:bookmarkStart w:id="35" w:name="_Hlk117165001"/>
                  <w:r w:rsidRPr="00111EDF">
                    <w:t xml:space="preserve">In this section, </w:t>
                  </w:r>
                  <w:r w:rsidR="00C06016">
                    <w:t>the author will provide</w:t>
                  </w:r>
                  <w:r w:rsidRPr="00111EDF">
                    <w:t xml:space="preserve"> definitions and key theories </w:t>
                  </w:r>
                  <w:r w:rsidR="00C06016">
                    <w:t xml:space="preserve">they found </w:t>
                  </w:r>
                  <w:r w:rsidRPr="00111EDF">
                    <w:t>whilst undertaking my research relevant to this subject.</w:t>
                  </w:r>
                </w:p>
                <w:p w14:paraId="01090E1F" w14:textId="77777777" w:rsidR="00956421" w:rsidRPr="00111EDF" w:rsidRDefault="00956421" w:rsidP="00956421"/>
                <w:p w14:paraId="536F630C" w14:textId="77777777" w:rsidR="00956421" w:rsidRPr="00111EDF" w:rsidRDefault="00956421" w:rsidP="00956421">
                  <w:r w:rsidRPr="00111EDF">
                    <w:t xml:space="preserve">There are many definitions for Colonialisation (Paradies, 2016) but most agree on the following concepts: “war, forced labour, and assimilation and eradication of social, cultural and spiritual practices” (ibid., p. 84). For this thesis, I shall be focusing on the destruction of natives’ social, cultural and spiritual practices. </w:t>
                  </w:r>
                </w:p>
                <w:p w14:paraId="7337AE81" w14:textId="77777777" w:rsidR="00956421" w:rsidRPr="00111EDF" w:rsidRDefault="00956421" w:rsidP="00956421"/>
                <w:p w14:paraId="3A2E8CCA" w14:textId="77777777" w:rsidR="00956421" w:rsidRPr="00111EDF" w:rsidRDefault="00956421" w:rsidP="00956421">
                  <w:r w:rsidRPr="00111EDF">
                    <w:lastRenderedPageBreak/>
                    <w:t xml:space="preserve">As with Colonisation, Decolonisation has many definitions (Bogaerts and Raben, 2012). It is a process of undoing the legacy of colonialisation, including its legislation and economic impact (Tuhiwai Smith, 2013). I am particularly interested in exploring Decolonisation as a process rather than a singular event (ibid.). </w:t>
                  </w:r>
                </w:p>
                <w:p w14:paraId="26DBFA06" w14:textId="77777777" w:rsidR="00956421" w:rsidRPr="00111EDF" w:rsidRDefault="00956421" w:rsidP="00956421"/>
                <w:p w14:paraId="60138D72" w14:textId="77777777" w:rsidR="00956421" w:rsidRPr="00111EDF" w:rsidRDefault="00956421" w:rsidP="00956421">
                  <w:r w:rsidRPr="00111EDF">
                    <w:t xml:space="preserve">The British Empire was the world’s largest Empire (Ferguson, 2004). It began through trade, in particular the British taking land and trade ports (ibid.). By 1913 the British Empire accounted for 23% of the world’s population (ibid.). Many former colonial countries joined the Commonwealth (ibid). Currently, 14 overseas territories are under British sovereignty (Brendon, 2007). </w:t>
                  </w:r>
                </w:p>
                <w:p w14:paraId="69264360" w14:textId="77777777" w:rsidR="00956421" w:rsidRPr="00111EDF" w:rsidRDefault="00956421" w:rsidP="00956421"/>
                <w:p w14:paraId="7BF3A877" w14:textId="77777777" w:rsidR="00956421" w:rsidRPr="00D47149" w:rsidRDefault="00956421" w:rsidP="00956421">
                  <w:r w:rsidRPr="00111EDF">
                    <w:t xml:space="preserve">LGBTQIA+ People: </w:t>
                  </w:r>
                  <w:r w:rsidRPr="00D47149">
                    <w:t>LGBTQIA+ stands for Lesbian, Gay, Bisexual, Trans, Queer (or Questioning), Intersex and Asexual (Dente, 2018).</w:t>
                  </w:r>
                  <w:r w:rsidRPr="00111EDF">
                    <w:t xml:space="preserve"> </w:t>
                  </w:r>
                  <w:r w:rsidRPr="00D47149">
                    <w:t>The plus represents anyone who identifies with the LGBTQIA+ Community (Kronk and Dexheimer, 2021)</w:t>
                  </w:r>
                  <w:r w:rsidRPr="00111EDF">
                    <w:t xml:space="preserve">. </w:t>
                  </w:r>
                  <w:r w:rsidRPr="00D47149">
                    <w:t>There are lots of groups of people who fall under the + category (ibid.). This has been seen as a way of becoming more intersectional (ibid.).</w:t>
                  </w:r>
                  <w:r w:rsidRPr="00111EDF">
                    <w:t xml:space="preserve"> </w:t>
                  </w:r>
                </w:p>
                <w:p w14:paraId="4D92E154" w14:textId="77777777" w:rsidR="00956421" w:rsidRPr="00111EDF" w:rsidRDefault="00956421" w:rsidP="00956421"/>
                <w:p w14:paraId="16DB3659" w14:textId="5145435D" w:rsidR="00956421" w:rsidRPr="00111EDF" w:rsidRDefault="00BA2220" w:rsidP="00956421">
                  <w:r>
                    <w:t>Queer Theory</w:t>
                  </w:r>
                  <w:r w:rsidR="00956421" w:rsidRPr="00111EDF">
                    <w:t xml:space="preserve"> has many definitions (Browne and Nash, 2016). For me, Stewart (2017, p.62), offers an interesting but insightful definition </w:t>
                  </w:r>
                </w:p>
                <w:p w14:paraId="72C0BE35" w14:textId="77777777" w:rsidR="00956421" w:rsidRPr="00111EDF" w:rsidRDefault="00956421" w:rsidP="00956421"/>
                <w:p w14:paraId="674DFB33" w14:textId="5DB0BEBC" w:rsidR="00956421" w:rsidRPr="00111EDF" w:rsidRDefault="00956421" w:rsidP="00956421">
                  <w:r w:rsidRPr="00111EDF">
                    <w:t>“</w:t>
                  </w:r>
                  <w:r w:rsidR="00BA2220">
                    <w:t>Queer Theory</w:t>
                  </w:r>
                  <w:r w:rsidRPr="00111EDF">
                    <w:t xml:space="preserve"> and politics necessarily celebrate transgression in the form of visible difference from norms. These ‘Norms’ are then exposed to be norms, not natures or inevitabilities.” </w:t>
                  </w:r>
                </w:p>
                <w:p w14:paraId="35AACEC9" w14:textId="61860EAE" w:rsidR="00956421" w:rsidRPr="00111EDF" w:rsidRDefault="00956421" w:rsidP="00956421">
                  <w:pPr>
                    <w:pStyle w:val="NormalWeb"/>
                    <w:shd w:val="clear" w:color="auto" w:fill="FFFFFF"/>
                    <w:spacing w:before="240" w:beforeAutospacing="0" w:after="0" w:afterAutospacing="0"/>
                    <w:rPr>
                      <w:color w:val="000000"/>
                      <w:bdr w:val="none" w:sz="0" w:space="0" w:color="auto" w:frame="1"/>
                    </w:rPr>
                  </w:pPr>
                  <w:r w:rsidRPr="00111EDF">
                    <w:rPr>
                      <w:color w:val="000000"/>
                      <w:bdr w:val="none" w:sz="0" w:space="0" w:color="auto" w:frame="1"/>
                    </w:rPr>
                    <w:t xml:space="preserve">Relating to Decolonising, Finley (2011) has argued that those that study Native people must integrate </w:t>
                  </w:r>
                  <w:r w:rsidR="00BA2220">
                    <w:rPr>
                      <w:color w:val="000000"/>
                      <w:bdr w:val="none" w:sz="0" w:space="0" w:color="auto" w:frame="1"/>
                    </w:rPr>
                    <w:t>Queer Theory</w:t>
                  </w:r>
                  <w:r w:rsidRPr="00111EDF">
                    <w:rPr>
                      <w:color w:val="000000"/>
                      <w:bdr w:val="none" w:sz="0" w:space="0" w:color="auto" w:frame="1"/>
                    </w:rPr>
                    <w:t xml:space="preserve"> within their work and goes further to suggest that scholars should queer colonialism. </w:t>
                  </w:r>
                  <w:r w:rsidR="00BA2220">
                    <w:rPr>
                      <w:color w:val="000000"/>
                      <w:bdr w:val="none" w:sz="0" w:space="0" w:color="auto" w:frame="1"/>
                    </w:rPr>
                    <w:t>Queer Theory</w:t>
                  </w:r>
                  <w:r w:rsidRPr="00111EDF">
                    <w:rPr>
                      <w:color w:val="000000"/>
                      <w:bdr w:val="none" w:sz="0" w:space="0" w:color="auto" w:frame="1"/>
                    </w:rPr>
                    <w:t xml:space="preserve"> and Decolonisation Theory are often discussed in isolation (Ferreira Da Silva, 2007).  Therefore, I believe that: </w:t>
                  </w:r>
                </w:p>
                <w:p w14:paraId="74CBC723" w14:textId="77777777" w:rsidR="00956421" w:rsidRPr="00111EDF" w:rsidRDefault="00956421" w:rsidP="00956421">
                  <w:pPr>
                    <w:pStyle w:val="NormalWeb"/>
                    <w:shd w:val="clear" w:color="auto" w:fill="FFFFFF"/>
                    <w:spacing w:before="240" w:beforeAutospacing="0" w:after="0" w:afterAutospacing="0"/>
                    <w:rPr>
                      <w:color w:val="0A0A0A"/>
                    </w:rPr>
                  </w:pPr>
                  <w:r w:rsidRPr="00111EDF">
                    <w:rPr>
                      <w:i/>
                      <w:iCs/>
                      <w:color w:val="000000"/>
                      <w:bdr w:val="none" w:sz="0" w:space="0" w:color="auto" w:frame="1"/>
                    </w:rPr>
                    <w:t>“L</w:t>
                  </w:r>
                  <w:r w:rsidRPr="00111EDF">
                    <w:rPr>
                      <w:i/>
                      <w:iCs/>
                      <w:color w:val="0A0A0A"/>
                    </w:rPr>
                    <w:t>ogics of settler colonialism </w:t>
                  </w:r>
                  <w:r w:rsidRPr="00111EDF">
                    <w:rPr>
                      <w:rStyle w:val="Emphasis"/>
                      <w:rFonts w:eastAsia="DengXian Light"/>
                      <w:i w:val="0"/>
                      <w:iCs w:val="0"/>
                      <w:color w:val="0A0A0A"/>
                    </w:rPr>
                    <w:t>and</w:t>
                  </w:r>
                  <w:r w:rsidRPr="00111EDF">
                    <w:rPr>
                      <w:i/>
                      <w:iCs/>
                      <w:color w:val="0A0A0A"/>
                    </w:rPr>
                    <w:t> decolonization must be queered in order properly to speak to the genocidal present that not only continues to disappear indigenous peoples but reinforces the structures of white supremacy, settler colonialism, and heteropatriarchy that affect all peoples”</w:t>
                  </w:r>
                  <w:r w:rsidRPr="00111EDF">
                    <w:rPr>
                      <w:color w:val="0A0A0A"/>
                    </w:rPr>
                    <w:t xml:space="preserve"> (Smith, 2010, pp. 64).</w:t>
                  </w:r>
                </w:p>
                <w:bookmarkEnd w:id="35"/>
                <w:p w14:paraId="48A38CEA" w14:textId="77777777" w:rsidR="00956421" w:rsidRPr="00111EDF" w:rsidRDefault="00956421" w:rsidP="00956421"/>
                <w:p w14:paraId="4561C8F2" w14:textId="77777777" w:rsidR="00956421" w:rsidRPr="00111EDF" w:rsidRDefault="00956421" w:rsidP="00EF77F3">
                  <w:pPr>
                    <w:numPr>
                      <w:ilvl w:val="1"/>
                      <w:numId w:val="3"/>
                    </w:numPr>
                  </w:pPr>
                  <w:r w:rsidRPr="00111EDF">
                    <w:t xml:space="preserve">Theme </w:t>
                  </w:r>
                  <w:r w:rsidR="00B43D00">
                    <w:t>2</w:t>
                  </w:r>
                  <w:r w:rsidRPr="00111EDF">
                    <w:t xml:space="preserve">: Pre-Colonisation </w:t>
                  </w:r>
                </w:p>
                <w:p w14:paraId="5366C0E2" w14:textId="22675115" w:rsidR="00956421" w:rsidRPr="00111EDF" w:rsidRDefault="00C06016" w:rsidP="00956421">
                  <w:pPr>
                    <w:rPr>
                      <w:color w:val="202124"/>
                    </w:rPr>
                  </w:pPr>
                  <w:bookmarkStart w:id="36" w:name="_Hlk117165511"/>
                  <w:bookmarkStart w:id="37" w:name="_Hlk115529501"/>
                  <w:bookmarkStart w:id="38" w:name="_Hlk115529852"/>
                  <w:bookmarkStart w:id="39" w:name="_Hlk115530780"/>
                  <w:r w:rsidRPr="00C06016">
                    <w:t>The author is</w:t>
                  </w:r>
                  <w:r w:rsidR="00956421" w:rsidRPr="00C06016">
                    <w:t xml:space="preserve"> </w:t>
                  </w:r>
                  <w:r w:rsidR="00956421" w:rsidRPr="00C06016">
                    <w:rPr>
                      <w:color w:val="202124"/>
                    </w:rPr>
                    <w:t>cognizant</w:t>
                  </w:r>
                  <w:r w:rsidR="00956421" w:rsidRPr="00111EDF">
                    <w:rPr>
                      <w:color w:val="202124"/>
                    </w:rPr>
                    <w:t xml:space="preserve"> that most of what is understood of traditional African culture, has been written by individuals who were part of the colonial system (Murray, Roscoe, Epprecht, 2021). </w:t>
                  </w:r>
                  <w:r w:rsidRPr="00111EDF">
                    <w:rPr>
                      <w:color w:val="202124"/>
                    </w:rPr>
                    <w:t>However,</w:t>
                  </w:r>
                  <w:r w:rsidR="00956421" w:rsidRPr="00111EDF">
                    <w:rPr>
                      <w:color w:val="202124"/>
                    </w:rPr>
                    <w:t xml:space="preserve"> despite this, through using the </w:t>
                  </w:r>
                  <w:r w:rsidR="00956421" w:rsidRPr="00111EDF">
                    <w:t xml:space="preserve">literature research, many former British Colonial Countries before the British </w:t>
                  </w:r>
                  <w:r w:rsidR="00956421" w:rsidRPr="00111EDF">
                    <w:rPr>
                      <w:color w:val="202124"/>
                    </w:rPr>
                    <w:t>Empire</w:t>
                  </w:r>
                  <w:r w:rsidR="00956421" w:rsidRPr="00111EDF">
                    <w:t xml:space="preserve"> did not have anti-LGBTQIA+ legislation and </w:t>
                  </w:r>
                  <w:r w:rsidRPr="00111EDF">
                    <w:t>embraced</w:t>
                  </w:r>
                  <w:r w:rsidR="00956421" w:rsidRPr="00111EDF">
                    <w:t xml:space="preserve"> LGBTQIA+ people and culture as part of their communities, culture, and faith (Murray and Roscoe, 2021; Pausacker and Whiting, 2019; Haskins, 2014). Nevertheless, it is important to recognise there is a complexity to this issue (Haskins, 2014). Some countries have never accepted LGBTQIA+ people (</w:t>
                  </w:r>
                  <w:r w:rsidR="00956421">
                    <w:t>Han and O’Mahoney</w:t>
                  </w:r>
                  <w:r w:rsidR="00956421" w:rsidRPr="00111EDF">
                    <w:t xml:space="preserve">, 2010), moreover, </w:t>
                  </w:r>
                  <w:r w:rsidR="00956421" w:rsidRPr="00111EDF">
                    <w:lastRenderedPageBreak/>
                    <w:t xml:space="preserve">some have even increased anti-LGBTQIA+ legislation since their independence (Haskins, 2014). The British purposefully criminalised homosexuality in colonial countries (Han and O’Mahoney, 2014). This contrasts with other European colonising countries such as France and Spain (ibid.) which did not create anti-LGBTQIA+ legislation in their colonised territories (ibid.). This may also explain why many former </w:t>
                  </w:r>
                  <w:r w:rsidR="00BA2220">
                    <w:t xml:space="preserve">British Colonies </w:t>
                  </w:r>
                  <w:r w:rsidR="00956421" w:rsidRPr="00111EDF">
                    <w:t xml:space="preserve">are slow to repeal LGBTQIA+ legislation.  </w:t>
                  </w:r>
                </w:p>
                <w:p w14:paraId="28027731" w14:textId="77777777" w:rsidR="00956421" w:rsidRPr="00111EDF" w:rsidRDefault="00956421" w:rsidP="00956421"/>
                <w:p w14:paraId="01A36B85" w14:textId="2DCF1410" w:rsidR="00956421" w:rsidRPr="00111EDF" w:rsidRDefault="00956421" w:rsidP="00956421">
                  <w:r w:rsidRPr="00111EDF">
                    <w:rPr>
                      <w:color w:val="000000"/>
                    </w:rPr>
                    <w:t xml:space="preserve">Invisibility and erasure of native custom and beliefs need to be taken into account, as stated by Picq and Tikuna (2019) that indigenous queer expression and identities have become invisible owing to mis and forgotten translations. Additionally, the fluidity of LGBQTIA+ identities in pre-colonial era does not fit into western ideas of gender and sexual orientation binarism (Rifkin, 2011).  </w:t>
                  </w:r>
                  <w:r w:rsidRPr="00111EDF">
                    <w:t xml:space="preserve">Furthermore, </w:t>
                  </w:r>
                  <w:r w:rsidR="00BA2220">
                    <w:t xml:space="preserve">British Colonies </w:t>
                  </w:r>
                  <w:r w:rsidRPr="00111EDF">
                    <w:t xml:space="preserve">were made up of different countries, cultures, languages and religious beliefs (Ferguson, 2004) thus creating a complex myriad of possibilities.  It is important to note the heterogeneity of culture and beliefs pre-colonial times, as owing to colonisation, Jones and Ferguson (2020) argue that a homogenous lens was placed on colonial cultures, where they were seen as unhuman, unwesternised, who needed saving from their depravity (ibid.). I am therefore taking a pluralistic view to this analysis, with the recognition of the multiplicity of different LGBTQIA+ people’s experiences in former colonial countries (ibid.) and to be aware of my own westernised upbringing and lens.  </w:t>
                  </w:r>
                </w:p>
                <w:p w14:paraId="75608330" w14:textId="77777777" w:rsidR="00956421" w:rsidRPr="00111EDF" w:rsidRDefault="00956421" w:rsidP="00956421"/>
                <w:p w14:paraId="1295B949" w14:textId="77777777" w:rsidR="00956421" w:rsidRPr="00111EDF" w:rsidRDefault="00956421" w:rsidP="00956421">
                  <w:r w:rsidRPr="00111EDF">
                    <w:t xml:space="preserve">Using Foucault’s (1977) concepts within his seminal work ‘history of sexuality’ (ibid.), and deconstructing notions of truth and reflecting on the pre-colonial history of sexuality this perspective helps to disrupt </w:t>
                  </w:r>
                </w:p>
                <w:p w14:paraId="14F1D34E" w14:textId="77777777" w:rsidR="00956421" w:rsidRPr="00111EDF" w:rsidRDefault="00956421" w:rsidP="00956421"/>
                <w:p w14:paraId="1C440A24" w14:textId="77777777" w:rsidR="00956421" w:rsidRPr="00111EDF" w:rsidRDefault="00956421" w:rsidP="00956421">
                  <w:r w:rsidRPr="00111EDF">
                    <w:rPr>
                      <w:i/>
                      <w:iCs/>
                    </w:rPr>
                    <w:t>“what was considered immobile; it fragments what was thought unified; it shows the heterogeneity of what was imagined consisted with itself”</w:t>
                  </w:r>
                  <w:r w:rsidRPr="00111EDF">
                    <w:t xml:space="preserve"> (ibid., p.147).</w:t>
                  </w:r>
                </w:p>
                <w:p w14:paraId="7945C065" w14:textId="77777777" w:rsidR="00956421" w:rsidRPr="00111EDF" w:rsidRDefault="00956421" w:rsidP="00956421"/>
                <w:p w14:paraId="03F2E12D" w14:textId="77777777" w:rsidR="00956421" w:rsidRPr="00111EDF" w:rsidRDefault="00956421" w:rsidP="00956421">
                  <w:pPr>
                    <w:rPr>
                      <w:color w:val="000000"/>
                      <w:bdr w:val="none" w:sz="0" w:space="0" w:color="auto" w:frame="1"/>
                    </w:rPr>
                  </w:pPr>
                  <w:r w:rsidRPr="00111EDF">
                    <w:t xml:space="preserve">Foucault’s lens helps to illustrate there is some evidence of pre-British-Colonised countries being more accepting of LGBTQIA+ people, although they may not have described it as such (Murray and Roscoe, 2021; Pausacker and Whiting, 2019; Haskins, 2014). This includes Southeast Asia, which recognised some people as Hijra (Dutta, 2012), which is a term used for trans people (ibid.).  </w:t>
                  </w:r>
                  <w:r w:rsidRPr="00111EDF">
                    <w:rPr>
                      <w:rStyle w:val="Emphasis"/>
                      <w:rFonts w:eastAsia="DengXian Light"/>
                      <w:i w:val="0"/>
                      <w:iCs w:val="0"/>
                      <w:color w:val="000000"/>
                      <w:bdr w:val="none" w:sz="0" w:space="0" w:color="auto" w:frame="1"/>
                    </w:rPr>
                    <w:t>Moreover, in Nigeria the Igbo and Yoruba tribes did not have binary genders (Uchendu, Roets and Vandenbroeck, 2019; Willis, 2018), this was also similar in Ghana (Bawa, 2019). One of the most famous LGBTQIA+ individuals to be recorded is the last King of Bugunda King Mwanga who was gay (</w:t>
                  </w:r>
                  <w:r w:rsidRPr="00111EDF">
                    <w:t>Nannyonga-Tamusuza, 2005</w:t>
                  </w:r>
                  <w:r w:rsidRPr="00111EDF">
                    <w:rPr>
                      <w:rStyle w:val="Emphasis"/>
                      <w:rFonts w:eastAsia="DengXian Light"/>
                      <w:i w:val="0"/>
                      <w:iCs w:val="0"/>
                      <w:color w:val="000000"/>
                      <w:bdr w:val="none" w:sz="0" w:space="0" w:color="auto" w:frame="1"/>
                    </w:rPr>
                    <w:t xml:space="preserve">). </w:t>
                  </w:r>
                  <w:r w:rsidRPr="00111EDF">
                    <w:rPr>
                      <w:rStyle w:val="Emphasis"/>
                      <w:rFonts w:eastAsia="DengXian Light"/>
                      <w:color w:val="000000"/>
                      <w:bdr w:val="none" w:sz="0" w:space="0" w:color="auto" w:frame="1"/>
                    </w:rPr>
                    <w:t xml:space="preserve"> </w:t>
                  </w:r>
                  <w:r w:rsidRPr="00111EDF">
                    <w:rPr>
                      <w:color w:val="000000"/>
                      <w:bdr w:val="none" w:sz="0" w:space="0" w:color="auto" w:frame="1"/>
                    </w:rPr>
                    <w:t>In fact, biological sex was not equated to the two-gender hegemony of western Eurocentric states (Gomes da Costa Santos and Waites, 2021).  However, despite this acceptance in some areas, non-heteronormative sexuality and gender identities were expressed as don’t ask and don’t tell (</w:t>
                  </w:r>
                  <w:r w:rsidRPr="00111EDF">
                    <w:t xml:space="preserve">Msibi, 2011). </w:t>
                  </w:r>
                </w:p>
                <w:p w14:paraId="17B51FD7" w14:textId="77777777" w:rsidR="00956421" w:rsidRPr="00111EDF" w:rsidRDefault="00956421" w:rsidP="00956421">
                  <w:pPr>
                    <w:rPr>
                      <w:color w:val="000000"/>
                      <w:bdr w:val="none" w:sz="0" w:space="0" w:color="auto" w:frame="1"/>
                    </w:rPr>
                  </w:pPr>
                </w:p>
                <w:p w14:paraId="1A934031" w14:textId="77777777" w:rsidR="00956421" w:rsidRPr="00111EDF" w:rsidRDefault="00956421" w:rsidP="00956421">
                  <w:pPr>
                    <w:rPr>
                      <w:color w:val="0A0A0A"/>
                      <w:shd w:val="clear" w:color="auto" w:fill="FFFFFF"/>
                    </w:rPr>
                  </w:pPr>
                  <w:r w:rsidRPr="00111EDF">
                    <w:rPr>
                      <w:color w:val="000000"/>
                      <w:bdr w:val="none" w:sz="0" w:space="0" w:color="auto" w:frame="1"/>
                    </w:rPr>
                    <w:t xml:space="preserve">It is also paramount to mention that religion is an important factor when considering and contemplating the pre-colonial context (Andrews, 2009). </w:t>
                  </w:r>
                  <w:r w:rsidRPr="00111EDF">
                    <w:rPr>
                      <w:color w:val="000000"/>
                      <w:bdr w:val="none" w:sz="0" w:space="0" w:color="auto" w:frame="1"/>
                    </w:rPr>
                    <w:lastRenderedPageBreak/>
                    <w:t xml:space="preserve">British society was dominated by Christianity, an Abrahamic faith, which historically has shown less favourable attitudes to LGBTQIA+ people (ibid.), additionally, some of the tenets of Christianity, at this time were used to justify anti-LGBTQIA+ legislation (ibid.). In addition, Europeans -saw colonised people as sub-human (Wolfe, 2006). By forcing this lens on indigenous people, it whitewashed traditional practices (Picq and Tikuna, 2019). Additionally, Christian missionaries not only brought religion but morality too (Jensz, 2012). </w:t>
                  </w:r>
                  <w:r w:rsidRPr="00111EDF">
                    <w:t xml:space="preserve"> </w:t>
                  </w:r>
                  <w:r w:rsidRPr="00111EDF">
                    <w:rPr>
                      <w:color w:val="0A0A0A"/>
                      <w:shd w:val="clear" w:color="auto" w:fill="FFFFFF"/>
                    </w:rPr>
                    <w:t> </w:t>
                  </w:r>
                </w:p>
                <w:p w14:paraId="1E125D69" w14:textId="77777777" w:rsidR="00956421" w:rsidRPr="00111EDF" w:rsidRDefault="00956421" w:rsidP="00956421">
                  <w:pPr>
                    <w:rPr>
                      <w:color w:val="0A0A0A"/>
                      <w:shd w:val="clear" w:color="auto" w:fill="FFFFFF"/>
                    </w:rPr>
                  </w:pPr>
                </w:p>
                <w:p w14:paraId="4196552B" w14:textId="77777777" w:rsidR="00956421" w:rsidRPr="00111EDF" w:rsidRDefault="00956421" w:rsidP="00956421">
                  <w:pPr>
                    <w:rPr>
                      <w:color w:val="000000"/>
                      <w:bdr w:val="none" w:sz="0" w:space="0" w:color="auto" w:frame="1"/>
                    </w:rPr>
                  </w:pPr>
                  <w:r w:rsidRPr="00111EDF">
                    <w:rPr>
                      <w:color w:val="0A0A0A"/>
                      <w:shd w:val="clear" w:color="auto" w:fill="FFFFFF"/>
                    </w:rPr>
                    <w:t>Morality is a huge influence on anti-LGBTQIA+ legislation, before the 18th century, European writings on sexuality was a moral discussion based on Judeo-Christian code (Runkel, 1998). This code, established what was described as sinful and everyone was believed to be at risk of temptation (ibid). The code which was heavily influenced by the sin of lust was believed to cause a breakdown of moral consciousness (ibid.). Therefore, homosexuality and other non-creational sexual acts were all viewed as immoral (ibid.).</w:t>
                  </w:r>
                  <w:r w:rsidRPr="00111EDF">
                    <w:rPr>
                      <w:color w:val="000000"/>
                      <w:bdr w:val="none" w:sz="0" w:space="0" w:color="auto" w:frame="1"/>
                    </w:rPr>
                    <w:t xml:space="preserve"> </w:t>
                  </w:r>
                </w:p>
                <w:bookmarkEnd w:id="36"/>
                <w:p w14:paraId="3F4E2C29" w14:textId="77777777" w:rsidR="00956421" w:rsidRPr="00111EDF" w:rsidRDefault="00956421" w:rsidP="00956421">
                  <w:pPr>
                    <w:rPr>
                      <w:color w:val="000000"/>
                      <w:bdr w:val="none" w:sz="0" w:space="0" w:color="auto" w:frame="1"/>
                    </w:rPr>
                  </w:pPr>
                </w:p>
                <w:bookmarkEnd w:id="37"/>
                <w:bookmarkEnd w:id="38"/>
                <w:bookmarkEnd w:id="39"/>
                <w:p w14:paraId="3500FD0F" w14:textId="77777777" w:rsidR="00956421" w:rsidRDefault="00956421" w:rsidP="00EF77F3">
                  <w:pPr>
                    <w:numPr>
                      <w:ilvl w:val="1"/>
                      <w:numId w:val="3"/>
                    </w:numPr>
                  </w:pPr>
                  <w:r w:rsidRPr="00111EDF">
                    <w:t xml:space="preserve">Theme </w:t>
                  </w:r>
                  <w:r w:rsidR="00B43D00">
                    <w:t>3</w:t>
                  </w:r>
                  <w:r w:rsidRPr="00111EDF">
                    <w:t xml:space="preserve">: </w:t>
                  </w:r>
                  <w:bookmarkStart w:id="40" w:name="_Hlk117165551"/>
                  <w:r w:rsidRPr="00111EDF">
                    <w:t>LGBTQIA</w:t>
                  </w:r>
                  <w:r w:rsidR="00B43D00">
                    <w:t>+</w:t>
                  </w:r>
                  <w:r w:rsidRPr="00111EDF">
                    <w:t xml:space="preserve"> legislation during British rule </w:t>
                  </w:r>
                  <w:bookmarkEnd w:id="40"/>
                </w:p>
                <w:p w14:paraId="01F8EBF7" w14:textId="77777777" w:rsidR="00956421" w:rsidRPr="00111EDF" w:rsidRDefault="00956421" w:rsidP="00956421">
                  <w:pPr>
                    <w:ind w:left="1440"/>
                  </w:pPr>
                </w:p>
                <w:p w14:paraId="45810918" w14:textId="77777777" w:rsidR="00956421" w:rsidRDefault="00956421" w:rsidP="00956421">
                  <w:bookmarkStart w:id="41" w:name="_Hlk115712641"/>
                  <w:bookmarkStart w:id="42" w:name="_Hlk115713518"/>
                  <w:bookmarkStart w:id="43" w:name="_Hlk115715728"/>
                  <w:r w:rsidRPr="00111EDF">
                    <w:t>The British Empire began in the 15</w:t>
                  </w:r>
                  <w:r w:rsidRPr="00111EDF">
                    <w:rPr>
                      <w:vertAlign w:val="superscript"/>
                    </w:rPr>
                    <w:t>th</w:t>
                  </w:r>
                  <w:r w:rsidRPr="00111EDF">
                    <w:t xml:space="preserve"> Century (Piers, 2007). Although Britain, in the beginning, focused on imperialism through private companies such as the East India Company (Vaughan, 2019), towards the late 19</w:t>
                  </w:r>
                  <w:r w:rsidRPr="00111EDF">
                    <w:rPr>
                      <w:vertAlign w:val="superscript"/>
                    </w:rPr>
                    <w:t>th</w:t>
                  </w:r>
                  <w:r w:rsidRPr="00111EDF">
                    <w:t xml:space="preserve"> century the British introduced formal state control (ibid.). The impact of the British Anti-homosexual laws in former colonies is well discussed (Human Rights Watch, 2008). The British introduced anti-homosexual legislation firstly in India, via the Indian Penal Code 1860 (ibid.), where it was seen as an offense to engage in an act of buggery (ibid,), this was </w:t>
                  </w:r>
                </w:p>
                <w:p w14:paraId="0246B790" w14:textId="77777777" w:rsidR="00956421" w:rsidRPr="00111EDF" w:rsidRDefault="00956421" w:rsidP="00956421">
                  <w:r w:rsidRPr="00111EDF">
                    <w:t xml:space="preserve"> because </w:t>
                  </w:r>
                  <w:r w:rsidRPr="00111EDF">
                    <w:rPr>
                      <w:i/>
                      <w:iCs/>
                    </w:rPr>
                    <w:t xml:space="preserve">“soldiers and colonial administrators—particularly those without wives at hand—would turn to sodomy in these decadent, hot surroundings” </w:t>
                  </w:r>
                  <w:r w:rsidRPr="00111EDF">
                    <w:t xml:space="preserve">(Human Rights Wastch 2008,  p.16). This was further expanded under the Criminal Law Amendment Act 1885 which made all same-sex activity between men prohibitive (Human Rights Watch, 2008). This legislation was exported across the British Empire and therefore the British institutionalised anti-homosexual legislation. </w:t>
                  </w:r>
                </w:p>
                <w:p w14:paraId="6DFCD19F" w14:textId="77777777" w:rsidR="00956421" w:rsidRPr="00111EDF" w:rsidRDefault="00956421" w:rsidP="00956421"/>
                <w:p w14:paraId="1702B774" w14:textId="089DC763" w:rsidR="00956421" w:rsidRPr="00111EDF" w:rsidRDefault="00956421" w:rsidP="00956421">
                  <w:r w:rsidRPr="00111EDF">
                    <w:t xml:space="preserve">Although, </w:t>
                  </w:r>
                  <w:r w:rsidR="00C06016">
                    <w:t>the author has focused</w:t>
                  </w:r>
                  <w:r w:rsidRPr="00111EDF">
                    <w:t xml:space="preserve"> on male same-sex acts and relationships being criminalised, it should be noted that the British saw anything which diverted from heterosexuality as deviant and immoral. For example, Lesbians were not criminalised owing to MPs wanting to erase and maintain invisibility (Dwyer and Rundle, 2019) and therefore legislation against same sex women was not implemented (ibid.). Similar  to lesbians trans people were not directly discriminated against (Hines and Santos, 2018).  However,  British colonialism also introduced strong ideas of the morality of gender and heteronormativity (Gunther, 1998). Foucault (1977), proposes that bodies are controlled and oppressed. In India the Hijras (Dutta, 2012) were subjected by the British and labelled as deviant (ibid.). </w:t>
                  </w:r>
                </w:p>
                <w:p w14:paraId="5E449CE7" w14:textId="77777777" w:rsidR="00956421" w:rsidRPr="00111EDF" w:rsidRDefault="00956421" w:rsidP="00956421"/>
                <w:p w14:paraId="094439DD" w14:textId="5076F0A3" w:rsidR="00956421" w:rsidRPr="00111EDF" w:rsidRDefault="00C06016" w:rsidP="00956421">
                  <w:r w:rsidRPr="00C06016">
                    <w:lastRenderedPageBreak/>
                    <w:t xml:space="preserve">The author think it is </w:t>
                  </w:r>
                  <w:r w:rsidR="00956421" w:rsidRPr="00C06016">
                    <w:t>important to</w:t>
                  </w:r>
                  <w:r w:rsidR="00956421" w:rsidRPr="00111EDF">
                    <w:t xml:space="preserve"> highlight how the historical application of these laws were imposed on colonial subjects. A seminal report by Human Rights Watch suggested:</w:t>
                  </w:r>
                </w:p>
                <w:p w14:paraId="196C9500" w14:textId="77777777" w:rsidR="00956421" w:rsidRPr="00111EDF" w:rsidRDefault="00956421" w:rsidP="00956421"/>
                <w:p w14:paraId="759CDFF0" w14:textId="77777777" w:rsidR="00956421" w:rsidRPr="00111EDF" w:rsidRDefault="00956421" w:rsidP="00956421">
                  <w:r w:rsidRPr="00111EDF">
                    <w:rPr>
                      <w:i/>
                      <w:iCs/>
                    </w:rPr>
                    <w:t xml:space="preserve">“Colonial legislators and jurists introduced such laws, with no debates or “cultural consultations,” to support colonial control. They believed laws could inculcate European morality into resistant masses. They brought in the legislation, in fact, because they thought “native” cultures did not punish “perverse” sex enough. The colonized needed compulsory re-education in sexual mores. Imperial rulers held that, as long as they sweltered through the promiscuous proximities of settler societies, “native” viciousness and “white” virtue had to be segregated: the latter praised and protected, the former policed and kept subjected.” </w:t>
                  </w:r>
                  <w:r w:rsidRPr="00111EDF">
                    <w:t>(Human Rights Watch, 2008, p. 5)</w:t>
                  </w:r>
                </w:p>
                <w:p w14:paraId="1E47EA35" w14:textId="77777777" w:rsidR="00956421" w:rsidRPr="00111EDF" w:rsidRDefault="00956421" w:rsidP="00956421">
                  <w:pPr>
                    <w:rPr>
                      <w:i/>
                      <w:iCs/>
                    </w:rPr>
                  </w:pPr>
                </w:p>
                <w:p w14:paraId="47F0BC02" w14:textId="77777777" w:rsidR="00956421" w:rsidRPr="00111EDF" w:rsidRDefault="00956421" w:rsidP="00956421"/>
                <w:p w14:paraId="796980E0" w14:textId="77777777" w:rsidR="00956421" w:rsidRPr="00111EDF" w:rsidRDefault="00956421" w:rsidP="00956421">
                  <w:r w:rsidRPr="00111EDF">
                    <w:t>However, these arguments are not nuanced enough and do not focus on the dual reality of British law and customary law (Wekesea, 2017). Which Gomes da Costa Santos and Waites (2019) argue that this reflects westernised hierarchies where customary law is not valued enough to be evaluated within this context.</w:t>
                  </w:r>
                  <w:bookmarkEnd w:id="41"/>
                  <w:r w:rsidRPr="00111EDF">
                    <w:t xml:space="preserve"> Therefore, it can be argued that English law can be contextualised in a local context. On the other hand, native or customary law could be overruled by British Law (Wekesea, 2017) and “customary laws were seen as inferior” (ibid., p.18). However, there is minimal evidence of the British actively prosecuting indigenous people on same-sex sexual acts (ibid</w:t>
                  </w:r>
                  <w:r>
                    <w:t>.</w:t>
                  </w:r>
                  <w:r w:rsidRPr="00111EDF">
                    <w:t xml:space="preserve">). </w:t>
                  </w:r>
                </w:p>
                <w:bookmarkEnd w:id="42"/>
                <w:bookmarkEnd w:id="43"/>
                <w:p w14:paraId="5F81FDA5" w14:textId="77777777" w:rsidR="00956421" w:rsidRPr="00111EDF" w:rsidRDefault="00956421" w:rsidP="00956421"/>
                <w:p w14:paraId="18EC8EEA" w14:textId="77777777" w:rsidR="00956421" w:rsidRPr="00111EDF" w:rsidRDefault="00956421" w:rsidP="00EF77F3">
                  <w:pPr>
                    <w:numPr>
                      <w:ilvl w:val="1"/>
                      <w:numId w:val="3"/>
                    </w:numPr>
                  </w:pPr>
                  <w:r w:rsidRPr="00111EDF">
                    <w:t xml:space="preserve">Theme </w:t>
                  </w:r>
                  <w:r w:rsidR="00B43D00">
                    <w:t>4</w:t>
                  </w:r>
                  <w:r w:rsidRPr="00111EDF">
                    <w:t xml:space="preserve">: Current context </w:t>
                  </w:r>
                </w:p>
                <w:p w14:paraId="46337708" w14:textId="77777777" w:rsidR="00956421" w:rsidRPr="00111EDF" w:rsidRDefault="00956421" w:rsidP="00956421"/>
                <w:p w14:paraId="3F6A4772" w14:textId="77777777" w:rsidR="00956421" w:rsidRDefault="00956421" w:rsidP="00956421">
                  <w:r>
                    <w:t xml:space="preserve">So far, the literature has highlighted what the legislation was for LGBTQIA+ people before and during the British Empire. The British Empire no longer exists, with varying disagreements about when the end came, some state it was after India achieved independence in 1947 and others say it was the end of British rule in Hong Kong in 1997 (Holland, 2000). However, despite this many former colonial countries are members of the </w:t>
                  </w:r>
                  <w:r w:rsidRPr="00977210">
                    <w:t>Commonwealth (Commonwealth, 2022).</w:t>
                  </w:r>
                  <w:r>
                    <w:t xml:space="preserve"> As discussed previously the British introduced anti-LGBTQIA+ legislation (Human Rights Watch, 2008) in its colonies and many have kept the same legislation since independence (ibid.). </w:t>
                  </w:r>
                </w:p>
                <w:p w14:paraId="6B43BC93" w14:textId="77777777" w:rsidR="00956421" w:rsidRDefault="00956421" w:rsidP="00956421"/>
                <w:p w14:paraId="20A63D47" w14:textId="77777777" w:rsidR="00956421" w:rsidRDefault="00956421" w:rsidP="00956421">
                  <w:r>
                    <w:t xml:space="preserve">As the UK has become more liberalised and LGBTQIA+ people have gained legal recognition and protections (Equality Act 2010; Marriage (Same Sex Couples) Act 2013, and the Gender Recognition Act (2004). Contrastingly one of the most interesting arguments that many former colonial countries in Africa use to keep homophobic and transphobic legislation is that it is “Un-African” to be LGBTQIA+ and is a western import (Kuloba, 2016). This is at odds with the history of pre-colonial Africa (ibid.).  Moreover, some African </w:t>
                  </w:r>
                  <w:r w:rsidRPr="00317EE6">
                    <w:t>countries have increased their ant</w:t>
                  </w:r>
                  <w:r>
                    <w:t>i</w:t>
                  </w:r>
                  <w:r w:rsidRPr="00317EE6">
                    <w:t xml:space="preserve">-LGBTQIA+ legislation. Uganda is a case in point in 2019 there were attempts to introduce the death penalty, </w:t>
                  </w:r>
                  <w:r w:rsidRPr="00317EE6">
                    <w:lastRenderedPageBreak/>
                    <w:t>currently, this has not been passed (Guardian, 2019), however same-sex and trans people can be prosecuted and given a life sentence (Aljazerra, 2013).</w:t>
                  </w:r>
                </w:p>
                <w:p w14:paraId="24899999" w14:textId="77777777" w:rsidR="00956421" w:rsidRDefault="00956421" w:rsidP="00956421">
                  <w:r>
                    <w:t xml:space="preserve"> </w:t>
                  </w:r>
                </w:p>
                <w:p w14:paraId="4DD63D07" w14:textId="77777777" w:rsidR="00956421" w:rsidRDefault="00956421" w:rsidP="00956421"/>
                <w:p w14:paraId="2EF00318" w14:textId="77777777" w:rsidR="00956421" w:rsidRDefault="00956421" w:rsidP="00956421">
                  <w:r>
                    <w:t xml:space="preserve">To understand why Uganda has such laws we must look at its colonial past (Kuloba, 2016). Uganda was a colony of the British Empire, as Dube (2012, p.2) states: </w:t>
                  </w:r>
                </w:p>
                <w:p w14:paraId="48B3897C" w14:textId="77777777" w:rsidR="00956421" w:rsidRDefault="00956421" w:rsidP="00956421"/>
                <w:p w14:paraId="2AAE24C1" w14:textId="77777777" w:rsidR="00956421" w:rsidRPr="006428C2" w:rsidRDefault="00956421" w:rsidP="00956421">
                  <w:r>
                    <w:t xml:space="preserve">the African continent was </w:t>
                  </w:r>
                  <w:r w:rsidRPr="006428C2">
                    <w:rPr>
                      <w:i/>
                      <w:iCs/>
                    </w:rPr>
                    <w:t>“penetrated by the West, its male subjugator, and inseminated with Western seed(s) (Of Christianity, Commerce and Civilization)</w:t>
                  </w:r>
                  <w:r>
                    <w:rPr>
                      <w:i/>
                      <w:iCs/>
                    </w:rPr>
                    <w:t>”</w:t>
                  </w:r>
                  <w:r>
                    <w:t>. Therefore, I think it is important to understand this hybridity and how it has shaped and modernised Africa to this day.</w:t>
                  </w:r>
                </w:p>
                <w:p w14:paraId="75C4B742" w14:textId="77777777" w:rsidR="00956421" w:rsidRDefault="00956421" w:rsidP="00956421"/>
                <w:p w14:paraId="16B75331" w14:textId="77777777" w:rsidR="00956421" w:rsidRDefault="00956421" w:rsidP="00956421">
                  <w:r>
                    <w:t xml:space="preserve">Other ideas to bring in: </w:t>
                  </w:r>
                </w:p>
                <w:p w14:paraId="11FF4E27" w14:textId="77777777" w:rsidR="00956421" w:rsidRPr="00111EDF" w:rsidRDefault="00956421" w:rsidP="00956421"/>
                <w:p w14:paraId="0A65EF5C" w14:textId="77777777" w:rsidR="00956421" w:rsidRPr="00111EDF" w:rsidRDefault="00956421" w:rsidP="00EF77F3">
                  <w:pPr>
                    <w:numPr>
                      <w:ilvl w:val="2"/>
                      <w:numId w:val="3"/>
                    </w:numPr>
                  </w:pPr>
                  <w:r w:rsidRPr="00111EDF">
                    <w:t>Neoliberalism and neo-colonialism</w:t>
                  </w:r>
                </w:p>
                <w:p w14:paraId="039C50F3" w14:textId="77777777" w:rsidR="00956421" w:rsidRPr="00111EDF" w:rsidRDefault="00956421" w:rsidP="00EF77F3">
                  <w:pPr>
                    <w:numPr>
                      <w:ilvl w:val="2"/>
                      <w:numId w:val="3"/>
                    </w:numPr>
                  </w:pPr>
                  <w:r w:rsidRPr="00111EDF">
                    <w:t>Challenging the British colonial legacy</w:t>
                  </w:r>
                </w:p>
                <w:p w14:paraId="1EDA3A6B" w14:textId="77777777" w:rsidR="00956421" w:rsidRPr="00111EDF" w:rsidRDefault="00956421" w:rsidP="00EF77F3">
                  <w:pPr>
                    <w:numPr>
                      <w:ilvl w:val="2"/>
                      <w:numId w:val="3"/>
                    </w:numPr>
                  </w:pPr>
                  <w:r w:rsidRPr="00111EDF">
                    <w:t>Resistance, resilience and hope</w:t>
                  </w:r>
                </w:p>
                <w:p w14:paraId="34FFE0EE" w14:textId="77777777" w:rsidR="00956421" w:rsidRPr="00111EDF" w:rsidRDefault="00956421" w:rsidP="00956421">
                  <w:pPr>
                    <w:rPr>
                      <w:u w:val="single"/>
                    </w:rPr>
                  </w:pPr>
                  <w:r w:rsidRPr="00111EDF">
                    <w:rPr>
                      <w:u w:val="single"/>
                    </w:rPr>
                    <w:t>Results Discussion</w:t>
                  </w:r>
                </w:p>
                <w:p w14:paraId="5764DDEE" w14:textId="77777777" w:rsidR="00956421" w:rsidRPr="00111EDF" w:rsidRDefault="00956421" w:rsidP="00956421"/>
                <w:p w14:paraId="53A2DAA3" w14:textId="77777777" w:rsidR="00956421" w:rsidRPr="00111EDF" w:rsidRDefault="00956421" w:rsidP="00EF77F3">
                  <w:pPr>
                    <w:numPr>
                      <w:ilvl w:val="0"/>
                      <w:numId w:val="5"/>
                    </w:numPr>
                  </w:pPr>
                  <w:r w:rsidRPr="00111EDF">
                    <w:t>TBC</w:t>
                  </w:r>
                </w:p>
                <w:p w14:paraId="29AA7DA0" w14:textId="77777777" w:rsidR="00956421" w:rsidRPr="00111EDF" w:rsidRDefault="00956421" w:rsidP="00956421">
                  <w:pPr>
                    <w:ind w:left="720"/>
                  </w:pPr>
                </w:p>
                <w:p w14:paraId="0CA237DF" w14:textId="77777777" w:rsidR="00956421" w:rsidRPr="00111EDF" w:rsidRDefault="00956421" w:rsidP="00956421">
                  <w:pPr>
                    <w:rPr>
                      <w:u w:val="single"/>
                    </w:rPr>
                  </w:pPr>
                  <w:r w:rsidRPr="00111EDF">
                    <w:rPr>
                      <w:u w:val="single"/>
                    </w:rPr>
                    <w:t>Conclusion/Recommendations</w:t>
                  </w:r>
                </w:p>
                <w:p w14:paraId="46462A32" w14:textId="77777777" w:rsidR="00956421" w:rsidRPr="00111EDF" w:rsidRDefault="00956421" w:rsidP="00EF77F3">
                  <w:pPr>
                    <w:numPr>
                      <w:ilvl w:val="0"/>
                      <w:numId w:val="5"/>
                    </w:numPr>
                  </w:pPr>
                  <w:r w:rsidRPr="00111EDF">
                    <w:t>TBC</w:t>
                  </w:r>
                </w:p>
                <w:p w14:paraId="0CCDA53F" w14:textId="77777777" w:rsidR="00956421" w:rsidRDefault="00956421" w:rsidP="00956421"/>
                <w:p w14:paraId="484916A3" w14:textId="77777777" w:rsidR="00956421" w:rsidRPr="00111EDF" w:rsidRDefault="00956421" w:rsidP="00956421"/>
                <w:p w14:paraId="36F64042" w14:textId="77777777" w:rsidR="00956421" w:rsidRPr="00111EDF" w:rsidRDefault="00956421" w:rsidP="00956421"/>
              </w:tc>
            </w:tr>
            <w:tr w:rsidR="00956421" w:rsidRPr="00111EDF" w14:paraId="61DAA029" w14:textId="77777777" w:rsidTr="00EF77F3">
              <w:tc>
                <w:tcPr>
                  <w:tcW w:w="8856" w:type="dxa"/>
                </w:tcPr>
                <w:p w14:paraId="0803A1DE" w14:textId="77777777" w:rsidR="00956421" w:rsidRDefault="00956421" w:rsidP="00956421">
                  <w:r>
                    <w:lastRenderedPageBreak/>
                    <w:t xml:space="preserve">Bibliography </w:t>
                  </w:r>
                </w:p>
                <w:p w14:paraId="0E6577E6" w14:textId="77777777" w:rsidR="00956421" w:rsidRDefault="00956421" w:rsidP="00956421"/>
                <w:p w14:paraId="65B57983" w14:textId="77777777" w:rsidR="00956421" w:rsidRDefault="00956421" w:rsidP="00956421"/>
                <w:p w14:paraId="7E0370F3" w14:textId="77777777" w:rsidR="00956421" w:rsidRDefault="00956421" w:rsidP="00956421">
                  <w:pPr>
                    <w:spacing w:line="360" w:lineRule="auto"/>
                    <w:ind w:left="720" w:hanging="720"/>
                  </w:pPr>
                  <w:bookmarkStart w:id="44" w:name="_Hlk117162598"/>
                  <w:r>
                    <w:t xml:space="preserve">Aljazeera. (2013) Uganda MPs pass controversial anti-gay law. Available at: </w:t>
                  </w:r>
                  <w:hyperlink r:id="rId124" w:history="1">
                    <w:r w:rsidRPr="00D35FAE">
                      <w:rPr>
                        <w:rStyle w:val="Hyperlink"/>
                      </w:rPr>
                      <w:t>https://www.aljazeera.com/news/2013/12/21/uganda-mps-pass-controversial-anti-gay-law/</w:t>
                    </w:r>
                  </w:hyperlink>
                  <w:r>
                    <w:t xml:space="preserve"> (Accessed 07/10/2022). </w:t>
                  </w:r>
                </w:p>
                <w:p w14:paraId="65111CBA" w14:textId="77777777" w:rsidR="00956421" w:rsidRPr="00014E8D" w:rsidRDefault="00956421" w:rsidP="00956421">
                  <w:pPr>
                    <w:spacing w:line="360" w:lineRule="auto"/>
                    <w:ind w:left="720" w:hanging="720"/>
                    <w:contextualSpacing/>
                  </w:pPr>
                  <w:r w:rsidRPr="00014E8D">
                    <w:t xml:space="preserve">Andrews, E.E. (2009) ‘Christian Missions and Colonial Empires Reconsidered: A Black Evangelist in West Africa, 1766–1816’, </w:t>
                  </w:r>
                  <w:r w:rsidRPr="005B466F">
                    <w:rPr>
                      <w:i/>
                      <w:iCs/>
                    </w:rPr>
                    <w:t>A journal of church and state</w:t>
                  </w:r>
                  <w:r w:rsidRPr="00014E8D">
                    <w:t xml:space="preserve">, 51(4), pp. 663–691. Available at: </w:t>
                  </w:r>
                  <w:hyperlink r:id="rId125" w:history="1">
                    <w:r w:rsidRPr="00014E8D">
                      <w:t>https://doi.org/10.1093/jcs/csp090</w:t>
                    </w:r>
                  </w:hyperlink>
                  <w:r w:rsidRPr="00014E8D">
                    <w:t>.</w:t>
                  </w:r>
                </w:p>
                <w:p w14:paraId="5C87EE8D" w14:textId="77777777" w:rsidR="00956421" w:rsidRPr="00014E8D" w:rsidRDefault="00956421" w:rsidP="00956421">
                  <w:pPr>
                    <w:spacing w:line="360" w:lineRule="auto"/>
                    <w:ind w:left="720" w:hanging="720"/>
                    <w:contextualSpacing/>
                  </w:pPr>
                  <w:r w:rsidRPr="00014E8D">
                    <w:t xml:space="preserve">Bawa, S. (2019) ‘Christianity, tradition, and gender inequality in postcolonial Ghana’, </w:t>
                  </w:r>
                  <w:r w:rsidRPr="005B466F">
                    <w:rPr>
                      <w:i/>
                      <w:iCs/>
                    </w:rPr>
                    <w:t>African geographical review</w:t>
                  </w:r>
                  <w:r w:rsidRPr="00014E8D">
                    <w:t xml:space="preserve">, 38(1), pp. 54–66. Available at: </w:t>
                  </w:r>
                  <w:hyperlink r:id="rId126" w:history="1">
                    <w:r w:rsidRPr="00014E8D">
                      <w:t>https://doi.org/10.1080/19376812.2017.1286245</w:t>
                    </w:r>
                  </w:hyperlink>
                  <w:r w:rsidRPr="00014E8D">
                    <w:t>.</w:t>
                  </w:r>
                </w:p>
                <w:p w14:paraId="65D76F09" w14:textId="77777777" w:rsidR="00956421" w:rsidRDefault="00956421" w:rsidP="00956421">
                  <w:pPr>
                    <w:spacing w:line="360" w:lineRule="auto"/>
                    <w:ind w:left="720" w:hanging="720"/>
                    <w:contextualSpacing/>
                  </w:pPr>
                  <w:r w:rsidRPr="00014E8D">
                    <w:t xml:space="preserve">BBC. (2021) Homosexuality: The countries where it is illegal to be gay. BBC, London. Available at: </w:t>
                  </w:r>
                  <w:hyperlink r:id="rId127" w:history="1">
                    <w:r w:rsidRPr="00014E8D">
                      <w:t>https://www.bbc.co.uk/news/world-43822234</w:t>
                    </w:r>
                  </w:hyperlink>
                  <w:r w:rsidRPr="00014E8D">
                    <w:t xml:space="preserve"> [Accessed 07/10/2022].</w:t>
                  </w:r>
                </w:p>
                <w:p w14:paraId="14CBA7FB" w14:textId="77777777" w:rsidR="00956421" w:rsidRPr="00014E8D" w:rsidRDefault="00956421" w:rsidP="00956421">
                  <w:pPr>
                    <w:spacing w:line="360" w:lineRule="auto"/>
                    <w:ind w:left="720" w:hanging="720"/>
                    <w:contextualSpacing/>
                  </w:pPr>
                  <w:r>
                    <w:lastRenderedPageBreak/>
                    <w:t xml:space="preserve">Bogaerts, E. and Raben, R. (2012) </w:t>
                  </w:r>
                  <w:r w:rsidRPr="005B466F">
                    <w:rPr>
                      <w:i/>
                      <w:iCs/>
                    </w:rPr>
                    <w:t>Beyond Empire and Nation; The Decolonization of African and Asian societies, 1930s-1960s</w:t>
                  </w:r>
                  <w:r>
                    <w:t xml:space="preserve">. Leiden - Boston: Brill. Available at: </w:t>
                  </w:r>
                  <w:hyperlink r:id="rId128" w:history="1">
                    <w:r w:rsidRPr="00D35FAE">
                      <w:rPr>
                        <w:rStyle w:val="Hyperlink"/>
                      </w:rPr>
                      <w:t>https://doi.org/10.26530/OAPEN_424255</w:t>
                    </w:r>
                  </w:hyperlink>
                  <w:r>
                    <w:t xml:space="preserve"> [Accessed 07/10/2022]. </w:t>
                  </w:r>
                </w:p>
                <w:p w14:paraId="63F7F763" w14:textId="77777777" w:rsidR="00956421" w:rsidRPr="00014E8D" w:rsidRDefault="00956421" w:rsidP="00956421">
                  <w:pPr>
                    <w:spacing w:line="360" w:lineRule="auto"/>
                    <w:ind w:left="720" w:hanging="720"/>
                    <w:contextualSpacing/>
                  </w:pPr>
                  <w:r>
                    <w:t>Brendon, P.</w:t>
                  </w:r>
                  <w:r w:rsidRPr="00014E8D">
                    <w:t> (2007) </w:t>
                  </w:r>
                  <w:r w:rsidRPr="004636BA">
                    <w:rPr>
                      <w:i/>
                      <w:iCs/>
                    </w:rPr>
                    <w:t>The Decline and Fall of the British Empire</w:t>
                  </w:r>
                  <w:r w:rsidRPr="00014E8D">
                    <w:t xml:space="preserve">, </w:t>
                  </w:r>
                  <w:r w:rsidRPr="004636BA">
                    <w:rPr>
                      <w:i/>
                      <w:iCs/>
                    </w:rPr>
                    <w:t>1781–1997</w:t>
                  </w:r>
                  <w:r w:rsidRPr="00014E8D">
                    <w:t>. Random House</w:t>
                  </w:r>
                  <w:r>
                    <w:t>, London.</w:t>
                  </w:r>
                </w:p>
                <w:p w14:paraId="3ADA7B70" w14:textId="74FA2FC3" w:rsidR="00956421" w:rsidRDefault="00956421" w:rsidP="00956421">
                  <w:pPr>
                    <w:spacing w:line="360" w:lineRule="auto"/>
                    <w:ind w:left="720" w:hanging="720"/>
                    <w:contextualSpacing/>
                  </w:pPr>
                  <w:bookmarkStart w:id="45" w:name="_Hlk117162539"/>
                  <w:bookmarkEnd w:id="44"/>
                  <w:r w:rsidRPr="00014E8D">
                    <w:t xml:space="preserve">Browne, K. and Nash, C.J. (2016) </w:t>
                  </w:r>
                  <w:r w:rsidRPr="005B466F">
                    <w:rPr>
                      <w:i/>
                      <w:iCs/>
                    </w:rPr>
                    <w:t xml:space="preserve">Queer methods and methodologies : intersecting </w:t>
                  </w:r>
                  <w:r w:rsidR="00BA2220">
                    <w:rPr>
                      <w:i/>
                      <w:iCs/>
                    </w:rPr>
                    <w:t>Queer Theories</w:t>
                  </w:r>
                  <w:r w:rsidRPr="005B466F">
                    <w:rPr>
                      <w:i/>
                      <w:iCs/>
                    </w:rPr>
                    <w:t xml:space="preserve"> and social science research.</w:t>
                  </w:r>
                  <w:r w:rsidRPr="00014E8D">
                    <w:t xml:space="preserve"> London</w:t>
                  </w:r>
                  <w:r>
                    <w:t xml:space="preserve">, </w:t>
                  </w:r>
                  <w:r w:rsidRPr="00014E8D">
                    <w:t xml:space="preserve"> Routledge. Available at: </w:t>
                  </w:r>
                  <w:hyperlink r:id="rId129" w:history="1">
                    <w:r w:rsidRPr="00014E8D">
                      <w:t>https://doi.org/10.4324/9781315603223</w:t>
                    </w:r>
                  </w:hyperlink>
                  <w:r w:rsidRPr="00014E8D">
                    <w:t>.</w:t>
                  </w:r>
                </w:p>
                <w:p w14:paraId="6ABE55CC" w14:textId="77777777" w:rsidR="00956421" w:rsidRPr="00977210" w:rsidRDefault="00956421" w:rsidP="00956421">
                  <w:pPr>
                    <w:spacing w:line="360" w:lineRule="auto"/>
                    <w:ind w:left="720" w:hanging="720"/>
                    <w:contextualSpacing/>
                  </w:pPr>
                  <w:r>
                    <w:t xml:space="preserve">Commonwealth. (2022) </w:t>
                  </w:r>
                  <w:r>
                    <w:rPr>
                      <w:i/>
                      <w:iCs/>
                    </w:rPr>
                    <w:t>About Us</w:t>
                  </w:r>
                  <w:r>
                    <w:t xml:space="preserve">. Available at: </w:t>
                  </w:r>
                  <w:hyperlink r:id="rId130" w:history="1">
                    <w:r w:rsidRPr="00D35FAE">
                      <w:rPr>
                        <w:rStyle w:val="Hyperlink"/>
                      </w:rPr>
                      <w:t>https://thecommonwealth.org/about-us</w:t>
                    </w:r>
                  </w:hyperlink>
                  <w:r>
                    <w:t xml:space="preserve"> [Accessed 07/10/2022]. </w:t>
                  </w:r>
                </w:p>
                <w:p w14:paraId="22EE5258" w14:textId="77777777" w:rsidR="00956421" w:rsidRPr="00014E8D" w:rsidRDefault="00956421" w:rsidP="00956421">
                  <w:pPr>
                    <w:spacing w:line="360" w:lineRule="auto"/>
                    <w:ind w:left="720" w:hanging="720"/>
                    <w:contextualSpacing/>
                  </w:pPr>
                  <w:r w:rsidRPr="00014E8D">
                    <w:rPr>
                      <w:rFonts w:eastAsia="Calibri"/>
                    </w:rPr>
                    <w:t xml:space="preserve">Dente, C. (2019) </w:t>
                  </w:r>
                  <w:r w:rsidRPr="005B466F">
                    <w:rPr>
                      <w:rFonts w:eastAsia="Calibri"/>
                      <w:i/>
                      <w:iCs/>
                    </w:rPr>
                    <w:t>Social work practice with LGBTQIA populations : a relationship perspective</w:t>
                  </w:r>
                  <w:r w:rsidRPr="00014E8D">
                    <w:rPr>
                      <w:rFonts w:eastAsia="Calibri"/>
                    </w:rPr>
                    <w:t>. Edited by C. Dente. New York, Routledge.</w:t>
                  </w:r>
                </w:p>
                <w:p w14:paraId="2BD9CEA4" w14:textId="1F8CC833" w:rsidR="00956421" w:rsidRDefault="00956421" w:rsidP="00956421">
                  <w:pPr>
                    <w:spacing w:line="360" w:lineRule="auto"/>
                    <w:ind w:left="720" w:hanging="720"/>
                    <w:contextualSpacing/>
                  </w:pPr>
                  <w:r>
                    <w:t>Dube, M.W. (2012) “The Scramble for Africa as the Biblical Scramble for Africa: Postcolonial Perspectives”, in Postcolonial Perspectives in African Biblical</w:t>
                  </w:r>
                  <w:r w:rsidR="00256836">
                    <w:t xml:space="preserve"> </w:t>
                  </w:r>
                  <w:r>
                    <w:t>Interpretation, edited by Andrew M. Mbuvi, Musa w. Dube and Dora Mbuwayesango. [Publisher and Author}</w:t>
                  </w:r>
                </w:p>
                <w:p w14:paraId="5DD926CB" w14:textId="77777777" w:rsidR="00956421" w:rsidRDefault="00956421" w:rsidP="00956421">
                  <w:pPr>
                    <w:spacing w:line="360" w:lineRule="auto"/>
                    <w:ind w:left="720" w:hanging="720"/>
                    <w:contextualSpacing/>
                  </w:pPr>
                  <w:r w:rsidRPr="00014E8D">
                    <w:t xml:space="preserve">Dutta, A. (2012) ‘An Epistemology of Collusion: Hijras, Kothis and the Historical (Dis)continuity of Gender/Sexual Identities in Eastern India’, </w:t>
                  </w:r>
                  <w:r w:rsidRPr="005B466F">
                    <w:rPr>
                      <w:i/>
                      <w:iCs/>
                    </w:rPr>
                    <w:t>Gender &amp; history</w:t>
                  </w:r>
                  <w:r w:rsidRPr="00014E8D">
                    <w:t xml:space="preserve">, 24(3), pp. 825–849. Available at: </w:t>
                  </w:r>
                  <w:hyperlink r:id="rId131" w:history="1">
                    <w:r w:rsidRPr="00014E8D">
                      <w:t>https://doi.org/10.1111/j.1468-0424.2012.01712.x</w:t>
                    </w:r>
                  </w:hyperlink>
                  <w:r w:rsidRPr="00014E8D">
                    <w:t>. [Accessed 1/10/2022].</w:t>
                  </w:r>
                </w:p>
                <w:p w14:paraId="6EB222F1" w14:textId="77777777" w:rsidR="00956421" w:rsidRDefault="00956421" w:rsidP="00956421">
                  <w:pPr>
                    <w:spacing w:line="360" w:lineRule="auto"/>
                    <w:ind w:left="720" w:hanging="720"/>
                    <w:contextualSpacing/>
                  </w:pPr>
                  <w:r w:rsidRPr="00014E8D">
                    <w:t xml:space="preserve">Dwyer, A. and Rundle, O. (2019) ‘Made wrong, excluded, and ignored: Introduction to a special issue on lesbians and the law’, </w:t>
                  </w:r>
                  <w:r w:rsidRPr="005B466F">
                    <w:rPr>
                      <w:i/>
                      <w:iCs/>
                    </w:rPr>
                    <w:t>Journal of lesbian studie</w:t>
                  </w:r>
                  <w:r w:rsidRPr="00014E8D">
                    <w:t xml:space="preserve">s, 23(3), pp. 295–305. Available at: </w:t>
                  </w:r>
                  <w:hyperlink r:id="rId132" w:history="1">
                    <w:r w:rsidRPr="00014E8D">
                      <w:t>https://doi.org/10.1080/10894160.2019.1597606</w:t>
                    </w:r>
                  </w:hyperlink>
                  <w:r w:rsidRPr="00014E8D">
                    <w:t>.</w:t>
                  </w:r>
                </w:p>
                <w:p w14:paraId="42F378A7" w14:textId="77777777" w:rsidR="00956421" w:rsidRDefault="00956421" w:rsidP="00956421">
                  <w:pPr>
                    <w:spacing w:line="360" w:lineRule="auto"/>
                    <w:ind w:left="720" w:hanging="720"/>
                    <w:contextualSpacing/>
                  </w:pPr>
                  <w:r>
                    <w:t xml:space="preserve">Epprecht, M., Murray, S.O. and Roscoe, W. (2021) </w:t>
                  </w:r>
                  <w:r w:rsidRPr="005B466F">
                    <w:rPr>
                      <w:i/>
                      <w:iCs/>
                    </w:rPr>
                    <w:t>Boy-Wives and Female Husbands Studies in African Homosexualities.</w:t>
                  </w:r>
                  <w:r>
                    <w:t xml:space="preserve"> Edited by S.O. Murray and W. Roscoe. Suny Press, New York.</w:t>
                  </w:r>
                </w:p>
                <w:p w14:paraId="11687750" w14:textId="77777777" w:rsidR="00956421" w:rsidRPr="008D076C" w:rsidRDefault="00956421" w:rsidP="00956421">
                  <w:pPr>
                    <w:spacing w:line="360" w:lineRule="auto"/>
                    <w:ind w:left="720" w:hanging="720"/>
                    <w:contextualSpacing/>
                  </w:pPr>
                  <w:r w:rsidRPr="008D076C">
                    <w:rPr>
                      <w:i/>
                      <w:iCs/>
                    </w:rPr>
                    <w:t>Equality Act 2010</w:t>
                  </w:r>
                  <w:r w:rsidRPr="008D076C">
                    <w:t xml:space="preserve">. Available at: https://www.legislation.gov.uk/ukpga/2010/15/contents [Accessed </w:t>
                  </w:r>
                  <w:r>
                    <w:t>07</w:t>
                  </w:r>
                  <w:r w:rsidRPr="008D076C">
                    <w:t>/</w:t>
                  </w:r>
                  <w:r>
                    <w:t>10</w:t>
                  </w:r>
                  <w:r w:rsidRPr="008D076C">
                    <w:t>/2022].</w:t>
                  </w:r>
                </w:p>
                <w:p w14:paraId="6FB5E6F7" w14:textId="77777777" w:rsidR="00956421" w:rsidRDefault="00956421" w:rsidP="00956421">
                  <w:pPr>
                    <w:spacing w:line="360" w:lineRule="auto"/>
                    <w:ind w:left="720" w:hanging="720"/>
                    <w:contextualSpacing/>
                  </w:pPr>
                  <w:r>
                    <w:lastRenderedPageBreak/>
                    <w:t xml:space="preserve">Ferguson, N. (2004) </w:t>
                  </w:r>
                  <w:r w:rsidRPr="004636BA">
                    <w:rPr>
                      <w:i/>
                      <w:iCs/>
                    </w:rPr>
                    <w:t>Empire : how Britain made the modern world</w:t>
                  </w:r>
                  <w:r>
                    <w:t>. London: Penguin.</w:t>
                  </w:r>
                </w:p>
                <w:p w14:paraId="306A86B2" w14:textId="77777777" w:rsidR="00956421" w:rsidRPr="00014E8D" w:rsidRDefault="00956421" w:rsidP="00956421">
                  <w:pPr>
                    <w:spacing w:line="360" w:lineRule="auto"/>
                    <w:ind w:left="720" w:hanging="720"/>
                    <w:contextualSpacing/>
                  </w:pPr>
                  <w:r w:rsidRPr="00014E8D">
                    <w:t>Finley</w:t>
                  </w:r>
                  <w:r>
                    <w:t>, C.</w:t>
                  </w:r>
                  <w:r w:rsidRPr="00014E8D">
                    <w:t xml:space="preserve"> (2011). Decolonizing the Queer Native Body (and Recovering the Native Bull-Dyke): Bringing “Sexy Back” and Out of Native Studies Closet. In </w:t>
                  </w:r>
                  <w:r w:rsidRPr="005B466F">
                    <w:rPr>
                      <w:i/>
                      <w:iCs/>
                    </w:rPr>
                    <w:t>Queer Indengious Studies: Critical Interventions in Theory, Politics and Literatue</w:t>
                  </w:r>
                  <w:r w:rsidRPr="00014E8D">
                    <w:t xml:space="preserve">. Edited by Qwo-Li Driskill, Chris Finley, Brian Joseph Gilley and Scott Laura Morgensen, Th University Press of Arizona, Tuscan. Available at: </w:t>
                  </w:r>
                  <w:hyperlink r:id="rId133" w:history="1">
                    <w:r w:rsidRPr="00014E8D">
                      <w:t>https://web.colby.edu/queer-theory-fall18/files/2018/09/Queer-indigenous-Studies.pdf</w:t>
                    </w:r>
                  </w:hyperlink>
                </w:p>
                <w:p w14:paraId="01BE22F9" w14:textId="77777777" w:rsidR="00956421" w:rsidRPr="005B466F" w:rsidRDefault="00956421" w:rsidP="00956421">
                  <w:pPr>
                    <w:pStyle w:val="NormalWeb"/>
                    <w:shd w:val="clear" w:color="auto" w:fill="FFFFFF"/>
                    <w:spacing w:before="0" w:beforeAutospacing="0" w:after="0" w:afterAutospacing="0" w:line="360" w:lineRule="auto"/>
                    <w:ind w:left="720" w:hanging="720"/>
                    <w:contextualSpacing/>
                    <w:rPr>
                      <w:color w:val="232323"/>
                    </w:rPr>
                  </w:pPr>
                  <w:r w:rsidRPr="005B466F">
                    <w:rPr>
                      <w:color w:val="232323"/>
                    </w:rPr>
                    <w:t>Foucault, M. (1977). Discipline and Punish: The Birth of the Prison. (A. Sheridan, Transl.). Random House Vintage Books.</w:t>
                  </w:r>
                </w:p>
                <w:p w14:paraId="765068CB" w14:textId="77777777" w:rsidR="00956421" w:rsidRDefault="00956421" w:rsidP="00956421">
                  <w:pPr>
                    <w:spacing w:line="360" w:lineRule="auto"/>
                    <w:ind w:left="720" w:hanging="720"/>
                    <w:contextualSpacing/>
                  </w:pPr>
                  <w:r>
                    <w:rPr>
                      <w:i/>
                      <w:iCs/>
                    </w:rPr>
                    <w:t>Gender Recognition</w:t>
                  </w:r>
                  <w:r w:rsidRPr="008D076C">
                    <w:rPr>
                      <w:i/>
                      <w:iCs/>
                    </w:rPr>
                    <w:t xml:space="preserve"> Act </w:t>
                  </w:r>
                  <w:r>
                    <w:rPr>
                      <w:i/>
                      <w:iCs/>
                    </w:rPr>
                    <w:t>2004</w:t>
                  </w:r>
                  <w:r w:rsidRPr="008D076C">
                    <w:t xml:space="preserve">. Available at: https://www.legislation.gov.uk/ukpga/2004/7/contents [Accessed </w:t>
                  </w:r>
                  <w:r>
                    <w:t>07</w:t>
                  </w:r>
                  <w:r w:rsidRPr="008D076C">
                    <w:t>/</w:t>
                  </w:r>
                  <w:r>
                    <w:t>10</w:t>
                  </w:r>
                  <w:r w:rsidRPr="008D076C">
                    <w:t>/2022].</w:t>
                  </w:r>
                </w:p>
                <w:p w14:paraId="05D138C0" w14:textId="77777777" w:rsidR="00956421" w:rsidRDefault="00956421" w:rsidP="00956421">
                  <w:pPr>
                    <w:spacing w:line="360" w:lineRule="auto"/>
                    <w:ind w:left="720" w:hanging="720"/>
                    <w:contextualSpacing/>
                  </w:pPr>
                  <w:r w:rsidRPr="00014E8D">
                    <w:t xml:space="preserve">Gomes da Costa Santos, G. and Waites, M. (2019) ‘Comparative colonialisms for queer analysis: comparing British and Portuguese colonial legacies for same-sex sexualities and gender diversity in Africa - setting a transnational research agenda’, </w:t>
                  </w:r>
                  <w:r w:rsidRPr="005B466F">
                    <w:rPr>
                      <w:i/>
                      <w:iCs/>
                    </w:rPr>
                    <w:t>International review of sociology</w:t>
                  </w:r>
                  <w:r w:rsidRPr="00014E8D">
                    <w:t>, 29(2), pp. 297–326. doi: 10.1080/03906701.2019.1641277.</w:t>
                  </w:r>
                  <w:r>
                    <w:t xml:space="preserve"> Available at: </w:t>
                  </w:r>
                  <w:hyperlink r:id="rId134" w:history="1">
                    <w:r w:rsidRPr="00D35FAE">
                      <w:rPr>
                        <w:rStyle w:val="Hyperlink"/>
                      </w:rPr>
                      <w:t>https://www-tandfonline-com.ezproxy.uwtsd.ac.uk/doi/pdf/10.1080/03906701.2019.1641277?needAccess=true&amp;</w:t>
                    </w:r>
                  </w:hyperlink>
                  <w:r>
                    <w:t xml:space="preserve"> (Accessed 07/10/2022)</w:t>
                  </w:r>
                </w:p>
                <w:p w14:paraId="467AD1AD" w14:textId="77777777" w:rsidR="00956421" w:rsidRDefault="00956421" w:rsidP="00956421">
                  <w:pPr>
                    <w:spacing w:line="360" w:lineRule="auto"/>
                    <w:ind w:left="720" w:hanging="720"/>
                    <w:contextualSpacing/>
                  </w:pPr>
                  <w:r w:rsidRPr="00014E8D">
                    <w:t xml:space="preserve">Gomes da Costa Santos, G. and Waites, M. (2021) ‘Analysing African Advances Against Homophobia in Mozambique: How Decriminalisation and Anti-Discrimination Reforms Proceed Without LGBT Identities’, </w:t>
                  </w:r>
                  <w:r w:rsidRPr="005B466F">
                    <w:rPr>
                      <w:i/>
                      <w:iCs/>
                    </w:rPr>
                    <w:t>Sexuality &amp; culture</w:t>
                  </w:r>
                  <w:r w:rsidRPr="00014E8D">
                    <w:t xml:space="preserve">, 26(2), pp. 548–567. Available at: </w:t>
                  </w:r>
                  <w:hyperlink r:id="rId135" w:history="1">
                    <w:r w:rsidRPr="00014E8D">
                      <w:t>https://doi.org/10.1007/s12119-021-09908-8</w:t>
                    </w:r>
                  </w:hyperlink>
                  <w:r w:rsidRPr="00014E8D">
                    <w:t xml:space="preserve">. [Accessed 01/10/2022]. </w:t>
                  </w:r>
                </w:p>
                <w:p w14:paraId="70CAAEF7" w14:textId="77777777" w:rsidR="00956421" w:rsidRPr="00317EE6" w:rsidRDefault="00956421" w:rsidP="00956421">
                  <w:pPr>
                    <w:ind w:left="720" w:hanging="720"/>
                  </w:pPr>
                  <w:r w:rsidRPr="004747B7">
                    <w:t xml:space="preserve">Guardian. (2019) </w:t>
                  </w:r>
                  <w:r w:rsidRPr="004747B7">
                    <w:rPr>
                      <w:i/>
                      <w:iCs/>
                    </w:rPr>
                    <w:t>Ugandan MPs press for death penalty for homosexual acts</w:t>
                  </w:r>
                  <w:r w:rsidRPr="004747B7">
                    <w:t>. Available at</w:t>
                  </w:r>
                  <w:r>
                    <w:rPr>
                      <w:b/>
                      <w:bCs/>
                    </w:rPr>
                    <w:t xml:space="preserve">: </w:t>
                  </w:r>
                  <w:hyperlink r:id="rId136" w:history="1">
                    <w:r w:rsidRPr="00D35FAE">
                      <w:rPr>
                        <w:rStyle w:val="Hyperlink"/>
                      </w:rPr>
                      <w:t>https://www.theguardian.com/world/2019/oct/15/ugandan-mps-press-for-death-penalty-for-homosexual-acts</w:t>
                    </w:r>
                  </w:hyperlink>
                </w:p>
                <w:p w14:paraId="2AA720C2" w14:textId="77777777" w:rsidR="00956421" w:rsidRDefault="00956421" w:rsidP="00956421">
                  <w:pPr>
                    <w:spacing w:line="360" w:lineRule="auto"/>
                    <w:ind w:left="720" w:hanging="720"/>
                    <w:contextualSpacing/>
                  </w:pPr>
                  <w:r w:rsidRPr="00014E8D">
                    <w:lastRenderedPageBreak/>
                    <w:t>Han</w:t>
                  </w:r>
                  <w:r>
                    <w:t xml:space="preserve">, E and </w:t>
                  </w:r>
                  <w:r w:rsidRPr="00014E8D">
                    <w:t xml:space="preserve">O’Mahoney, </w:t>
                  </w:r>
                  <w:r>
                    <w:t xml:space="preserve">J. </w:t>
                  </w:r>
                  <w:r w:rsidRPr="00014E8D">
                    <w:t xml:space="preserve">(2014) ‘British colonialism and the criminalization of homosexuality’, </w:t>
                  </w:r>
                  <w:r w:rsidRPr="005B466F">
                    <w:rPr>
                      <w:i/>
                      <w:iCs/>
                    </w:rPr>
                    <w:t>Cambridge Review of International Affairs</w:t>
                  </w:r>
                  <w:r w:rsidRPr="00014E8D">
                    <w:t xml:space="preserve"> </w:t>
                  </w:r>
                  <w:r>
                    <w:t xml:space="preserve">Available at: </w:t>
                  </w:r>
                  <w:hyperlink r:id="rId137" w:history="1">
                    <w:r w:rsidRPr="00D35FAE">
                      <w:rPr>
                        <w:rStyle w:val="Hyperlink"/>
                      </w:rPr>
                      <w:t>https://doi.org/10.1080/09557571.2013.867298</w:t>
                    </w:r>
                  </w:hyperlink>
                  <w:r>
                    <w:t xml:space="preserve"> (Accessed 07/10/2022)</w:t>
                  </w:r>
                </w:p>
                <w:p w14:paraId="68A08306" w14:textId="77777777" w:rsidR="00956421" w:rsidRDefault="00956421" w:rsidP="00956421">
                  <w:pPr>
                    <w:spacing w:line="360" w:lineRule="auto"/>
                    <w:ind w:left="720" w:hanging="720"/>
                    <w:contextualSpacing/>
                  </w:pPr>
                  <w:r w:rsidRPr="00014E8D">
                    <w:t xml:space="preserve">Haskins, S. (2014) The influence of Roman laws regarding same-sex acts on homophobia in Africa. </w:t>
                  </w:r>
                  <w:r w:rsidRPr="005B466F">
                    <w:rPr>
                      <w:i/>
                      <w:iCs/>
                    </w:rPr>
                    <w:t>African Human Rights Journal</w:t>
                  </w:r>
                  <w:r w:rsidRPr="00014E8D">
                    <w:t xml:space="preserve">, 14, pp. 393-411. Available at: </w:t>
                  </w:r>
                  <w:hyperlink r:id="rId138" w:history="1">
                    <w:r w:rsidRPr="00014E8D">
                      <w:t>http://www.scielo.org.za/pdf/ahrlj/v14n2/06.pdf</w:t>
                    </w:r>
                  </w:hyperlink>
                  <w:r w:rsidRPr="00014E8D">
                    <w:t xml:space="preserve"> (Accessed 01/10/2022). </w:t>
                  </w:r>
                </w:p>
                <w:p w14:paraId="70CF6122" w14:textId="77777777" w:rsidR="00956421" w:rsidRDefault="00956421" w:rsidP="00956421">
                  <w:pPr>
                    <w:spacing w:line="360" w:lineRule="auto"/>
                    <w:ind w:left="720" w:hanging="720"/>
                    <w:contextualSpacing/>
                  </w:pPr>
                  <w:r w:rsidRPr="00014E8D">
                    <w:t xml:space="preserve">Hines, S. and Santos, A.C. (2018) ‘Trans policy, politics and research: The UK and Portugal’, </w:t>
                  </w:r>
                  <w:r w:rsidRPr="005B466F">
                    <w:rPr>
                      <w:i/>
                      <w:iCs/>
                    </w:rPr>
                    <w:t>Critical social policy</w:t>
                  </w:r>
                  <w:r w:rsidRPr="00014E8D">
                    <w:t>, 38(1), pp. 35–56. Available at:</w:t>
                  </w:r>
                  <w:r>
                    <w:t xml:space="preserve"> </w:t>
                  </w:r>
                  <w:hyperlink r:id="rId139" w:history="1">
                    <w:r w:rsidRPr="00D35FAE">
                      <w:rPr>
                        <w:rStyle w:val="Hyperlink"/>
                      </w:rPr>
                      <w:t>https://doi.org/10.1177/0261018317732880</w:t>
                    </w:r>
                  </w:hyperlink>
                  <w:r w:rsidRPr="00014E8D">
                    <w:t>.</w:t>
                  </w:r>
                </w:p>
                <w:p w14:paraId="5ECE3B07" w14:textId="77777777" w:rsidR="00956421" w:rsidRDefault="00956421" w:rsidP="00956421">
                  <w:pPr>
                    <w:spacing w:line="360" w:lineRule="auto"/>
                    <w:ind w:left="720" w:hanging="720"/>
                    <w:contextualSpacing/>
                  </w:pPr>
                  <w:r>
                    <w:t>Holland, R. (2000) ‘The decolonizing metropole: British experience from India to Hong Kong, 1947–1997’, European review (Chichester, England), 8(1), pp. 65–76. Available at: https://doi.org/10.1017/S1062798700004567.</w:t>
                  </w:r>
                </w:p>
                <w:p w14:paraId="28BB681E" w14:textId="77777777" w:rsidR="00956421" w:rsidRDefault="00956421" w:rsidP="00956421">
                  <w:pPr>
                    <w:spacing w:line="360" w:lineRule="auto"/>
                    <w:ind w:left="720" w:hanging="720"/>
                    <w:contextualSpacing/>
                  </w:pPr>
                  <w:r>
                    <w:t xml:space="preserve">Human Rights Watch. (2008) </w:t>
                  </w:r>
                  <w:r>
                    <w:rPr>
                      <w:i/>
                      <w:iCs/>
                    </w:rPr>
                    <w:t xml:space="preserve">This Alien Legacy: The Origins of “Sodomy” Laws in British Colonialism”. </w:t>
                  </w:r>
                  <w:r>
                    <w:t xml:space="preserve">Available at: </w:t>
                  </w:r>
                  <w:hyperlink r:id="rId140" w:history="1">
                    <w:r w:rsidRPr="00D35FAE">
                      <w:rPr>
                        <w:rStyle w:val="Hyperlink"/>
                      </w:rPr>
                      <w:t>https://www.hrw.org/report/2008/12/17/alien-legacy/origins-sodomy-laws-british-colonialism</w:t>
                    </w:r>
                  </w:hyperlink>
                  <w:r>
                    <w:t xml:space="preserve"> (Accessed 07/10/2022). </w:t>
                  </w:r>
                </w:p>
                <w:p w14:paraId="389601F1" w14:textId="77777777" w:rsidR="00956421" w:rsidRDefault="00956421" w:rsidP="00956421">
                  <w:pPr>
                    <w:spacing w:line="360" w:lineRule="auto"/>
                    <w:ind w:left="720" w:hanging="720"/>
                    <w:contextualSpacing/>
                  </w:pPr>
                  <w:r w:rsidRPr="00014E8D">
                    <w:t xml:space="preserve">Jensz, F. (2012) ‘Missionaries and Indigenous Education in the 19th-Century British Empire. Part II: Race, Class, and Gender’, </w:t>
                  </w:r>
                  <w:r w:rsidRPr="005B466F">
                    <w:rPr>
                      <w:i/>
                      <w:iCs/>
                    </w:rPr>
                    <w:t>History compass</w:t>
                  </w:r>
                  <w:r w:rsidRPr="00014E8D">
                    <w:t xml:space="preserve">, 10(4), pp. 306–317. Available at: </w:t>
                  </w:r>
                  <w:hyperlink r:id="rId141" w:history="1">
                    <w:r w:rsidRPr="00014E8D">
                      <w:t>https://doi.org/10.1111/j.1478-0542.2012.00838.x</w:t>
                    </w:r>
                  </w:hyperlink>
                  <w:r w:rsidRPr="00014E8D">
                    <w:t>.</w:t>
                  </w:r>
                </w:p>
                <w:p w14:paraId="6DD5597C" w14:textId="77777777" w:rsidR="00956421" w:rsidRDefault="00956421" w:rsidP="00956421">
                  <w:pPr>
                    <w:spacing w:line="360" w:lineRule="auto"/>
                    <w:ind w:left="720" w:hanging="720"/>
                    <w:contextualSpacing/>
                  </w:pPr>
                  <w:r w:rsidRPr="00014E8D">
                    <w:t xml:space="preserve">Jones, B.E. and Ferguson, A. (2020) ‘Black and gay: A historical perspective of black gay men’, </w:t>
                  </w:r>
                  <w:r w:rsidRPr="005B466F">
                    <w:rPr>
                      <w:i/>
                      <w:iCs/>
                    </w:rPr>
                    <w:t>Journal of gay &amp; lesbian mental health</w:t>
                  </w:r>
                  <w:r w:rsidRPr="00014E8D">
                    <w:t xml:space="preserve">, 24(4), pp. 336–359. Available at: </w:t>
                  </w:r>
                  <w:hyperlink r:id="rId142" w:history="1">
                    <w:r w:rsidRPr="00D35FAE">
                      <w:rPr>
                        <w:rStyle w:val="Hyperlink"/>
                      </w:rPr>
                      <w:t>https://doi.org/10.1080/19359705.2020.1798683</w:t>
                    </w:r>
                  </w:hyperlink>
                  <w:r w:rsidRPr="00014E8D">
                    <w:t>.</w:t>
                  </w:r>
                </w:p>
                <w:p w14:paraId="2CD6C935" w14:textId="77777777" w:rsidR="00956421" w:rsidRPr="00014E8D" w:rsidRDefault="00956421" w:rsidP="00956421">
                  <w:pPr>
                    <w:spacing w:line="360" w:lineRule="auto"/>
                    <w:ind w:left="720" w:hanging="720"/>
                    <w:contextualSpacing/>
                  </w:pPr>
                  <w:r w:rsidRPr="00014E8D">
                    <w:t xml:space="preserve">Kronk, C.A. and Dexheimer, J.W. (2020) ‘Development of the Gender, Sex, and Sexual Orientation ontology: Evaluation and workflow’, </w:t>
                  </w:r>
                  <w:r w:rsidRPr="00014E8D">
                    <w:rPr>
                      <w:i/>
                      <w:iCs/>
                    </w:rPr>
                    <w:t>Journal of the American Medical Informatics Association</w:t>
                  </w:r>
                  <w:r w:rsidRPr="00014E8D">
                    <w:t xml:space="preserve">, 27(7), pp. 1110–1115. doi:10.1093/jamia/ocaa061. Available at: </w:t>
                  </w:r>
                  <w:hyperlink r:id="rId143" w:history="1">
                    <w:r w:rsidRPr="00014E8D">
                      <w:rPr>
                        <w:rStyle w:val="Hyperlink"/>
                      </w:rPr>
                      <w:t>D</w:t>
                    </w:r>
                  </w:hyperlink>
                  <w:hyperlink r:id="rId144" w:history="1">
                    <w:r w:rsidRPr="00014E8D">
                      <w:rPr>
                        <w:rStyle w:val="Hyperlink"/>
                      </w:rPr>
                      <w:t xml:space="preserve">evelopment of the Gender, Sex, and Sexual Orientation ontology: Evaluation and </w:t>
                    </w:r>
                    <w:r w:rsidRPr="00014E8D">
                      <w:rPr>
                        <w:rStyle w:val="Hyperlink"/>
                      </w:rPr>
                      <w:lastRenderedPageBreak/>
                      <w:t>workflow | Journal of the American Medical Informatics Association | Oxford Academic (oup.com)</w:t>
                    </w:r>
                  </w:hyperlink>
                  <w:r w:rsidRPr="00014E8D">
                    <w:t xml:space="preserve"> [Accessed 26/05/22]. </w:t>
                  </w:r>
                </w:p>
                <w:p w14:paraId="46F1C41B" w14:textId="77777777" w:rsidR="00956421" w:rsidRPr="004636BA" w:rsidRDefault="00956421" w:rsidP="00956421">
                  <w:pPr>
                    <w:spacing w:line="360" w:lineRule="auto"/>
                    <w:ind w:left="720" w:hanging="720"/>
                    <w:contextualSpacing/>
                  </w:pPr>
                  <w:r>
                    <w:t>Kuloba, R. (2016) ‘“Homosexuality is Unafrican and Unbiblical”: Examining the Ideological Motivations to Homophobia in Sub-Saharan Africa - the Case Study of Uganda’, Journal of theology for Southern Africa, (154), pp. 6–27.</w:t>
                  </w:r>
                </w:p>
                <w:p w14:paraId="43FD0F15" w14:textId="77777777" w:rsidR="00956421" w:rsidRPr="008D076C" w:rsidRDefault="00956421" w:rsidP="00956421">
                  <w:pPr>
                    <w:spacing w:line="360" w:lineRule="auto"/>
                    <w:ind w:left="720" w:hanging="720"/>
                    <w:contextualSpacing/>
                  </w:pPr>
                  <w:r w:rsidRPr="008D076C">
                    <w:rPr>
                      <w:i/>
                      <w:iCs/>
                    </w:rPr>
                    <w:t>Marriage (Same Sex Couples) Act 2013</w:t>
                  </w:r>
                  <w:r w:rsidRPr="008D076C">
                    <w:t xml:space="preserve">. Available at: https://www.legislation.gov.uk/ukpga/2013/30/contents/enacted/data.htm [Accessed </w:t>
                  </w:r>
                  <w:r>
                    <w:t>07</w:t>
                  </w:r>
                  <w:r w:rsidRPr="008D076C">
                    <w:t>/</w:t>
                  </w:r>
                  <w:r>
                    <w:t>10</w:t>
                  </w:r>
                  <w:r w:rsidRPr="008D076C">
                    <w:t>/2022].</w:t>
                  </w:r>
                </w:p>
                <w:p w14:paraId="5E387936" w14:textId="77777777" w:rsidR="00956421" w:rsidRDefault="00956421" w:rsidP="00956421">
                  <w:pPr>
                    <w:spacing w:line="360" w:lineRule="auto"/>
                    <w:ind w:left="720" w:hanging="720"/>
                    <w:contextualSpacing/>
                  </w:pPr>
                  <w:r>
                    <w:t>Msibi, T. (2011) ‘The Lies We Have Been Told: On (Homo) Sexuality in Africa’, Africa today, 58(1), pp. 55–77. Available at: https://doi.org/10.2979/africatoday.58.1.55.</w:t>
                  </w:r>
                </w:p>
                <w:p w14:paraId="378EEBA1" w14:textId="77777777" w:rsidR="00956421" w:rsidRDefault="00956421" w:rsidP="00956421">
                  <w:pPr>
                    <w:spacing w:line="360" w:lineRule="auto"/>
                    <w:ind w:left="720" w:hanging="720"/>
                    <w:contextualSpacing/>
                  </w:pPr>
                  <w:r w:rsidRPr="00014E8D">
                    <w:t>Nannyonga-Tamusuza, S. A. 2005. Baakisimba: Gender in the Music and Dance of the Baganda People of Uganda. London: Routledge</w:t>
                  </w:r>
                </w:p>
                <w:p w14:paraId="00F23F42" w14:textId="77777777" w:rsidR="00956421" w:rsidRDefault="00956421" w:rsidP="00956421">
                  <w:pPr>
                    <w:spacing w:line="360" w:lineRule="auto"/>
                    <w:ind w:left="720" w:hanging="720"/>
                    <w:contextualSpacing/>
                  </w:pPr>
                  <w:r w:rsidRPr="00014E8D">
                    <w:t>Nicol, N. et al. (2018) Envisioning Global LGBT Human Rights : Neo)colonialism, Neoliberalism, Resistance and Hope. Edited by N. Nicol et al. s.l: University of London.</w:t>
                  </w:r>
                </w:p>
                <w:p w14:paraId="68716A31" w14:textId="77777777" w:rsidR="00956421" w:rsidRDefault="00956421" w:rsidP="00956421">
                  <w:pPr>
                    <w:spacing w:line="360" w:lineRule="auto"/>
                    <w:ind w:left="720" w:hanging="720"/>
                    <w:contextualSpacing/>
                  </w:pPr>
                  <w:r w:rsidRPr="00014E8D">
                    <w:t xml:space="preserve">Paradies, Y. (2016) ‘Colonisation, racism and indigenous health’, Journal of population research (Canberra, A.C.T.), 33(1), pp. 83–96. Available at: </w:t>
                  </w:r>
                  <w:hyperlink r:id="rId145" w:history="1">
                    <w:r w:rsidRPr="00D35FAE">
                      <w:rPr>
                        <w:rStyle w:val="Hyperlink"/>
                      </w:rPr>
                      <w:t>https://doi.org/10.1007/s12546-016-9159-y</w:t>
                    </w:r>
                  </w:hyperlink>
                  <w:r w:rsidRPr="00014E8D">
                    <w:t>.</w:t>
                  </w:r>
                </w:p>
                <w:p w14:paraId="6203C1E0" w14:textId="77777777" w:rsidR="00956421" w:rsidRDefault="00956421" w:rsidP="00956421">
                  <w:pPr>
                    <w:spacing w:line="360" w:lineRule="auto"/>
                    <w:ind w:left="720" w:hanging="720"/>
                    <w:contextualSpacing/>
                  </w:pPr>
                  <w:r w:rsidRPr="00014E8D">
                    <w:t>Pausacker, H. and Whiting, A. (2019). Special Issue: Legal Regimes of Sexual Orientation and Gender Identity in Asia. Australian Journal of Law, 20 (1), pp.1-16, Available at: https://ssrn.com/abstract=3493477 [Accessed 1 Oct. 2022].</w:t>
                  </w:r>
                </w:p>
                <w:p w14:paraId="45319F24" w14:textId="77777777" w:rsidR="00956421" w:rsidRDefault="00956421" w:rsidP="00956421">
                  <w:pPr>
                    <w:spacing w:line="360" w:lineRule="auto"/>
                    <w:ind w:left="720" w:hanging="720"/>
                    <w:contextualSpacing/>
                  </w:pPr>
                  <w:r>
                    <w:t xml:space="preserve">Picq, M.L and Tikuna, J. (2019) Indigenous Sexualities: Resisting Conquest and Translation;. In  Caroline Cottet and Manuela Lavinas Picq, </w:t>
                  </w:r>
                  <w:r>
                    <w:rPr>
                      <w:i/>
                      <w:iCs/>
                    </w:rPr>
                    <w:t xml:space="preserve">Sexuality and Translation in World </w:t>
                  </w:r>
                  <w:r w:rsidRPr="00D36303">
                    <w:rPr>
                      <w:i/>
                      <w:iCs/>
                    </w:rPr>
                    <w:t>Politics</w:t>
                  </w:r>
                  <w:r>
                    <w:t xml:space="preserve">. </w:t>
                  </w:r>
                  <w:r w:rsidRPr="00D36303">
                    <w:t>available</w:t>
                  </w:r>
                  <w:r>
                    <w:t xml:space="preserve"> at </w:t>
                  </w:r>
                  <w:hyperlink r:id="rId146" w:history="1">
                    <w:r w:rsidRPr="00D35FAE">
                      <w:rPr>
                        <w:rStyle w:val="Hyperlink"/>
                      </w:rPr>
                      <w:t>https://www.e-ir.info/2019/08/20/indigenous-sexualities-resisting-conquest-and-translation/</w:t>
                    </w:r>
                  </w:hyperlink>
                  <w:r>
                    <w:t xml:space="preserve"> (Accessed 07/10/2022).</w:t>
                  </w:r>
                </w:p>
                <w:p w14:paraId="1BB31015" w14:textId="079A62ED" w:rsidR="00956421" w:rsidRDefault="00956421" w:rsidP="00956421">
                  <w:pPr>
                    <w:spacing w:line="360" w:lineRule="auto"/>
                    <w:ind w:left="720" w:hanging="720"/>
                    <w:contextualSpacing/>
                  </w:pPr>
                  <w:r w:rsidRPr="00014E8D">
                    <w:t>Rao, R. (2020)</w:t>
                  </w:r>
                  <w:r w:rsidR="007D7F91">
                    <w:t>.</w:t>
                  </w:r>
                  <w:r w:rsidRPr="00014E8D">
                    <w:t xml:space="preserve"> Out of Time: The Queer Politics of Postcoloniality. Oxford University Press.</w:t>
                  </w:r>
                </w:p>
                <w:p w14:paraId="3F7CAD9A" w14:textId="3F825F9A" w:rsidR="00956421" w:rsidRDefault="00956421" w:rsidP="00956421">
                  <w:pPr>
                    <w:spacing w:line="360" w:lineRule="auto"/>
                    <w:ind w:left="720" w:hanging="720"/>
                    <w:contextualSpacing/>
                  </w:pPr>
                  <w:r w:rsidRPr="00014E8D">
                    <w:lastRenderedPageBreak/>
                    <w:t xml:space="preserve">Rifkin, </w:t>
                  </w:r>
                  <w:r w:rsidR="007D7F91">
                    <w:t>M</w:t>
                  </w:r>
                  <w:r w:rsidRPr="00014E8D">
                    <w:t>. 2011. When did Indians become straight? Kinship, the history of sexuality, and native sovereignty. Oxford, UK: Oxford University Press.</w:t>
                  </w:r>
                </w:p>
                <w:p w14:paraId="2D1CBAB9" w14:textId="77777777" w:rsidR="00956421" w:rsidRDefault="00956421" w:rsidP="00956421">
                  <w:pPr>
                    <w:spacing w:line="360" w:lineRule="auto"/>
                    <w:ind w:left="720" w:hanging="720"/>
                    <w:contextualSpacing/>
                  </w:pPr>
                  <w:r w:rsidRPr="00014E8D">
                    <w:t xml:space="preserve">Runkel, G. (1998) ‘Sexual morality of christianity’, </w:t>
                  </w:r>
                  <w:r w:rsidRPr="00165BE4">
                    <w:rPr>
                      <w:i/>
                      <w:iCs/>
                    </w:rPr>
                    <w:t>Journal of sex &amp; marital therapy</w:t>
                  </w:r>
                  <w:r w:rsidRPr="00014E8D">
                    <w:t xml:space="preserve">, 24(2), pp. 103–122. Available at: </w:t>
                  </w:r>
                  <w:hyperlink r:id="rId147" w:history="1">
                    <w:r w:rsidRPr="00014E8D">
                      <w:t>https://doi.org/10.1080/00926239808404924</w:t>
                    </w:r>
                  </w:hyperlink>
                  <w:r w:rsidRPr="00014E8D">
                    <w:t>.</w:t>
                  </w:r>
                </w:p>
                <w:p w14:paraId="42341383" w14:textId="77777777" w:rsidR="00956421" w:rsidRPr="00014E8D" w:rsidRDefault="00956421" w:rsidP="00956421">
                  <w:pPr>
                    <w:spacing w:line="360" w:lineRule="auto"/>
                    <w:ind w:left="720" w:hanging="720"/>
                    <w:contextualSpacing/>
                  </w:pPr>
                  <w:r>
                    <w:t xml:space="preserve">Silva, D.F. da. (2007) </w:t>
                  </w:r>
                  <w:r w:rsidRPr="00A37764">
                    <w:rPr>
                      <w:i/>
                      <w:iCs/>
                    </w:rPr>
                    <w:t>Toward a global idea of race</w:t>
                  </w:r>
                  <w:r>
                    <w:t>. Minneapolis: University of Minnesota Press.</w:t>
                  </w:r>
                  <w:r>
                    <w:br/>
                  </w:r>
                </w:p>
                <w:p w14:paraId="62DD6D4B" w14:textId="6CA60FB8" w:rsidR="00956421" w:rsidRDefault="00956421" w:rsidP="00956421">
                  <w:pPr>
                    <w:spacing w:line="360" w:lineRule="auto"/>
                    <w:ind w:left="720" w:hanging="720"/>
                    <w:contextualSpacing/>
                  </w:pPr>
                  <w:r w:rsidRPr="00014E8D">
                    <w:t>Smith, A. (2010) ‘</w:t>
                  </w:r>
                  <w:r w:rsidR="00BA2220">
                    <w:t>QUEER THEORY</w:t>
                  </w:r>
                  <w:r w:rsidRPr="00014E8D">
                    <w:t xml:space="preserve"> AND NATIVE STUDIES: The Heteronormativity of Settler Colonialism’, </w:t>
                  </w:r>
                  <w:r w:rsidRPr="00DB01C3">
                    <w:rPr>
                      <w:i/>
                      <w:iCs/>
                    </w:rPr>
                    <w:t>GLQ,</w:t>
                  </w:r>
                  <w:r w:rsidRPr="00014E8D">
                    <w:t xml:space="preserve"> 16(1-2), pp. 41–68. Available at: </w:t>
                  </w:r>
                  <w:hyperlink r:id="rId148" w:history="1">
                    <w:r w:rsidRPr="00D35FAE">
                      <w:rPr>
                        <w:rStyle w:val="Hyperlink"/>
                      </w:rPr>
                      <w:t>https://doi.org/10.1215/10642684-2009-012</w:t>
                    </w:r>
                  </w:hyperlink>
                  <w:r w:rsidRPr="00014E8D">
                    <w:t>.</w:t>
                  </w:r>
                </w:p>
                <w:p w14:paraId="63B6B4E1" w14:textId="77777777" w:rsidR="00956421" w:rsidRDefault="00956421" w:rsidP="00956421">
                  <w:pPr>
                    <w:spacing w:line="360" w:lineRule="auto"/>
                    <w:ind w:left="720" w:hanging="720"/>
                    <w:contextualSpacing/>
                  </w:pPr>
                  <w:r w:rsidRPr="00014E8D">
                    <w:t xml:space="preserve">Stewart, J. (2017) Academic Theory. In </w:t>
                  </w:r>
                  <w:r w:rsidRPr="00DB01C3">
                    <w:rPr>
                      <w:i/>
                      <w:iCs/>
                    </w:rPr>
                    <w:t>Genderqueer and Non-Binary Genders</w:t>
                  </w:r>
                  <w:r w:rsidRPr="00014E8D">
                    <w:t xml:space="preserve">, edited by Christina Richards, Walter Pierre Bouman, Meg-John Barker, Palgrave MacMillian, London. </w:t>
                  </w:r>
                </w:p>
                <w:p w14:paraId="73460562" w14:textId="77777777" w:rsidR="00956421" w:rsidRPr="00014E8D" w:rsidRDefault="00956421" w:rsidP="00956421">
                  <w:pPr>
                    <w:spacing w:line="360" w:lineRule="auto"/>
                    <w:ind w:left="720" w:hanging="720"/>
                    <w:contextualSpacing/>
                  </w:pPr>
                  <w:r w:rsidRPr="00014E8D">
                    <w:t>Tuhiwai Smith, L</w:t>
                  </w:r>
                  <w:r>
                    <w:t>.</w:t>
                  </w:r>
                  <w:r w:rsidRPr="00014E8D">
                    <w:t xml:space="preserve"> (2013). </w:t>
                  </w:r>
                  <w:r w:rsidRPr="00DB01C3">
                    <w:rPr>
                      <w:i/>
                      <w:iCs/>
                    </w:rPr>
                    <w:t>Decolonizing Methodologies: Research and Indigenous Peoples.</w:t>
                  </w:r>
                  <w:r w:rsidRPr="00014E8D">
                    <w:t xml:space="preserve"> Zed Books. </w:t>
                  </w:r>
                  <w:r>
                    <w:br/>
                  </w:r>
                </w:p>
                <w:p w14:paraId="60498526" w14:textId="77777777" w:rsidR="00956421" w:rsidRDefault="00956421" w:rsidP="00956421">
                  <w:pPr>
                    <w:spacing w:line="360" w:lineRule="auto"/>
                    <w:ind w:left="720" w:hanging="720"/>
                    <w:contextualSpacing/>
                  </w:pPr>
                  <w:r w:rsidRPr="00014E8D">
                    <w:t xml:space="preserve">Uchendu, U., Roets, G. and Vandenbroeck, M. (2019) ‘Mapping constructs of gender in research on Igbo women in Nigeria: embracing a southern feminist theoretical perspective’, </w:t>
                  </w:r>
                  <w:r w:rsidRPr="00DB01C3">
                    <w:rPr>
                      <w:i/>
                      <w:iCs/>
                    </w:rPr>
                    <w:t>Gender and education</w:t>
                  </w:r>
                  <w:r w:rsidRPr="00014E8D">
                    <w:t xml:space="preserve">, 31(4), pp. 508–524. Available at: </w:t>
                  </w:r>
                  <w:hyperlink r:id="rId149" w:history="1">
                    <w:r w:rsidRPr="00014E8D">
                      <w:t>https://doi.org/10.1080/09540253.2017.1358807</w:t>
                    </w:r>
                  </w:hyperlink>
                  <w:r w:rsidRPr="00014E8D">
                    <w:t xml:space="preserve">. [Accessed 07/10/2022]. </w:t>
                  </w:r>
                </w:p>
                <w:p w14:paraId="7F85E914" w14:textId="77777777" w:rsidR="00956421" w:rsidRDefault="00956421" w:rsidP="00956421">
                  <w:pPr>
                    <w:spacing w:line="360" w:lineRule="auto"/>
                    <w:ind w:left="720" w:hanging="720"/>
                    <w:contextualSpacing/>
                  </w:pPr>
                  <w:r>
                    <w:t xml:space="preserve">Vaughn, J.M. (2019) </w:t>
                  </w:r>
                  <w:r w:rsidRPr="00DB01C3">
                    <w:rPr>
                      <w:i/>
                      <w:iCs/>
                    </w:rPr>
                    <w:t>The Politics of empire at the accession of George III : The East India Company and the crisis and transformation of Britain’s imperial state</w:t>
                  </w:r>
                  <w:r>
                    <w:t>. New Haven, CT: Yale University Press. Available at: https://doi.org/10.12987/9780300240542.</w:t>
                  </w:r>
                </w:p>
                <w:p w14:paraId="4F4BA225" w14:textId="77777777" w:rsidR="00956421" w:rsidRDefault="00956421" w:rsidP="00956421">
                  <w:pPr>
                    <w:spacing w:line="360" w:lineRule="auto"/>
                    <w:ind w:left="720" w:hanging="720"/>
                    <w:contextualSpacing/>
                  </w:pPr>
                  <w:r w:rsidRPr="00014E8D">
                    <w:t xml:space="preserve">Waites, M. (2019) </w:t>
                  </w:r>
                  <w:r w:rsidRPr="00DB01C3">
                    <w:rPr>
                      <w:i/>
                      <w:iCs/>
                    </w:rPr>
                    <w:t>LGBT and Queer Politics in the Commonwealth</w:t>
                  </w:r>
                  <w:r w:rsidRPr="00014E8D">
                    <w:t>. Available at: https://oxfordre.com/politics/view/10.1093/acrefore/9780190228637.001.0001/acrefore-9780190228637-e-1257 (Accessed: 28 June 2022).</w:t>
                  </w:r>
                </w:p>
                <w:p w14:paraId="23984547" w14:textId="77777777" w:rsidR="00956421" w:rsidRDefault="00956421" w:rsidP="00956421">
                  <w:pPr>
                    <w:spacing w:line="360" w:lineRule="auto"/>
                    <w:ind w:left="720" w:hanging="720"/>
                    <w:contextualSpacing/>
                  </w:pPr>
                  <w:r>
                    <w:lastRenderedPageBreak/>
                    <w:t xml:space="preserve">Wekesa, S. M. (2017). Decriminalisation of homosexuality in Kenya: the prospects and challenges, in: S. Namwase &amp; A. Jjuuko. (eds). </w:t>
                  </w:r>
                  <w:r w:rsidRPr="00DB01C3">
                    <w:rPr>
                      <w:i/>
                      <w:iCs/>
                    </w:rPr>
                    <w:t>Protecting the Human Rights of Sexual Minorities in Contemporary Africa</w:t>
                  </w:r>
                  <w:r>
                    <w:t>. Pretoria: Pretoria University Law Press.</w:t>
                  </w:r>
                </w:p>
                <w:p w14:paraId="23A6747C" w14:textId="77777777" w:rsidR="00956421" w:rsidRDefault="00956421" w:rsidP="00956421">
                  <w:pPr>
                    <w:spacing w:line="360" w:lineRule="auto"/>
                    <w:ind w:left="720" w:hanging="720"/>
                    <w:contextualSpacing/>
                  </w:pPr>
                  <w:r w:rsidRPr="00014E8D">
                    <w:t xml:space="preserve">Willis, J.T. (2018) </w:t>
                  </w:r>
                  <w:r w:rsidRPr="00DB01C3">
                    <w:rPr>
                      <w:i/>
                      <w:iCs/>
                    </w:rPr>
                    <w:t>Masquerading Politics Kinship, Gender, and Ethnicity in a Yoruba Town</w:t>
                  </w:r>
                  <w:r w:rsidRPr="00014E8D">
                    <w:t>. Indiana: Indiana University Press.</w:t>
                  </w:r>
                </w:p>
                <w:p w14:paraId="43CF7BA9" w14:textId="77777777" w:rsidR="00956421" w:rsidRDefault="00956421" w:rsidP="00956421">
                  <w:pPr>
                    <w:spacing w:line="360" w:lineRule="auto"/>
                    <w:ind w:left="720" w:hanging="720"/>
                    <w:contextualSpacing/>
                  </w:pPr>
                  <w:r w:rsidRPr="00014E8D">
                    <w:t xml:space="preserve">Wolfe, P. (2006) ‘Settler colonialism and the elimination of the native’, </w:t>
                  </w:r>
                  <w:r w:rsidRPr="00DB01C3">
                    <w:rPr>
                      <w:i/>
                      <w:iCs/>
                    </w:rPr>
                    <w:t>Journal of genocide research</w:t>
                  </w:r>
                  <w:r w:rsidRPr="00014E8D">
                    <w:t xml:space="preserve">, 8(4), pp. 387–409. Available at: </w:t>
                  </w:r>
                  <w:hyperlink r:id="rId150" w:history="1">
                    <w:r w:rsidRPr="00014E8D">
                      <w:t>https://doi.org/10.1080/14623520601056240</w:t>
                    </w:r>
                  </w:hyperlink>
                  <w:r w:rsidRPr="00014E8D">
                    <w:t>.</w:t>
                  </w:r>
                </w:p>
                <w:bookmarkEnd w:id="45"/>
                <w:p w14:paraId="09C7C83B" w14:textId="77777777" w:rsidR="00956421" w:rsidRDefault="00956421" w:rsidP="00956421">
                  <w:pPr>
                    <w:spacing w:line="360" w:lineRule="auto"/>
                    <w:ind w:left="720" w:hanging="720"/>
                    <w:contextualSpacing/>
                  </w:pPr>
                </w:p>
                <w:p w14:paraId="50593E00" w14:textId="77777777" w:rsidR="00956421" w:rsidRDefault="00956421" w:rsidP="00956421"/>
                <w:p w14:paraId="0AAC532E" w14:textId="77777777" w:rsidR="00956421" w:rsidRDefault="00956421" w:rsidP="00956421"/>
                <w:p w14:paraId="0FFFC2A3" w14:textId="77777777" w:rsidR="00956421" w:rsidRPr="00111EDF" w:rsidRDefault="00956421" w:rsidP="00956421"/>
              </w:tc>
            </w:tr>
            <w:tr w:rsidR="00956421" w:rsidRPr="00111EDF" w14:paraId="38CE3B0A" w14:textId="77777777" w:rsidTr="00EF77F3">
              <w:tc>
                <w:tcPr>
                  <w:tcW w:w="8856" w:type="dxa"/>
                </w:tcPr>
                <w:p w14:paraId="1B3F2089" w14:textId="77777777" w:rsidR="00956421" w:rsidRPr="00111EDF" w:rsidRDefault="00956421" w:rsidP="00956421">
                  <w:r w:rsidRPr="00111EDF">
                    <w:lastRenderedPageBreak/>
                    <w:t xml:space="preserve">Proposed Supervisor: Ken Dicks </w:t>
                  </w:r>
                </w:p>
                <w:p w14:paraId="5FCFE0DD" w14:textId="77777777" w:rsidR="00956421" w:rsidRPr="00111EDF" w:rsidRDefault="00956421" w:rsidP="00956421">
                  <w:pPr>
                    <w:rPr>
                      <w:i/>
                      <w:color w:val="222222"/>
                    </w:rPr>
                  </w:pPr>
                  <w:r w:rsidRPr="00111EDF">
                    <w:rPr>
                      <w:i/>
                      <w:color w:val="222222"/>
                      <w:lang w:val="cy-GB"/>
                    </w:rPr>
                    <w:t>Goruchwyliwr awgrymedig</w:t>
                  </w:r>
                </w:p>
                <w:p w14:paraId="44F267DC" w14:textId="77777777" w:rsidR="00956421" w:rsidRPr="00111EDF" w:rsidRDefault="00956421" w:rsidP="00956421"/>
                <w:p w14:paraId="22873A24" w14:textId="77777777" w:rsidR="00956421" w:rsidRPr="00111EDF" w:rsidRDefault="00956421" w:rsidP="00956421">
                  <w:pPr>
                    <w:rPr>
                      <w:i/>
                      <w:iCs/>
                    </w:rPr>
                  </w:pPr>
                </w:p>
              </w:tc>
            </w:tr>
          </w:tbl>
          <w:p w14:paraId="5ABBBECE" w14:textId="77777777" w:rsidR="00956421" w:rsidRPr="00111EDF" w:rsidRDefault="00956421" w:rsidP="00956421"/>
          <w:p w14:paraId="6F93CC4F" w14:textId="77777777" w:rsidR="00956421" w:rsidRPr="00111EDF" w:rsidRDefault="00956421" w:rsidP="00956421">
            <w:pPr>
              <w:rPr>
                <w:rFonts w:ascii="Arial" w:hAnsi="Arial" w:cs="Arial"/>
              </w:rPr>
            </w:pPr>
          </w:p>
          <w:p w14:paraId="1411ECFC" w14:textId="77777777" w:rsidR="00956421" w:rsidRPr="00111EDF" w:rsidRDefault="00956421" w:rsidP="00956421">
            <w:pPr>
              <w:rPr>
                <w:rFonts w:ascii="Arial" w:hAnsi="Arial" w:cs="Arial"/>
              </w:rPr>
            </w:pPr>
          </w:p>
          <w:p w14:paraId="0EBD43CF" w14:textId="77777777" w:rsidR="00956421" w:rsidRPr="00111EDF" w:rsidRDefault="00956421" w:rsidP="00956421">
            <w:pPr>
              <w:rPr>
                <w:rFonts w:ascii="Arial" w:hAnsi="Arial" w:cs="Arial"/>
              </w:rPr>
            </w:pPr>
            <w:r w:rsidRPr="00111EDF">
              <w:rPr>
                <w:rFonts w:ascii="Arial" w:hAnsi="Arial" w:cs="Arial"/>
              </w:rPr>
              <w:t>Please indicate whether ethical approval for project is needed – YES</w:t>
            </w:r>
          </w:p>
          <w:p w14:paraId="0DDF21E3" w14:textId="77777777" w:rsidR="00956421" w:rsidRPr="00111EDF" w:rsidRDefault="00956421" w:rsidP="00956421">
            <w:pPr>
              <w:rPr>
                <w:rFonts w:ascii="Arial" w:hAnsi="Arial" w:cs="Arial"/>
                <w:i/>
              </w:rPr>
            </w:pPr>
            <w:r w:rsidRPr="00111EDF">
              <w:rPr>
                <w:rFonts w:ascii="Arial" w:hAnsi="Arial" w:cs="Arial"/>
                <w:i/>
                <w:color w:val="222222"/>
                <w:shd w:val="clear" w:color="auto" w:fill="F8F9FA"/>
              </w:rPr>
              <w:t xml:space="preserve">Nodwch a oes angen cymeradwyaeth foesegol ar gyfer y prosiect - OES </w:t>
            </w:r>
          </w:p>
          <w:p w14:paraId="4423B218" w14:textId="77777777" w:rsidR="00956421" w:rsidRPr="00111EDF" w:rsidRDefault="00956421" w:rsidP="00956421">
            <w:pPr>
              <w:rPr>
                <w:rFonts w:ascii="Arial" w:hAnsi="Arial" w:cs="Arial"/>
              </w:rPr>
            </w:pPr>
          </w:p>
          <w:p w14:paraId="28741824" w14:textId="77777777" w:rsidR="00956421" w:rsidRPr="00111EDF" w:rsidRDefault="00956421" w:rsidP="00956421">
            <w:pPr>
              <w:rPr>
                <w:rFonts w:ascii="Arial" w:hAnsi="Arial" w:cs="Arial"/>
              </w:rPr>
            </w:pPr>
            <w:r w:rsidRPr="00111EDF">
              <w:rPr>
                <w:rFonts w:ascii="Arial" w:hAnsi="Arial" w:cs="Arial"/>
              </w:rPr>
              <w:t>Please indicate whether sufficient resources are available for the project – YES</w:t>
            </w:r>
          </w:p>
          <w:p w14:paraId="08CED341" w14:textId="77777777" w:rsidR="00956421" w:rsidRPr="00111EDF" w:rsidRDefault="00956421" w:rsidP="00956421">
            <w:pPr>
              <w:rPr>
                <w:rFonts w:ascii="Arial" w:hAnsi="Arial" w:cs="Arial"/>
              </w:rPr>
            </w:pPr>
            <w:r w:rsidRPr="00111EDF">
              <w:rPr>
                <w:rFonts w:ascii="Arial" w:hAnsi="Arial" w:cs="Arial"/>
                <w:i/>
                <w:color w:val="222222"/>
                <w:lang w:val="cy-GB"/>
              </w:rPr>
              <w:t xml:space="preserve">Nodwch a oes digon o adnoddau ar gael ar gyfer y prosiect - OES </w:t>
            </w:r>
          </w:p>
          <w:p w14:paraId="018B249B" w14:textId="77777777" w:rsidR="00956421" w:rsidRPr="00111EDF" w:rsidRDefault="00956421" w:rsidP="00956421">
            <w:pPr>
              <w:rPr>
                <w:rFonts w:ascii="Arial" w:hAnsi="Arial" w:cs="Arial"/>
              </w:rPr>
            </w:pPr>
          </w:p>
          <w:p w14:paraId="5208066E" w14:textId="77777777" w:rsidR="00956421" w:rsidRPr="00111EDF" w:rsidRDefault="00956421" w:rsidP="00956421">
            <w:pPr>
              <w:rPr>
                <w:rFonts w:ascii="Arial" w:hAnsi="Arial" w:cs="Arial"/>
              </w:rPr>
            </w:pPr>
          </w:p>
          <w:p w14:paraId="18EB85AD" w14:textId="77777777" w:rsidR="00956421" w:rsidRPr="00111EDF" w:rsidRDefault="00956421" w:rsidP="00956421">
            <w:pPr>
              <w:rPr>
                <w:rFonts w:ascii="Arial" w:hAnsi="Arial" w:cs="Arial"/>
              </w:rPr>
            </w:pPr>
            <w:r w:rsidRPr="00111EDF">
              <w:rPr>
                <w:rFonts w:ascii="Arial" w:hAnsi="Arial" w:cs="Arial"/>
              </w:rPr>
              <w:t xml:space="preserve">The above topic, proposal, and supervisor have been agreed:  </w:t>
            </w:r>
          </w:p>
          <w:p w14:paraId="1E740961" w14:textId="77777777" w:rsidR="00956421" w:rsidRPr="00111EDF" w:rsidRDefault="00956421" w:rsidP="00956421">
            <w:pPr>
              <w:rPr>
                <w:rFonts w:ascii="Arial" w:hAnsi="Arial" w:cs="Arial"/>
                <w:i/>
                <w:color w:val="222222"/>
                <w:shd w:val="clear" w:color="auto" w:fill="F8F9FA"/>
              </w:rPr>
            </w:pPr>
            <w:r w:rsidRPr="00111EDF">
              <w:rPr>
                <w:rFonts w:ascii="Arial" w:hAnsi="Arial" w:cs="Arial"/>
                <w:i/>
                <w:color w:val="222222"/>
                <w:shd w:val="clear" w:color="auto" w:fill="F8F9FA"/>
              </w:rPr>
              <w:t>Cytunwyd ar y pwnc, y cynnig a'r goruchwyliwr uchod:</w:t>
            </w:r>
          </w:p>
          <w:p w14:paraId="6498854F" w14:textId="77777777" w:rsidR="00956421" w:rsidRPr="00111EDF" w:rsidRDefault="00956421" w:rsidP="00956421">
            <w:pPr>
              <w:rPr>
                <w:rFonts w:ascii="Arial" w:hAnsi="Arial" w:cs="Arial"/>
                <w:color w:val="222222"/>
                <w:shd w:val="clear" w:color="auto" w:fill="F8F9FA"/>
              </w:rPr>
            </w:pPr>
          </w:p>
          <w:p w14:paraId="4A3F14F2" w14:textId="77777777" w:rsidR="00956421" w:rsidRPr="00111EDF" w:rsidRDefault="00956421" w:rsidP="00956421">
            <w:pPr>
              <w:rPr>
                <w:rFonts w:ascii="Arial" w:hAnsi="Arial" w:cs="Arial"/>
              </w:rPr>
            </w:pPr>
          </w:p>
          <w:p w14:paraId="71135B4E" w14:textId="77777777" w:rsidR="00956421" w:rsidRPr="00111EDF" w:rsidRDefault="00956421" w:rsidP="00956421">
            <w:pPr>
              <w:rPr>
                <w:rFonts w:ascii="Arial" w:hAnsi="Arial" w:cs="Arial"/>
              </w:rPr>
            </w:pPr>
          </w:p>
          <w:p w14:paraId="0EA2C5E9" w14:textId="77777777" w:rsidR="00956421" w:rsidRPr="00111EDF" w:rsidRDefault="00956421" w:rsidP="00956421">
            <w:pPr>
              <w:rPr>
                <w:rFonts w:ascii="Arial" w:hAnsi="Arial" w:cs="Arial"/>
              </w:rPr>
            </w:pPr>
            <w:r w:rsidRPr="00111EDF">
              <w:rPr>
                <w:rFonts w:ascii="Arial" w:hAnsi="Arial" w:cs="Arial"/>
              </w:rPr>
              <w:t xml:space="preserve">Signed : ……………………………………………………..Programme Director/ </w:t>
            </w:r>
          </w:p>
          <w:p w14:paraId="158F37D1" w14:textId="77777777" w:rsidR="00956421" w:rsidRPr="00111EDF" w:rsidRDefault="00956421" w:rsidP="00956421">
            <w:pPr>
              <w:rPr>
                <w:rFonts w:ascii="Arial" w:hAnsi="Arial" w:cs="Arial"/>
              </w:rPr>
            </w:pPr>
            <w:r w:rsidRPr="00111EDF">
              <w:rPr>
                <w:rFonts w:ascii="Arial" w:hAnsi="Arial" w:cs="Arial"/>
              </w:rPr>
              <w:t xml:space="preserve">Llofnod </w:t>
            </w:r>
            <w:r w:rsidRPr="00111EDF">
              <w:rPr>
                <w:rFonts w:ascii="Arial" w:hAnsi="Arial" w:cs="Arial"/>
              </w:rPr>
              <w:tab/>
            </w:r>
            <w:r w:rsidRPr="00111EDF">
              <w:rPr>
                <w:rFonts w:ascii="Arial" w:hAnsi="Arial" w:cs="Arial"/>
              </w:rPr>
              <w:tab/>
            </w:r>
            <w:r w:rsidRPr="00111EDF">
              <w:rPr>
                <w:rFonts w:ascii="Arial" w:hAnsi="Arial" w:cs="Arial"/>
              </w:rPr>
              <w:tab/>
            </w:r>
            <w:r w:rsidRPr="00111EDF">
              <w:rPr>
                <w:rFonts w:ascii="Arial" w:hAnsi="Arial" w:cs="Arial"/>
              </w:rPr>
              <w:tab/>
            </w:r>
            <w:r w:rsidRPr="00111EDF">
              <w:rPr>
                <w:rFonts w:ascii="Arial" w:hAnsi="Arial" w:cs="Arial"/>
              </w:rPr>
              <w:tab/>
            </w:r>
            <w:r w:rsidRPr="00111EDF">
              <w:rPr>
                <w:rFonts w:ascii="Arial" w:hAnsi="Arial" w:cs="Arial"/>
              </w:rPr>
              <w:tab/>
            </w:r>
            <w:r w:rsidRPr="00111EDF">
              <w:rPr>
                <w:rFonts w:ascii="Arial" w:hAnsi="Arial" w:cs="Arial"/>
              </w:rPr>
              <w:tab/>
              <w:t xml:space="preserve">  Cyfarwyddwr y rhaglen</w:t>
            </w:r>
          </w:p>
          <w:p w14:paraId="325CFAEF" w14:textId="77777777" w:rsidR="00956421" w:rsidRPr="00111EDF" w:rsidRDefault="00956421" w:rsidP="00956421">
            <w:pPr>
              <w:rPr>
                <w:rFonts w:ascii="Arial" w:hAnsi="Arial" w:cs="Arial"/>
              </w:rPr>
            </w:pPr>
          </w:p>
          <w:p w14:paraId="34136A88" w14:textId="77777777" w:rsidR="00956421" w:rsidRPr="00111EDF" w:rsidRDefault="00956421" w:rsidP="00956421">
            <w:pPr>
              <w:rPr>
                <w:rFonts w:ascii="Arial" w:hAnsi="Arial" w:cs="Arial"/>
              </w:rPr>
            </w:pPr>
          </w:p>
          <w:p w14:paraId="67EAB6B9" w14:textId="77777777" w:rsidR="00956421" w:rsidRPr="00111EDF" w:rsidRDefault="00956421" w:rsidP="00956421">
            <w:pPr>
              <w:rPr>
                <w:rFonts w:ascii="Arial" w:hAnsi="Arial" w:cs="Arial"/>
              </w:rPr>
            </w:pPr>
            <w:r w:rsidRPr="00111EDF">
              <w:rPr>
                <w:rFonts w:ascii="Arial" w:hAnsi="Arial" w:cs="Arial"/>
              </w:rPr>
              <w:t>Date:……………………………………………………</w:t>
            </w:r>
          </w:p>
          <w:p w14:paraId="3270D6D0" w14:textId="77777777" w:rsidR="00956421" w:rsidRPr="00111EDF" w:rsidRDefault="00956421" w:rsidP="00956421">
            <w:pPr>
              <w:rPr>
                <w:rFonts w:ascii="Arial" w:hAnsi="Arial" w:cs="Arial"/>
              </w:rPr>
            </w:pPr>
            <w:r w:rsidRPr="00111EDF">
              <w:rPr>
                <w:rFonts w:ascii="Arial" w:hAnsi="Arial" w:cs="Arial"/>
              </w:rPr>
              <w:t>Dyddiad</w:t>
            </w:r>
          </w:p>
          <w:p w14:paraId="2DEDA9DA" w14:textId="77777777" w:rsidR="00956421" w:rsidRPr="00111EDF" w:rsidRDefault="00956421" w:rsidP="00956421">
            <w:pPr>
              <w:rPr>
                <w:rFonts w:ascii="Arial" w:hAnsi="Arial" w:cs="Arial"/>
              </w:rPr>
            </w:pPr>
          </w:p>
          <w:p w14:paraId="1199E431" w14:textId="77777777" w:rsidR="00956421" w:rsidRPr="00111EDF" w:rsidRDefault="00956421" w:rsidP="00956421">
            <w:pPr>
              <w:rPr>
                <w:rFonts w:ascii="Arial" w:hAnsi="Arial" w:cs="Arial"/>
              </w:rPr>
            </w:pPr>
          </w:p>
          <w:p w14:paraId="57D3F707" w14:textId="77777777" w:rsidR="00956421" w:rsidRPr="00111EDF" w:rsidRDefault="00956421" w:rsidP="00956421">
            <w:pPr>
              <w:rPr>
                <w:rFonts w:ascii="Arial" w:hAnsi="Arial" w:cs="Arial"/>
              </w:rPr>
            </w:pPr>
          </w:p>
          <w:p w14:paraId="79B8AF77" w14:textId="77777777" w:rsidR="00956421" w:rsidRPr="00111EDF" w:rsidRDefault="00956421" w:rsidP="00956421">
            <w:pPr>
              <w:rPr>
                <w:rFonts w:ascii="Arial" w:hAnsi="Arial" w:cs="Arial"/>
                <w:b/>
              </w:rPr>
            </w:pPr>
            <w:r w:rsidRPr="00111EDF">
              <w:rPr>
                <w:rFonts w:ascii="Arial" w:hAnsi="Arial" w:cs="Arial"/>
                <w:b/>
              </w:rPr>
              <w:lastRenderedPageBreak/>
              <w:t>Please return this form to your Programme Director.</w:t>
            </w:r>
          </w:p>
          <w:p w14:paraId="3D3065F6" w14:textId="77777777" w:rsidR="00956421" w:rsidRPr="003F403E" w:rsidRDefault="00956421" w:rsidP="00956421">
            <w:pPr>
              <w:rPr>
                <w:rFonts w:ascii="Arial" w:hAnsi="Arial" w:cs="Arial"/>
                <w:b/>
              </w:rPr>
            </w:pPr>
            <w:r w:rsidRPr="00111EDF">
              <w:rPr>
                <w:rFonts w:ascii="Arial" w:hAnsi="Arial" w:cs="Arial"/>
                <w:b/>
                <w:color w:val="222222"/>
                <w:lang w:val="cy-GB"/>
              </w:rPr>
              <w:t>Dychwelwch y ffurflen hon at eich Cyfarwyddwr Rhaglen.</w:t>
            </w:r>
          </w:p>
          <w:p w14:paraId="7CB3985F" w14:textId="77777777" w:rsidR="000F0B25" w:rsidRPr="00F30126" w:rsidRDefault="000F0B25" w:rsidP="009560A5">
            <w:pPr>
              <w:jc w:val="center"/>
              <w:rPr>
                <w:b/>
                <w:sz w:val="28"/>
                <w:szCs w:val="28"/>
              </w:rPr>
            </w:pPr>
          </w:p>
        </w:tc>
        <w:tc>
          <w:tcPr>
            <w:tcW w:w="2818" w:type="dxa"/>
            <w:vAlign w:val="center"/>
          </w:tcPr>
          <w:p w14:paraId="10E97ADD" w14:textId="77777777" w:rsidR="000F0B25" w:rsidRPr="00F30126" w:rsidRDefault="000F0B25" w:rsidP="009560A5">
            <w:pPr>
              <w:jc w:val="center"/>
              <w:rPr>
                <w:b/>
                <w:sz w:val="28"/>
                <w:szCs w:val="28"/>
              </w:rPr>
            </w:pPr>
          </w:p>
        </w:tc>
        <w:tc>
          <w:tcPr>
            <w:tcW w:w="2819" w:type="dxa"/>
            <w:vAlign w:val="center"/>
          </w:tcPr>
          <w:p w14:paraId="681B179F" w14:textId="77777777" w:rsidR="000F0B25" w:rsidRPr="00F30126" w:rsidRDefault="000F0B25" w:rsidP="009560A5">
            <w:pPr>
              <w:jc w:val="center"/>
              <w:rPr>
                <w:b/>
                <w:sz w:val="28"/>
                <w:szCs w:val="28"/>
              </w:rPr>
            </w:pPr>
          </w:p>
        </w:tc>
      </w:tr>
    </w:tbl>
    <w:p w14:paraId="517895B1" w14:textId="77777777" w:rsidR="000F0B25" w:rsidRDefault="000F0B25" w:rsidP="000F0B25"/>
    <w:p w14:paraId="1A1385A3" w14:textId="77777777" w:rsidR="000F0B25" w:rsidRPr="003B0537" w:rsidRDefault="000F0B25" w:rsidP="000F0B25">
      <w:pPr>
        <w:rPr>
          <w:rFonts w:ascii="Arial" w:hAnsi="Arial" w:cs="Arial"/>
        </w:rPr>
      </w:pPr>
    </w:p>
    <w:p w14:paraId="79FA8BFD" w14:textId="77777777" w:rsidR="000F0B25" w:rsidRPr="000F0B25" w:rsidRDefault="000F0B25" w:rsidP="000F0B25">
      <w:pPr>
        <w:spacing w:line="480" w:lineRule="auto"/>
      </w:pPr>
    </w:p>
    <w:p w14:paraId="1BD95795" w14:textId="77777777" w:rsidR="000F0B25" w:rsidRPr="000F0B25" w:rsidRDefault="000F0B25" w:rsidP="000F0B25">
      <w:pPr>
        <w:spacing w:line="480" w:lineRule="auto"/>
      </w:pPr>
    </w:p>
    <w:sectPr w:rsidR="000F0B25" w:rsidRPr="000F0B25">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47B363A" w14:textId="77777777" w:rsidR="00801826" w:rsidRDefault="00801826">
      <w:r>
        <w:separator/>
      </w:r>
    </w:p>
  </w:endnote>
  <w:endnote w:type="continuationSeparator" w:id="0">
    <w:p w14:paraId="05D035B9" w14:textId="77777777" w:rsidR="00801826" w:rsidRDefault="00801826">
      <w:r>
        <w:continuationSeparator/>
      </w:r>
    </w:p>
  </w:endnote>
  <w:endnote w:type="continuationNotice" w:id="1">
    <w:p w14:paraId="4B9B62B2" w14:textId="77777777" w:rsidR="00801826" w:rsidRDefault="0080182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Libre Franklin">
    <w:charset w:val="00"/>
    <w:family w:val="auto"/>
    <w:pitch w:val="variable"/>
    <w:sig w:usb0="A00000FF" w:usb1="4000205B" w:usb2="00000000" w:usb3="00000000" w:csb0="00000193" w:csb1="00000000"/>
  </w:font>
  <w:font w:name="Source Sans Pro">
    <w:charset w:val="00"/>
    <w:family w:val="swiss"/>
    <w:pitch w:val="variable"/>
    <w:sig w:usb0="600002F7" w:usb1="02000001"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08295F" w14:textId="478748F9" w:rsidR="006C4A4D" w:rsidRDefault="006C4A4D" w:rsidP="00484755">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294582">
      <w:rPr>
        <w:rStyle w:val="PageNumber"/>
        <w:noProof/>
      </w:rPr>
      <w:t>46</w:t>
    </w:r>
    <w:r>
      <w:rPr>
        <w:rStyle w:val="PageNumber"/>
      </w:rPr>
      <w:fldChar w:fldCharType="end"/>
    </w:r>
  </w:p>
  <w:p w14:paraId="3C27D789" w14:textId="77777777" w:rsidR="006C4A4D" w:rsidRDefault="006C4A4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76A0CC" w14:textId="77777777" w:rsidR="006C4A4D" w:rsidRDefault="006C4A4D" w:rsidP="00484755">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BC2FAF">
      <w:rPr>
        <w:rStyle w:val="PageNumber"/>
        <w:noProof/>
      </w:rPr>
      <w:t>4</w:t>
    </w:r>
    <w:r>
      <w:rPr>
        <w:rStyle w:val="PageNumber"/>
      </w:rPr>
      <w:fldChar w:fldCharType="end"/>
    </w:r>
  </w:p>
  <w:p w14:paraId="7A03B36F" w14:textId="77777777" w:rsidR="006C4A4D" w:rsidRDefault="006C4A4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06E8C68" w14:textId="77777777" w:rsidR="00801826" w:rsidRDefault="00801826">
      <w:r>
        <w:separator/>
      </w:r>
    </w:p>
  </w:footnote>
  <w:footnote w:type="continuationSeparator" w:id="0">
    <w:p w14:paraId="4101B3A3" w14:textId="77777777" w:rsidR="00801826" w:rsidRDefault="00801826">
      <w:r>
        <w:continuationSeparator/>
      </w:r>
    </w:p>
  </w:footnote>
  <w:footnote w:type="continuationNotice" w:id="1">
    <w:p w14:paraId="59C293B2" w14:textId="77777777" w:rsidR="00801826" w:rsidRDefault="00801826"/>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BF04F5"/>
    <w:multiLevelType w:val="hybridMultilevel"/>
    <w:tmpl w:val="CED45046"/>
    <w:lvl w:ilvl="0" w:tplc="9E1C106E">
      <w:start w:val="1"/>
      <w:numFmt w:val="lowerRoman"/>
      <w:lvlText w:val="%1)"/>
      <w:lvlJc w:val="left"/>
      <w:pPr>
        <w:ind w:left="3348" w:hanging="720"/>
      </w:pPr>
      <w:rPr>
        <w:rFonts w:hint="default"/>
      </w:rPr>
    </w:lvl>
    <w:lvl w:ilvl="1" w:tplc="08090019" w:tentative="1">
      <w:start w:val="1"/>
      <w:numFmt w:val="lowerLetter"/>
      <w:lvlText w:val="%2."/>
      <w:lvlJc w:val="left"/>
      <w:pPr>
        <w:ind w:left="3708" w:hanging="360"/>
      </w:pPr>
    </w:lvl>
    <w:lvl w:ilvl="2" w:tplc="0809001B" w:tentative="1">
      <w:start w:val="1"/>
      <w:numFmt w:val="lowerRoman"/>
      <w:lvlText w:val="%3."/>
      <w:lvlJc w:val="right"/>
      <w:pPr>
        <w:ind w:left="4428" w:hanging="180"/>
      </w:pPr>
    </w:lvl>
    <w:lvl w:ilvl="3" w:tplc="0809000F" w:tentative="1">
      <w:start w:val="1"/>
      <w:numFmt w:val="decimal"/>
      <w:lvlText w:val="%4."/>
      <w:lvlJc w:val="left"/>
      <w:pPr>
        <w:ind w:left="5148" w:hanging="360"/>
      </w:pPr>
    </w:lvl>
    <w:lvl w:ilvl="4" w:tplc="08090019" w:tentative="1">
      <w:start w:val="1"/>
      <w:numFmt w:val="lowerLetter"/>
      <w:lvlText w:val="%5."/>
      <w:lvlJc w:val="left"/>
      <w:pPr>
        <w:ind w:left="5868" w:hanging="360"/>
      </w:pPr>
    </w:lvl>
    <w:lvl w:ilvl="5" w:tplc="0809001B" w:tentative="1">
      <w:start w:val="1"/>
      <w:numFmt w:val="lowerRoman"/>
      <w:lvlText w:val="%6."/>
      <w:lvlJc w:val="right"/>
      <w:pPr>
        <w:ind w:left="6588" w:hanging="180"/>
      </w:pPr>
    </w:lvl>
    <w:lvl w:ilvl="6" w:tplc="0809000F" w:tentative="1">
      <w:start w:val="1"/>
      <w:numFmt w:val="decimal"/>
      <w:lvlText w:val="%7."/>
      <w:lvlJc w:val="left"/>
      <w:pPr>
        <w:ind w:left="7308" w:hanging="360"/>
      </w:pPr>
    </w:lvl>
    <w:lvl w:ilvl="7" w:tplc="08090019" w:tentative="1">
      <w:start w:val="1"/>
      <w:numFmt w:val="lowerLetter"/>
      <w:lvlText w:val="%8."/>
      <w:lvlJc w:val="left"/>
      <w:pPr>
        <w:ind w:left="8028" w:hanging="360"/>
      </w:pPr>
    </w:lvl>
    <w:lvl w:ilvl="8" w:tplc="0809001B" w:tentative="1">
      <w:start w:val="1"/>
      <w:numFmt w:val="lowerRoman"/>
      <w:lvlText w:val="%9."/>
      <w:lvlJc w:val="right"/>
      <w:pPr>
        <w:ind w:left="8748"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68B5D4A"/>
    <w:multiLevelType w:val="hybridMultilevel"/>
    <w:tmpl w:val="64EAEBC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BA16D47"/>
    <w:multiLevelType w:val="hybridMultilevel"/>
    <w:tmpl w:val="25AA6C5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0" w15:restartNumberingAfterBreak="0">
    <w:nsid w:val="369C4858"/>
    <w:multiLevelType w:val="hybridMultilevel"/>
    <w:tmpl w:val="1C426D8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2"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4"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48202CE"/>
    <w:multiLevelType w:val="hybridMultilevel"/>
    <w:tmpl w:val="7DCEC5F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4D3C3809"/>
    <w:multiLevelType w:val="hybridMultilevel"/>
    <w:tmpl w:val="D958A0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1" w15:restartNumberingAfterBreak="0">
    <w:nsid w:val="57BB5D24"/>
    <w:multiLevelType w:val="hybridMultilevel"/>
    <w:tmpl w:val="D45C639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3"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4"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0F60028"/>
    <w:multiLevelType w:val="multilevel"/>
    <w:tmpl w:val="2BC0F0B0"/>
    <w:lvl w:ilvl="0">
      <w:start w:val="1"/>
      <w:numFmt w:val="decimal"/>
      <w:pStyle w:val="reference"/>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7"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0" w15:restartNumberingAfterBreak="0">
    <w:nsid w:val="6D4676FC"/>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 w15:restartNumberingAfterBreak="0">
    <w:nsid w:val="6F752530"/>
    <w:multiLevelType w:val="hybridMultilevel"/>
    <w:tmpl w:val="F404F18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708A21A1"/>
    <w:multiLevelType w:val="hybridMultilevel"/>
    <w:tmpl w:val="BBF06FC0"/>
    <w:lvl w:ilvl="0" w:tplc="9D381026">
      <w:start w:val="1"/>
      <w:numFmt w:val="decimal"/>
      <w:lvlText w:val="%1."/>
      <w:lvlJc w:val="left"/>
      <w:pPr>
        <w:ind w:left="720" w:hanging="360"/>
      </w:pPr>
      <w:rPr>
        <w:rFonts w:hint="default"/>
        <w:b w:val="0"/>
        <w:bCs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5" w15:restartNumberingAfterBreak="0">
    <w:nsid w:val="74762045"/>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6"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44154492">
    <w:abstractNumId w:val="25"/>
  </w:num>
  <w:num w:numId="2" w16cid:durableId="618335571">
    <w:abstractNumId w:val="10"/>
  </w:num>
  <w:num w:numId="3" w16cid:durableId="1663852031">
    <w:abstractNumId w:val="15"/>
  </w:num>
  <w:num w:numId="4" w16cid:durableId="1386755276">
    <w:abstractNumId w:val="21"/>
  </w:num>
  <w:num w:numId="5" w16cid:durableId="683744711">
    <w:abstractNumId w:val="4"/>
  </w:num>
  <w:num w:numId="6" w16cid:durableId="43067211">
    <w:abstractNumId w:val="32"/>
  </w:num>
  <w:num w:numId="7" w16cid:durableId="723412156">
    <w:abstractNumId w:val="35"/>
  </w:num>
  <w:num w:numId="8" w16cid:durableId="1735542621">
    <w:abstractNumId w:val="13"/>
  </w:num>
  <w:num w:numId="9" w16cid:durableId="1899824768">
    <w:abstractNumId w:val="26"/>
  </w:num>
  <w:num w:numId="10" w16cid:durableId="2091390347">
    <w:abstractNumId w:val="2"/>
  </w:num>
  <w:num w:numId="11" w16cid:durableId="465396550">
    <w:abstractNumId w:val="34"/>
  </w:num>
  <w:num w:numId="12" w16cid:durableId="5525193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934366112">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859614008">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215628919">
    <w:abstractNumId w:val="3"/>
  </w:num>
  <w:num w:numId="16" w16cid:durableId="743067491">
    <w:abstractNumId w:val="9"/>
  </w:num>
  <w:num w:numId="17" w16cid:durableId="1529949014">
    <w:abstractNumId w:val="11"/>
  </w:num>
  <w:num w:numId="18" w16cid:durableId="853494473">
    <w:abstractNumId w:val="29"/>
  </w:num>
  <w:num w:numId="19" w16cid:durableId="1283339920">
    <w:abstractNumId w:val="27"/>
  </w:num>
  <w:num w:numId="20" w16cid:durableId="1836459937">
    <w:abstractNumId w:val="28"/>
  </w:num>
  <w:num w:numId="21" w16cid:durableId="67074103">
    <w:abstractNumId w:val="0"/>
  </w:num>
  <w:num w:numId="22" w16cid:durableId="832260291">
    <w:abstractNumId w:val="7"/>
  </w:num>
  <w:num w:numId="23" w16cid:durableId="385882093">
    <w:abstractNumId w:val="8"/>
  </w:num>
  <w:num w:numId="24" w16cid:durableId="581566566">
    <w:abstractNumId w:val="14"/>
  </w:num>
  <w:num w:numId="25" w16cid:durableId="126045177">
    <w:abstractNumId w:val="17"/>
  </w:num>
  <w:num w:numId="26" w16cid:durableId="1273900101">
    <w:abstractNumId w:val="33"/>
  </w:num>
  <w:num w:numId="27" w16cid:durableId="4795585">
    <w:abstractNumId w:val="5"/>
  </w:num>
  <w:num w:numId="28" w16cid:durableId="304508465">
    <w:abstractNumId w:val="18"/>
  </w:num>
  <w:num w:numId="29" w16cid:durableId="465009679">
    <w:abstractNumId w:val="24"/>
  </w:num>
  <w:num w:numId="30" w16cid:durableId="289361442">
    <w:abstractNumId w:val="1"/>
  </w:num>
  <w:num w:numId="31" w16cid:durableId="941574311">
    <w:abstractNumId w:val="12"/>
  </w:num>
  <w:num w:numId="32" w16cid:durableId="1982610929">
    <w:abstractNumId w:val="16"/>
  </w:num>
  <w:num w:numId="33" w16cid:durableId="224076133">
    <w:abstractNumId w:val="36"/>
  </w:num>
  <w:num w:numId="34" w16cid:durableId="1524049783">
    <w:abstractNumId w:val="23"/>
  </w:num>
  <w:num w:numId="35" w16cid:durableId="1631208894">
    <w:abstractNumId w:val="30"/>
  </w:num>
  <w:num w:numId="36" w16cid:durableId="1943567411">
    <w:abstractNumId w:val="31"/>
  </w:num>
  <w:num w:numId="37" w16cid:durableId="1241330099">
    <w:abstractNumId w:val="19"/>
  </w:num>
  <w:num w:numId="38" w16cid:durableId="205264154">
    <w:abstractNumId w:val="6"/>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0"/>
  <w:activeWritingStyle w:appName="MSWord" w:lang="fr-FR" w:vendorID="64" w:dllVersion="6" w:nlCheck="1" w:checkStyle="0"/>
  <w:activeWritingStyle w:appName="MSWord" w:lang="en-GB" w:vendorID="64" w:dllVersion="6" w:nlCheck="1" w:checkStyle="1"/>
  <w:activeWritingStyle w:appName="MSWord" w:lang="en-GB" w:vendorID="64" w:dllVersion="0" w:nlCheck="1" w:checkStyle="0"/>
  <w:activeWritingStyle w:appName="MSWord" w:lang="en-US" w:vendorID="64" w:dllVersion="0"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hdrShapeDefaults>
    <o:shapedefaults v:ext="edit" spidmax="2118"/>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317A6"/>
    <w:rsid w:val="000017FA"/>
    <w:rsid w:val="00003B3A"/>
    <w:rsid w:val="00004A69"/>
    <w:rsid w:val="00006B34"/>
    <w:rsid w:val="00006F18"/>
    <w:rsid w:val="000075D1"/>
    <w:rsid w:val="00011143"/>
    <w:rsid w:val="00011C56"/>
    <w:rsid w:val="00013FDF"/>
    <w:rsid w:val="00014629"/>
    <w:rsid w:val="00015A58"/>
    <w:rsid w:val="00015C1B"/>
    <w:rsid w:val="0002189D"/>
    <w:rsid w:val="00023554"/>
    <w:rsid w:val="00025C31"/>
    <w:rsid w:val="000278A7"/>
    <w:rsid w:val="00027E23"/>
    <w:rsid w:val="00031264"/>
    <w:rsid w:val="0003514A"/>
    <w:rsid w:val="000368E0"/>
    <w:rsid w:val="00040577"/>
    <w:rsid w:val="00040A7F"/>
    <w:rsid w:val="00040B15"/>
    <w:rsid w:val="00040DE7"/>
    <w:rsid w:val="00041B2D"/>
    <w:rsid w:val="00042667"/>
    <w:rsid w:val="000449E5"/>
    <w:rsid w:val="00046BF2"/>
    <w:rsid w:val="00047806"/>
    <w:rsid w:val="00047D60"/>
    <w:rsid w:val="000506D2"/>
    <w:rsid w:val="000510B8"/>
    <w:rsid w:val="00051207"/>
    <w:rsid w:val="0005139F"/>
    <w:rsid w:val="00051DC4"/>
    <w:rsid w:val="00052A7E"/>
    <w:rsid w:val="00053FCC"/>
    <w:rsid w:val="0005541E"/>
    <w:rsid w:val="00055C1A"/>
    <w:rsid w:val="000567A3"/>
    <w:rsid w:val="00056DE3"/>
    <w:rsid w:val="00061D6B"/>
    <w:rsid w:val="00063496"/>
    <w:rsid w:val="00065B88"/>
    <w:rsid w:val="000665C5"/>
    <w:rsid w:val="000665CE"/>
    <w:rsid w:val="00066C60"/>
    <w:rsid w:val="0006797A"/>
    <w:rsid w:val="00067E80"/>
    <w:rsid w:val="00071760"/>
    <w:rsid w:val="00075069"/>
    <w:rsid w:val="00075C24"/>
    <w:rsid w:val="00076460"/>
    <w:rsid w:val="0007653E"/>
    <w:rsid w:val="000802E8"/>
    <w:rsid w:val="00080B70"/>
    <w:rsid w:val="000810FA"/>
    <w:rsid w:val="00081466"/>
    <w:rsid w:val="00082D95"/>
    <w:rsid w:val="00083F15"/>
    <w:rsid w:val="00084109"/>
    <w:rsid w:val="000857C3"/>
    <w:rsid w:val="00092147"/>
    <w:rsid w:val="000930EB"/>
    <w:rsid w:val="000944D1"/>
    <w:rsid w:val="000971F8"/>
    <w:rsid w:val="000A20A7"/>
    <w:rsid w:val="000A2954"/>
    <w:rsid w:val="000A2C77"/>
    <w:rsid w:val="000A315D"/>
    <w:rsid w:val="000A33C9"/>
    <w:rsid w:val="000A3813"/>
    <w:rsid w:val="000A3FE1"/>
    <w:rsid w:val="000A7F9A"/>
    <w:rsid w:val="000B18B5"/>
    <w:rsid w:val="000B1E33"/>
    <w:rsid w:val="000B27CA"/>
    <w:rsid w:val="000B2920"/>
    <w:rsid w:val="000B3129"/>
    <w:rsid w:val="000B3EF6"/>
    <w:rsid w:val="000B449A"/>
    <w:rsid w:val="000B62CE"/>
    <w:rsid w:val="000B6F17"/>
    <w:rsid w:val="000B7045"/>
    <w:rsid w:val="000B7413"/>
    <w:rsid w:val="000C0190"/>
    <w:rsid w:val="000C04C0"/>
    <w:rsid w:val="000C1843"/>
    <w:rsid w:val="000C2687"/>
    <w:rsid w:val="000C2E4C"/>
    <w:rsid w:val="000C3CAA"/>
    <w:rsid w:val="000C4656"/>
    <w:rsid w:val="000C5C03"/>
    <w:rsid w:val="000D00A0"/>
    <w:rsid w:val="000D4C92"/>
    <w:rsid w:val="000D64E0"/>
    <w:rsid w:val="000D676D"/>
    <w:rsid w:val="000D683C"/>
    <w:rsid w:val="000E1055"/>
    <w:rsid w:val="000E1B82"/>
    <w:rsid w:val="000E27DD"/>
    <w:rsid w:val="000E43BD"/>
    <w:rsid w:val="000E49E9"/>
    <w:rsid w:val="000E5354"/>
    <w:rsid w:val="000E6021"/>
    <w:rsid w:val="000E7F45"/>
    <w:rsid w:val="000F0B25"/>
    <w:rsid w:val="000F2FA7"/>
    <w:rsid w:val="000F48B4"/>
    <w:rsid w:val="000F5FAC"/>
    <w:rsid w:val="000F7914"/>
    <w:rsid w:val="000F7D14"/>
    <w:rsid w:val="001009DB"/>
    <w:rsid w:val="00105DD9"/>
    <w:rsid w:val="001067BA"/>
    <w:rsid w:val="00106A4C"/>
    <w:rsid w:val="00106F6F"/>
    <w:rsid w:val="001075EA"/>
    <w:rsid w:val="0011030E"/>
    <w:rsid w:val="001104CC"/>
    <w:rsid w:val="00112CAD"/>
    <w:rsid w:val="001159A5"/>
    <w:rsid w:val="00115E76"/>
    <w:rsid w:val="001171F7"/>
    <w:rsid w:val="00117467"/>
    <w:rsid w:val="0012026A"/>
    <w:rsid w:val="00122312"/>
    <w:rsid w:val="001224F5"/>
    <w:rsid w:val="001233BE"/>
    <w:rsid w:val="001260BE"/>
    <w:rsid w:val="0012643D"/>
    <w:rsid w:val="00131267"/>
    <w:rsid w:val="00131A25"/>
    <w:rsid w:val="0013447E"/>
    <w:rsid w:val="00134E10"/>
    <w:rsid w:val="00135C3D"/>
    <w:rsid w:val="0013788F"/>
    <w:rsid w:val="00137C55"/>
    <w:rsid w:val="00137FEF"/>
    <w:rsid w:val="001418D6"/>
    <w:rsid w:val="00141DB8"/>
    <w:rsid w:val="0014226F"/>
    <w:rsid w:val="00144AB7"/>
    <w:rsid w:val="00144D88"/>
    <w:rsid w:val="0014547C"/>
    <w:rsid w:val="0014719A"/>
    <w:rsid w:val="00147B73"/>
    <w:rsid w:val="0015161A"/>
    <w:rsid w:val="00151B35"/>
    <w:rsid w:val="00153382"/>
    <w:rsid w:val="00154A70"/>
    <w:rsid w:val="001564CD"/>
    <w:rsid w:val="00160899"/>
    <w:rsid w:val="00161F09"/>
    <w:rsid w:val="00163890"/>
    <w:rsid w:val="00165131"/>
    <w:rsid w:val="001660FC"/>
    <w:rsid w:val="00166726"/>
    <w:rsid w:val="0016735B"/>
    <w:rsid w:val="001679DD"/>
    <w:rsid w:val="00167BEB"/>
    <w:rsid w:val="001710CF"/>
    <w:rsid w:val="00172E7A"/>
    <w:rsid w:val="00173B7D"/>
    <w:rsid w:val="00173E87"/>
    <w:rsid w:val="00174FDF"/>
    <w:rsid w:val="001769FD"/>
    <w:rsid w:val="0018161B"/>
    <w:rsid w:val="0018251F"/>
    <w:rsid w:val="001856B3"/>
    <w:rsid w:val="00186D74"/>
    <w:rsid w:val="001870C1"/>
    <w:rsid w:val="00190141"/>
    <w:rsid w:val="001928B2"/>
    <w:rsid w:val="00192C04"/>
    <w:rsid w:val="001939A3"/>
    <w:rsid w:val="0019423B"/>
    <w:rsid w:val="00194D83"/>
    <w:rsid w:val="001957BC"/>
    <w:rsid w:val="001962E7"/>
    <w:rsid w:val="001965B6"/>
    <w:rsid w:val="001968F5"/>
    <w:rsid w:val="001975C9"/>
    <w:rsid w:val="001A006A"/>
    <w:rsid w:val="001A0AE0"/>
    <w:rsid w:val="001A0E41"/>
    <w:rsid w:val="001A0F1A"/>
    <w:rsid w:val="001A5AB7"/>
    <w:rsid w:val="001A6C5A"/>
    <w:rsid w:val="001B0AB8"/>
    <w:rsid w:val="001B19FB"/>
    <w:rsid w:val="001B1D4D"/>
    <w:rsid w:val="001B2374"/>
    <w:rsid w:val="001B24BA"/>
    <w:rsid w:val="001B24E4"/>
    <w:rsid w:val="001B2D46"/>
    <w:rsid w:val="001B30E0"/>
    <w:rsid w:val="001B4D08"/>
    <w:rsid w:val="001B6724"/>
    <w:rsid w:val="001B6CC1"/>
    <w:rsid w:val="001B739D"/>
    <w:rsid w:val="001C058A"/>
    <w:rsid w:val="001C18FC"/>
    <w:rsid w:val="001C3BF2"/>
    <w:rsid w:val="001C411D"/>
    <w:rsid w:val="001C49A5"/>
    <w:rsid w:val="001C4A46"/>
    <w:rsid w:val="001C51F0"/>
    <w:rsid w:val="001C7818"/>
    <w:rsid w:val="001D267B"/>
    <w:rsid w:val="001D4569"/>
    <w:rsid w:val="001D4F66"/>
    <w:rsid w:val="001D516B"/>
    <w:rsid w:val="001D5941"/>
    <w:rsid w:val="001D61D3"/>
    <w:rsid w:val="001D706E"/>
    <w:rsid w:val="001E293E"/>
    <w:rsid w:val="001E2D1A"/>
    <w:rsid w:val="001E365D"/>
    <w:rsid w:val="001E6AC8"/>
    <w:rsid w:val="001E730D"/>
    <w:rsid w:val="001F067C"/>
    <w:rsid w:val="001F2217"/>
    <w:rsid w:val="001F2D67"/>
    <w:rsid w:val="001F4058"/>
    <w:rsid w:val="001F4550"/>
    <w:rsid w:val="001F4C77"/>
    <w:rsid w:val="001F5E1F"/>
    <w:rsid w:val="001F6EF7"/>
    <w:rsid w:val="002000AE"/>
    <w:rsid w:val="00200E7B"/>
    <w:rsid w:val="00201F37"/>
    <w:rsid w:val="002036CE"/>
    <w:rsid w:val="00205032"/>
    <w:rsid w:val="00205046"/>
    <w:rsid w:val="002051E2"/>
    <w:rsid w:val="00207425"/>
    <w:rsid w:val="00207CC0"/>
    <w:rsid w:val="002110AA"/>
    <w:rsid w:val="002116A8"/>
    <w:rsid w:val="002127A0"/>
    <w:rsid w:val="00213C98"/>
    <w:rsid w:val="0021673B"/>
    <w:rsid w:val="002167D3"/>
    <w:rsid w:val="0021711F"/>
    <w:rsid w:val="002206D3"/>
    <w:rsid w:val="00220D53"/>
    <w:rsid w:val="00220F67"/>
    <w:rsid w:val="002229AD"/>
    <w:rsid w:val="00223A4F"/>
    <w:rsid w:val="00224316"/>
    <w:rsid w:val="00224E6C"/>
    <w:rsid w:val="00225A8C"/>
    <w:rsid w:val="00226095"/>
    <w:rsid w:val="002278F4"/>
    <w:rsid w:val="00230737"/>
    <w:rsid w:val="00230BA0"/>
    <w:rsid w:val="00231868"/>
    <w:rsid w:val="00231CFB"/>
    <w:rsid w:val="00233781"/>
    <w:rsid w:val="002352A3"/>
    <w:rsid w:val="00235400"/>
    <w:rsid w:val="00237311"/>
    <w:rsid w:val="002373DC"/>
    <w:rsid w:val="00240539"/>
    <w:rsid w:val="0024064C"/>
    <w:rsid w:val="002418A7"/>
    <w:rsid w:val="00241C7A"/>
    <w:rsid w:val="002426EB"/>
    <w:rsid w:val="00243735"/>
    <w:rsid w:val="002438A3"/>
    <w:rsid w:val="0024632D"/>
    <w:rsid w:val="00246A3F"/>
    <w:rsid w:val="002478D3"/>
    <w:rsid w:val="00247CCA"/>
    <w:rsid w:val="00247E03"/>
    <w:rsid w:val="00251003"/>
    <w:rsid w:val="0025132C"/>
    <w:rsid w:val="00252817"/>
    <w:rsid w:val="002549DB"/>
    <w:rsid w:val="00254D88"/>
    <w:rsid w:val="00256836"/>
    <w:rsid w:val="0026121A"/>
    <w:rsid w:val="0026259A"/>
    <w:rsid w:val="002634D4"/>
    <w:rsid w:val="002638EE"/>
    <w:rsid w:val="00264D1B"/>
    <w:rsid w:val="002666DB"/>
    <w:rsid w:val="0026719B"/>
    <w:rsid w:val="00270A27"/>
    <w:rsid w:val="00271963"/>
    <w:rsid w:val="00271B8A"/>
    <w:rsid w:val="00272091"/>
    <w:rsid w:val="00272155"/>
    <w:rsid w:val="00272DF8"/>
    <w:rsid w:val="00273555"/>
    <w:rsid w:val="002745E3"/>
    <w:rsid w:val="00275168"/>
    <w:rsid w:val="00276E8D"/>
    <w:rsid w:val="00277B89"/>
    <w:rsid w:val="00281085"/>
    <w:rsid w:val="002842E1"/>
    <w:rsid w:val="00284461"/>
    <w:rsid w:val="00284821"/>
    <w:rsid w:val="00285A7B"/>
    <w:rsid w:val="0028662F"/>
    <w:rsid w:val="00286802"/>
    <w:rsid w:val="0028749D"/>
    <w:rsid w:val="002910AC"/>
    <w:rsid w:val="00291626"/>
    <w:rsid w:val="00292138"/>
    <w:rsid w:val="00294582"/>
    <w:rsid w:val="00296AAE"/>
    <w:rsid w:val="002A19D0"/>
    <w:rsid w:val="002A3ADC"/>
    <w:rsid w:val="002A4B0B"/>
    <w:rsid w:val="002A66E6"/>
    <w:rsid w:val="002A6DF3"/>
    <w:rsid w:val="002A7E63"/>
    <w:rsid w:val="002B07DB"/>
    <w:rsid w:val="002B0FD6"/>
    <w:rsid w:val="002B11BE"/>
    <w:rsid w:val="002B1E97"/>
    <w:rsid w:val="002B2F38"/>
    <w:rsid w:val="002B46CF"/>
    <w:rsid w:val="002B4917"/>
    <w:rsid w:val="002B581F"/>
    <w:rsid w:val="002C1988"/>
    <w:rsid w:val="002C2189"/>
    <w:rsid w:val="002C2FAD"/>
    <w:rsid w:val="002C5C7F"/>
    <w:rsid w:val="002C61B1"/>
    <w:rsid w:val="002C6BD0"/>
    <w:rsid w:val="002D126D"/>
    <w:rsid w:val="002D1A6A"/>
    <w:rsid w:val="002D24D0"/>
    <w:rsid w:val="002D2568"/>
    <w:rsid w:val="002D29F5"/>
    <w:rsid w:val="002D35C5"/>
    <w:rsid w:val="002D519A"/>
    <w:rsid w:val="002D5C2C"/>
    <w:rsid w:val="002D767C"/>
    <w:rsid w:val="002E07D4"/>
    <w:rsid w:val="002E0CF9"/>
    <w:rsid w:val="002E0D2B"/>
    <w:rsid w:val="002E1585"/>
    <w:rsid w:val="002E1C99"/>
    <w:rsid w:val="002E53C7"/>
    <w:rsid w:val="002E53D5"/>
    <w:rsid w:val="002E5929"/>
    <w:rsid w:val="002E7E20"/>
    <w:rsid w:val="002F0DC6"/>
    <w:rsid w:val="002F10A7"/>
    <w:rsid w:val="002F112C"/>
    <w:rsid w:val="002F1252"/>
    <w:rsid w:val="002F1746"/>
    <w:rsid w:val="002F179A"/>
    <w:rsid w:val="002F3DA5"/>
    <w:rsid w:val="002F45A4"/>
    <w:rsid w:val="002F550C"/>
    <w:rsid w:val="002F5F8E"/>
    <w:rsid w:val="002F6239"/>
    <w:rsid w:val="002F7544"/>
    <w:rsid w:val="002F754E"/>
    <w:rsid w:val="002F7843"/>
    <w:rsid w:val="00301084"/>
    <w:rsid w:val="00301C94"/>
    <w:rsid w:val="003029A1"/>
    <w:rsid w:val="00305058"/>
    <w:rsid w:val="00306845"/>
    <w:rsid w:val="00306B0A"/>
    <w:rsid w:val="00307613"/>
    <w:rsid w:val="00310840"/>
    <w:rsid w:val="00310878"/>
    <w:rsid w:val="00312030"/>
    <w:rsid w:val="0031286A"/>
    <w:rsid w:val="00312F1C"/>
    <w:rsid w:val="00313DCD"/>
    <w:rsid w:val="00316389"/>
    <w:rsid w:val="00317BA0"/>
    <w:rsid w:val="003230BA"/>
    <w:rsid w:val="0032364C"/>
    <w:rsid w:val="00324C38"/>
    <w:rsid w:val="00327CF9"/>
    <w:rsid w:val="00330167"/>
    <w:rsid w:val="00330F86"/>
    <w:rsid w:val="00330FC3"/>
    <w:rsid w:val="00331CBC"/>
    <w:rsid w:val="00331E8D"/>
    <w:rsid w:val="00333338"/>
    <w:rsid w:val="003357FB"/>
    <w:rsid w:val="003366DD"/>
    <w:rsid w:val="00341A90"/>
    <w:rsid w:val="00341E9B"/>
    <w:rsid w:val="00343394"/>
    <w:rsid w:val="00343D7C"/>
    <w:rsid w:val="00345F8F"/>
    <w:rsid w:val="0034644F"/>
    <w:rsid w:val="00347314"/>
    <w:rsid w:val="00347FFC"/>
    <w:rsid w:val="00352300"/>
    <w:rsid w:val="00352A15"/>
    <w:rsid w:val="003538C3"/>
    <w:rsid w:val="003549C4"/>
    <w:rsid w:val="00354E2A"/>
    <w:rsid w:val="00356607"/>
    <w:rsid w:val="00360996"/>
    <w:rsid w:val="00362971"/>
    <w:rsid w:val="00363480"/>
    <w:rsid w:val="00363D59"/>
    <w:rsid w:val="003657FD"/>
    <w:rsid w:val="00366189"/>
    <w:rsid w:val="00366C92"/>
    <w:rsid w:val="00371C33"/>
    <w:rsid w:val="00371EB0"/>
    <w:rsid w:val="00373429"/>
    <w:rsid w:val="003738EF"/>
    <w:rsid w:val="003739F1"/>
    <w:rsid w:val="00374094"/>
    <w:rsid w:val="003752BE"/>
    <w:rsid w:val="00377502"/>
    <w:rsid w:val="0038026C"/>
    <w:rsid w:val="003803B5"/>
    <w:rsid w:val="00381B24"/>
    <w:rsid w:val="0038247E"/>
    <w:rsid w:val="003833A2"/>
    <w:rsid w:val="00384636"/>
    <w:rsid w:val="00384723"/>
    <w:rsid w:val="003862BD"/>
    <w:rsid w:val="003902B8"/>
    <w:rsid w:val="003905CB"/>
    <w:rsid w:val="00390D7B"/>
    <w:rsid w:val="003937A7"/>
    <w:rsid w:val="00393E72"/>
    <w:rsid w:val="00394EFF"/>
    <w:rsid w:val="0039593A"/>
    <w:rsid w:val="00396896"/>
    <w:rsid w:val="00396DEF"/>
    <w:rsid w:val="003977EB"/>
    <w:rsid w:val="00397930"/>
    <w:rsid w:val="003A48A5"/>
    <w:rsid w:val="003A4919"/>
    <w:rsid w:val="003A6B2D"/>
    <w:rsid w:val="003A79EA"/>
    <w:rsid w:val="003B111C"/>
    <w:rsid w:val="003B1F17"/>
    <w:rsid w:val="003B30AA"/>
    <w:rsid w:val="003B3C13"/>
    <w:rsid w:val="003B419F"/>
    <w:rsid w:val="003B49BD"/>
    <w:rsid w:val="003B5DD3"/>
    <w:rsid w:val="003B7E87"/>
    <w:rsid w:val="003C07BD"/>
    <w:rsid w:val="003C094D"/>
    <w:rsid w:val="003C25DA"/>
    <w:rsid w:val="003C36F2"/>
    <w:rsid w:val="003C4A68"/>
    <w:rsid w:val="003C4BC1"/>
    <w:rsid w:val="003C575C"/>
    <w:rsid w:val="003C6139"/>
    <w:rsid w:val="003D322F"/>
    <w:rsid w:val="003D39A1"/>
    <w:rsid w:val="003D5BF4"/>
    <w:rsid w:val="003D72CC"/>
    <w:rsid w:val="003E0A61"/>
    <w:rsid w:val="003E149F"/>
    <w:rsid w:val="003E2BF2"/>
    <w:rsid w:val="003E4813"/>
    <w:rsid w:val="003E48B3"/>
    <w:rsid w:val="003E5459"/>
    <w:rsid w:val="003E7FB9"/>
    <w:rsid w:val="003F0859"/>
    <w:rsid w:val="003F12D7"/>
    <w:rsid w:val="003F214F"/>
    <w:rsid w:val="003F292C"/>
    <w:rsid w:val="003F2CAA"/>
    <w:rsid w:val="003F33BE"/>
    <w:rsid w:val="003F36AA"/>
    <w:rsid w:val="003F3E9C"/>
    <w:rsid w:val="003F59FA"/>
    <w:rsid w:val="003F7E7D"/>
    <w:rsid w:val="0040263B"/>
    <w:rsid w:val="0040332E"/>
    <w:rsid w:val="00405271"/>
    <w:rsid w:val="00407139"/>
    <w:rsid w:val="00407935"/>
    <w:rsid w:val="0041041D"/>
    <w:rsid w:val="0041268F"/>
    <w:rsid w:val="00413414"/>
    <w:rsid w:val="00413946"/>
    <w:rsid w:val="0041441E"/>
    <w:rsid w:val="00414C7A"/>
    <w:rsid w:val="00415AEA"/>
    <w:rsid w:val="00415BB0"/>
    <w:rsid w:val="00416FD5"/>
    <w:rsid w:val="0042153D"/>
    <w:rsid w:val="0042243B"/>
    <w:rsid w:val="00422EDB"/>
    <w:rsid w:val="004265BB"/>
    <w:rsid w:val="00427B81"/>
    <w:rsid w:val="00427BF3"/>
    <w:rsid w:val="004300B4"/>
    <w:rsid w:val="00430960"/>
    <w:rsid w:val="004317A6"/>
    <w:rsid w:val="00431967"/>
    <w:rsid w:val="00431F6C"/>
    <w:rsid w:val="00432B1C"/>
    <w:rsid w:val="00433447"/>
    <w:rsid w:val="004366A8"/>
    <w:rsid w:val="00436E1C"/>
    <w:rsid w:val="00440776"/>
    <w:rsid w:val="00441191"/>
    <w:rsid w:val="00442C48"/>
    <w:rsid w:val="00442F2E"/>
    <w:rsid w:val="0044328A"/>
    <w:rsid w:val="004443FA"/>
    <w:rsid w:val="00444714"/>
    <w:rsid w:val="00444775"/>
    <w:rsid w:val="00444B5A"/>
    <w:rsid w:val="00447DFD"/>
    <w:rsid w:val="00450B20"/>
    <w:rsid w:val="00451F29"/>
    <w:rsid w:val="00452140"/>
    <w:rsid w:val="004537E0"/>
    <w:rsid w:val="00454894"/>
    <w:rsid w:val="0045569D"/>
    <w:rsid w:val="00457DE5"/>
    <w:rsid w:val="004609C1"/>
    <w:rsid w:val="00461786"/>
    <w:rsid w:val="004628D9"/>
    <w:rsid w:val="0046591E"/>
    <w:rsid w:val="00466C20"/>
    <w:rsid w:val="00467638"/>
    <w:rsid w:val="00471084"/>
    <w:rsid w:val="0047210A"/>
    <w:rsid w:val="00472855"/>
    <w:rsid w:val="004734F3"/>
    <w:rsid w:val="00473960"/>
    <w:rsid w:val="0047434D"/>
    <w:rsid w:val="004748CC"/>
    <w:rsid w:val="00476DA8"/>
    <w:rsid w:val="004779EB"/>
    <w:rsid w:val="00477D1F"/>
    <w:rsid w:val="00481999"/>
    <w:rsid w:val="00482145"/>
    <w:rsid w:val="00483429"/>
    <w:rsid w:val="00484531"/>
    <w:rsid w:val="00484755"/>
    <w:rsid w:val="0048618D"/>
    <w:rsid w:val="00486564"/>
    <w:rsid w:val="00490A6E"/>
    <w:rsid w:val="0049195F"/>
    <w:rsid w:val="0049355E"/>
    <w:rsid w:val="004937AA"/>
    <w:rsid w:val="00493B5F"/>
    <w:rsid w:val="004942E0"/>
    <w:rsid w:val="004953F2"/>
    <w:rsid w:val="00495E50"/>
    <w:rsid w:val="00495F09"/>
    <w:rsid w:val="00495F98"/>
    <w:rsid w:val="00496EF6"/>
    <w:rsid w:val="00497A15"/>
    <w:rsid w:val="004A1885"/>
    <w:rsid w:val="004A1A44"/>
    <w:rsid w:val="004A2D35"/>
    <w:rsid w:val="004A2DCF"/>
    <w:rsid w:val="004A2E9F"/>
    <w:rsid w:val="004A304C"/>
    <w:rsid w:val="004A34E1"/>
    <w:rsid w:val="004A41A7"/>
    <w:rsid w:val="004A56F7"/>
    <w:rsid w:val="004A5923"/>
    <w:rsid w:val="004B3511"/>
    <w:rsid w:val="004B4F7B"/>
    <w:rsid w:val="004B52AC"/>
    <w:rsid w:val="004B57E6"/>
    <w:rsid w:val="004B606A"/>
    <w:rsid w:val="004B71EE"/>
    <w:rsid w:val="004B7DF1"/>
    <w:rsid w:val="004C008F"/>
    <w:rsid w:val="004C0B86"/>
    <w:rsid w:val="004C0CCA"/>
    <w:rsid w:val="004C1A7F"/>
    <w:rsid w:val="004C1F5A"/>
    <w:rsid w:val="004C3274"/>
    <w:rsid w:val="004C56B0"/>
    <w:rsid w:val="004C5AC5"/>
    <w:rsid w:val="004C61F9"/>
    <w:rsid w:val="004C6A7C"/>
    <w:rsid w:val="004C6B85"/>
    <w:rsid w:val="004C70FD"/>
    <w:rsid w:val="004C7199"/>
    <w:rsid w:val="004C723E"/>
    <w:rsid w:val="004C7F55"/>
    <w:rsid w:val="004D0025"/>
    <w:rsid w:val="004D01E7"/>
    <w:rsid w:val="004D0F27"/>
    <w:rsid w:val="004D1BF3"/>
    <w:rsid w:val="004D1E46"/>
    <w:rsid w:val="004D2F10"/>
    <w:rsid w:val="004D36A1"/>
    <w:rsid w:val="004D3876"/>
    <w:rsid w:val="004D46E4"/>
    <w:rsid w:val="004D48A7"/>
    <w:rsid w:val="004D51F7"/>
    <w:rsid w:val="004D5552"/>
    <w:rsid w:val="004E08A7"/>
    <w:rsid w:val="004E13CB"/>
    <w:rsid w:val="004E195A"/>
    <w:rsid w:val="004E19CB"/>
    <w:rsid w:val="004E739C"/>
    <w:rsid w:val="004E7404"/>
    <w:rsid w:val="004F03B6"/>
    <w:rsid w:val="004F1646"/>
    <w:rsid w:val="004F6A8C"/>
    <w:rsid w:val="005014FC"/>
    <w:rsid w:val="00501E6C"/>
    <w:rsid w:val="00502368"/>
    <w:rsid w:val="0050363A"/>
    <w:rsid w:val="00504166"/>
    <w:rsid w:val="00504C39"/>
    <w:rsid w:val="00504D57"/>
    <w:rsid w:val="00510997"/>
    <w:rsid w:val="00511100"/>
    <w:rsid w:val="0051234B"/>
    <w:rsid w:val="00512EF0"/>
    <w:rsid w:val="00513E40"/>
    <w:rsid w:val="00514830"/>
    <w:rsid w:val="0051688F"/>
    <w:rsid w:val="005168E2"/>
    <w:rsid w:val="00520F55"/>
    <w:rsid w:val="00521159"/>
    <w:rsid w:val="0052238B"/>
    <w:rsid w:val="00522E21"/>
    <w:rsid w:val="005238CA"/>
    <w:rsid w:val="00524F6E"/>
    <w:rsid w:val="005259AE"/>
    <w:rsid w:val="0052630D"/>
    <w:rsid w:val="00527B22"/>
    <w:rsid w:val="00530AA0"/>
    <w:rsid w:val="0053178F"/>
    <w:rsid w:val="00531973"/>
    <w:rsid w:val="00535FD4"/>
    <w:rsid w:val="005367FF"/>
    <w:rsid w:val="00537059"/>
    <w:rsid w:val="0053735F"/>
    <w:rsid w:val="005400D6"/>
    <w:rsid w:val="00542201"/>
    <w:rsid w:val="005422A8"/>
    <w:rsid w:val="00550751"/>
    <w:rsid w:val="00550842"/>
    <w:rsid w:val="00550B0D"/>
    <w:rsid w:val="00551423"/>
    <w:rsid w:val="00551685"/>
    <w:rsid w:val="00552C3F"/>
    <w:rsid w:val="00552F56"/>
    <w:rsid w:val="00553163"/>
    <w:rsid w:val="005534EA"/>
    <w:rsid w:val="00553BC7"/>
    <w:rsid w:val="005551EA"/>
    <w:rsid w:val="005608B9"/>
    <w:rsid w:val="00561627"/>
    <w:rsid w:val="00562512"/>
    <w:rsid w:val="005634AF"/>
    <w:rsid w:val="005639EC"/>
    <w:rsid w:val="0056423B"/>
    <w:rsid w:val="00564B4D"/>
    <w:rsid w:val="0056510F"/>
    <w:rsid w:val="00565A4C"/>
    <w:rsid w:val="005701C3"/>
    <w:rsid w:val="005703DF"/>
    <w:rsid w:val="005708A6"/>
    <w:rsid w:val="00570D17"/>
    <w:rsid w:val="00571484"/>
    <w:rsid w:val="005758C8"/>
    <w:rsid w:val="00576BE5"/>
    <w:rsid w:val="00580D00"/>
    <w:rsid w:val="005847D4"/>
    <w:rsid w:val="00585563"/>
    <w:rsid w:val="005866A3"/>
    <w:rsid w:val="00586ED1"/>
    <w:rsid w:val="0059014A"/>
    <w:rsid w:val="00590236"/>
    <w:rsid w:val="0059069D"/>
    <w:rsid w:val="00591397"/>
    <w:rsid w:val="005924B3"/>
    <w:rsid w:val="005929D2"/>
    <w:rsid w:val="0059366E"/>
    <w:rsid w:val="00594670"/>
    <w:rsid w:val="005948D1"/>
    <w:rsid w:val="00595367"/>
    <w:rsid w:val="0059565A"/>
    <w:rsid w:val="00596E82"/>
    <w:rsid w:val="005972DF"/>
    <w:rsid w:val="00597D1A"/>
    <w:rsid w:val="005A118B"/>
    <w:rsid w:val="005A2A04"/>
    <w:rsid w:val="005A40A9"/>
    <w:rsid w:val="005A456E"/>
    <w:rsid w:val="005A5CA3"/>
    <w:rsid w:val="005A75E1"/>
    <w:rsid w:val="005B0B8D"/>
    <w:rsid w:val="005B1CA2"/>
    <w:rsid w:val="005B2CEC"/>
    <w:rsid w:val="005B4B9B"/>
    <w:rsid w:val="005B5072"/>
    <w:rsid w:val="005B5918"/>
    <w:rsid w:val="005C0767"/>
    <w:rsid w:val="005C128D"/>
    <w:rsid w:val="005C129A"/>
    <w:rsid w:val="005C20E0"/>
    <w:rsid w:val="005C3AF5"/>
    <w:rsid w:val="005C432E"/>
    <w:rsid w:val="005C671D"/>
    <w:rsid w:val="005C6BBB"/>
    <w:rsid w:val="005C6DAD"/>
    <w:rsid w:val="005D231A"/>
    <w:rsid w:val="005D29F5"/>
    <w:rsid w:val="005E060A"/>
    <w:rsid w:val="005E0B60"/>
    <w:rsid w:val="005E14B5"/>
    <w:rsid w:val="005E1D2A"/>
    <w:rsid w:val="005E46CC"/>
    <w:rsid w:val="005E582A"/>
    <w:rsid w:val="005F0D96"/>
    <w:rsid w:val="005F2B4A"/>
    <w:rsid w:val="005F2EE6"/>
    <w:rsid w:val="005F34AF"/>
    <w:rsid w:val="005F3B9E"/>
    <w:rsid w:val="005F42F5"/>
    <w:rsid w:val="005F4442"/>
    <w:rsid w:val="005F4B49"/>
    <w:rsid w:val="005F5130"/>
    <w:rsid w:val="005F6429"/>
    <w:rsid w:val="005F6EE7"/>
    <w:rsid w:val="005F77C4"/>
    <w:rsid w:val="005F7C25"/>
    <w:rsid w:val="006006D4"/>
    <w:rsid w:val="006035F0"/>
    <w:rsid w:val="006038B2"/>
    <w:rsid w:val="00603CBB"/>
    <w:rsid w:val="00604D9C"/>
    <w:rsid w:val="00604EE5"/>
    <w:rsid w:val="006059AC"/>
    <w:rsid w:val="00605C27"/>
    <w:rsid w:val="0060608D"/>
    <w:rsid w:val="00612211"/>
    <w:rsid w:val="006125C2"/>
    <w:rsid w:val="006135F2"/>
    <w:rsid w:val="00617EC3"/>
    <w:rsid w:val="00620387"/>
    <w:rsid w:val="00622328"/>
    <w:rsid w:val="00623287"/>
    <w:rsid w:val="00623E5E"/>
    <w:rsid w:val="00625674"/>
    <w:rsid w:val="00627211"/>
    <w:rsid w:val="0063139D"/>
    <w:rsid w:val="00632B8C"/>
    <w:rsid w:val="006333F8"/>
    <w:rsid w:val="00635ECE"/>
    <w:rsid w:val="006369B9"/>
    <w:rsid w:val="00636CE6"/>
    <w:rsid w:val="0063701A"/>
    <w:rsid w:val="00641A46"/>
    <w:rsid w:val="0064366F"/>
    <w:rsid w:val="006444C8"/>
    <w:rsid w:val="006445D9"/>
    <w:rsid w:val="0064739F"/>
    <w:rsid w:val="00650B29"/>
    <w:rsid w:val="006514E4"/>
    <w:rsid w:val="0065170A"/>
    <w:rsid w:val="006519E2"/>
    <w:rsid w:val="00652860"/>
    <w:rsid w:val="00652E7B"/>
    <w:rsid w:val="0065459C"/>
    <w:rsid w:val="006552A1"/>
    <w:rsid w:val="00657D72"/>
    <w:rsid w:val="0066001C"/>
    <w:rsid w:val="00661C71"/>
    <w:rsid w:val="00661DE8"/>
    <w:rsid w:val="00663343"/>
    <w:rsid w:val="006639D7"/>
    <w:rsid w:val="00663D12"/>
    <w:rsid w:val="00665C23"/>
    <w:rsid w:val="0067097B"/>
    <w:rsid w:val="00670A87"/>
    <w:rsid w:val="00671E28"/>
    <w:rsid w:val="00672A72"/>
    <w:rsid w:val="00675151"/>
    <w:rsid w:val="006752C6"/>
    <w:rsid w:val="00675FA9"/>
    <w:rsid w:val="006800ED"/>
    <w:rsid w:val="0068365C"/>
    <w:rsid w:val="00683D7D"/>
    <w:rsid w:val="006840AB"/>
    <w:rsid w:val="00684E5C"/>
    <w:rsid w:val="006860F6"/>
    <w:rsid w:val="00686F46"/>
    <w:rsid w:val="006875C8"/>
    <w:rsid w:val="00690F47"/>
    <w:rsid w:val="006925AB"/>
    <w:rsid w:val="00692EFA"/>
    <w:rsid w:val="00693048"/>
    <w:rsid w:val="00693BC2"/>
    <w:rsid w:val="00695181"/>
    <w:rsid w:val="0069648A"/>
    <w:rsid w:val="006A1417"/>
    <w:rsid w:val="006A18A1"/>
    <w:rsid w:val="006A305D"/>
    <w:rsid w:val="006A49A2"/>
    <w:rsid w:val="006A51F9"/>
    <w:rsid w:val="006A5B39"/>
    <w:rsid w:val="006B06DA"/>
    <w:rsid w:val="006B1B48"/>
    <w:rsid w:val="006B1CC2"/>
    <w:rsid w:val="006B39C6"/>
    <w:rsid w:val="006B7BDD"/>
    <w:rsid w:val="006C0941"/>
    <w:rsid w:val="006C1475"/>
    <w:rsid w:val="006C2708"/>
    <w:rsid w:val="006C2AFC"/>
    <w:rsid w:val="006C2BBD"/>
    <w:rsid w:val="006C34CE"/>
    <w:rsid w:val="006C38AE"/>
    <w:rsid w:val="006C4A4D"/>
    <w:rsid w:val="006C5C25"/>
    <w:rsid w:val="006C62EC"/>
    <w:rsid w:val="006D0E17"/>
    <w:rsid w:val="006D1C48"/>
    <w:rsid w:val="006D25A3"/>
    <w:rsid w:val="006D2B65"/>
    <w:rsid w:val="006D2CE4"/>
    <w:rsid w:val="006D3A6B"/>
    <w:rsid w:val="006D4BF8"/>
    <w:rsid w:val="006D58D3"/>
    <w:rsid w:val="006D5A7C"/>
    <w:rsid w:val="006D5DB2"/>
    <w:rsid w:val="006D6B30"/>
    <w:rsid w:val="006D7901"/>
    <w:rsid w:val="006E1A38"/>
    <w:rsid w:val="006E2776"/>
    <w:rsid w:val="006E2D1D"/>
    <w:rsid w:val="006E453E"/>
    <w:rsid w:val="006E4658"/>
    <w:rsid w:val="006E55B6"/>
    <w:rsid w:val="006E5F2A"/>
    <w:rsid w:val="006E6226"/>
    <w:rsid w:val="006F37A0"/>
    <w:rsid w:val="006F51CA"/>
    <w:rsid w:val="006F55B4"/>
    <w:rsid w:val="006F7652"/>
    <w:rsid w:val="006F78BB"/>
    <w:rsid w:val="007027F2"/>
    <w:rsid w:val="00702F09"/>
    <w:rsid w:val="007046D0"/>
    <w:rsid w:val="0070482B"/>
    <w:rsid w:val="00704E63"/>
    <w:rsid w:val="00704EF6"/>
    <w:rsid w:val="00705ACD"/>
    <w:rsid w:val="00705EC0"/>
    <w:rsid w:val="00706C12"/>
    <w:rsid w:val="00707803"/>
    <w:rsid w:val="007105F8"/>
    <w:rsid w:val="00710AA7"/>
    <w:rsid w:val="00712031"/>
    <w:rsid w:val="0071329D"/>
    <w:rsid w:val="007162E9"/>
    <w:rsid w:val="00717CFA"/>
    <w:rsid w:val="0072242C"/>
    <w:rsid w:val="0072399B"/>
    <w:rsid w:val="00723E33"/>
    <w:rsid w:val="00725C7D"/>
    <w:rsid w:val="00727D1D"/>
    <w:rsid w:val="007324BE"/>
    <w:rsid w:val="0073280F"/>
    <w:rsid w:val="00733C4B"/>
    <w:rsid w:val="007345AC"/>
    <w:rsid w:val="00734C8A"/>
    <w:rsid w:val="00735EF3"/>
    <w:rsid w:val="007368D0"/>
    <w:rsid w:val="00737178"/>
    <w:rsid w:val="007444C5"/>
    <w:rsid w:val="00745F0B"/>
    <w:rsid w:val="0074717C"/>
    <w:rsid w:val="00747DEA"/>
    <w:rsid w:val="00751AA9"/>
    <w:rsid w:val="00752656"/>
    <w:rsid w:val="0075341A"/>
    <w:rsid w:val="00753B05"/>
    <w:rsid w:val="00753B2A"/>
    <w:rsid w:val="007550ED"/>
    <w:rsid w:val="007553C6"/>
    <w:rsid w:val="00756A23"/>
    <w:rsid w:val="00757983"/>
    <w:rsid w:val="00761B28"/>
    <w:rsid w:val="00763CB7"/>
    <w:rsid w:val="00764F89"/>
    <w:rsid w:val="00765005"/>
    <w:rsid w:val="00766CF4"/>
    <w:rsid w:val="007706D8"/>
    <w:rsid w:val="007711F7"/>
    <w:rsid w:val="00771B5E"/>
    <w:rsid w:val="00771BD4"/>
    <w:rsid w:val="00771ED4"/>
    <w:rsid w:val="0077286E"/>
    <w:rsid w:val="00774BE3"/>
    <w:rsid w:val="0077776D"/>
    <w:rsid w:val="0078013A"/>
    <w:rsid w:val="00780EC4"/>
    <w:rsid w:val="0078319C"/>
    <w:rsid w:val="00784167"/>
    <w:rsid w:val="0078689E"/>
    <w:rsid w:val="00786B80"/>
    <w:rsid w:val="00786C1F"/>
    <w:rsid w:val="00786F98"/>
    <w:rsid w:val="00787E33"/>
    <w:rsid w:val="0079098C"/>
    <w:rsid w:val="00790DE8"/>
    <w:rsid w:val="00791BD9"/>
    <w:rsid w:val="00792AE0"/>
    <w:rsid w:val="00793776"/>
    <w:rsid w:val="00794079"/>
    <w:rsid w:val="0079609B"/>
    <w:rsid w:val="00796BB5"/>
    <w:rsid w:val="00796E28"/>
    <w:rsid w:val="00797B58"/>
    <w:rsid w:val="007A0657"/>
    <w:rsid w:val="007A16B8"/>
    <w:rsid w:val="007A2DF0"/>
    <w:rsid w:val="007A7BA4"/>
    <w:rsid w:val="007B0B05"/>
    <w:rsid w:val="007B0F42"/>
    <w:rsid w:val="007B1026"/>
    <w:rsid w:val="007B10D7"/>
    <w:rsid w:val="007B238E"/>
    <w:rsid w:val="007B2C71"/>
    <w:rsid w:val="007B35C8"/>
    <w:rsid w:val="007B3905"/>
    <w:rsid w:val="007B39DA"/>
    <w:rsid w:val="007B48D8"/>
    <w:rsid w:val="007B4E24"/>
    <w:rsid w:val="007B5149"/>
    <w:rsid w:val="007B63C8"/>
    <w:rsid w:val="007B795E"/>
    <w:rsid w:val="007B7E50"/>
    <w:rsid w:val="007B7E7F"/>
    <w:rsid w:val="007C06BA"/>
    <w:rsid w:val="007C0B74"/>
    <w:rsid w:val="007C3B9B"/>
    <w:rsid w:val="007C6B27"/>
    <w:rsid w:val="007D0F81"/>
    <w:rsid w:val="007D298A"/>
    <w:rsid w:val="007D36EA"/>
    <w:rsid w:val="007D440B"/>
    <w:rsid w:val="007D52F2"/>
    <w:rsid w:val="007D69C0"/>
    <w:rsid w:val="007D6A98"/>
    <w:rsid w:val="007D7497"/>
    <w:rsid w:val="007D7F91"/>
    <w:rsid w:val="007E063D"/>
    <w:rsid w:val="007E1156"/>
    <w:rsid w:val="007E142A"/>
    <w:rsid w:val="007E309B"/>
    <w:rsid w:val="007E316F"/>
    <w:rsid w:val="007E5591"/>
    <w:rsid w:val="007E700E"/>
    <w:rsid w:val="007F0769"/>
    <w:rsid w:val="007F454B"/>
    <w:rsid w:val="007F4574"/>
    <w:rsid w:val="007F687D"/>
    <w:rsid w:val="00800B65"/>
    <w:rsid w:val="00800D09"/>
    <w:rsid w:val="00801063"/>
    <w:rsid w:val="00801826"/>
    <w:rsid w:val="008019BB"/>
    <w:rsid w:val="00802CD4"/>
    <w:rsid w:val="00803A3A"/>
    <w:rsid w:val="00803FE2"/>
    <w:rsid w:val="008055FB"/>
    <w:rsid w:val="008116E8"/>
    <w:rsid w:val="00811962"/>
    <w:rsid w:val="008133FB"/>
    <w:rsid w:val="0081403F"/>
    <w:rsid w:val="00815301"/>
    <w:rsid w:val="0081574D"/>
    <w:rsid w:val="00816F67"/>
    <w:rsid w:val="00817FD6"/>
    <w:rsid w:val="00821940"/>
    <w:rsid w:val="00822998"/>
    <w:rsid w:val="00822FB4"/>
    <w:rsid w:val="008257CB"/>
    <w:rsid w:val="00827713"/>
    <w:rsid w:val="00827DE7"/>
    <w:rsid w:val="0083215B"/>
    <w:rsid w:val="00834B0A"/>
    <w:rsid w:val="00834B5B"/>
    <w:rsid w:val="00835D1E"/>
    <w:rsid w:val="00835DC4"/>
    <w:rsid w:val="00837F01"/>
    <w:rsid w:val="008430A2"/>
    <w:rsid w:val="008440C2"/>
    <w:rsid w:val="008454F9"/>
    <w:rsid w:val="0084679F"/>
    <w:rsid w:val="00847082"/>
    <w:rsid w:val="008500D8"/>
    <w:rsid w:val="0085052E"/>
    <w:rsid w:val="00851201"/>
    <w:rsid w:val="00851560"/>
    <w:rsid w:val="00852ED1"/>
    <w:rsid w:val="00853F1E"/>
    <w:rsid w:val="00854983"/>
    <w:rsid w:val="00855498"/>
    <w:rsid w:val="0086022B"/>
    <w:rsid w:val="00863726"/>
    <w:rsid w:val="00871511"/>
    <w:rsid w:val="00872B99"/>
    <w:rsid w:val="00872D7E"/>
    <w:rsid w:val="00873997"/>
    <w:rsid w:val="008744C0"/>
    <w:rsid w:val="00874A92"/>
    <w:rsid w:val="00874D18"/>
    <w:rsid w:val="0087519B"/>
    <w:rsid w:val="00881E47"/>
    <w:rsid w:val="00882973"/>
    <w:rsid w:val="008834A3"/>
    <w:rsid w:val="00884260"/>
    <w:rsid w:val="008845E0"/>
    <w:rsid w:val="00884C6F"/>
    <w:rsid w:val="00884E7C"/>
    <w:rsid w:val="00887AF5"/>
    <w:rsid w:val="00891ADC"/>
    <w:rsid w:val="0089275F"/>
    <w:rsid w:val="00893132"/>
    <w:rsid w:val="00893183"/>
    <w:rsid w:val="00896DA2"/>
    <w:rsid w:val="00897119"/>
    <w:rsid w:val="008978D1"/>
    <w:rsid w:val="008A0BA8"/>
    <w:rsid w:val="008A16A1"/>
    <w:rsid w:val="008A2A71"/>
    <w:rsid w:val="008A450E"/>
    <w:rsid w:val="008A5511"/>
    <w:rsid w:val="008A582A"/>
    <w:rsid w:val="008A5D99"/>
    <w:rsid w:val="008A7CEC"/>
    <w:rsid w:val="008A7FFE"/>
    <w:rsid w:val="008B1C03"/>
    <w:rsid w:val="008B33A6"/>
    <w:rsid w:val="008B5B8F"/>
    <w:rsid w:val="008B6EF6"/>
    <w:rsid w:val="008B7214"/>
    <w:rsid w:val="008C01AA"/>
    <w:rsid w:val="008C1506"/>
    <w:rsid w:val="008C47F7"/>
    <w:rsid w:val="008D1C0E"/>
    <w:rsid w:val="008D367A"/>
    <w:rsid w:val="008D4C03"/>
    <w:rsid w:val="008D7003"/>
    <w:rsid w:val="008D7503"/>
    <w:rsid w:val="008E001A"/>
    <w:rsid w:val="008E040F"/>
    <w:rsid w:val="008E2052"/>
    <w:rsid w:val="008E2255"/>
    <w:rsid w:val="008E2DEC"/>
    <w:rsid w:val="008E49AF"/>
    <w:rsid w:val="008E68CE"/>
    <w:rsid w:val="008E7CD9"/>
    <w:rsid w:val="008F05B6"/>
    <w:rsid w:val="008F1275"/>
    <w:rsid w:val="008F3BF8"/>
    <w:rsid w:val="008F4B27"/>
    <w:rsid w:val="008F606D"/>
    <w:rsid w:val="008F7068"/>
    <w:rsid w:val="008F78D6"/>
    <w:rsid w:val="008F7A1A"/>
    <w:rsid w:val="008F7C41"/>
    <w:rsid w:val="009022BF"/>
    <w:rsid w:val="00904EB7"/>
    <w:rsid w:val="009056F1"/>
    <w:rsid w:val="00906C4B"/>
    <w:rsid w:val="009103C0"/>
    <w:rsid w:val="00912144"/>
    <w:rsid w:val="00914F30"/>
    <w:rsid w:val="00915386"/>
    <w:rsid w:val="009153B2"/>
    <w:rsid w:val="00917AEA"/>
    <w:rsid w:val="00920960"/>
    <w:rsid w:val="00921581"/>
    <w:rsid w:val="00922124"/>
    <w:rsid w:val="00922191"/>
    <w:rsid w:val="00923644"/>
    <w:rsid w:val="00924CE2"/>
    <w:rsid w:val="00926B69"/>
    <w:rsid w:val="0093007F"/>
    <w:rsid w:val="00930499"/>
    <w:rsid w:val="00931988"/>
    <w:rsid w:val="00932FE6"/>
    <w:rsid w:val="00933CFE"/>
    <w:rsid w:val="0093403B"/>
    <w:rsid w:val="009346B0"/>
    <w:rsid w:val="009349A0"/>
    <w:rsid w:val="00934A07"/>
    <w:rsid w:val="00935F92"/>
    <w:rsid w:val="00936103"/>
    <w:rsid w:val="00936E84"/>
    <w:rsid w:val="00937A7D"/>
    <w:rsid w:val="00941234"/>
    <w:rsid w:val="00943402"/>
    <w:rsid w:val="009445F6"/>
    <w:rsid w:val="00946240"/>
    <w:rsid w:val="0094740E"/>
    <w:rsid w:val="00947B61"/>
    <w:rsid w:val="00951620"/>
    <w:rsid w:val="00951E3A"/>
    <w:rsid w:val="0095298B"/>
    <w:rsid w:val="009537A7"/>
    <w:rsid w:val="00955B86"/>
    <w:rsid w:val="009560A5"/>
    <w:rsid w:val="00956421"/>
    <w:rsid w:val="009577C8"/>
    <w:rsid w:val="0096088C"/>
    <w:rsid w:val="009643D6"/>
    <w:rsid w:val="009656CA"/>
    <w:rsid w:val="0096660B"/>
    <w:rsid w:val="00966BAF"/>
    <w:rsid w:val="00966F57"/>
    <w:rsid w:val="00967098"/>
    <w:rsid w:val="0097030E"/>
    <w:rsid w:val="00970987"/>
    <w:rsid w:val="00970D36"/>
    <w:rsid w:val="00970E43"/>
    <w:rsid w:val="00971C9E"/>
    <w:rsid w:val="00972629"/>
    <w:rsid w:val="00972D92"/>
    <w:rsid w:val="00973C48"/>
    <w:rsid w:val="00975700"/>
    <w:rsid w:val="009810DD"/>
    <w:rsid w:val="00981B7D"/>
    <w:rsid w:val="00985C4D"/>
    <w:rsid w:val="00985E93"/>
    <w:rsid w:val="00986911"/>
    <w:rsid w:val="009912C2"/>
    <w:rsid w:val="00992B2F"/>
    <w:rsid w:val="00995B07"/>
    <w:rsid w:val="00997547"/>
    <w:rsid w:val="009A0EFF"/>
    <w:rsid w:val="009A1D80"/>
    <w:rsid w:val="009A202E"/>
    <w:rsid w:val="009A30AB"/>
    <w:rsid w:val="009A30D5"/>
    <w:rsid w:val="009A4763"/>
    <w:rsid w:val="009A4D66"/>
    <w:rsid w:val="009A7C8D"/>
    <w:rsid w:val="009B0E1E"/>
    <w:rsid w:val="009B1108"/>
    <w:rsid w:val="009B1686"/>
    <w:rsid w:val="009B215B"/>
    <w:rsid w:val="009B4020"/>
    <w:rsid w:val="009B4279"/>
    <w:rsid w:val="009B53E4"/>
    <w:rsid w:val="009B5DAC"/>
    <w:rsid w:val="009B5F4F"/>
    <w:rsid w:val="009B7881"/>
    <w:rsid w:val="009C0C80"/>
    <w:rsid w:val="009C2C39"/>
    <w:rsid w:val="009C3445"/>
    <w:rsid w:val="009C3855"/>
    <w:rsid w:val="009C4327"/>
    <w:rsid w:val="009C557A"/>
    <w:rsid w:val="009C5A16"/>
    <w:rsid w:val="009D02C2"/>
    <w:rsid w:val="009D0931"/>
    <w:rsid w:val="009D2D70"/>
    <w:rsid w:val="009D2F70"/>
    <w:rsid w:val="009D312C"/>
    <w:rsid w:val="009D4AB2"/>
    <w:rsid w:val="009D777E"/>
    <w:rsid w:val="009D784F"/>
    <w:rsid w:val="009E1349"/>
    <w:rsid w:val="009E317C"/>
    <w:rsid w:val="009E319D"/>
    <w:rsid w:val="009E6A34"/>
    <w:rsid w:val="009F15CC"/>
    <w:rsid w:val="009F2CCE"/>
    <w:rsid w:val="009F3622"/>
    <w:rsid w:val="009F4BC4"/>
    <w:rsid w:val="009F59AE"/>
    <w:rsid w:val="009F6A31"/>
    <w:rsid w:val="009F7074"/>
    <w:rsid w:val="009F7A38"/>
    <w:rsid w:val="00A023CA"/>
    <w:rsid w:val="00A027BE"/>
    <w:rsid w:val="00A03F57"/>
    <w:rsid w:val="00A05098"/>
    <w:rsid w:val="00A0722A"/>
    <w:rsid w:val="00A07DE4"/>
    <w:rsid w:val="00A10E54"/>
    <w:rsid w:val="00A135F5"/>
    <w:rsid w:val="00A13797"/>
    <w:rsid w:val="00A147A3"/>
    <w:rsid w:val="00A14F9B"/>
    <w:rsid w:val="00A16449"/>
    <w:rsid w:val="00A1713E"/>
    <w:rsid w:val="00A21A6C"/>
    <w:rsid w:val="00A225BB"/>
    <w:rsid w:val="00A250F9"/>
    <w:rsid w:val="00A27FD8"/>
    <w:rsid w:val="00A3165A"/>
    <w:rsid w:val="00A352BA"/>
    <w:rsid w:val="00A356A0"/>
    <w:rsid w:val="00A36676"/>
    <w:rsid w:val="00A40458"/>
    <w:rsid w:val="00A40A8D"/>
    <w:rsid w:val="00A415BD"/>
    <w:rsid w:val="00A41A32"/>
    <w:rsid w:val="00A42B2D"/>
    <w:rsid w:val="00A42D90"/>
    <w:rsid w:val="00A44906"/>
    <w:rsid w:val="00A44DCB"/>
    <w:rsid w:val="00A46B3C"/>
    <w:rsid w:val="00A47367"/>
    <w:rsid w:val="00A510F1"/>
    <w:rsid w:val="00A53390"/>
    <w:rsid w:val="00A533AB"/>
    <w:rsid w:val="00A54192"/>
    <w:rsid w:val="00A555A5"/>
    <w:rsid w:val="00A5762D"/>
    <w:rsid w:val="00A57C48"/>
    <w:rsid w:val="00A608ED"/>
    <w:rsid w:val="00A60A04"/>
    <w:rsid w:val="00A61B7B"/>
    <w:rsid w:val="00A61B84"/>
    <w:rsid w:val="00A62DD1"/>
    <w:rsid w:val="00A63800"/>
    <w:rsid w:val="00A65B86"/>
    <w:rsid w:val="00A668FB"/>
    <w:rsid w:val="00A6762D"/>
    <w:rsid w:val="00A71842"/>
    <w:rsid w:val="00A71CD2"/>
    <w:rsid w:val="00A72677"/>
    <w:rsid w:val="00A7327E"/>
    <w:rsid w:val="00A7509F"/>
    <w:rsid w:val="00A83B42"/>
    <w:rsid w:val="00A84FEA"/>
    <w:rsid w:val="00A873F4"/>
    <w:rsid w:val="00A912E6"/>
    <w:rsid w:val="00A914DE"/>
    <w:rsid w:val="00A9186D"/>
    <w:rsid w:val="00A9406F"/>
    <w:rsid w:val="00A94239"/>
    <w:rsid w:val="00A94695"/>
    <w:rsid w:val="00A94940"/>
    <w:rsid w:val="00A973A7"/>
    <w:rsid w:val="00A974BD"/>
    <w:rsid w:val="00A97AA3"/>
    <w:rsid w:val="00AA08D1"/>
    <w:rsid w:val="00AA0BC4"/>
    <w:rsid w:val="00AA39BB"/>
    <w:rsid w:val="00AA3AB9"/>
    <w:rsid w:val="00AA5740"/>
    <w:rsid w:val="00AA58A8"/>
    <w:rsid w:val="00AA5BDB"/>
    <w:rsid w:val="00AA795A"/>
    <w:rsid w:val="00AB041F"/>
    <w:rsid w:val="00AB2004"/>
    <w:rsid w:val="00AB62E1"/>
    <w:rsid w:val="00AB6C0B"/>
    <w:rsid w:val="00AB78C5"/>
    <w:rsid w:val="00AC09B7"/>
    <w:rsid w:val="00AC0EE8"/>
    <w:rsid w:val="00AC1875"/>
    <w:rsid w:val="00AC31D1"/>
    <w:rsid w:val="00AC38AA"/>
    <w:rsid w:val="00AC53CB"/>
    <w:rsid w:val="00AD19CD"/>
    <w:rsid w:val="00AD1D51"/>
    <w:rsid w:val="00AD33C5"/>
    <w:rsid w:val="00AD3719"/>
    <w:rsid w:val="00AD3B17"/>
    <w:rsid w:val="00AD56B6"/>
    <w:rsid w:val="00AD57BE"/>
    <w:rsid w:val="00AD5904"/>
    <w:rsid w:val="00AD5D6E"/>
    <w:rsid w:val="00AD6FD5"/>
    <w:rsid w:val="00AE11FA"/>
    <w:rsid w:val="00AE154D"/>
    <w:rsid w:val="00AE3B94"/>
    <w:rsid w:val="00AE5051"/>
    <w:rsid w:val="00AE56A8"/>
    <w:rsid w:val="00AE586C"/>
    <w:rsid w:val="00AE59D1"/>
    <w:rsid w:val="00AE5B83"/>
    <w:rsid w:val="00AE686F"/>
    <w:rsid w:val="00AE6C26"/>
    <w:rsid w:val="00AF0461"/>
    <w:rsid w:val="00AF1029"/>
    <w:rsid w:val="00AF1937"/>
    <w:rsid w:val="00AF2D09"/>
    <w:rsid w:val="00AF47BB"/>
    <w:rsid w:val="00AF497F"/>
    <w:rsid w:val="00AF4A30"/>
    <w:rsid w:val="00AF6B38"/>
    <w:rsid w:val="00B00B65"/>
    <w:rsid w:val="00B00C22"/>
    <w:rsid w:val="00B010CC"/>
    <w:rsid w:val="00B01AC5"/>
    <w:rsid w:val="00B0327A"/>
    <w:rsid w:val="00B05BCA"/>
    <w:rsid w:val="00B06BAB"/>
    <w:rsid w:val="00B10042"/>
    <w:rsid w:val="00B11071"/>
    <w:rsid w:val="00B120EE"/>
    <w:rsid w:val="00B12E76"/>
    <w:rsid w:val="00B12F04"/>
    <w:rsid w:val="00B1353C"/>
    <w:rsid w:val="00B13EBF"/>
    <w:rsid w:val="00B14038"/>
    <w:rsid w:val="00B16182"/>
    <w:rsid w:val="00B1734F"/>
    <w:rsid w:val="00B1782B"/>
    <w:rsid w:val="00B1783C"/>
    <w:rsid w:val="00B20056"/>
    <w:rsid w:val="00B20880"/>
    <w:rsid w:val="00B23214"/>
    <w:rsid w:val="00B24A26"/>
    <w:rsid w:val="00B24B6E"/>
    <w:rsid w:val="00B252C9"/>
    <w:rsid w:val="00B27763"/>
    <w:rsid w:val="00B3066C"/>
    <w:rsid w:val="00B31F9F"/>
    <w:rsid w:val="00B33D1C"/>
    <w:rsid w:val="00B3524F"/>
    <w:rsid w:val="00B3532C"/>
    <w:rsid w:val="00B37F91"/>
    <w:rsid w:val="00B41B7E"/>
    <w:rsid w:val="00B435A3"/>
    <w:rsid w:val="00B43D00"/>
    <w:rsid w:val="00B444F6"/>
    <w:rsid w:val="00B44F88"/>
    <w:rsid w:val="00B45F89"/>
    <w:rsid w:val="00B46E5B"/>
    <w:rsid w:val="00B50E13"/>
    <w:rsid w:val="00B53746"/>
    <w:rsid w:val="00B53DE5"/>
    <w:rsid w:val="00B56ACA"/>
    <w:rsid w:val="00B56EBA"/>
    <w:rsid w:val="00B5770D"/>
    <w:rsid w:val="00B60E39"/>
    <w:rsid w:val="00B611CD"/>
    <w:rsid w:val="00B63D2F"/>
    <w:rsid w:val="00B64B73"/>
    <w:rsid w:val="00B654C2"/>
    <w:rsid w:val="00B66EDB"/>
    <w:rsid w:val="00B67A59"/>
    <w:rsid w:val="00B7067D"/>
    <w:rsid w:val="00B720B0"/>
    <w:rsid w:val="00B734CA"/>
    <w:rsid w:val="00B73920"/>
    <w:rsid w:val="00B74F19"/>
    <w:rsid w:val="00B750B2"/>
    <w:rsid w:val="00B75BA4"/>
    <w:rsid w:val="00B766DC"/>
    <w:rsid w:val="00B76A4B"/>
    <w:rsid w:val="00B8284E"/>
    <w:rsid w:val="00B852A7"/>
    <w:rsid w:val="00B85856"/>
    <w:rsid w:val="00B916D6"/>
    <w:rsid w:val="00B919F7"/>
    <w:rsid w:val="00B91D38"/>
    <w:rsid w:val="00B92F7A"/>
    <w:rsid w:val="00B9343F"/>
    <w:rsid w:val="00B93D5D"/>
    <w:rsid w:val="00B95DC2"/>
    <w:rsid w:val="00B97235"/>
    <w:rsid w:val="00B97FCE"/>
    <w:rsid w:val="00BA0F79"/>
    <w:rsid w:val="00BA0FBD"/>
    <w:rsid w:val="00BA11F6"/>
    <w:rsid w:val="00BA1A39"/>
    <w:rsid w:val="00BA2220"/>
    <w:rsid w:val="00BA27EE"/>
    <w:rsid w:val="00BA5248"/>
    <w:rsid w:val="00BA5976"/>
    <w:rsid w:val="00BA7B49"/>
    <w:rsid w:val="00BA7FED"/>
    <w:rsid w:val="00BB0AF6"/>
    <w:rsid w:val="00BB2A73"/>
    <w:rsid w:val="00BB317B"/>
    <w:rsid w:val="00BB5335"/>
    <w:rsid w:val="00BB65D1"/>
    <w:rsid w:val="00BB6E0B"/>
    <w:rsid w:val="00BC0316"/>
    <w:rsid w:val="00BC03B2"/>
    <w:rsid w:val="00BC06CA"/>
    <w:rsid w:val="00BC0AA4"/>
    <w:rsid w:val="00BC1201"/>
    <w:rsid w:val="00BC1425"/>
    <w:rsid w:val="00BC2664"/>
    <w:rsid w:val="00BC2FAF"/>
    <w:rsid w:val="00BC2FBE"/>
    <w:rsid w:val="00BC51B7"/>
    <w:rsid w:val="00BD2C65"/>
    <w:rsid w:val="00BD3430"/>
    <w:rsid w:val="00BD4A37"/>
    <w:rsid w:val="00BD51EA"/>
    <w:rsid w:val="00BD5554"/>
    <w:rsid w:val="00BD5B5F"/>
    <w:rsid w:val="00BD5BBC"/>
    <w:rsid w:val="00BD6B6C"/>
    <w:rsid w:val="00BD6D4D"/>
    <w:rsid w:val="00BE0ACE"/>
    <w:rsid w:val="00BE18D4"/>
    <w:rsid w:val="00BE2054"/>
    <w:rsid w:val="00BE37D3"/>
    <w:rsid w:val="00BE4439"/>
    <w:rsid w:val="00BE4F57"/>
    <w:rsid w:val="00BE51D0"/>
    <w:rsid w:val="00BE56FB"/>
    <w:rsid w:val="00BE6090"/>
    <w:rsid w:val="00BE7F33"/>
    <w:rsid w:val="00BF0559"/>
    <w:rsid w:val="00BF09BC"/>
    <w:rsid w:val="00BF1423"/>
    <w:rsid w:val="00BF2C60"/>
    <w:rsid w:val="00BF55FF"/>
    <w:rsid w:val="00BF6F13"/>
    <w:rsid w:val="00BF75EB"/>
    <w:rsid w:val="00BF7B40"/>
    <w:rsid w:val="00C0341A"/>
    <w:rsid w:val="00C058CF"/>
    <w:rsid w:val="00C06016"/>
    <w:rsid w:val="00C07B98"/>
    <w:rsid w:val="00C10C5B"/>
    <w:rsid w:val="00C11EB5"/>
    <w:rsid w:val="00C1384D"/>
    <w:rsid w:val="00C14624"/>
    <w:rsid w:val="00C168C7"/>
    <w:rsid w:val="00C20FB2"/>
    <w:rsid w:val="00C21182"/>
    <w:rsid w:val="00C23A2F"/>
    <w:rsid w:val="00C2625D"/>
    <w:rsid w:val="00C26D16"/>
    <w:rsid w:val="00C2717B"/>
    <w:rsid w:val="00C30621"/>
    <w:rsid w:val="00C30771"/>
    <w:rsid w:val="00C31101"/>
    <w:rsid w:val="00C31293"/>
    <w:rsid w:val="00C347E6"/>
    <w:rsid w:val="00C35D90"/>
    <w:rsid w:val="00C36130"/>
    <w:rsid w:val="00C42888"/>
    <w:rsid w:val="00C42C0A"/>
    <w:rsid w:val="00C42F8B"/>
    <w:rsid w:val="00C4392C"/>
    <w:rsid w:val="00C447A9"/>
    <w:rsid w:val="00C47A5B"/>
    <w:rsid w:val="00C47A6C"/>
    <w:rsid w:val="00C47F1E"/>
    <w:rsid w:val="00C50A6C"/>
    <w:rsid w:val="00C52FE5"/>
    <w:rsid w:val="00C5489A"/>
    <w:rsid w:val="00C55A60"/>
    <w:rsid w:val="00C55E21"/>
    <w:rsid w:val="00C561FF"/>
    <w:rsid w:val="00C57070"/>
    <w:rsid w:val="00C571F6"/>
    <w:rsid w:val="00C57FBE"/>
    <w:rsid w:val="00C6035E"/>
    <w:rsid w:val="00C609BA"/>
    <w:rsid w:val="00C60FE6"/>
    <w:rsid w:val="00C611F9"/>
    <w:rsid w:val="00C61258"/>
    <w:rsid w:val="00C61ABF"/>
    <w:rsid w:val="00C632C1"/>
    <w:rsid w:val="00C66896"/>
    <w:rsid w:val="00C66D0A"/>
    <w:rsid w:val="00C66DDD"/>
    <w:rsid w:val="00C67629"/>
    <w:rsid w:val="00C706C7"/>
    <w:rsid w:val="00C70FA1"/>
    <w:rsid w:val="00C71D71"/>
    <w:rsid w:val="00C72CF7"/>
    <w:rsid w:val="00C75F34"/>
    <w:rsid w:val="00C75F99"/>
    <w:rsid w:val="00C7782F"/>
    <w:rsid w:val="00C80B21"/>
    <w:rsid w:val="00C81B0B"/>
    <w:rsid w:val="00C82C1C"/>
    <w:rsid w:val="00C8336A"/>
    <w:rsid w:val="00C84317"/>
    <w:rsid w:val="00C847AC"/>
    <w:rsid w:val="00C9028D"/>
    <w:rsid w:val="00C9059C"/>
    <w:rsid w:val="00C91FC5"/>
    <w:rsid w:val="00C92D27"/>
    <w:rsid w:val="00C951FB"/>
    <w:rsid w:val="00C95C5C"/>
    <w:rsid w:val="00C961A2"/>
    <w:rsid w:val="00C96454"/>
    <w:rsid w:val="00C96B77"/>
    <w:rsid w:val="00CA1DE8"/>
    <w:rsid w:val="00CA2FC7"/>
    <w:rsid w:val="00CA369F"/>
    <w:rsid w:val="00CA57BE"/>
    <w:rsid w:val="00CA58D7"/>
    <w:rsid w:val="00CA7E8D"/>
    <w:rsid w:val="00CA7FBF"/>
    <w:rsid w:val="00CB3AC3"/>
    <w:rsid w:val="00CB4A58"/>
    <w:rsid w:val="00CB502A"/>
    <w:rsid w:val="00CB5C86"/>
    <w:rsid w:val="00CB71B2"/>
    <w:rsid w:val="00CB7866"/>
    <w:rsid w:val="00CC1B62"/>
    <w:rsid w:val="00CC1C3C"/>
    <w:rsid w:val="00CC288D"/>
    <w:rsid w:val="00CC65C7"/>
    <w:rsid w:val="00CC707B"/>
    <w:rsid w:val="00CD25A3"/>
    <w:rsid w:val="00CD30A2"/>
    <w:rsid w:val="00CD3203"/>
    <w:rsid w:val="00CD3B83"/>
    <w:rsid w:val="00CD4B7A"/>
    <w:rsid w:val="00CD5986"/>
    <w:rsid w:val="00CD6F98"/>
    <w:rsid w:val="00CE0B21"/>
    <w:rsid w:val="00CE2616"/>
    <w:rsid w:val="00CE2755"/>
    <w:rsid w:val="00CE3B46"/>
    <w:rsid w:val="00CE45C9"/>
    <w:rsid w:val="00CE48ED"/>
    <w:rsid w:val="00CE4B90"/>
    <w:rsid w:val="00CE582F"/>
    <w:rsid w:val="00CE78BE"/>
    <w:rsid w:val="00CF058B"/>
    <w:rsid w:val="00CF0B39"/>
    <w:rsid w:val="00CF0CDD"/>
    <w:rsid w:val="00CF14D3"/>
    <w:rsid w:val="00CF3651"/>
    <w:rsid w:val="00CF3F1B"/>
    <w:rsid w:val="00CF4D43"/>
    <w:rsid w:val="00CF6409"/>
    <w:rsid w:val="00CF6F08"/>
    <w:rsid w:val="00CF732B"/>
    <w:rsid w:val="00CF7941"/>
    <w:rsid w:val="00CF79EC"/>
    <w:rsid w:val="00D00793"/>
    <w:rsid w:val="00D00BCA"/>
    <w:rsid w:val="00D01DD2"/>
    <w:rsid w:val="00D02E33"/>
    <w:rsid w:val="00D036F0"/>
    <w:rsid w:val="00D056C3"/>
    <w:rsid w:val="00D05732"/>
    <w:rsid w:val="00D05AF6"/>
    <w:rsid w:val="00D06395"/>
    <w:rsid w:val="00D067DF"/>
    <w:rsid w:val="00D105BB"/>
    <w:rsid w:val="00D1099E"/>
    <w:rsid w:val="00D118F0"/>
    <w:rsid w:val="00D15328"/>
    <w:rsid w:val="00D153D3"/>
    <w:rsid w:val="00D164BE"/>
    <w:rsid w:val="00D171C1"/>
    <w:rsid w:val="00D2099B"/>
    <w:rsid w:val="00D21532"/>
    <w:rsid w:val="00D221E5"/>
    <w:rsid w:val="00D225B9"/>
    <w:rsid w:val="00D227BC"/>
    <w:rsid w:val="00D246A2"/>
    <w:rsid w:val="00D24B42"/>
    <w:rsid w:val="00D25DAF"/>
    <w:rsid w:val="00D268D5"/>
    <w:rsid w:val="00D26B2F"/>
    <w:rsid w:val="00D27BC9"/>
    <w:rsid w:val="00D31A1B"/>
    <w:rsid w:val="00D31C51"/>
    <w:rsid w:val="00D320F4"/>
    <w:rsid w:val="00D3220C"/>
    <w:rsid w:val="00D3282A"/>
    <w:rsid w:val="00D3405D"/>
    <w:rsid w:val="00D342A5"/>
    <w:rsid w:val="00D35492"/>
    <w:rsid w:val="00D3661F"/>
    <w:rsid w:val="00D36B4D"/>
    <w:rsid w:val="00D41096"/>
    <w:rsid w:val="00D42FF8"/>
    <w:rsid w:val="00D436B0"/>
    <w:rsid w:val="00D440B5"/>
    <w:rsid w:val="00D4436D"/>
    <w:rsid w:val="00D459E8"/>
    <w:rsid w:val="00D46448"/>
    <w:rsid w:val="00D474FE"/>
    <w:rsid w:val="00D520A1"/>
    <w:rsid w:val="00D54882"/>
    <w:rsid w:val="00D54FB3"/>
    <w:rsid w:val="00D55616"/>
    <w:rsid w:val="00D56615"/>
    <w:rsid w:val="00D5687A"/>
    <w:rsid w:val="00D56C5A"/>
    <w:rsid w:val="00D57DB4"/>
    <w:rsid w:val="00D61267"/>
    <w:rsid w:val="00D63AF9"/>
    <w:rsid w:val="00D6483E"/>
    <w:rsid w:val="00D65FF0"/>
    <w:rsid w:val="00D70A51"/>
    <w:rsid w:val="00D74492"/>
    <w:rsid w:val="00D758FC"/>
    <w:rsid w:val="00D803C6"/>
    <w:rsid w:val="00D81C20"/>
    <w:rsid w:val="00D8504D"/>
    <w:rsid w:val="00D85BBE"/>
    <w:rsid w:val="00D8638D"/>
    <w:rsid w:val="00D86692"/>
    <w:rsid w:val="00D86ADF"/>
    <w:rsid w:val="00D87F0E"/>
    <w:rsid w:val="00D90BE0"/>
    <w:rsid w:val="00D91C5C"/>
    <w:rsid w:val="00D91F86"/>
    <w:rsid w:val="00D929DA"/>
    <w:rsid w:val="00D92A0E"/>
    <w:rsid w:val="00D92AFA"/>
    <w:rsid w:val="00D932B7"/>
    <w:rsid w:val="00D93739"/>
    <w:rsid w:val="00D96D38"/>
    <w:rsid w:val="00D979A2"/>
    <w:rsid w:val="00DA07BE"/>
    <w:rsid w:val="00DA0B84"/>
    <w:rsid w:val="00DA2964"/>
    <w:rsid w:val="00DA33EB"/>
    <w:rsid w:val="00DA5BA0"/>
    <w:rsid w:val="00DB19D3"/>
    <w:rsid w:val="00DB2EE8"/>
    <w:rsid w:val="00DB387D"/>
    <w:rsid w:val="00DB7799"/>
    <w:rsid w:val="00DC5173"/>
    <w:rsid w:val="00DC69C6"/>
    <w:rsid w:val="00DD0C07"/>
    <w:rsid w:val="00DD1754"/>
    <w:rsid w:val="00DD3AF3"/>
    <w:rsid w:val="00DD4009"/>
    <w:rsid w:val="00DD4822"/>
    <w:rsid w:val="00DD51E1"/>
    <w:rsid w:val="00DD58E9"/>
    <w:rsid w:val="00DE0B56"/>
    <w:rsid w:val="00DE36AD"/>
    <w:rsid w:val="00DE489C"/>
    <w:rsid w:val="00DE4A55"/>
    <w:rsid w:val="00DE674C"/>
    <w:rsid w:val="00DE7795"/>
    <w:rsid w:val="00DF0184"/>
    <w:rsid w:val="00DF0585"/>
    <w:rsid w:val="00DF0637"/>
    <w:rsid w:val="00DF0BE7"/>
    <w:rsid w:val="00DF1430"/>
    <w:rsid w:val="00DF22DD"/>
    <w:rsid w:val="00DF533C"/>
    <w:rsid w:val="00DF56D6"/>
    <w:rsid w:val="00DF63E0"/>
    <w:rsid w:val="00DF67FD"/>
    <w:rsid w:val="00E00347"/>
    <w:rsid w:val="00E038F3"/>
    <w:rsid w:val="00E05AC7"/>
    <w:rsid w:val="00E070C5"/>
    <w:rsid w:val="00E1057C"/>
    <w:rsid w:val="00E10593"/>
    <w:rsid w:val="00E107A7"/>
    <w:rsid w:val="00E12D45"/>
    <w:rsid w:val="00E130B8"/>
    <w:rsid w:val="00E14969"/>
    <w:rsid w:val="00E14AB4"/>
    <w:rsid w:val="00E14C57"/>
    <w:rsid w:val="00E1672F"/>
    <w:rsid w:val="00E170E5"/>
    <w:rsid w:val="00E2235D"/>
    <w:rsid w:val="00E22DF1"/>
    <w:rsid w:val="00E24A97"/>
    <w:rsid w:val="00E24D51"/>
    <w:rsid w:val="00E24F14"/>
    <w:rsid w:val="00E253DF"/>
    <w:rsid w:val="00E25447"/>
    <w:rsid w:val="00E26052"/>
    <w:rsid w:val="00E301CC"/>
    <w:rsid w:val="00E31610"/>
    <w:rsid w:val="00E338FF"/>
    <w:rsid w:val="00E34CD3"/>
    <w:rsid w:val="00E37BF0"/>
    <w:rsid w:val="00E41165"/>
    <w:rsid w:val="00E41CE6"/>
    <w:rsid w:val="00E41D06"/>
    <w:rsid w:val="00E424C2"/>
    <w:rsid w:val="00E42E9F"/>
    <w:rsid w:val="00E44724"/>
    <w:rsid w:val="00E44BEA"/>
    <w:rsid w:val="00E45638"/>
    <w:rsid w:val="00E46014"/>
    <w:rsid w:val="00E5038C"/>
    <w:rsid w:val="00E50DE7"/>
    <w:rsid w:val="00E533C8"/>
    <w:rsid w:val="00E537D3"/>
    <w:rsid w:val="00E55C6B"/>
    <w:rsid w:val="00E5746F"/>
    <w:rsid w:val="00E57653"/>
    <w:rsid w:val="00E6043F"/>
    <w:rsid w:val="00E60E1E"/>
    <w:rsid w:val="00E62CF9"/>
    <w:rsid w:val="00E64C90"/>
    <w:rsid w:val="00E64F6F"/>
    <w:rsid w:val="00E65A03"/>
    <w:rsid w:val="00E6629A"/>
    <w:rsid w:val="00E66390"/>
    <w:rsid w:val="00E71258"/>
    <w:rsid w:val="00E733C2"/>
    <w:rsid w:val="00E7499E"/>
    <w:rsid w:val="00E75699"/>
    <w:rsid w:val="00E803FE"/>
    <w:rsid w:val="00E8044E"/>
    <w:rsid w:val="00E81A90"/>
    <w:rsid w:val="00E82157"/>
    <w:rsid w:val="00E83AFA"/>
    <w:rsid w:val="00E85E9B"/>
    <w:rsid w:val="00E85F2B"/>
    <w:rsid w:val="00E86722"/>
    <w:rsid w:val="00E9140F"/>
    <w:rsid w:val="00E92EE7"/>
    <w:rsid w:val="00E9354D"/>
    <w:rsid w:val="00E9360A"/>
    <w:rsid w:val="00E948E6"/>
    <w:rsid w:val="00E9495C"/>
    <w:rsid w:val="00E96F3C"/>
    <w:rsid w:val="00E96F52"/>
    <w:rsid w:val="00EA4134"/>
    <w:rsid w:val="00EA510E"/>
    <w:rsid w:val="00EA51B3"/>
    <w:rsid w:val="00EA6780"/>
    <w:rsid w:val="00EA7207"/>
    <w:rsid w:val="00EA7A8F"/>
    <w:rsid w:val="00EB14FA"/>
    <w:rsid w:val="00EB3E83"/>
    <w:rsid w:val="00EB4488"/>
    <w:rsid w:val="00EB56E6"/>
    <w:rsid w:val="00EB6048"/>
    <w:rsid w:val="00EC0054"/>
    <w:rsid w:val="00EC0ACF"/>
    <w:rsid w:val="00EC0B6C"/>
    <w:rsid w:val="00EC14CB"/>
    <w:rsid w:val="00EC4CD0"/>
    <w:rsid w:val="00EC5E40"/>
    <w:rsid w:val="00EC71F2"/>
    <w:rsid w:val="00EC7DE2"/>
    <w:rsid w:val="00EC7F11"/>
    <w:rsid w:val="00ED00F0"/>
    <w:rsid w:val="00ED05BF"/>
    <w:rsid w:val="00ED09BF"/>
    <w:rsid w:val="00ED1450"/>
    <w:rsid w:val="00ED1C95"/>
    <w:rsid w:val="00ED1CF4"/>
    <w:rsid w:val="00ED2CB3"/>
    <w:rsid w:val="00ED3196"/>
    <w:rsid w:val="00ED4692"/>
    <w:rsid w:val="00ED59BE"/>
    <w:rsid w:val="00ED7BEB"/>
    <w:rsid w:val="00EE3A98"/>
    <w:rsid w:val="00EE5454"/>
    <w:rsid w:val="00EE6A59"/>
    <w:rsid w:val="00EE70FB"/>
    <w:rsid w:val="00EF641C"/>
    <w:rsid w:val="00EF6E22"/>
    <w:rsid w:val="00EF72F6"/>
    <w:rsid w:val="00EF77F3"/>
    <w:rsid w:val="00F005DC"/>
    <w:rsid w:val="00F058C4"/>
    <w:rsid w:val="00F058C9"/>
    <w:rsid w:val="00F05D06"/>
    <w:rsid w:val="00F06604"/>
    <w:rsid w:val="00F07113"/>
    <w:rsid w:val="00F07CBA"/>
    <w:rsid w:val="00F10C26"/>
    <w:rsid w:val="00F11137"/>
    <w:rsid w:val="00F113C3"/>
    <w:rsid w:val="00F11500"/>
    <w:rsid w:val="00F12FC0"/>
    <w:rsid w:val="00F13699"/>
    <w:rsid w:val="00F14B37"/>
    <w:rsid w:val="00F15773"/>
    <w:rsid w:val="00F15C3E"/>
    <w:rsid w:val="00F15FF6"/>
    <w:rsid w:val="00F16D9A"/>
    <w:rsid w:val="00F16DA8"/>
    <w:rsid w:val="00F17250"/>
    <w:rsid w:val="00F2082A"/>
    <w:rsid w:val="00F20A0E"/>
    <w:rsid w:val="00F2157E"/>
    <w:rsid w:val="00F21901"/>
    <w:rsid w:val="00F22181"/>
    <w:rsid w:val="00F24A8F"/>
    <w:rsid w:val="00F2569E"/>
    <w:rsid w:val="00F2657E"/>
    <w:rsid w:val="00F26966"/>
    <w:rsid w:val="00F27D37"/>
    <w:rsid w:val="00F30317"/>
    <w:rsid w:val="00F32D42"/>
    <w:rsid w:val="00F335AC"/>
    <w:rsid w:val="00F337F6"/>
    <w:rsid w:val="00F3383C"/>
    <w:rsid w:val="00F33854"/>
    <w:rsid w:val="00F37E90"/>
    <w:rsid w:val="00F40253"/>
    <w:rsid w:val="00F4227C"/>
    <w:rsid w:val="00F43F16"/>
    <w:rsid w:val="00F43F8E"/>
    <w:rsid w:val="00F442CE"/>
    <w:rsid w:val="00F462C5"/>
    <w:rsid w:val="00F4717E"/>
    <w:rsid w:val="00F50093"/>
    <w:rsid w:val="00F50EDF"/>
    <w:rsid w:val="00F510D3"/>
    <w:rsid w:val="00F5301A"/>
    <w:rsid w:val="00F5313A"/>
    <w:rsid w:val="00F535D8"/>
    <w:rsid w:val="00F53759"/>
    <w:rsid w:val="00F54B41"/>
    <w:rsid w:val="00F57EEE"/>
    <w:rsid w:val="00F57F0D"/>
    <w:rsid w:val="00F61881"/>
    <w:rsid w:val="00F61F9E"/>
    <w:rsid w:val="00F622B9"/>
    <w:rsid w:val="00F6445B"/>
    <w:rsid w:val="00F647CA"/>
    <w:rsid w:val="00F66C7D"/>
    <w:rsid w:val="00F674A6"/>
    <w:rsid w:val="00F67B5A"/>
    <w:rsid w:val="00F7124F"/>
    <w:rsid w:val="00F7258F"/>
    <w:rsid w:val="00F740BE"/>
    <w:rsid w:val="00F74FD8"/>
    <w:rsid w:val="00F77EDC"/>
    <w:rsid w:val="00F80427"/>
    <w:rsid w:val="00F839AF"/>
    <w:rsid w:val="00F8411D"/>
    <w:rsid w:val="00F848DC"/>
    <w:rsid w:val="00F87715"/>
    <w:rsid w:val="00F90187"/>
    <w:rsid w:val="00F905B3"/>
    <w:rsid w:val="00F91998"/>
    <w:rsid w:val="00F921CE"/>
    <w:rsid w:val="00F955CE"/>
    <w:rsid w:val="00F96AAC"/>
    <w:rsid w:val="00F976F0"/>
    <w:rsid w:val="00FA14DD"/>
    <w:rsid w:val="00FA1A32"/>
    <w:rsid w:val="00FA2477"/>
    <w:rsid w:val="00FA2729"/>
    <w:rsid w:val="00FA2F54"/>
    <w:rsid w:val="00FA5224"/>
    <w:rsid w:val="00FA541E"/>
    <w:rsid w:val="00FA707E"/>
    <w:rsid w:val="00FA774A"/>
    <w:rsid w:val="00FA7A68"/>
    <w:rsid w:val="00FB0CE0"/>
    <w:rsid w:val="00FB10A1"/>
    <w:rsid w:val="00FB1316"/>
    <w:rsid w:val="00FB1A67"/>
    <w:rsid w:val="00FB1F11"/>
    <w:rsid w:val="00FB600B"/>
    <w:rsid w:val="00FB7431"/>
    <w:rsid w:val="00FB783A"/>
    <w:rsid w:val="00FC3319"/>
    <w:rsid w:val="00FC3A19"/>
    <w:rsid w:val="00FC5737"/>
    <w:rsid w:val="00FC5C15"/>
    <w:rsid w:val="00FC643C"/>
    <w:rsid w:val="00FC6F5C"/>
    <w:rsid w:val="00FC783C"/>
    <w:rsid w:val="00FC7D34"/>
    <w:rsid w:val="00FD3FEA"/>
    <w:rsid w:val="00FD4109"/>
    <w:rsid w:val="00FD4D6E"/>
    <w:rsid w:val="00FD549E"/>
    <w:rsid w:val="00FD657B"/>
    <w:rsid w:val="00FD683E"/>
    <w:rsid w:val="00FE19A3"/>
    <w:rsid w:val="00FE216F"/>
    <w:rsid w:val="00FE2486"/>
    <w:rsid w:val="00FE3408"/>
    <w:rsid w:val="00FE35C1"/>
    <w:rsid w:val="00FE4734"/>
    <w:rsid w:val="00FE5CCC"/>
    <w:rsid w:val="00FE7B91"/>
    <w:rsid w:val="00FF03F3"/>
    <w:rsid w:val="00FF16CB"/>
    <w:rsid w:val="00FF615C"/>
    <w:rsid w:val="00FF7C51"/>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118"/>
    <o:shapelayout v:ext="edit">
      <o:idmap v:ext="edit" data="2"/>
    </o:shapelayout>
  </w:shapeDefaults>
  <w:decimalSymbol w:val="."/>
  <w:listSeparator w:val=","/>
  <w14:docId w14:val="0AAA2905"/>
  <w15:chartTrackingRefBased/>
  <w15:docId w15:val="{CDFC192C-E793-4437-8576-50A972EB8F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56421"/>
    <w:rPr>
      <w:sz w:val="24"/>
      <w:szCs w:val="24"/>
    </w:rPr>
  </w:style>
  <w:style w:type="paragraph" w:styleId="Heading1">
    <w:name w:val="heading 1"/>
    <w:basedOn w:val="Normal"/>
    <w:next w:val="Normal"/>
    <w:link w:val="Heading1Char"/>
    <w:uiPriority w:val="99"/>
    <w:qFormat/>
    <w:rsid w:val="00213C98"/>
    <w:pPr>
      <w:keepNext/>
      <w:spacing w:before="240" w:after="60"/>
      <w:outlineLvl w:val="0"/>
    </w:pPr>
    <w:rPr>
      <w:rFonts w:ascii="Calibri Light" w:eastAsia="DengXian Light" w:hAnsi="Calibri Light"/>
      <w:b/>
      <w:bCs/>
      <w:kern w:val="32"/>
      <w:sz w:val="32"/>
      <w:szCs w:val="32"/>
    </w:rPr>
  </w:style>
  <w:style w:type="paragraph" w:styleId="Heading2">
    <w:name w:val="heading 2"/>
    <w:basedOn w:val="Normal"/>
    <w:next w:val="Normal"/>
    <w:link w:val="Heading2Char"/>
    <w:uiPriority w:val="9"/>
    <w:semiHidden/>
    <w:unhideWhenUsed/>
    <w:qFormat/>
    <w:rsid w:val="005972DF"/>
    <w:pPr>
      <w:keepNext/>
      <w:spacing w:before="240" w:after="60"/>
      <w:outlineLvl w:val="1"/>
    </w:pPr>
    <w:rPr>
      <w:rFonts w:ascii="Calibri Light" w:hAnsi="Calibri Light"/>
      <w:b/>
      <w:bCs/>
      <w:i/>
      <w:iCs/>
      <w:sz w:val="28"/>
      <w:szCs w:val="28"/>
    </w:rPr>
  </w:style>
  <w:style w:type="paragraph" w:styleId="Heading3">
    <w:name w:val="heading 3"/>
    <w:basedOn w:val="Normal"/>
    <w:next w:val="Normal"/>
    <w:link w:val="Heading3Char"/>
    <w:uiPriority w:val="9"/>
    <w:semiHidden/>
    <w:unhideWhenUsed/>
    <w:qFormat/>
    <w:rsid w:val="003366DD"/>
    <w:pPr>
      <w:keepNext/>
      <w:spacing w:before="240" w:after="60"/>
      <w:outlineLvl w:val="2"/>
    </w:pPr>
    <w:rPr>
      <w:rFonts w:ascii="Calibri Light" w:hAnsi="Calibri Light"/>
      <w:b/>
      <w:bCs/>
      <w:sz w:val="26"/>
      <w:szCs w:val="26"/>
    </w:rPr>
  </w:style>
  <w:style w:type="paragraph" w:styleId="Heading4">
    <w:name w:val="heading 4"/>
    <w:basedOn w:val="Normal"/>
    <w:next w:val="Normal"/>
    <w:link w:val="Heading4Char"/>
    <w:uiPriority w:val="99"/>
    <w:qFormat/>
    <w:rsid w:val="00F05D06"/>
    <w:pPr>
      <w:keepNext/>
      <w:spacing w:before="240" w:after="60"/>
      <w:outlineLvl w:val="3"/>
    </w:pPr>
    <w:rPr>
      <w:b/>
      <w:bCs/>
      <w:sz w:val="28"/>
      <w:szCs w:val="28"/>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rsid w:val="00C47A6C"/>
    <w:rPr>
      <w:rFonts w:ascii="Tahoma" w:hAnsi="Tahoma" w:cs="Tahoma"/>
      <w:sz w:val="16"/>
      <w:szCs w:val="16"/>
    </w:rPr>
  </w:style>
  <w:style w:type="paragraph" w:styleId="TOC1">
    <w:name w:val="toc 1"/>
    <w:basedOn w:val="Normal"/>
    <w:next w:val="Normal"/>
    <w:autoRedefine/>
    <w:uiPriority w:val="39"/>
    <w:rsid w:val="005E060A"/>
  </w:style>
  <w:style w:type="character" w:styleId="Hyperlink">
    <w:name w:val="Hyperlink"/>
    <w:uiPriority w:val="99"/>
    <w:rsid w:val="005E060A"/>
    <w:rPr>
      <w:color w:val="0000FF"/>
      <w:u w:val="single"/>
    </w:rPr>
  </w:style>
  <w:style w:type="paragraph" w:styleId="TOC2">
    <w:name w:val="toc 2"/>
    <w:basedOn w:val="Normal"/>
    <w:next w:val="Normal"/>
    <w:autoRedefine/>
    <w:uiPriority w:val="39"/>
    <w:rsid w:val="005E060A"/>
    <w:pPr>
      <w:ind w:left="240"/>
    </w:pPr>
  </w:style>
  <w:style w:type="paragraph" w:styleId="Footer">
    <w:name w:val="footer"/>
    <w:basedOn w:val="Normal"/>
    <w:link w:val="FooterChar"/>
    <w:uiPriority w:val="99"/>
    <w:rsid w:val="00484755"/>
    <w:pPr>
      <w:tabs>
        <w:tab w:val="center" w:pos="4153"/>
        <w:tab w:val="right" w:pos="8306"/>
      </w:tabs>
    </w:pPr>
  </w:style>
  <w:style w:type="character" w:styleId="PageNumber">
    <w:name w:val="page number"/>
    <w:basedOn w:val="DefaultParagraphFont"/>
    <w:uiPriority w:val="99"/>
    <w:rsid w:val="00484755"/>
  </w:style>
  <w:style w:type="character" w:styleId="Emphasis">
    <w:name w:val="Emphasis"/>
    <w:uiPriority w:val="20"/>
    <w:qFormat/>
    <w:rsid w:val="003366DD"/>
    <w:rPr>
      <w:i/>
      <w:iCs/>
    </w:rPr>
  </w:style>
  <w:style w:type="paragraph" w:styleId="ListParagraph">
    <w:name w:val="List Paragraph"/>
    <w:basedOn w:val="Normal"/>
    <w:uiPriority w:val="34"/>
    <w:qFormat/>
    <w:rsid w:val="003366DD"/>
    <w:pPr>
      <w:spacing w:after="160" w:line="259" w:lineRule="auto"/>
      <w:ind w:left="720"/>
      <w:contextualSpacing/>
    </w:pPr>
    <w:rPr>
      <w:rFonts w:ascii="Calibri" w:eastAsia="Calibri" w:hAnsi="Calibri"/>
      <w:sz w:val="22"/>
      <w:szCs w:val="22"/>
      <w:lang w:eastAsia="en-US"/>
    </w:rPr>
  </w:style>
  <w:style w:type="table" w:styleId="TableGrid">
    <w:name w:val="Table Grid"/>
    <w:basedOn w:val="TableNormal"/>
    <w:uiPriority w:val="59"/>
    <w:rsid w:val="003366DD"/>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rsid w:val="003366DD"/>
    <w:pPr>
      <w:spacing w:before="100" w:beforeAutospacing="1" w:after="100" w:afterAutospacing="1"/>
    </w:pPr>
  </w:style>
  <w:style w:type="character" w:customStyle="1" w:styleId="normaltextrun">
    <w:name w:val="normaltextrun"/>
    <w:rsid w:val="003366DD"/>
  </w:style>
  <w:style w:type="character" w:customStyle="1" w:styleId="eop">
    <w:name w:val="eop"/>
    <w:rsid w:val="003366DD"/>
  </w:style>
  <w:style w:type="character" w:customStyle="1" w:styleId="Heading3Char">
    <w:name w:val="Heading 3 Char"/>
    <w:link w:val="Heading3"/>
    <w:uiPriority w:val="9"/>
    <w:semiHidden/>
    <w:rsid w:val="003366DD"/>
    <w:rPr>
      <w:rFonts w:ascii="Calibri Light" w:eastAsia="Times New Roman" w:hAnsi="Calibri Light" w:cs="Times New Roman"/>
      <w:b/>
      <w:bCs/>
      <w:sz w:val="26"/>
      <w:szCs w:val="26"/>
    </w:rPr>
  </w:style>
  <w:style w:type="paragraph" w:styleId="TOC3">
    <w:name w:val="toc 3"/>
    <w:basedOn w:val="Normal"/>
    <w:next w:val="Normal"/>
    <w:autoRedefine/>
    <w:uiPriority w:val="39"/>
    <w:unhideWhenUsed/>
    <w:rsid w:val="003366DD"/>
    <w:pPr>
      <w:ind w:left="480"/>
    </w:pPr>
  </w:style>
  <w:style w:type="character" w:customStyle="1" w:styleId="Heading1Char">
    <w:name w:val="Heading 1 Char"/>
    <w:link w:val="Heading1"/>
    <w:uiPriority w:val="99"/>
    <w:rsid w:val="00213C98"/>
    <w:rPr>
      <w:rFonts w:ascii="Calibri Light" w:eastAsia="DengXian Light" w:hAnsi="Calibri Light" w:cs="Times New Roman"/>
      <w:b/>
      <w:bCs/>
      <w:kern w:val="32"/>
      <w:sz w:val="32"/>
      <w:szCs w:val="32"/>
      <w:lang w:eastAsia="en-GB"/>
    </w:rPr>
  </w:style>
  <w:style w:type="paragraph" w:styleId="Header">
    <w:name w:val="header"/>
    <w:basedOn w:val="Normal"/>
    <w:link w:val="HeaderChar"/>
    <w:uiPriority w:val="99"/>
    <w:unhideWhenUsed/>
    <w:rsid w:val="00672A72"/>
    <w:pPr>
      <w:tabs>
        <w:tab w:val="center" w:pos="4513"/>
        <w:tab w:val="right" w:pos="9026"/>
      </w:tabs>
    </w:pPr>
  </w:style>
  <w:style w:type="character" w:customStyle="1" w:styleId="HeaderChar">
    <w:name w:val="Header Char"/>
    <w:link w:val="Header"/>
    <w:uiPriority w:val="99"/>
    <w:rsid w:val="00672A72"/>
    <w:rPr>
      <w:sz w:val="24"/>
      <w:szCs w:val="24"/>
      <w:lang w:eastAsia="en-GB"/>
    </w:rPr>
  </w:style>
  <w:style w:type="character" w:styleId="UnresolvedMention">
    <w:name w:val="Unresolved Mention"/>
    <w:uiPriority w:val="99"/>
    <w:semiHidden/>
    <w:unhideWhenUsed/>
    <w:rsid w:val="00A71842"/>
    <w:rPr>
      <w:color w:val="605E5C"/>
      <w:shd w:val="clear" w:color="auto" w:fill="E1DFDD"/>
    </w:rPr>
  </w:style>
  <w:style w:type="character" w:styleId="FollowedHyperlink">
    <w:name w:val="FollowedHyperlink"/>
    <w:uiPriority w:val="99"/>
    <w:semiHidden/>
    <w:unhideWhenUsed/>
    <w:rsid w:val="00552C3F"/>
    <w:rPr>
      <w:color w:val="954F72"/>
      <w:u w:val="single"/>
    </w:rPr>
  </w:style>
  <w:style w:type="character" w:customStyle="1" w:styleId="Heading4Char">
    <w:name w:val="Heading 4 Char"/>
    <w:link w:val="Heading4"/>
    <w:uiPriority w:val="99"/>
    <w:rsid w:val="00F05D06"/>
    <w:rPr>
      <w:b/>
      <w:bCs/>
      <w:sz w:val="28"/>
      <w:szCs w:val="28"/>
      <w:lang w:eastAsia="en-US"/>
    </w:rPr>
  </w:style>
  <w:style w:type="paragraph" w:styleId="BodyText2">
    <w:name w:val="Body Text 2"/>
    <w:basedOn w:val="Normal"/>
    <w:link w:val="BodyText2Char"/>
    <w:uiPriority w:val="99"/>
    <w:rsid w:val="00F05D06"/>
    <w:pPr>
      <w:ind w:left="720" w:hanging="720"/>
    </w:pPr>
    <w:rPr>
      <w:b/>
      <w:bCs/>
      <w:sz w:val="22"/>
      <w:szCs w:val="22"/>
      <w:lang w:eastAsia="en-US"/>
    </w:rPr>
  </w:style>
  <w:style w:type="character" w:customStyle="1" w:styleId="BodyText2Char">
    <w:name w:val="Body Text 2 Char"/>
    <w:link w:val="BodyText2"/>
    <w:uiPriority w:val="99"/>
    <w:rsid w:val="00F05D06"/>
    <w:rPr>
      <w:b/>
      <w:bCs/>
      <w:sz w:val="22"/>
      <w:szCs w:val="22"/>
      <w:lang w:eastAsia="en-US"/>
    </w:rPr>
  </w:style>
  <w:style w:type="paragraph" w:customStyle="1" w:styleId="deannah1">
    <w:name w:val="deannah1"/>
    <w:basedOn w:val="Normal"/>
    <w:uiPriority w:val="99"/>
    <w:rsid w:val="00F05D06"/>
    <w:pPr>
      <w:keepNext/>
      <w:spacing w:after="240"/>
    </w:pPr>
    <w:rPr>
      <w:b/>
      <w:bCs/>
      <w:lang w:eastAsia="en-US"/>
    </w:rPr>
  </w:style>
  <w:style w:type="character" w:customStyle="1" w:styleId="BalloonTextChar">
    <w:name w:val="Balloon Text Char"/>
    <w:link w:val="BalloonText"/>
    <w:uiPriority w:val="99"/>
    <w:semiHidden/>
    <w:rsid w:val="00F05D06"/>
    <w:rPr>
      <w:rFonts w:ascii="Tahoma" w:hAnsi="Tahoma" w:cs="Tahoma"/>
      <w:sz w:val="16"/>
      <w:szCs w:val="16"/>
    </w:rPr>
  </w:style>
  <w:style w:type="character" w:customStyle="1" w:styleId="FooterChar">
    <w:name w:val="Footer Char"/>
    <w:link w:val="Footer"/>
    <w:uiPriority w:val="99"/>
    <w:rsid w:val="00F05D06"/>
    <w:rPr>
      <w:sz w:val="24"/>
      <w:szCs w:val="24"/>
    </w:rPr>
  </w:style>
  <w:style w:type="paragraph" w:styleId="NormalWeb">
    <w:name w:val="Normal (Web)"/>
    <w:basedOn w:val="Normal"/>
    <w:uiPriority w:val="99"/>
    <w:rsid w:val="00F05D06"/>
    <w:pPr>
      <w:spacing w:before="100" w:beforeAutospacing="1" w:after="100" w:afterAutospacing="1"/>
    </w:pPr>
  </w:style>
  <w:style w:type="character" w:customStyle="1" w:styleId="Hyperlink1">
    <w:name w:val="Hyperlink1"/>
    <w:uiPriority w:val="99"/>
    <w:rsid w:val="00F05D06"/>
    <w:rPr>
      <w:color w:val="535353"/>
      <w:u w:val="single"/>
      <w:effect w:val="none"/>
    </w:rPr>
  </w:style>
  <w:style w:type="paragraph" w:customStyle="1" w:styleId="NormalWeb1">
    <w:name w:val="Normal (Web)1"/>
    <w:basedOn w:val="Normal"/>
    <w:uiPriority w:val="99"/>
    <w:rsid w:val="00F05D06"/>
    <w:pPr>
      <w:spacing w:before="100" w:beforeAutospacing="1" w:after="300"/>
    </w:pPr>
  </w:style>
  <w:style w:type="character" w:styleId="CommentReference">
    <w:name w:val="annotation reference"/>
    <w:uiPriority w:val="99"/>
    <w:unhideWhenUsed/>
    <w:rsid w:val="00F05D06"/>
    <w:rPr>
      <w:sz w:val="16"/>
      <w:szCs w:val="16"/>
    </w:rPr>
  </w:style>
  <w:style w:type="paragraph" w:styleId="CommentText">
    <w:name w:val="annotation text"/>
    <w:basedOn w:val="Normal"/>
    <w:link w:val="CommentTextChar"/>
    <w:uiPriority w:val="99"/>
    <w:unhideWhenUsed/>
    <w:rsid w:val="00F05D06"/>
    <w:rPr>
      <w:sz w:val="20"/>
      <w:szCs w:val="20"/>
      <w:lang w:eastAsia="en-US"/>
    </w:rPr>
  </w:style>
  <w:style w:type="character" w:customStyle="1" w:styleId="CommentTextChar">
    <w:name w:val="Comment Text Char"/>
    <w:link w:val="CommentText"/>
    <w:uiPriority w:val="99"/>
    <w:rsid w:val="00F05D06"/>
    <w:rPr>
      <w:lang w:eastAsia="en-US"/>
    </w:rPr>
  </w:style>
  <w:style w:type="paragraph" w:styleId="CommentSubject">
    <w:name w:val="annotation subject"/>
    <w:basedOn w:val="CommentText"/>
    <w:next w:val="CommentText"/>
    <w:link w:val="CommentSubjectChar"/>
    <w:uiPriority w:val="99"/>
    <w:unhideWhenUsed/>
    <w:rsid w:val="00F05D06"/>
    <w:rPr>
      <w:b/>
      <w:bCs/>
    </w:rPr>
  </w:style>
  <w:style w:type="character" w:customStyle="1" w:styleId="CommentSubjectChar">
    <w:name w:val="Comment Subject Char"/>
    <w:link w:val="CommentSubject"/>
    <w:uiPriority w:val="99"/>
    <w:rsid w:val="00F05D06"/>
    <w:rPr>
      <w:b/>
      <w:bCs/>
      <w:lang w:eastAsia="en-US"/>
    </w:rPr>
  </w:style>
  <w:style w:type="character" w:styleId="Strong">
    <w:name w:val="Strong"/>
    <w:uiPriority w:val="22"/>
    <w:qFormat/>
    <w:rsid w:val="00F05D06"/>
    <w:rPr>
      <w:b/>
      <w:bCs/>
    </w:rPr>
  </w:style>
  <w:style w:type="paragraph" w:styleId="HTMLPreformatted">
    <w:name w:val="HTML Preformatted"/>
    <w:basedOn w:val="Normal"/>
    <w:link w:val="HTMLPreformattedChar"/>
    <w:uiPriority w:val="99"/>
    <w:unhideWhenUsed/>
    <w:rsid w:val="0095642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PreformattedChar">
    <w:name w:val="HTML Preformatted Char"/>
    <w:link w:val="HTMLPreformatted"/>
    <w:uiPriority w:val="99"/>
    <w:rsid w:val="00956421"/>
    <w:rPr>
      <w:rFonts w:ascii="Courier New" w:hAnsi="Courier New" w:cs="Courier New"/>
      <w:lang w:eastAsia="en-GB"/>
    </w:rPr>
  </w:style>
  <w:style w:type="paragraph" w:styleId="Bibliography">
    <w:name w:val="Bibliography"/>
    <w:basedOn w:val="Normal"/>
    <w:next w:val="Normal"/>
    <w:uiPriority w:val="37"/>
    <w:semiHidden/>
    <w:unhideWhenUsed/>
    <w:rsid w:val="00956421"/>
    <w:rPr>
      <w:lang w:eastAsia="en-US"/>
    </w:rPr>
  </w:style>
  <w:style w:type="character" w:customStyle="1" w:styleId="ref-lnk">
    <w:name w:val="ref-lnk"/>
    <w:basedOn w:val="DefaultParagraphFont"/>
    <w:rsid w:val="00331CBC"/>
  </w:style>
  <w:style w:type="character" w:customStyle="1" w:styleId="subtitle-colon">
    <w:name w:val="subtitle-colon"/>
    <w:basedOn w:val="DefaultParagraphFont"/>
    <w:rsid w:val="00FC6F5C"/>
  </w:style>
  <w:style w:type="character" w:customStyle="1" w:styleId="Subtitle1">
    <w:name w:val="Subtitle1"/>
    <w:basedOn w:val="DefaultParagraphFont"/>
    <w:rsid w:val="00FC6F5C"/>
  </w:style>
  <w:style w:type="character" w:customStyle="1" w:styleId="Heading2Char">
    <w:name w:val="Heading 2 Char"/>
    <w:link w:val="Heading2"/>
    <w:uiPriority w:val="9"/>
    <w:semiHidden/>
    <w:rsid w:val="005972DF"/>
    <w:rPr>
      <w:rFonts w:ascii="Calibri Light" w:eastAsia="Times New Roman" w:hAnsi="Calibri Light" w:cs="Times New Roman"/>
      <w:b/>
      <w:bCs/>
      <w:i/>
      <w:iCs/>
      <w:sz w:val="28"/>
      <w:szCs w:val="28"/>
    </w:rPr>
  </w:style>
  <w:style w:type="paragraph" w:styleId="NoSpacing">
    <w:name w:val="No Spacing"/>
    <w:uiPriority w:val="1"/>
    <w:qFormat/>
    <w:rsid w:val="003E149F"/>
    <w:rPr>
      <w:sz w:val="24"/>
      <w:szCs w:val="24"/>
    </w:rPr>
  </w:style>
  <w:style w:type="character" w:customStyle="1" w:styleId="italica">
    <w:name w:val="italica"/>
    <w:basedOn w:val="DefaultParagraphFont"/>
    <w:rsid w:val="009F7A38"/>
  </w:style>
  <w:style w:type="character" w:customStyle="1" w:styleId="authors">
    <w:name w:val="authors"/>
    <w:basedOn w:val="DefaultParagraphFont"/>
    <w:rsid w:val="00933CFE"/>
  </w:style>
  <w:style w:type="paragraph" w:styleId="Revision">
    <w:name w:val="Revision"/>
    <w:hidden/>
    <w:uiPriority w:val="99"/>
    <w:semiHidden/>
    <w:rsid w:val="00D3405D"/>
    <w:rPr>
      <w:sz w:val="24"/>
      <w:szCs w:val="24"/>
    </w:rPr>
  </w:style>
  <w:style w:type="paragraph" w:customStyle="1" w:styleId="reference">
    <w:name w:val="reference"/>
    <w:basedOn w:val="Normal"/>
    <w:qFormat/>
    <w:rsid w:val="00AF47BB"/>
    <w:pPr>
      <w:numPr>
        <w:numId w:val="1"/>
      </w:numPr>
      <w:spacing w:line="480" w:lineRule="auto"/>
      <w:outlineLvl w:val="0"/>
    </w:pPr>
    <w:rPr>
      <w:b/>
      <w:color w:val="FF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10860278">
      <w:bodyDiv w:val="1"/>
      <w:marLeft w:val="0"/>
      <w:marRight w:val="0"/>
      <w:marTop w:val="0"/>
      <w:marBottom w:val="0"/>
      <w:divBdr>
        <w:top w:val="none" w:sz="0" w:space="0" w:color="auto"/>
        <w:left w:val="none" w:sz="0" w:space="0" w:color="auto"/>
        <w:bottom w:val="none" w:sz="0" w:space="0" w:color="auto"/>
        <w:right w:val="none" w:sz="0" w:space="0" w:color="auto"/>
      </w:divBdr>
    </w:div>
    <w:div w:id="424498705">
      <w:bodyDiv w:val="1"/>
      <w:marLeft w:val="0"/>
      <w:marRight w:val="0"/>
      <w:marTop w:val="0"/>
      <w:marBottom w:val="0"/>
      <w:divBdr>
        <w:top w:val="none" w:sz="0" w:space="0" w:color="auto"/>
        <w:left w:val="none" w:sz="0" w:space="0" w:color="auto"/>
        <w:bottom w:val="none" w:sz="0" w:space="0" w:color="auto"/>
        <w:right w:val="none" w:sz="0" w:space="0" w:color="auto"/>
      </w:divBdr>
    </w:div>
    <w:div w:id="498429727">
      <w:bodyDiv w:val="1"/>
      <w:marLeft w:val="0"/>
      <w:marRight w:val="0"/>
      <w:marTop w:val="0"/>
      <w:marBottom w:val="0"/>
      <w:divBdr>
        <w:top w:val="none" w:sz="0" w:space="0" w:color="auto"/>
        <w:left w:val="none" w:sz="0" w:space="0" w:color="auto"/>
        <w:bottom w:val="none" w:sz="0" w:space="0" w:color="auto"/>
        <w:right w:val="none" w:sz="0" w:space="0" w:color="auto"/>
      </w:divBdr>
    </w:div>
    <w:div w:id="784813651">
      <w:bodyDiv w:val="1"/>
      <w:marLeft w:val="0"/>
      <w:marRight w:val="0"/>
      <w:marTop w:val="0"/>
      <w:marBottom w:val="0"/>
      <w:divBdr>
        <w:top w:val="none" w:sz="0" w:space="0" w:color="auto"/>
        <w:left w:val="none" w:sz="0" w:space="0" w:color="auto"/>
        <w:bottom w:val="none" w:sz="0" w:space="0" w:color="auto"/>
        <w:right w:val="none" w:sz="0" w:space="0" w:color="auto"/>
      </w:divBdr>
    </w:div>
    <w:div w:id="959997170">
      <w:bodyDiv w:val="1"/>
      <w:marLeft w:val="0"/>
      <w:marRight w:val="0"/>
      <w:marTop w:val="0"/>
      <w:marBottom w:val="0"/>
      <w:divBdr>
        <w:top w:val="none" w:sz="0" w:space="0" w:color="auto"/>
        <w:left w:val="none" w:sz="0" w:space="0" w:color="auto"/>
        <w:bottom w:val="none" w:sz="0" w:space="0" w:color="auto"/>
        <w:right w:val="none" w:sz="0" w:space="0" w:color="auto"/>
      </w:divBdr>
    </w:div>
    <w:div w:id="972639703">
      <w:bodyDiv w:val="1"/>
      <w:marLeft w:val="0"/>
      <w:marRight w:val="0"/>
      <w:marTop w:val="0"/>
      <w:marBottom w:val="0"/>
      <w:divBdr>
        <w:top w:val="none" w:sz="0" w:space="0" w:color="auto"/>
        <w:left w:val="none" w:sz="0" w:space="0" w:color="auto"/>
        <w:bottom w:val="none" w:sz="0" w:space="0" w:color="auto"/>
        <w:right w:val="none" w:sz="0" w:space="0" w:color="auto"/>
      </w:divBdr>
      <w:divsChild>
        <w:div w:id="1316495434">
          <w:marLeft w:val="0"/>
          <w:marRight w:val="0"/>
          <w:marTop w:val="0"/>
          <w:marBottom w:val="0"/>
          <w:divBdr>
            <w:top w:val="single" w:sz="2" w:space="0" w:color="auto"/>
            <w:left w:val="single" w:sz="2" w:space="0" w:color="auto"/>
            <w:bottom w:val="single" w:sz="6" w:space="0" w:color="auto"/>
            <w:right w:val="single" w:sz="2" w:space="0" w:color="auto"/>
          </w:divBdr>
          <w:divsChild>
            <w:div w:id="1824279052">
              <w:marLeft w:val="0"/>
              <w:marRight w:val="0"/>
              <w:marTop w:val="100"/>
              <w:marBottom w:val="100"/>
              <w:divBdr>
                <w:top w:val="single" w:sz="2" w:space="0" w:color="D9D9E3"/>
                <w:left w:val="single" w:sz="2" w:space="0" w:color="D9D9E3"/>
                <w:bottom w:val="single" w:sz="2" w:space="0" w:color="D9D9E3"/>
                <w:right w:val="single" w:sz="2" w:space="0" w:color="D9D9E3"/>
              </w:divBdr>
              <w:divsChild>
                <w:div w:id="479733412">
                  <w:marLeft w:val="0"/>
                  <w:marRight w:val="0"/>
                  <w:marTop w:val="0"/>
                  <w:marBottom w:val="0"/>
                  <w:divBdr>
                    <w:top w:val="single" w:sz="2" w:space="0" w:color="D9D9E3"/>
                    <w:left w:val="single" w:sz="2" w:space="0" w:color="D9D9E3"/>
                    <w:bottom w:val="single" w:sz="2" w:space="0" w:color="D9D9E3"/>
                    <w:right w:val="single" w:sz="2" w:space="0" w:color="D9D9E3"/>
                  </w:divBdr>
                  <w:divsChild>
                    <w:div w:id="1652248372">
                      <w:marLeft w:val="0"/>
                      <w:marRight w:val="0"/>
                      <w:marTop w:val="0"/>
                      <w:marBottom w:val="0"/>
                      <w:divBdr>
                        <w:top w:val="single" w:sz="2" w:space="0" w:color="D9D9E3"/>
                        <w:left w:val="single" w:sz="2" w:space="0" w:color="D9D9E3"/>
                        <w:bottom w:val="single" w:sz="2" w:space="0" w:color="D9D9E3"/>
                        <w:right w:val="single" w:sz="2" w:space="0" w:color="D9D9E3"/>
                      </w:divBdr>
                      <w:divsChild>
                        <w:div w:id="893858925">
                          <w:marLeft w:val="0"/>
                          <w:marRight w:val="0"/>
                          <w:marTop w:val="0"/>
                          <w:marBottom w:val="0"/>
                          <w:divBdr>
                            <w:top w:val="single" w:sz="2" w:space="0" w:color="D9D9E3"/>
                            <w:left w:val="single" w:sz="2" w:space="0" w:color="D9D9E3"/>
                            <w:bottom w:val="single" w:sz="2" w:space="0" w:color="D9D9E3"/>
                            <w:right w:val="single" w:sz="2" w:space="0" w:color="D9D9E3"/>
                          </w:divBdr>
                          <w:divsChild>
                            <w:div w:id="4148516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225680733">
      <w:bodyDiv w:val="1"/>
      <w:marLeft w:val="0"/>
      <w:marRight w:val="0"/>
      <w:marTop w:val="0"/>
      <w:marBottom w:val="0"/>
      <w:divBdr>
        <w:top w:val="none" w:sz="0" w:space="0" w:color="auto"/>
        <w:left w:val="none" w:sz="0" w:space="0" w:color="auto"/>
        <w:bottom w:val="none" w:sz="0" w:space="0" w:color="auto"/>
        <w:right w:val="none" w:sz="0" w:space="0" w:color="auto"/>
      </w:divBdr>
    </w:div>
    <w:div w:id="1399014550">
      <w:bodyDiv w:val="1"/>
      <w:marLeft w:val="0"/>
      <w:marRight w:val="0"/>
      <w:marTop w:val="0"/>
      <w:marBottom w:val="0"/>
      <w:divBdr>
        <w:top w:val="none" w:sz="0" w:space="0" w:color="auto"/>
        <w:left w:val="none" w:sz="0" w:space="0" w:color="auto"/>
        <w:bottom w:val="none" w:sz="0" w:space="0" w:color="auto"/>
        <w:right w:val="none" w:sz="0" w:space="0" w:color="auto"/>
      </w:divBdr>
      <w:divsChild>
        <w:div w:id="1991207065">
          <w:marLeft w:val="432"/>
          <w:marRight w:val="0"/>
          <w:marTop w:val="0"/>
          <w:marBottom w:val="0"/>
          <w:divBdr>
            <w:top w:val="none" w:sz="0" w:space="0" w:color="auto"/>
            <w:left w:val="none" w:sz="0" w:space="0" w:color="auto"/>
            <w:bottom w:val="none" w:sz="0" w:space="0" w:color="auto"/>
            <w:right w:val="none" w:sz="0" w:space="0" w:color="auto"/>
          </w:divBdr>
        </w:div>
      </w:divsChild>
    </w:div>
    <w:div w:id="1576284840">
      <w:bodyDiv w:val="1"/>
      <w:marLeft w:val="0"/>
      <w:marRight w:val="0"/>
      <w:marTop w:val="0"/>
      <w:marBottom w:val="0"/>
      <w:divBdr>
        <w:top w:val="none" w:sz="0" w:space="0" w:color="auto"/>
        <w:left w:val="none" w:sz="0" w:space="0" w:color="auto"/>
        <w:bottom w:val="none" w:sz="0" w:space="0" w:color="auto"/>
        <w:right w:val="none" w:sz="0" w:space="0" w:color="auto"/>
      </w:divBdr>
    </w:div>
    <w:div w:id="1644845826">
      <w:bodyDiv w:val="1"/>
      <w:marLeft w:val="0"/>
      <w:marRight w:val="0"/>
      <w:marTop w:val="0"/>
      <w:marBottom w:val="0"/>
      <w:divBdr>
        <w:top w:val="none" w:sz="0" w:space="0" w:color="auto"/>
        <w:left w:val="none" w:sz="0" w:space="0" w:color="auto"/>
        <w:bottom w:val="none" w:sz="0" w:space="0" w:color="auto"/>
        <w:right w:val="none" w:sz="0" w:space="0" w:color="auto"/>
      </w:divBdr>
      <w:divsChild>
        <w:div w:id="1387097729">
          <w:marLeft w:val="0"/>
          <w:marRight w:val="0"/>
          <w:marTop w:val="0"/>
          <w:marBottom w:val="0"/>
          <w:divBdr>
            <w:top w:val="none" w:sz="0" w:space="0" w:color="auto"/>
            <w:left w:val="none" w:sz="0" w:space="0" w:color="auto"/>
            <w:bottom w:val="none" w:sz="0" w:space="0" w:color="auto"/>
            <w:right w:val="none" w:sz="0" w:space="0" w:color="auto"/>
          </w:divBdr>
          <w:divsChild>
            <w:div w:id="2654241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6832048">
      <w:bodyDiv w:val="1"/>
      <w:marLeft w:val="0"/>
      <w:marRight w:val="0"/>
      <w:marTop w:val="0"/>
      <w:marBottom w:val="0"/>
      <w:divBdr>
        <w:top w:val="none" w:sz="0" w:space="0" w:color="auto"/>
        <w:left w:val="none" w:sz="0" w:space="0" w:color="auto"/>
        <w:bottom w:val="none" w:sz="0" w:space="0" w:color="auto"/>
        <w:right w:val="none" w:sz="0" w:space="0" w:color="auto"/>
      </w:divBdr>
      <w:divsChild>
        <w:div w:id="318046340">
          <w:marLeft w:val="0"/>
          <w:marRight w:val="0"/>
          <w:marTop w:val="720"/>
          <w:marBottom w:val="720"/>
          <w:divBdr>
            <w:top w:val="none" w:sz="0" w:space="0" w:color="auto"/>
            <w:left w:val="none" w:sz="0" w:space="0" w:color="auto"/>
            <w:bottom w:val="none" w:sz="0" w:space="0" w:color="auto"/>
            <w:right w:val="none" w:sz="0" w:space="0" w:color="auto"/>
          </w:divBdr>
        </w:div>
      </w:divsChild>
    </w:div>
    <w:div w:id="19702379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17" Type="http://schemas.openxmlformats.org/officeDocument/2006/relationships/hyperlink" Target="file:///C:/Users/c.lohmann-hancock/AppData/Local/Microsoft/Windows/INetCache/REICoP-17-20-v3-Final.pdf" TargetMode="External"/><Relationship Id="rId21" Type="http://schemas.openxmlformats.org/officeDocument/2006/relationships/hyperlink" Target="https://doi.org/10.1017/hgl.2022.1" TargetMode="External"/><Relationship Id="rId42" Type="http://schemas.openxmlformats.org/officeDocument/2006/relationships/hyperlink" Target="https://doi.org/10.1017/S1755048319000348" TargetMode="External"/><Relationship Id="rId63" Type="http://schemas.openxmlformats.org/officeDocument/2006/relationships/hyperlink" Target="https://doi.org/10.1017/S1062798700004567" TargetMode="External"/><Relationship Id="rId84" Type="http://schemas.openxmlformats.org/officeDocument/2006/relationships/hyperlink" Target="https://doi.org/10.1080/10848770.2020.1761626" TargetMode="External"/><Relationship Id="rId138" Type="http://schemas.openxmlformats.org/officeDocument/2006/relationships/hyperlink" Target="http://www.scielo.org.za/pdf/ahrlj/v14n2/06.pdf" TargetMode="External"/><Relationship Id="rId107" Type="http://schemas.openxmlformats.org/officeDocument/2006/relationships/hyperlink" Target="https://doi.org/10.1215/10642684-2009-012" TargetMode="External"/><Relationship Id="rId11" Type="http://schemas.openxmlformats.org/officeDocument/2006/relationships/image" Target="media/image1.png"/><Relationship Id="rId32" Type="http://schemas.openxmlformats.org/officeDocument/2006/relationships/hyperlink" Target="https://doi.org/10.1590/dados.2020.63.4.221" TargetMode="External"/><Relationship Id="rId53" Type="http://schemas.openxmlformats.org/officeDocument/2006/relationships/hyperlink" Target="https://doi.org/10.1590/s0102-8529.2019410200003" TargetMode="External"/><Relationship Id="rId74" Type="http://schemas.openxmlformats.org/officeDocument/2006/relationships/hyperlink" Target="https://doi.org/10.1093/oso/9780195320923.001.0001." TargetMode="External"/><Relationship Id="rId128" Type="http://schemas.openxmlformats.org/officeDocument/2006/relationships/hyperlink" Target="https://doi.org/10.26530/OAPEN_424255" TargetMode="External"/><Relationship Id="rId149" Type="http://schemas.openxmlformats.org/officeDocument/2006/relationships/hyperlink" Target="https://doi.org/10.1080/09540253.2017.1358807" TargetMode="External"/><Relationship Id="rId5" Type="http://schemas.openxmlformats.org/officeDocument/2006/relationships/numbering" Target="numbering.xml"/><Relationship Id="rId95" Type="http://schemas.openxmlformats.org/officeDocument/2006/relationships/hyperlink" Target="https://doi.org/10.1017/S002074381300007X" TargetMode="External"/><Relationship Id="rId22" Type="http://schemas.openxmlformats.org/officeDocument/2006/relationships/hyperlink" Target="https://doi.org/10.1111/j.1475-4762.2010.00989.x" TargetMode="External"/><Relationship Id="rId27" Type="http://schemas.openxmlformats.org/officeDocument/2006/relationships/hyperlink" Target="https://doi.org/10.26530/OAPEN_424255" TargetMode="External"/><Relationship Id="rId43" Type="http://schemas.openxmlformats.org/officeDocument/2006/relationships/hyperlink" Target="https://doi.org/10.1017/S1743923X12000360" TargetMode="External"/><Relationship Id="rId48" Type="http://schemas.openxmlformats.org/officeDocument/2006/relationships/hyperlink" Target="https://www.legislation.gov.uk/ukpga/2010/15/contents%20" TargetMode="External"/><Relationship Id="rId64" Type="http://schemas.openxmlformats.org/officeDocument/2006/relationships/hyperlink" Target="https://www.hrw.org/report/2008/12/17/alien-legacy/origins-sodomy-laws-british-colonialism" TargetMode="External"/><Relationship Id="rId69" Type="http://schemas.openxmlformats.org/officeDocument/2006/relationships/hyperlink" Target="https://doi.org/10.1111/j.1478-0542.2012.00838.x" TargetMode="External"/><Relationship Id="rId113" Type="http://schemas.openxmlformats.org/officeDocument/2006/relationships/hyperlink" Target="https://doi.org/10.1080/19361653.2016.1185760" TargetMode="External"/><Relationship Id="rId118"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34" Type="http://schemas.openxmlformats.org/officeDocument/2006/relationships/hyperlink" Target="https://www-tandfonline-com.ezproxy.uwtsd.ac.uk/doi/pdf/10.1080/03906701.2019.1641277?needAccess=true&amp;" TargetMode="External"/><Relationship Id="rId139" Type="http://schemas.openxmlformats.org/officeDocument/2006/relationships/hyperlink" Target="https://doi.org/10.1177/0261018317732880" TargetMode="External"/><Relationship Id="rId80" Type="http://schemas.openxmlformats.org/officeDocument/2006/relationships/hyperlink" Target="https://www.legislation.gov.uk/ukpga/2013/30/contents/enacted/data.htm" TargetMode="External"/><Relationship Id="rId85" Type="http://schemas.openxmlformats.org/officeDocument/2006/relationships/hyperlink" Target="https://muse-jhu-edu.ezproxy.uwtsd.ac.uk/article/372447" TargetMode="External"/><Relationship Id="rId150" Type="http://schemas.openxmlformats.org/officeDocument/2006/relationships/hyperlink" Target="https://doi.org/10.1080/14623520601056240" TargetMode="External"/><Relationship Id="rId12" Type="http://schemas.openxmlformats.org/officeDocument/2006/relationships/image" Target="media/image2.png"/><Relationship Id="rId17" Type="http://schemas.openxmlformats.org/officeDocument/2006/relationships/hyperlink" Target="https://www.aljazeera.com/news/2013/12/21/uganda-mps-pass-controversial-anti-gay-law/" TargetMode="External"/><Relationship Id="rId33" Type="http://schemas.openxmlformats.org/officeDocument/2006/relationships/hyperlink" Target="https://doi.org/10.1086/669608" TargetMode="External"/><Relationship Id="rId38" Type="http://schemas.openxmlformats.org/officeDocument/2006/relationships/hyperlink" Target="https://doi.org/10.3138/9781442661097" TargetMode="External"/><Relationship Id="rId59" Type="http://schemas.openxmlformats.org/officeDocument/2006/relationships/hyperlink" Target="https://doi.org/10.1080/09557571.2013.867298" TargetMode="External"/><Relationship Id="rId103" Type="http://schemas.openxmlformats.org/officeDocument/2006/relationships/hyperlink" Target="https://doi.org/10.1080/08038740.2020.1789218" TargetMode="External"/><Relationship Id="rId108" Type="http://schemas.openxmlformats.org/officeDocument/2006/relationships/hyperlink" Target="https://doi.org/10.1002/ajcp.12420" TargetMode="External"/><Relationship Id="rId124" Type="http://schemas.openxmlformats.org/officeDocument/2006/relationships/hyperlink" Target="https://www.aljazeera.com/news/2013/12/21/uganda-mps-pass-controversial-anti-gay-law/" TargetMode="External"/><Relationship Id="rId129" Type="http://schemas.openxmlformats.org/officeDocument/2006/relationships/hyperlink" Target="https://doi.org/10.4324/9781315603223" TargetMode="External"/><Relationship Id="rId54" Type="http://schemas.openxmlformats.org/officeDocument/2006/relationships/hyperlink" Target="https://www-tandfonline-com.ezproxy.uwtsd.ac.uk/doi/pdf/10.1080/03906701.2019.1641277?needAccess=true&amp;" TargetMode="External"/><Relationship Id="rId70" Type="http://schemas.openxmlformats.org/officeDocument/2006/relationships/hyperlink" Target="https://doi.org/10.1007/s11089-021-00939-4" TargetMode="External"/><Relationship Id="rId75" Type="http://schemas.openxmlformats.org/officeDocument/2006/relationships/hyperlink" Target="https://doi.org/10.1080/17449626.2013.818459" TargetMode="External"/><Relationship Id="rId91" Type="http://schemas.openxmlformats.org/officeDocument/2006/relationships/hyperlink" Target="https://doi.org/10.1007/s12546-016-9159-y" TargetMode="External"/><Relationship Id="rId96" Type="http://schemas.openxmlformats.org/officeDocument/2006/relationships/hyperlink" Target="https://doi.org/10.1080/09638180902989368" TargetMode="External"/><Relationship Id="rId140" Type="http://schemas.openxmlformats.org/officeDocument/2006/relationships/hyperlink" Target="https://www.hrw.org/report/2008/12/17/alien-legacy/origins-sodomy-laws-british-colonialism" TargetMode="External"/><Relationship Id="rId145" Type="http://schemas.openxmlformats.org/officeDocument/2006/relationships/hyperlink" Target="https://doi.org/10.1007/s12546-016-9159-y" TargetMode="External"/><Relationship Id="rId1" Type="http://schemas.openxmlformats.org/officeDocument/2006/relationships/customXml" Target="../customXml/item1.xml"/><Relationship Id="rId6" Type="http://schemas.openxmlformats.org/officeDocument/2006/relationships/styles" Target="styles.xml"/><Relationship Id="rId23" Type="http://schemas.openxmlformats.org/officeDocument/2006/relationships/hyperlink" Target="https://doi.org/10.1080/19376812.2017.1286245" TargetMode="External"/><Relationship Id="rId28" Type="http://schemas.openxmlformats.org/officeDocument/2006/relationships/hyperlink" Target="https://www.researchgate.net/publication/273450968_Othering_An_Analysis" TargetMode="External"/><Relationship Id="rId49" Type="http://schemas.openxmlformats.org/officeDocument/2006/relationships/hyperlink" Target="https://doi.org/10.1080/15299710903316562" TargetMode="External"/><Relationship Id="rId114" Type="http://schemas.openxmlformats.org/officeDocument/2006/relationships/hyperlink" Target="https://doi.org/10.1080/00918369.2015.1111105" TargetMode="External"/><Relationship Id="rId119"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44" Type="http://schemas.openxmlformats.org/officeDocument/2006/relationships/hyperlink" Target="https://doi.org/10.1111/j.1468-0424.2012.01712.x" TargetMode="External"/><Relationship Id="rId60" Type="http://schemas.openxmlformats.org/officeDocument/2006/relationships/hyperlink" Target="http://www.scielo.org.za/pdf/ahrlj/v14n2/06.pdf" TargetMode="External"/><Relationship Id="rId65" Type="http://schemas.openxmlformats.org/officeDocument/2006/relationships/hyperlink" Target="https://doi.org/10.1080/01916599.2015.1016316" TargetMode="External"/><Relationship Id="rId81" Type="http://schemas.openxmlformats.org/officeDocument/2006/relationships/hyperlink" Target="https://doi.org/10.1080/13691058.2012.742929" TargetMode="External"/><Relationship Id="rId86" Type="http://schemas.openxmlformats.org/officeDocument/2006/relationships/hyperlink" Target="https://doi.org/10.2979/africatoday.58.1.55" TargetMode="External"/><Relationship Id="rId130" Type="http://schemas.openxmlformats.org/officeDocument/2006/relationships/hyperlink" Target="https://thecommonwealth.org/about-us" TargetMode="External"/><Relationship Id="rId135" Type="http://schemas.openxmlformats.org/officeDocument/2006/relationships/hyperlink" Target="https://doi.org/10.1007/s12119-021-09908-8" TargetMode="External"/><Relationship Id="rId151" Type="http://schemas.openxmlformats.org/officeDocument/2006/relationships/fontTable" Target="fontTable.xml"/><Relationship Id="rId13" Type="http://schemas.openxmlformats.org/officeDocument/2006/relationships/image" Target="media/image3.png"/><Relationship Id="rId18" Type="http://schemas.openxmlformats.org/officeDocument/2006/relationships/hyperlink" Target="https://doi.org/10.31920/2050-4306/2019/8n2a3" TargetMode="External"/><Relationship Id="rId39" Type="http://schemas.openxmlformats.org/officeDocument/2006/relationships/hyperlink" Target="https://chicagounbound.uchicago.edu/cgi/viewcontent.cgi?article=1052&amp;context=uclf" TargetMode="External"/><Relationship Id="rId109" Type="http://schemas.openxmlformats.org/officeDocument/2006/relationships/hyperlink" Target="https://doi.org/10.1080/09589236.2019.1692192" TargetMode="External"/><Relationship Id="rId34" Type="http://schemas.openxmlformats.org/officeDocument/2006/relationships/hyperlink" Target="https://www.legislation.gov.uk/ukpga/2004/33/contents" TargetMode="External"/><Relationship Id="rId50" Type="http://schemas.openxmlformats.org/officeDocument/2006/relationships/hyperlink" Target="https://web.colby.edu/queer-theory-fall18/files/2018/09/Queer-indigenous-Studies.pdf" TargetMode="External"/><Relationship Id="rId55" Type="http://schemas.openxmlformats.org/officeDocument/2006/relationships/hyperlink" Target="https://doi.org/10.1007/s12119-021-09908-8" TargetMode="External"/><Relationship Id="rId76" Type="http://schemas.openxmlformats.org/officeDocument/2006/relationships/hyperlink" Target="https://academic.oup.com/jamia/article/27/7/1110/5858296?login=true" TargetMode="External"/><Relationship Id="rId97" Type="http://schemas.openxmlformats.org/officeDocument/2006/relationships/hyperlink" Target="https://doi.org/10.1177/0038038515609024" TargetMode="External"/><Relationship Id="rId104" Type="http://schemas.openxmlformats.org/officeDocument/2006/relationships/hyperlink" Target="https://doi.org/10.1111/0033-0124.00265" TargetMode="External"/><Relationship Id="rId120" Type="http://schemas.openxmlformats.org/officeDocument/2006/relationships/hyperlink" Target="https://www.uwtsd.ac.uk/research/research-ethics/" TargetMode="External"/><Relationship Id="rId125" Type="http://schemas.openxmlformats.org/officeDocument/2006/relationships/hyperlink" Target="https://doi.org/10.1093/jcs/csp090" TargetMode="External"/><Relationship Id="rId141" Type="http://schemas.openxmlformats.org/officeDocument/2006/relationships/hyperlink" Target="https://doi.org/10.1111/j.1478-0542.2012.00838.x" TargetMode="External"/><Relationship Id="rId146" Type="http://schemas.openxmlformats.org/officeDocument/2006/relationships/hyperlink" Target="https://www.e-ir.info/2019/08/20/indigenous-sexualities-resisting-conquest-and-translation/" TargetMode="External"/><Relationship Id="rId7" Type="http://schemas.openxmlformats.org/officeDocument/2006/relationships/settings" Target="settings.xml"/><Relationship Id="rId71" Type="http://schemas.openxmlformats.org/officeDocument/2006/relationships/hyperlink" Target="https://doi.org/10.1177/0309132517731256" TargetMode="External"/><Relationship Id="rId92" Type="http://schemas.openxmlformats.org/officeDocument/2006/relationships/hyperlink" Target="https://ssrn.com/abstract=3493477" TargetMode="External"/><Relationship Id="rId2" Type="http://schemas.openxmlformats.org/officeDocument/2006/relationships/customXml" Target="../customXml/item2.xml"/><Relationship Id="rId29" Type="http://schemas.openxmlformats.org/officeDocument/2006/relationships/hyperlink" Target="https://doi.org/10.1080/00918369.2012.699851" TargetMode="External"/><Relationship Id="rId24" Type="http://schemas.openxmlformats.org/officeDocument/2006/relationships/hyperlink" Target="https://www.bbc.co.uk/news/world-43822234" TargetMode="External"/><Relationship Id="rId40" Type="http://schemas.openxmlformats.org/officeDocument/2006/relationships/hyperlink" Target="https://doi.org/10.1111/anti.12325" TargetMode="External"/><Relationship Id="rId45" Type="http://schemas.openxmlformats.org/officeDocument/2006/relationships/hyperlink" Target="https://doi.org/10.1080/10894160.2019.1597606" TargetMode="External"/><Relationship Id="rId66" Type="http://schemas.openxmlformats.org/officeDocument/2006/relationships/hyperlink" Target="https://doi.org/10.1086/711321" TargetMode="External"/><Relationship Id="rId87" Type="http://schemas.openxmlformats.org/officeDocument/2006/relationships/hyperlink" Target="https://doi.org/10.1515/opth-2016-0059" TargetMode="External"/><Relationship Id="rId110" Type="http://schemas.openxmlformats.org/officeDocument/2006/relationships/hyperlink" Target="https://doi.org/10.1080/09540253.2017.1358807" TargetMode="External"/><Relationship Id="rId115" Type="http://schemas.openxmlformats.org/officeDocument/2006/relationships/hyperlink" Target="https://doi.org/10.1080/00918369.2019.1667158" TargetMode="External"/><Relationship Id="rId131" Type="http://schemas.openxmlformats.org/officeDocument/2006/relationships/hyperlink" Target="https://doi.org/10.1111/j.1468-0424.2012.01712.x" TargetMode="External"/><Relationship Id="rId136" Type="http://schemas.openxmlformats.org/officeDocument/2006/relationships/hyperlink" Target="https://www.theguardian.com/world/2019/oct/15/ugandan-mps-press-for-death-penalty-for-homosexual-acts" TargetMode="External"/><Relationship Id="rId61" Type="http://schemas.openxmlformats.org/officeDocument/2006/relationships/hyperlink" Target="https://doi.org/10.1080/01436597.2020.1763168" TargetMode="External"/><Relationship Id="rId82" Type="http://schemas.openxmlformats.org/officeDocument/2006/relationships/hyperlink" Target="https://socialtextjournal.org/periscope_article/the-decolonial-aesthesis-dossier/" TargetMode="External"/><Relationship Id="rId152" Type="http://schemas.openxmlformats.org/officeDocument/2006/relationships/theme" Target="theme/theme1.xml"/><Relationship Id="rId19" Type="http://schemas.openxmlformats.org/officeDocument/2006/relationships/hyperlink" Target="https://doi.org/10.1093/jcs/csp090" TargetMode="External"/><Relationship Id="rId14" Type="http://schemas.openxmlformats.org/officeDocument/2006/relationships/footer" Target="footer1.xml"/><Relationship Id="rId30" Type="http://schemas.openxmlformats.org/officeDocument/2006/relationships/hyperlink" Target="https://doi.org/10.4324/9781315603223" TargetMode="External"/><Relationship Id="rId35" Type="http://schemas.openxmlformats.org/officeDocument/2006/relationships/hyperlink" Target="https://doi.org/10.1093/ahr/121.4.1398" TargetMode="External"/><Relationship Id="rId56" Type="http://schemas.openxmlformats.org/officeDocument/2006/relationships/hyperlink" Target="https://doi.org/10.1023/A:1020976902569" TargetMode="External"/><Relationship Id="rId77" Type="http://schemas.openxmlformats.org/officeDocument/2006/relationships/hyperlink" Target="https://academic.oup.com/jamia/article/27/7/1110/5858296?login=true" TargetMode="External"/><Relationship Id="rId100" Type="http://schemas.openxmlformats.org/officeDocument/2006/relationships/hyperlink" Target="https://doi.org/10.1017/S0047404517000562" TargetMode="External"/><Relationship Id="rId105" Type="http://schemas.openxmlformats.org/officeDocument/2006/relationships/hyperlink" Target="https://doi.org/10.1177/1464700111429898" TargetMode="External"/><Relationship Id="rId126" Type="http://schemas.openxmlformats.org/officeDocument/2006/relationships/hyperlink" Target="https://doi.org/10.1080/19376812.2017.1286245" TargetMode="External"/><Relationship Id="rId147" Type="http://schemas.openxmlformats.org/officeDocument/2006/relationships/hyperlink" Target="https://doi.org/10.1080/00926239808404924" TargetMode="External"/><Relationship Id="rId8" Type="http://schemas.openxmlformats.org/officeDocument/2006/relationships/webSettings" Target="webSettings.xml"/><Relationship Id="rId51" Type="http://schemas.openxmlformats.org/officeDocument/2006/relationships/hyperlink" Target="https://doi.org/10.1017/S0008938918000092" TargetMode="External"/><Relationship Id="rId72" Type="http://schemas.openxmlformats.org/officeDocument/2006/relationships/hyperlink" Target="https://doi.org/10.1080/19359705.2020.1798683" TargetMode="External"/><Relationship Id="rId93" Type="http://schemas.openxmlformats.org/officeDocument/2006/relationships/hyperlink" Target="https://www.e-ir.info/2019/08/20/indigenous-sexualities-resisting-conquest-and-translation/" TargetMode="External"/><Relationship Id="rId98" Type="http://schemas.openxmlformats.org/officeDocument/2006/relationships/hyperlink" Target="https://doi.org/10.1080/07351690.2022.2022368" TargetMode="External"/><Relationship Id="rId121" Type="http://schemas.openxmlformats.org/officeDocument/2006/relationships/image" Target="media/image4.png"/><Relationship Id="rId142" Type="http://schemas.openxmlformats.org/officeDocument/2006/relationships/hyperlink" Target="https://doi.org/10.1080/19359705.2020.1798683" TargetMode="External"/><Relationship Id="rId3" Type="http://schemas.openxmlformats.org/officeDocument/2006/relationships/customXml" Target="../customXml/item3.xml"/><Relationship Id="rId25" Type="http://schemas.openxmlformats.org/officeDocument/2006/relationships/hyperlink" Target="https://www.bbc.co.uk/news/world-africa-65745850" TargetMode="External"/><Relationship Id="rId46" Type="http://schemas.openxmlformats.org/officeDocument/2006/relationships/hyperlink" Target="https://doi.org/10.1017/S1369415419000189" TargetMode="External"/><Relationship Id="rId67" Type="http://schemas.openxmlformats.org/officeDocument/2006/relationships/hyperlink" Target="https://doi.org/10.1080/26410397.2019.1698905" TargetMode="External"/><Relationship Id="rId116" Type="http://schemas.openxmlformats.org/officeDocument/2006/relationships/hyperlink" Target="https://doi.org/10.1080/14623520601056240" TargetMode="External"/><Relationship Id="rId137" Type="http://schemas.openxmlformats.org/officeDocument/2006/relationships/hyperlink" Target="https://doi.org/10.1080/09557571.2013.867298" TargetMode="External"/><Relationship Id="rId20" Type="http://schemas.openxmlformats.org/officeDocument/2006/relationships/hyperlink" Target="https://doi.org/10.1080/14791420.2021.1907849" TargetMode="External"/><Relationship Id="rId41" Type="http://schemas.openxmlformats.org/officeDocument/2006/relationships/hyperlink" Target="https://doi.org/10.1177/0305829801030001050" TargetMode="External"/><Relationship Id="rId62" Type="http://schemas.openxmlformats.org/officeDocument/2006/relationships/hyperlink" Target="https://doi.org/10.1177/0261018317732880" TargetMode="External"/><Relationship Id="rId83" Type="http://schemas.openxmlformats.org/officeDocument/2006/relationships/hyperlink" Target="https://doi.org/10.2478/9783110571219" TargetMode="External"/><Relationship Id="rId88" Type="http://schemas.openxmlformats.org/officeDocument/2006/relationships/hyperlink" Target="https://doi.org/10.1515/9789048514021" TargetMode="External"/><Relationship Id="rId111" Type="http://schemas.openxmlformats.org/officeDocument/2006/relationships/hyperlink" Target="https://doi.org/10.1080/09649069.2015.1028152" TargetMode="External"/><Relationship Id="rId132" Type="http://schemas.openxmlformats.org/officeDocument/2006/relationships/hyperlink" Target="https://doi.org/10.1080/10894160.2019.1597606" TargetMode="External"/><Relationship Id="rId15" Type="http://schemas.openxmlformats.org/officeDocument/2006/relationships/footer" Target="footer2.xml"/><Relationship Id="rId36" Type="http://schemas.openxmlformats.org/officeDocument/2006/relationships/hyperlink" Target="https://doi.org/10.1146/annurev-soc-073014-112142" TargetMode="External"/><Relationship Id="rId57" Type="http://schemas.openxmlformats.org/officeDocument/2006/relationships/hyperlink" Target="https://doi.org/10.1080/09502380601162514" TargetMode="External"/><Relationship Id="rId106" Type="http://schemas.openxmlformats.org/officeDocument/2006/relationships/hyperlink" Target="http://eprints.lse.ac.uk/78500/" TargetMode="External"/><Relationship Id="rId127" Type="http://schemas.openxmlformats.org/officeDocument/2006/relationships/hyperlink" Target="https://www.bbc.co.uk/news/world-43822234" TargetMode="External"/><Relationship Id="rId10" Type="http://schemas.openxmlformats.org/officeDocument/2006/relationships/endnotes" Target="endnotes.xml"/><Relationship Id="rId31" Type="http://schemas.openxmlformats.org/officeDocument/2006/relationships/hyperlink" Target="https://doi.org/10.1177/03091325211016087" TargetMode="External"/><Relationship Id="rId52" Type="http://schemas.openxmlformats.org/officeDocument/2006/relationships/hyperlink" Target="https://www.legislation.gov.uk/ukpga/2004/7/contents" TargetMode="External"/><Relationship Id="rId73" Type="http://schemas.openxmlformats.org/officeDocument/2006/relationships/hyperlink" Target="https://doi.org/10.1177/13634607211047518" TargetMode="External"/><Relationship Id="rId78" Type="http://schemas.openxmlformats.org/officeDocument/2006/relationships/hyperlink" Target="https://ezproxy.uwtsd.ac.uk/login?url=https://search.ebscohost.com/login.aspx?direct=true&amp;db=rfh&amp;AN=ATLAn4030986&amp;site=ehost-live" TargetMode="External"/><Relationship Id="rId94" Type="http://schemas.openxmlformats.org/officeDocument/2006/relationships/hyperlink" Target="https://doi.org/10.1215/26410478-9355201" TargetMode="External"/><Relationship Id="rId99" Type="http://schemas.openxmlformats.org/officeDocument/2006/relationships/hyperlink" Target="https://doi.org/10.1111/anti.12100" TargetMode="External"/><Relationship Id="rId101" Type="http://schemas.openxmlformats.org/officeDocument/2006/relationships/hyperlink" Target="https://doi.org/10.1093/ptj/pzab280" TargetMode="External"/><Relationship Id="rId122" Type="http://schemas.openxmlformats.org/officeDocument/2006/relationships/hyperlink" Target="mailto:pgresearch@uwtsd.ac.uk" TargetMode="External"/><Relationship Id="rId143" Type="http://schemas.openxmlformats.org/officeDocument/2006/relationships/hyperlink" Target="https://academic.oup.com/jamia/article/27/7/1110/5858296?login=true" TargetMode="External"/><Relationship Id="rId148" Type="http://schemas.openxmlformats.org/officeDocument/2006/relationships/hyperlink" Target="https://doi.org/10.1215/10642684-2009-012" TargetMode="External"/><Relationship Id="rId4" Type="http://schemas.openxmlformats.org/officeDocument/2006/relationships/customXml" Target="../customXml/item4.xml"/><Relationship Id="rId9" Type="http://schemas.openxmlformats.org/officeDocument/2006/relationships/footnotes" Target="footnotes.xml"/><Relationship Id="rId26" Type="http://schemas.openxmlformats.org/officeDocument/2006/relationships/hyperlink" Target="https://doi.org/10.2979/israelstudies.24.2.14" TargetMode="External"/><Relationship Id="rId47" Type="http://schemas.openxmlformats.org/officeDocument/2006/relationships/hyperlink" Target="https://doi.org/10.1080/13642987.2020.1763961" TargetMode="External"/><Relationship Id="rId68" Type="http://schemas.openxmlformats.org/officeDocument/2006/relationships/hyperlink" Target="https://doi.org/10.1017/hgl.2022.38" TargetMode="External"/><Relationship Id="rId89" Type="http://schemas.openxmlformats.org/officeDocument/2006/relationships/hyperlink" Target="https://doi.org/10.3390/genealogy5030067" TargetMode="External"/><Relationship Id="rId112" Type="http://schemas.openxmlformats.org/officeDocument/2006/relationships/hyperlink" Target="https://doi.org/10.12987/9780300240542" TargetMode="External"/><Relationship Id="rId133" Type="http://schemas.openxmlformats.org/officeDocument/2006/relationships/hyperlink" Target="https://web.colby.edu/queer-theory-fall18/files/2018/09/Queer-indigenous-Studies.pdf" TargetMode="External"/><Relationship Id="rId16" Type="http://schemas.openxmlformats.org/officeDocument/2006/relationships/hyperlink" Target="https://www.tandfonline.com/doi/full/10.1080/08038740.2020.1789218" TargetMode="External"/><Relationship Id="rId37" Type="http://schemas.openxmlformats.org/officeDocument/2006/relationships/hyperlink" Target="https://thecommonwealth.org/about-us" TargetMode="External"/><Relationship Id="rId58" Type="http://schemas.openxmlformats.org/officeDocument/2006/relationships/hyperlink" Target="https://www.theguardian.com/world/2019/oct/15/ugandan-mps-press-for-death-penalty-for-homosexual-acts" TargetMode="External"/><Relationship Id="rId79" Type="http://schemas.openxmlformats.org/officeDocument/2006/relationships/hyperlink" Target="https://doi.org/10.1080/00918369.2022.2086749" TargetMode="External"/><Relationship Id="rId102" Type="http://schemas.openxmlformats.org/officeDocument/2006/relationships/hyperlink" Target="https://doi.org/10.1080/00926239808404924" TargetMode="External"/><Relationship Id="rId123" Type="http://schemas.openxmlformats.org/officeDocument/2006/relationships/hyperlink" Target="https://www.uwtsd.ac.uk/academic-office/appendices-and-forms/" TargetMode="External"/><Relationship Id="rId144" Type="http://schemas.openxmlformats.org/officeDocument/2006/relationships/hyperlink" Target="https://academic.oup.com/jamia/article/27/7/1110/5858296?login=true" TargetMode="External"/><Relationship Id="rId90" Type="http://schemas.openxmlformats.org/officeDocument/2006/relationships/hyperlink" Target="https://doi.org/10.1177/136346071452476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5e4866c9-5473-4b36-a248-8ce6a7a4bde8"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0A0D83DA8850E24F977D76094D2074AC" ma:contentTypeVersion="12" ma:contentTypeDescription="Create a new document." ma:contentTypeScope="" ma:versionID="fd92c5d594622a0f8e8f96ce1ac42335">
  <xsd:schema xmlns:xsd="http://www.w3.org/2001/XMLSchema" xmlns:xs="http://www.w3.org/2001/XMLSchema" xmlns:p="http://schemas.microsoft.com/office/2006/metadata/properties" xmlns:ns3="5e4866c9-5473-4b36-a248-8ce6a7a4bde8" xmlns:ns4="1f9d1f62-2b66-4e13-be38-f795d411800a" targetNamespace="http://schemas.microsoft.com/office/2006/metadata/properties" ma:root="true" ma:fieldsID="ec545ab92e01234abc66be2f8808fde5" ns3:_="" ns4:_="">
    <xsd:import namespace="5e4866c9-5473-4b36-a248-8ce6a7a4bde8"/>
    <xsd:import namespace="1f9d1f62-2b66-4e13-be38-f795d411800a"/>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DateTaken" minOccurs="0"/>
                <xsd:element ref="ns3:MediaLengthInSeconds" minOccurs="0"/>
                <xsd:element ref="ns4:SharedWithUsers" minOccurs="0"/>
                <xsd:element ref="ns4:SharedWithDetails" minOccurs="0"/>
                <xsd:element ref="ns4:SharingHintHash" minOccurs="0"/>
                <xsd:element ref="ns3:MediaServiceSearchProperties" minOccurs="0"/>
                <xsd:element ref="ns3:_activity"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e4866c9-5473-4b36-a248-8ce6a7a4bde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MediaServiceSearchProperties" ma:index="17" nillable="true" ma:displayName="MediaServiceSearchProperties" ma:hidden="true" ma:internalName="MediaServiceSearchProperties" ma:readOnly="true">
      <xsd:simpleType>
        <xsd:restriction base="dms:Note"/>
      </xsd:simpleType>
    </xsd:element>
    <xsd:element name="_activity" ma:index="18" nillable="true" ma:displayName="_activity" ma:hidden="true" ma:internalName="_activity">
      <xsd:simpleType>
        <xsd:restriction base="dms:Note"/>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f9d1f62-2b66-4e13-be38-f795d411800a"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B3F4CE4-067E-4B84-AF71-30137E1E1DC1}">
  <ds:schemaRefs>
    <ds:schemaRef ds:uri="http://schemas.openxmlformats.org/officeDocument/2006/bibliography"/>
  </ds:schemaRefs>
</ds:datastoreItem>
</file>

<file path=customXml/itemProps2.xml><?xml version="1.0" encoding="utf-8"?>
<ds:datastoreItem xmlns:ds="http://schemas.openxmlformats.org/officeDocument/2006/customXml" ds:itemID="{9BF2C9BA-2CF7-45C5-8ECA-E2B6FB7E5420}">
  <ds:schemaRefs>
    <ds:schemaRef ds:uri="http://schemas.microsoft.com/sharepoint/v3/contenttype/forms"/>
  </ds:schemaRefs>
</ds:datastoreItem>
</file>

<file path=customXml/itemProps3.xml><?xml version="1.0" encoding="utf-8"?>
<ds:datastoreItem xmlns:ds="http://schemas.openxmlformats.org/officeDocument/2006/customXml" ds:itemID="{9813F428-B0D2-44F8-B4A9-42EA1010DB06}">
  <ds:schemaRefs>
    <ds:schemaRef ds:uri="http://schemas.microsoft.com/office/2006/metadata/properties"/>
    <ds:schemaRef ds:uri="http://schemas.microsoft.com/office/infopath/2007/PartnerControls"/>
    <ds:schemaRef ds:uri="5e4866c9-5473-4b36-a248-8ce6a7a4bde8"/>
  </ds:schemaRefs>
</ds:datastoreItem>
</file>

<file path=customXml/itemProps4.xml><?xml version="1.0" encoding="utf-8"?>
<ds:datastoreItem xmlns:ds="http://schemas.openxmlformats.org/officeDocument/2006/customXml" ds:itemID="{BD16984A-1822-470A-B3D3-00B1C47DD12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e4866c9-5473-4b36-a248-8ce6a7a4bde8"/>
    <ds:schemaRef ds:uri="1f9d1f62-2b66-4e13-be38-f795d411800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119</Pages>
  <Words>30671</Words>
  <Characters>174828</Characters>
  <Application>Microsoft Office Word</Application>
  <DocSecurity>0</DocSecurity>
  <Lines>1456</Lines>
  <Paragraphs>410</Paragraphs>
  <ScaleCrop>false</ScaleCrop>
  <HeadingPairs>
    <vt:vector size="2" baseType="variant">
      <vt:variant>
        <vt:lpstr>Title</vt:lpstr>
      </vt:variant>
      <vt:variant>
        <vt:i4>1</vt:i4>
      </vt:variant>
    </vt:vector>
  </HeadingPairs>
  <TitlesOfParts>
    <vt:vector size="1" baseType="lpstr">
      <vt:lpstr>Tina Green</vt:lpstr>
    </vt:vector>
  </TitlesOfParts>
  <Company>CYD</Company>
  <LinksUpToDate>false</LinksUpToDate>
  <CharactersWithSpaces>205089</CharactersWithSpaces>
  <SharedDoc>false</SharedDoc>
  <HLinks>
    <vt:vector size="654" baseType="variant">
      <vt:variant>
        <vt:i4>1704028</vt:i4>
      </vt:variant>
      <vt:variant>
        <vt:i4>399</vt:i4>
      </vt:variant>
      <vt:variant>
        <vt:i4>0</vt:i4>
      </vt:variant>
      <vt:variant>
        <vt:i4>5</vt:i4>
      </vt:variant>
      <vt:variant>
        <vt:lpwstr>https://doi.org/10.1080/14623520601056240</vt:lpwstr>
      </vt:variant>
      <vt:variant>
        <vt:lpwstr/>
      </vt:variant>
      <vt:variant>
        <vt:i4>65615</vt:i4>
      </vt:variant>
      <vt:variant>
        <vt:i4>396</vt:i4>
      </vt:variant>
      <vt:variant>
        <vt:i4>0</vt:i4>
      </vt:variant>
      <vt:variant>
        <vt:i4>5</vt:i4>
      </vt:variant>
      <vt:variant>
        <vt:lpwstr>https://doi.org/10.1080/09540253.2017.1358807</vt:lpwstr>
      </vt:variant>
      <vt:variant>
        <vt:lpwstr/>
      </vt:variant>
      <vt:variant>
        <vt:i4>655428</vt:i4>
      </vt:variant>
      <vt:variant>
        <vt:i4>393</vt:i4>
      </vt:variant>
      <vt:variant>
        <vt:i4>0</vt:i4>
      </vt:variant>
      <vt:variant>
        <vt:i4>5</vt:i4>
      </vt:variant>
      <vt:variant>
        <vt:lpwstr>https://doi.org/10.1215/10642684-2009-012</vt:lpwstr>
      </vt:variant>
      <vt:variant>
        <vt:lpwstr/>
      </vt:variant>
      <vt:variant>
        <vt:i4>1048671</vt:i4>
      </vt:variant>
      <vt:variant>
        <vt:i4>390</vt:i4>
      </vt:variant>
      <vt:variant>
        <vt:i4>0</vt:i4>
      </vt:variant>
      <vt:variant>
        <vt:i4>5</vt:i4>
      </vt:variant>
      <vt:variant>
        <vt:lpwstr>https://doi.org/10.1080/00926239808404924</vt:lpwstr>
      </vt:variant>
      <vt:variant>
        <vt:lpwstr/>
      </vt:variant>
      <vt:variant>
        <vt:i4>3932287</vt:i4>
      </vt:variant>
      <vt:variant>
        <vt:i4>387</vt:i4>
      </vt:variant>
      <vt:variant>
        <vt:i4>0</vt:i4>
      </vt:variant>
      <vt:variant>
        <vt:i4>5</vt:i4>
      </vt:variant>
      <vt:variant>
        <vt:lpwstr>https://www.e-ir.info/2019/08/20/indigenous-sexualities-resisting-conquest-and-translation/</vt:lpwstr>
      </vt:variant>
      <vt:variant>
        <vt:lpwstr/>
      </vt:variant>
      <vt:variant>
        <vt:i4>393233</vt:i4>
      </vt:variant>
      <vt:variant>
        <vt:i4>384</vt:i4>
      </vt:variant>
      <vt:variant>
        <vt:i4>0</vt:i4>
      </vt:variant>
      <vt:variant>
        <vt:i4>5</vt:i4>
      </vt:variant>
      <vt:variant>
        <vt:lpwstr>https://doi.org/10.1007/s12546-016-9159-y</vt:lpwstr>
      </vt:variant>
      <vt:variant>
        <vt:lpwstr/>
      </vt:variant>
      <vt:variant>
        <vt:i4>3080294</vt:i4>
      </vt:variant>
      <vt:variant>
        <vt:i4>381</vt:i4>
      </vt:variant>
      <vt:variant>
        <vt:i4>0</vt:i4>
      </vt:variant>
      <vt:variant>
        <vt:i4>5</vt:i4>
      </vt:variant>
      <vt:variant>
        <vt:lpwstr>https://academic.oup.com/jamia/article/27/7/1110/5858296?login=true</vt:lpwstr>
      </vt:variant>
      <vt:variant>
        <vt:lpwstr/>
      </vt:variant>
      <vt:variant>
        <vt:i4>3080294</vt:i4>
      </vt:variant>
      <vt:variant>
        <vt:i4>378</vt:i4>
      </vt:variant>
      <vt:variant>
        <vt:i4>0</vt:i4>
      </vt:variant>
      <vt:variant>
        <vt:i4>5</vt:i4>
      </vt:variant>
      <vt:variant>
        <vt:lpwstr>https://academic.oup.com/jamia/article/27/7/1110/5858296?login=true</vt:lpwstr>
      </vt:variant>
      <vt:variant>
        <vt:lpwstr/>
      </vt:variant>
      <vt:variant>
        <vt:i4>786497</vt:i4>
      </vt:variant>
      <vt:variant>
        <vt:i4>375</vt:i4>
      </vt:variant>
      <vt:variant>
        <vt:i4>0</vt:i4>
      </vt:variant>
      <vt:variant>
        <vt:i4>5</vt:i4>
      </vt:variant>
      <vt:variant>
        <vt:lpwstr>https://doi.org/10.1080/19359705.2020.1798683</vt:lpwstr>
      </vt:variant>
      <vt:variant>
        <vt:lpwstr/>
      </vt:variant>
      <vt:variant>
        <vt:i4>5242908</vt:i4>
      </vt:variant>
      <vt:variant>
        <vt:i4>372</vt:i4>
      </vt:variant>
      <vt:variant>
        <vt:i4>0</vt:i4>
      </vt:variant>
      <vt:variant>
        <vt:i4>5</vt:i4>
      </vt:variant>
      <vt:variant>
        <vt:lpwstr>https://doi.org/10.1111/j.1478-0542.2012.00838.x</vt:lpwstr>
      </vt:variant>
      <vt:variant>
        <vt:lpwstr/>
      </vt:variant>
      <vt:variant>
        <vt:i4>3670079</vt:i4>
      </vt:variant>
      <vt:variant>
        <vt:i4>369</vt:i4>
      </vt:variant>
      <vt:variant>
        <vt:i4>0</vt:i4>
      </vt:variant>
      <vt:variant>
        <vt:i4>5</vt:i4>
      </vt:variant>
      <vt:variant>
        <vt:lpwstr>https://www.hrw.org/report/2008/12/17/alien-legacy/origins-sodomy-laws-british-colonialism</vt:lpwstr>
      </vt:variant>
      <vt:variant>
        <vt:lpwstr/>
      </vt:variant>
      <vt:variant>
        <vt:i4>1638494</vt:i4>
      </vt:variant>
      <vt:variant>
        <vt:i4>366</vt:i4>
      </vt:variant>
      <vt:variant>
        <vt:i4>0</vt:i4>
      </vt:variant>
      <vt:variant>
        <vt:i4>5</vt:i4>
      </vt:variant>
      <vt:variant>
        <vt:lpwstr>https://doi.org/10.1177/0261018317732880</vt:lpwstr>
      </vt:variant>
      <vt:variant>
        <vt:lpwstr/>
      </vt:variant>
      <vt:variant>
        <vt:i4>2818098</vt:i4>
      </vt:variant>
      <vt:variant>
        <vt:i4>363</vt:i4>
      </vt:variant>
      <vt:variant>
        <vt:i4>0</vt:i4>
      </vt:variant>
      <vt:variant>
        <vt:i4>5</vt:i4>
      </vt:variant>
      <vt:variant>
        <vt:lpwstr>http://www.scielo.org.za/pdf/ahrlj/v14n2/06.pdf</vt:lpwstr>
      </vt:variant>
      <vt:variant>
        <vt:lpwstr/>
      </vt:variant>
      <vt:variant>
        <vt:i4>131140</vt:i4>
      </vt:variant>
      <vt:variant>
        <vt:i4>360</vt:i4>
      </vt:variant>
      <vt:variant>
        <vt:i4>0</vt:i4>
      </vt:variant>
      <vt:variant>
        <vt:i4>5</vt:i4>
      </vt:variant>
      <vt:variant>
        <vt:lpwstr>https://doi.org/10.1080/09557571.2013.867298</vt:lpwstr>
      </vt:variant>
      <vt:variant>
        <vt:lpwstr/>
      </vt:variant>
      <vt:variant>
        <vt:i4>5308490</vt:i4>
      </vt:variant>
      <vt:variant>
        <vt:i4>357</vt:i4>
      </vt:variant>
      <vt:variant>
        <vt:i4>0</vt:i4>
      </vt:variant>
      <vt:variant>
        <vt:i4>5</vt:i4>
      </vt:variant>
      <vt:variant>
        <vt:lpwstr>https://www.theguardian.com/world/2019/oct/15/ugandan-mps-press-for-death-penalty-for-homosexual-acts</vt:lpwstr>
      </vt:variant>
      <vt:variant>
        <vt:lpwstr/>
      </vt:variant>
      <vt:variant>
        <vt:i4>2228283</vt:i4>
      </vt:variant>
      <vt:variant>
        <vt:i4>354</vt:i4>
      </vt:variant>
      <vt:variant>
        <vt:i4>0</vt:i4>
      </vt:variant>
      <vt:variant>
        <vt:i4>5</vt:i4>
      </vt:variant>
      <vt:variant>
        <vt:lpwstr>https://doi.org/10.1007/s12119-021-09908-8</vt:lpwstr>
      </vt:variant>
      <vt:variant>
        <vt:lpwstr/>
      </vt:variant>
      <vt:variant>
        <vt:i4>7012462</vt:i4>
      </vt:variant>
      <vt:variant>
        <vt:i4>351</vt:i4>
      </vt:variant>
      <vt:variant>
        <vt:i4>0</vt:i4>
      </vt:variant>
      <vt:variant>
        <vt:i4>5</vt:i4>
      </vt:variant>
      <vt:variant>
        <vt:lpwstr>https://www-tandfonline-com.ezproxy.uwtsd.ac.uk/doi/pdf/10.1080/03906701.2019.1641277?needAccess=true&amp;</vt:lpwstr>
      </vt:variant>
      <vt:variant>
        <vt:lpwstr/>
      </vt:variant>
      <vt:variant>
        <vt:i4>1572935</vt:i4>
      </vt:variant>
      <vt:variant>
        <vt:i4>348</vt:i4>
      </vt:variant>
      <vt:variant>
        <vt:i4>0</vt:i4>
      </vt:variant>
      <vt:variant>
        <vt:i4>5</vt:i4>
      </vt:variant>
      <vt:variant>
        <vt:lpwstr>https://web.colby.edu/queer-theory-fall18/files/2018/09/Queer-indigenous-Studies.pdf</vt:lpwstr>
      </vt:variant>
      <vt:variant>
        <vt:lpwstr/>
      </vt:variant>
      <vt:variant>
        <vt:i4>786504</vt:i4>
      </vt:variant>
      <vt:variant>
        <vt:i4>345</vt:i4>
      </vt:variant>
      <vt:variant>
        <vt:i4>0</vt:i4>
      </vt:variant>
      <vt:variant>
        <vt:i4>5</vt:i4>
      </vt:variant>
      <vt:variant>
        <vt:lpwstr>https://doi.org/10.1080/10894160.2019.1597606</vt:lpwstr>
      </vt:variant>
      <vt:variant>
        <vt:lpwstr/>
      </vt:variant>
      <vt:variant>
        <vt:i4>5439513</vt:i4>
      </vt:variant>
      <vt:variant>
        <vt:i4>342</vt:i4>
      </vt:variant>
      <vt:variant>
        <vt:i4>0</vt:i4>
      </vt:variant>
      <vt:variant>
        <vt:i4>5</vt:i4>
      </vt:variant>
      <vt:variant>
        <vt:lpwstr>https://doi.org/10.1111/j.1468-0424.2012.01712.x</vt:lpwstr>
      </vt:variant>
      <vt:variant>
        <vt:lpwstr/>
      </vt:variant>
      <vt:variant>
        <vt:i4>4194395</vt:i4>
      </vt:variant>
      <vt:variant>
        <vt:i4>339</vt:i4>
      </vt:variant>
      <vt:variant>
        <vt:i4>0</vt:i4>
      </vt:variant>
      <vt:variant>
        <vt:i4>5</vt:i4>
      </vt:variant>
      <vt:variant>
        <vt:lpwstr>https://thecommonwealth.org/about-us</vt:lpwstr>
      </vt:variant>
      <vt:variant>
        <vt:lpwstr/>
      </vt:variant>
      <vt:variant>
        <vt:i4>1310808</vt:i4>
      </vt:variant>
      <vt:variant>
        <vt:i4>336</vt:i4>
      </vt:variant>
      <vt:variant>
        <vt:i4>0</vt:i4>
      </vt:variant>
      <vt:variant>
        <vt:i4>5</vt:i4>
      </vt:variant>
      <vt:variant>
        <vt:lpwstr>https://doi.org/10.4324/9781315603223</vt:lpwstr>
      </vt:variant>
      <vt:variant>
        <vt:lpwstr/>
      </vt:variant>
      <vt:variant>
        <vt:i4>5111851</vt:i4>
      </vt:variant>
      <vt:variant>
        <vt:i4>333</vt:i4>
      </vt:variant>
      <vt:variant>
        <vt:i4>0</vt:i4>
      </vt:variant>
      <vt:variant>
        <vt:i4>5</vt:i4>
      </vt:variant>
      <vt:variant>
        <vt:lpwstr>https://doi.org/10.26530/OAPEN_424255</vt:lpwstr>
      </vt:variant>
      <vt:variant>
        <vt:lpwstr/>
      </vt:variant>
      <vt:variant>
        <vt:i4>4915276</vt:i4>
      </vt:variant>
      <vt:variant>
        <vt:i4>330</vt:i4>
      </vt:variant>
      <vt:variant>
        <vt:i4>0</vt:i4>
      </vt:variant>
      <vt:variant>
        <vt:i4>5</vt:i4>
      </vt:variant>
      <vt:variant>
        <vt:lpwstr>https://www.bbc.co.uk/news/world-43822234</vt:lpwstr>
      </vt:variant>
      <vt:variant>
        <vt:lpwstr/>
      </vt:variant>
      <vt:variant>
        <vt:i4>131149</vt:i4>
      </vt:variant>
      <vt:variant>
        <vt:i4>327</vt:i4>
      </vt:variant>
      <vt:variant>
        <vt:i4>0</vt:i4>
      </vt:variant>
      <vt:variant>
        <vt:i4>5</vt:i4>
      </vt:variant>
      <vt:variant>
        <vt:lpwstr>https://doi.org/10.1080/19376812.2017.1286245</vt:lpwstr>
      </vt:variant>
      <vt:variant>
        <vt:lpwstr/>
      </vt:variant>
      <vt:variant>
        <vt:i4>2424938</vt:i4>
      </vt:variant>
      <vt:variant>
        <vt:i4>324</vt:i4>
      </vt:variant>
      <vt:variant>
        <vt:i4>0</vt:i4>
      </vt:variant>
      <vt:variant>
        <vt:i4>5</vt:i4>
      </vt:variant>
      <vt:variant>
        <vt:lpwstr>https://doi.org/10.1093/jcs/csp090</vt:lpwstr>
      </vt:variant>
      <vt:variant>
        <vt:lpwstr/>
      </vt:variant>
      <vt:variant>
        <vt:i4>6094936</vt:i4>
      </vt:variant>
      <vt:variant>
        <vt:i4>321</vt:i4>
      </vt:variant>
      <vt:variant>
        <vt:i4>0</vt:i4>
      </vt:variant>
      <vt:variant>
        <vt:i4>5</vt:i4>
      </vt:variant>
      <vt:variant>
        <vt:lpwstr>https://www.aljazeera.com/news/2013/12/21/uganda-mps-pass-controversial-anti-gay-law/</vt:lpwstr>
      </vt:variant>
      <vt:variant>
        <vt:lpwstr/>
      </vt:variant>
      <vt:variant>
        <vt:i4>66</vt:i4>
      </vt:variant>
      <vt:variant>
        <vt:i4>318</vt:i4>
      </vt:variant>
      <vt:variant>
        <vt:i4>0</vt:i4>
      </vt:variant>
      <vt:variant>
        <vt:i4>5</vt:i4>
      </vt:variant>
      <vt:variant>
        <vt:lpwstr>https://doi.org/10.1080/13691058.2012.742929</vt:lpwstr>
      </vt:variant>
      <vt:variant>
        <vt:lpwstr/>
      </vt:variant>
      <vt:variant>
        <vt:i4>852036</vt:i4>
      </vt:variant>
      <vt:variant>
        <vt:i4>315</vt:i4>
      </vt:variant>
      <vt:variant>
        <vt:i4>0</vt:i4>
      </vt:variant>
      <vt:variant>
        <vt:i4>5</vt:i4>
      </vt:variant>
      <vt:variant>
        <vt:lpwstr>https://doi.org/10.1080/01916599.2015.1016316</vt:lpwstr>
      </vt:variant>
      <vt:variant>
        <vt:lpwstr/>
      </vt:variant>
      <vt:variant>
        <vt:i4>2621544</vt:i4>
      </vt:variant>
      <vt:variant>
        <vt:i4>312</vt:i4>
      </vt:variant>
      <vt:variant>
        <vt:i4>0</vt:i4>
      </vt:variant>
      <vt:variant>
        <vt:i4>5</vt:i4>
      </vt:variant>
      <vt:variant>
        <vt:lpwstr>https://doi.org/10.1086/711321</vt:lpwstr>
      </vt:variant>
      <vt:variant>
        <vt:lpwstr/>
      </vt:variant>
      <vt:variant>
        <vt:i4>1900569</vt:i4>
      </vt:variant>
      <vt:variant>
        <vt:i4>309</vt:i4>
      </vt:variant>
      <vt:variant>
        <vt:i4>0</vt:i4>
      </vt:variant>
      <vt:variant>
        <vt:i4>5</vt:i4>
      </vt:variant>
      <vt:variant>
        <vt:lpwstr>https://doi.org/10.1017/S1369415419000189</vt:lpwstr>
      </vt:variant>
      <vt:variant>
        <vt:lpwstr/>
      </vt:variant>
      <vt:variant>
        <vt:i4>7864421</vt:i4>
      </vt:variant>
      <vt:variant>
        <vt:i4>306</vt:i4>
      </vt:variant>
      <vt:variant>
        <vt:i4>0</vt:i4>
      </vt:variant>
      <vt:variant>
        <vt:i4>5</vt:i4>
      </vt:variant>
      <vt:variant>
        <vt:lpwstr>https://doi.org/10.1093/oso/9780195320923.001.0001.</vt:lpwstr>
      </vt:variant>
      <vt:variant>
        <vt:lpwstr/>
      </vt:variant>
      <vt:variant>
        <vt:i4>131139</vt:i4>
      </vt:variant>
      <vt:variant>
        <vt:i4>303</vt:i4>
      </vt:variant>
      <vt:variant>
        <vt:i4>0</vt:i4>
      </vt:variant>
      <vt:variant>
        <vt:i4>5</vt:i4>
      </vt:variant>
      <vt:variant>
        <vt:lpwstr>https://doi.org/10.1080/10848770.2020.1761626</vt:lpwstr>
      </vt:variant>
      <vt:variant>
        <vt:lpwstr/>
      </vt:variant>
      <vt:variant>
        <vt:i4>1704017</vt:i4>
      </vt:variant>
      <vt:variant>
        <vt:i4>300</vt:i4>
      </vt:variant>
      <vt:variant>
        <vt:i4>0</vt:i4>
      </vt:variant>
      <vt:variant>
        <vt:i4>5</vt:i4>
      </vt:variant>
      <vt:variant>
        <vt:lpwstr>https://doi.org/10.1017/S1743923X12000360</vt:lpwstr>
      </vt:variant>
      <vt:variant>
        <vt:lpwstr/>
      </vt:variant>
      <vt:variant>
        <vt:i4>1966162</vt:i4>
      </vt:variant>
      <vt:variant>
        <vt:i4>297</vt:i4>
      </vt:variant>
      <vt:variant>
        <vt:i4>0</vt:i4>
      </vt:variant>
      <vt:variant>
        <vt:i4>5</vt:i4>
      </vt:variant>
      <vt:variant>
        <vt:lpwstr>https://doi.org/10.3138/9781442661097</vt:lpwstr>
      </vt:variant>
      <vt:variant>
        <vt:lpwstr/>
      </vt:variant>
      <vt:variant>
        <vt:i4>327758</vt:i4>
      </vt:variant>
      <vt:variant>
        <vt:i4>294</vt:i4>
      </vt:variant>
      <vt:variant>
        <vt:i4>0</vt:i4>
      </vt:variant>
      <vt:variant>
        <vt:i4>5</vt:i4>
      </vt:variant>
      <vt:variant>
        <vt:lpwstr>https://doi.org/10.1080/07351690.2022.2022368</vt:lpwstr>
      </vt:variant>
      <vt:variant>
        <vt:lpwstr/>
      </vt:variant>
      <vt:variant>
        <vt:i4>1114142</vt:i4>
      </vt:variant>
      <vt:variant>
        <vt:i4>291</vt:i4>
      </vt:variant>
      <vt:variant>
        <vt:i4>0</vt:i4>
      </vt:variant>
      <vt:variant>
        <vt:i4>5</vt:i4>
      </vt:variant>
      <vt:variant>
        <vt:lpwstr>https://doi.org/10.1017/S0047404517000562</vt:lpwstr>
      </vt:variant>
      <vt:variant>
        <vt:lpwstr/>
      </vt:variant>
      <vt:variant>
        <vt:i4>2949231</vt:i4>
      </vt:variant>
      <vt:variant>
        <vt:i4>288</vt:i4>
      </vt:variant>
      <vt:variant>
        <vt:i4>0</vt:i4>
      </vt:variant>
      <vt:variant>
        <vt:i4>5</vt:i4>
      </vt:variant>
      <vt:variant>
        <vt:lpwstr>https://doi.org/10.1515/opth-2016-0059</vt:lpwstr>
      </vt:variant>
      <vt:variant>
        <vt:lpwstr/>
      </vt:variant>
      <vt:variant>
        <vt:i4>917578</vt:i4>
      </vt:variant>
      <vt:variant>
        <vt:i4>285</vt:i4>
      </vt:variant>
      <vt:variant>
        <vt:i4>0</vt:i4>
      </vt:variant>
      <vt:variant>
        <vt:i4>5</vt:i4>
      </vt:variant>
      <vt:variant>
        <vt:lpwstr>https://doi.org/10.1080/19361653.2016.1185760</vt:lpwstr>
      </vt:variant>
      <vt:variant>
        <vt:lpwstr/>
      </vt:variant>
      <vt:variant>
        <vt:i4>3014737</vt:i4>
      </vt:variant>
      <vt:variant>
        <vt:i4>282</vt:i4>
      </vt:variant>
      <vt:variant>
        <vt:i4>0</vt:i4>
      </vt:variant>
      <vt:variant>
        <vt:i4>5</vt:i4>
      </vt:variant>
      <vt:variant>
        <vt:lpwstr>https://socialtextjournal.org/periscope_article/the-decolonial-aesthesis-dossier/</vt:lpwstr>
      </vt:variant>
      <vt:variant>
        <vt:lpwstr/>
      </vt:variant>
      <vt:variant>
        <vt:i4>1441863</vt:i4>
      </vt:variant>
      <vt:variant>
        <vt:i4>279</vt:i4>
      </vt:variant>
      <vt:variant>
        <vt:i4>0</vt:i4>
      </vt:variant>
      <vt:variant>
        <vt:i4>5</vt:i4>
      </vt:variant>
      <vt:variant>
        <vt:lpwstr>https://doi.org/10.1215/26410478-9355201</vt:lpwstr>
      </vt:variant>
      <vt:variant>
        <vt:lpwstr/>
      </vt:variant>
      <vt:variant>
        <vt:i4>1769492</vt:i4>
      </vt:variant>
      <vt:variant>
        <vt:i4>276</vt:i4>
      </vt:variant>
      <vt:variant>
        <vt:i4>0</vt:i4>
      </vt:variant>
      <vt:variant>
        <vt:i4>5</vt:i4>
      </vt:variant>
      <vt:variant>
        <vt:lpwstr>https://doi.org/10.1017/S0008938918000092</vt:lpwstr>
      </vt:variant>
      <vt:variant>
        <vt:lpwstr/>
      </vt:variant>
      <vt:variant>
        <vt:i4>589900</vt:i4>
      </vt:variant>
      <vt:variant>
        <vt:i4>273</vt:i4>
      </vt:variant>
      <vt:variant>
        <vt:i4>0</vt:i4>
      </vt:variant>
      <vt:variant>
        <vt:i4>5</vt:i4>
      </vt:variant>
      <vt:variant>
        <vt:lpwstr>https://doi.org/10.1080/17449626.2013.818459</vt:lpwstr>
      </vt:variant>
      <vt:variant>
        <vt:lpwstr/>
      </vt:variant>
      <vt:variant>
        <vt:i4>6553718</vt:i4>
      </vt:variant>
      <vt:variant>
        <vt:i4>270</vt:i4>
      </vt:variant>
      <vt:variant>
        <vt:i4>0</vt:i4>
      </vt:variant>
      <vt:variant>
        <vt:i4>5</vt:i4>
      </vt:variant>
      <vt:variant>
        <vt:lpwstr>https://doi.org/10.1093/ahr/121.4.1398</vt:lpwstr>
      </vt:variant>
      <vt:variant>
        <vt:lpwstr/>
      </vt:variant>
      <vt:variant>
        <vt:i4>1769554</vt:i4>
      </vt:variant>
      <vt:variant>
        <vt:i4>267</vt:i4>
      </vt:variant>
      <vt:variant>
        <vt:i4>0</vt:i4>
      </vt:variant>
      <vt:variant>
        <vt:i4>5</vt:i4>
      </vt:variant>
      <vt:variant>
        <vt:lpwstr>https://doi.org/10.1515/9789048514021</vt:lpwstr>
      </vt:variant>
      <vt:variant>
        <vt:lpwstr/>
      </vt:variant>
      <vt:variant>
        <vt:i4>1704022</vt:i4>
      </vt:variant>
      <vt:variant>
        <vt:i4>264</vt:i4>
      </vt:variant>
      <vt:variant>
        <vt:i4>0</vt:i4>
      </vt:variant>
      <vt:variant>
        <vt:i4>5</vt:i4>
      </vt:variant>
      <vt:variant>
        <vt:lpwstr>https://doi.org/10.1177/0263775815608712</vt:lpwstr>
      </vt:variant>
      <vt:variant>
        <vt:lpwstr/>
      </vt:variant>
      <vt:variant>
        <vt:i4>6946922</vt:i4>
      </vt:variant>
      <vt:variant>
        <vt:i4>261</vt:i4>
      </vt:variant>
      <vt:variant>
        <vt:i4>0</vt:i4>
      </vt:variant>
      <vt:variant>
        <vt:i4>5</vt:i4>
      </vt:variant>
      <vt:variant>
        <vt:lpwstr>https://muse-jhu-edu.ezproxy.uwtsd.ac.uk/article/372447</vt:lpwstr>
      </vt:variant>
      <vt:variant>
        <vt:lpwstr/>
      </vt:variant>
      <vt:variant>
        <vt:i4>1704028</vt:i4>
      </vt:variant>
      <vt:variant>
        <vt:i4>258</vt:i4>
      </vt:variant>
      <vt:variant>
        <vt:i4>0</vt:i4>
      </vt:variant>
      <vt:variant>
        <vt:i4>5</vt:i4>
      </vt:variant>
      <vt:variant>
        <vt:lpwstr>https://doi.org/10.1080/14623520601056240</vt:lpwstr>
      </vt:variant>
      <vt:variant>
        <vt:lpwstr/>
      </vt:variant>
      <vt:variant>
        <vt:i4>65615</vt:i4>
      </vt:variant>
      <vt:variant>
        <vt:i4>255</vt:i4>
      </vt:variant>
      <vt:variant>
        <vt:i4>0</vt:i4>
      </vt:variant>
      <vt:variant>
        <vt:i4>5</vt:i4>
      </vt:variant>
      <vt:variant>
        <vt:lpwstr>https://doi.org/10.1080/09540253.2017.1358807</vt:lpwstr>
      </vt:variant>
      <vt:variant>
        <vt:lpwstr/>
      </vt:variant>
      <vt:variant>
        <vt:i4>655428</vt:i4>
      </vt:variant>
      <vt:variant>
        <vt:i4>252</vt:i4>
      </vt:variant>
      <vt:variant>
        <vt:i4>0</vt:i4>
      </vt:variant>
      <vt:variant>
        <vt:i4>5</vt:i4>
      </vt:variant>
      <vt:variant>
        <vt:lpwstr>https://doi.org/10.1215/10642684-2009-012</vt:lpwstr>
      </vt:variant>
      <vt:variant>
        <vt:lpwstr/>
      </vt:variant>
      <vt:variant>
        <vt:i4>1048671</vt:i4>
      </vt:variant>
      <vt:variant>
        <vt:i4>249</vt:i4>
      </vt:variant>
      <vt:variant>
        <vt:i4>0</vt:i4>
      </vt:variant>
      <vt:variant>
        <vt:i4>5</vt:i4>
      </vt:variant>
      <vt:variant>
        <vt:lpwstr>https://doi.org/10.1080/00926239808404924</vt:lpwstr>
      </vt:variant>
      <vt:variant>
        <vt:lpwstr/>
      </vt:variant>
      <vt:variant>
        <vt:i4>3932287</vt:i4>
      </vt:variant>
      <vt:variant>
        <vt:i4>246</vt:i4>
      </vt:variant>
      <vt:variant>
        <vt:i4>0</vt:i4>
      </vt:variant>
      <vt:variant>
        <vt:i4>5</vt:i4>
      </vt:variant>
      <vt:variant>
        <vt:lpwstr>https://www.e-ir.info/2019/08/20/indigenous-sexualities-resisting-conquest-and-translation/</vt:lpwstr>
      </vt:variant>
      <vt:variant>
        <vt:lpwstr/>
      </vt:variant>
      <vt:variant>
        <vt:i4>393233</vt:i4>
      </vt:variant>
      <vt:variant>
        <vt:i4>243</vt:i4>
      </vt:variant>
      <vt:variant>
        <vt:i4>0</vt:i4>
      </vt:variant>
      <vt:variant>
        <vt:i4>5</vt:i4>
      </vt:variant>
      <vt:variant>
        <vt:lpwstr>https://doi.org/10.1007/s12546-016-9159-y</vt:lpwstr>
      </vt:variant>
      <vt:variant>
        <vt:lpwstr/>
      </vt:variant>
      <vt:variant>
        <vt:i4>3080294</vt:i4>
      </vt:variant>
      <vt:variant>
        <vt:i4>240</vt:i4>
      </vt:variant>
      <vt:variant>
        <vt:i4>0</vt:i4>
      </vt:variant>
      <vt:variant>
        <vt:i4>5</vt:i4>
      </vt:variant>
      <vt:variant>
        <vt:lpwstr>https://academic.oup.com/jamia/article/27/7/1110/5858296?login=true</vt:lpwstr>
      </vt:variant>
      <vt:variant>
        <vt:lpwstr/>
      </vt:variant>
      <vt:variant>
        <vt:i4>3080294</vt:i4>
      </vt:variant>
      <vt:variant>
        <vt:i4>237</vt:i4>
      </vt:variant>
      <vt:variant>
        <vt:i4>0</vt:i4>
      </vt:variant>
      <vt:variant>
        <vt:i4>5</vt:i4>
      </vt:variant>
      <vt:variant>
        <vt:lpwstr>https://academic.oup.com/jamia/article/27/7/1110/5858296?login=true</vt:lpwstr>
      </vt:variant>
      <vt:variant>
        <vt:lpwstr/>
      </vt:variant>
      <vt:variant>
        <vt:i4>786497</vt:i4>
      </vt:variant>
      <vt:variant>
        <vt:i4>234</vt:i4>
      </vt:variant>
      <vt:variant>
        <vt:i4>0</vt:i4>
      </vt:variant>
      <vt:variant>
        <vt:i4>5</vt:i4>
      </vt:variant>
      <vt:variant>
        <vt:lpwstr>https://doi.org/10.1080/19359705.2020.1798683</vt:lpwstr>
      </vt:variant>
      <vt:variant>
        <vt:lpwstr/>
      </vt:variant>
      <vt:variant>
        <vt:i4>5242908</vt:i4>
      </vt:variant>
      <vt:variant>
        <vt:i4>231</vt:i4>
      </vt:variant>
      <vt:variant>
        <vt:i4>0</vt:i4>
      </vt:variant>
      <vt:variant>
        <vt:i4>5</vt:i4>
      </vt:variant>
      <vt:variant>
        <vt:lpwstr>https://doi.org/10.1111/j.1478-0542.2012.00838.x</vt:lpwstr>
      </vt:variant>
      <vt:variant>
        <vt:lpwstr/>
      </vt:variant>
      <vt:variant>
        <vt:i4>3670079</vt:i4>
      </vt:variant>
      <vt:variant>
        <vt:i4>228</vt:i4>
      </vt:variant>
      <vt:variant>
        <vt:i4>0</vt:i4>
      </vt:variant>
      <vt:variant>
        <vt:i4>5</vt:i4>
      </vt:variant>
      <vt:variant>
        <vt:lpwstr>https://www.hrw.org/report/2008/12/17/alien-legacy/origins-sodomy-laws-british-colonialism</vt:lpwstr>
      </vt:variant>
      <vt:variant>
        <vt:lpwstr/>
      </vt:variant>
      <vt:variant>
        <vt:i4>1638494</vt:i4>
      </vt:variant>
      <vt:variant>
        <vt:i4>225</vt:i4>
      </vt:variant>
      <vt:variant>
        <vt:i4>0</vt:i4>
      </vt:variant>
      <vt:variant>
        <vt:i4>5</vt:i4>
      </vt:variant>
      <vt:variant>
        <vt:lpwstr>https://doi.org/10.1177/0261018317732880</vt:lpwstr>
      </vt:variant>
      <vt:variant>
        <vt:lpwstr/>
      </vt:variant>
      <vt:variant>
        <vt:i4>2818098</vt:i4>
      </vt:variant>
      <vt:variant>
        <vt:i4>222</vt:i4>
      </vt:variant>
      <vt:variant>
        <vt:i4>0</vt:i4>
      </vt:variant>
      <vt:variant>
        <vt:i4>5</vt:i4>
      </vt:variant>
      <vt:variant>
        <vt:lpwstr>http://www.scielo.org.za/pdf/ahrlj/v14n2/06.pdf</vt:lpwstr>
      </vt:variant>
      <vt:variant>
        <vt:lpwstr/>
      </vt:variant>
      <vt:variant>
        <vt:i4>131140</vt:i4>
      </vt:variant>
      <vt:variant>
        <vt:i4>219</vt:i4>
      </vt:variant>
      <vt:variant>
        <vt:i4>0</vt:i4>
      </vt:variant>
      <vt:variant>
        <vt:i4>5</vt:i4>
      </vt:variant>
      <vt:variant>
        <vt:lpwstr>https://doi.org/10.1080/09557571.2013.867298</vt:lpwstr>
      </vt:variant>
      <vt:variant>
        <vt:lpwstr/>
      </vt:variant>
      <vt:variant>
        <vt:i4>5308490</vt:i4>
      </vt:variant>
      <vt:variant>
        <vt:i4>216</vt:i4>
      </vt:variant>
      <vt:variant>
        <vt:i4>0</vt:i4>
      </vt:variant>
      <vt:variant>
        <vt:i4>5</vt:i4>
      </vt:variant>
      <vt:variant>
        <vt:lpwstr>https://www.theguardian.com/world/2019/oct/15/ugandan-mps-press-for-death-penalty-for-homosexual-acts</vt:lpwstr>
      </vt:variant>
      <vt:variant>
        <vt:lpwstr/>
      </vt:variant>
      <vt:variant>
        <vt:i4>2228283</vt:i4>
      </vt:variant>
      <vt:variant>
        <vt:i4>213</vt:i4>
      </vt:variant>
      <vt:variant>
        <vt:i4>0</vt:i4>
      </vt:variant>
      <vt:variant>
        <vt:i4>5</vt:i4>
      </vt:variant>
      <vt:variant>
        <vt:lpwstr>https://doi.org/10.1007/s12119-021-09908-8</vt:lpwstr>
      </vt:variant>
      <vt:variant>
        <vt:lpwstr/>
      </vt:variant>
      <vt:variant>
        <vt:i4>7012462</vt:i4>
      </vt:variant>
      <vt:variant>
        <vt:i4>210</vt:i4>
      </vt:variant>
      <vt:variant>
        <vt:i4>0</vt:i4>
      </vt:variant>
      <vt:variant>
        <vt:i4>5</vt:i4>
      </vt:variant>
      <vt:variant>
        <vt:lpwstr>https://www-tandfonline-com.ezproxy.uwtsd.ac.uk/doi/pdf/10.1080/03906701.2019.1641277?needAccess=true&amp;</vt:lpwstr>
      </vt:variant>
      <vt:variant>
        <vt:lpwstr/>
      </vt:variant>
      <vt:variant>
        <vt:i4>1572935</vt:i4>
      </vt:variant>
      <vt:variant>
        <vt:i4>207</vt:i4>
      </vt:variant>
      <vt:variant>
        <vt:i4>0</vt:i4>
      </vt:variant>
      <vt:variant>
        <vt:i4>5</vt:i4>
      </vt:variant>
      <vt:variant>
        <vt:lpwstr>https://web.colby.edu/queer-theory-fall18/files/2018/09/Queer-indigenous-Studies.pdf</vt:lpwstr>
      </vt:variant>
      <vt:variant>
        <vt:lpwstr/>
      </vt:variant>
      <vt:variant>
        <vt:i4>786504</vt:i4>
      </vt:variant>
      <vt:variant>
        <vt:i4>204</vt:i4>
      </vt:variant>
      <vt:variant>
        <vt:i4>0</vt:i4>
      </vt:variant>
      <vt:variant>
        <vt:i4>5</vt:i4>
      </vt:variant>
      <vt:variant>
        <vt:lpwstr>https://doi.org/10.1080/10894160.2019.1597606</vt:lpwstr>
      </vt:variant>
      <vt:variant>
        <vt:lpwstr/>
      </vt:variant>
      <vt:variant>
        <vt:i4>5439513</vt:i4>
      </vt:variant>
      <vt:variant>
        <vt:i4>201</vt:i4>
      </vt:variant>
      <vt:variant>
        <vt:i4>0</vt:i4>
      </vt:variant>
      <vt:variant>
        <vt:i4>5</vt:i4>
      </vt:variant>
      <vt:variant>
        <vt:lpwstr>https://doi.org/10.1111/j.1468-0424.2012.01712.x</vt:lpwstr>
      </vt:variant>
      <vt:variant>
        <vt:lpwstr/>
      </vt:variant>
      <vt:variant>
        <vt:i4>4194395</vt:i4>
      </vt:variant>
      <vt:variant>
        <vt:i4>198</vt:i4>
      </vt:variant>
      <vt:variant>
        <vt:i4>0</vt:i4>
      </vt:variant>
      <vt:variant>
        <vt:i4>5</vt:i4>
      </vt:variant>
      <vt:variant>
        <vt:lpwstr>https://thecommonwealth.org/about-us</vt:lpwstr>
      </vt:variant>
      <vt:variant>
        <vt:lpwstr/>
      </vt:variant>
      <vt:variant>
        <vt:i4>1310808</vt:i4>
      </vt:variant>
      <vt:variant>
        <vt:i4>195</vt:i4>
      </vt:variant>
      <vt:variant>
        <vt:i4>0</vt:i4>
      </vt:variant>
      <vt:variant>
        <vt:i4>5</vt:i4>
      </vt:variant>
      <vt:variant>
        <vt:lpwstr>https://doi.org/10.4324/9781315603223</vt:lpwstr>
      </vt:variant>
      <vt:variant>
        <vt:lpwstr/>
      </vt:variant>
      <vt:variant>
        <vt:i4>5111851</vt:i4>
      </vt:variant>
      <vt:variant>
        <vt:i4>192</vt:i4>
      </vt:variant>
      <vt:variant>
        <vt:i4>0</vt:i4>
      </vt:variant>
      <vt:variant>
        <vt:i4>5</vt:i4>
      </vt:variant>
      <vt:variant>
        <vt:lpwstr>https://doi.org/10.26530/OAPEN_424255</vt:lpwstr>
      </vt:variant>
      <vt:variant>
        <vt:lpwstr/>
      </vt:variant>
      <vt:variant>
        <vt:i4>4915276</vt:i4>
      </vt:variant>
      <vt:variant>
        <vt:i4>189</vt:i4>
      </vt:variant>
      <vt:variant>
        <vt:i4>0</vt:i4>
      </vt:variant>
      <vt:variant>
        <vt:i4>5</vt:i4>
      </vt:variant>
      <vt:variant>
        <vt:lpwstr>https://www.bbc.co.uk/news/world-43822234</vt:lpwstr>
      </vt:variant>
      <vt:variant>
        <vt:lpwstr/>
      </vt:variant>
      <vt:variant>
        <vt:i4>131149</vt:i4>
      </vt:variant>
      <vt:variant>
        <vt:i4>186</vt:i4>
      </vt:variant>
      <vt:variant>
        <vt:i4>0</vt:i4>
      </vt:variant>
      <vt:variant>
        <vt:i4>5</vt:i4>
      </vt:variant>
      <vt:variant>
        <vt:lpwstr>https://doi.org/10.1080/19376812.2017.1286245</vt:lpwstr>
      </vt:variant>
      <vt:variant>
        <vt:lpwstr/>
      </vt:variant>
      <vt:variant>
        <vt:i4>2424938</vt:i4>
      </vt:variant>
      <vt:variant>
        <vt:i4>183</vt:i4>
      </vt:variant>
      <vt:variant>
        <vt:i4>0</vt:i4>
      </vt:variant>
      <vt:variant>
        <vt:i4>5</vt:i4>
      </vt:variant>
      <vt:variant>
        <vt:lpwstr>https://doi.org/10.1093/jcs/csp090</vt:lpwstr>
      </vt:variant>
      <vt:variant>
        <vt:lpwstr/>
      </vt:variant>
      <vt:variant>
        <vt:i4>6094936</vt:i4>
      </vt:variant>
      <vt:variant>
        <vt:i4>180</vt:i4>
      </vt:variant>
      <vt:variant>
        <vt:i4>0</vt:i4>
      </vt:variant>
      <vt:variant>
        <vt:i4>5</vt:i4>
      </vt:variant>
      <vt:variant>
        <vt:lpwstr>https://www.aljazeera.com/news/2013/12/21/uganda-mps-pass-controversial-anti-gay-law/</vt:lpwstr>
      </vt:variant>
      <vt:variant>
        <vt:lpwstr/>
      </vt:variant>
      <vt:variant>
        <vt:i4>2687091</vt:i4>
      </vt:variant>
      <vt:variant>
        <vt:i4>174</vt:i4>
      </vt:variant>
      <vt:variant>
        <vt:i4>0</vt:i4>
      </vt:variant>
      <vt:variant>
        <vt:i4>5</vt:i4>
      </vt:variant>
      <vt:variant>
        <vt:lpwstr>https://www.tandfonline.com/doi/full/10.1080/08038740.2020.1789218</vt:lpwstr>
      </vt:variant>
      <vt:variant>
        <vt:lpwstr/>
      </vt:variant>
      <vt:variant>
        <vt:i4>2687091</vt:i4>
      </vt:variant>
      <vt:variant>
        <vt:i4>171</vt:i4>
      </vt:variant>
      <vt:variant>
        <vt:i4>0</vt:i4>
      </vt:variant>
      <vt:variant>
        <vt:i4>5</vt:i4>
      </vt:variant>
      <vt:variant>
        <vt:lpwstr>https://www.tandfonline.com/doi/full/10.1080/08038740.2020.1789218</vt:lpwstr>
      </vt:variant>
      <vt:variant>
        <vt:lpwstr/>
      </vt:variant>
      <vt:variant>
        <vt:i4>2687091</vt:i4>
      </vt:variant>
      <vt:variant>
        <vt:i4>168</vt:i4>
      </vt:variant>
      <vt:variant>
        <vt:i4>0</vt:i4>
      </vt:variant>
      <vt:variant>
        <vt:i4>5</vt:i4>
      </vt:variant>
      <vt:variant>
        <vt:lpwstr>https://www.tandfonline.com/doi/full/10.1080/08038740.2020.1789218</vt:lpwstr>
      </vt:variant>
      <vt:variant>
        <vt:lpwstr/>
      </vt:variant>
      <vt:variant>
        <vt:i4>2687091</vt:i4>
      </vt:variant>
      <vt:variant>
        <vt:i4>165</vt:i4>
      </vt:variant>
      <vt:variant>
        <vt:i4>0</vt:i4>
      </vt:variant>
      <vt:variant>
        <vt:i4>5</vt:i4>
      </vt:variant>
      <vt:variant>
        <vt:lpwstr>https://www.tandfonline.com/doi/full/10.1080/08038740.2020.1789218</vt:lpwstr>
      </vt:variant>
      <vt:variant>
        <vt:lpwstr/>
      </vt:variant>
      <vt:variant>
        <vt:i4>2687091</vt:i4>
      </vt:variant>
      <vt:variant>
        <vt:i4>162</vt:i4>
      </vt:variant>
      <vt:variant>
        <vt:i4>0</vt:i4>
      </vt:variant>
      <vt:variant>
        <vt:i4>5</vt:i4>
      </vt:variant>
      <vt:variant>
        <vt:lpwstr>https://www.tandfonline.com/doi/full/10.1080/08038740.2020.1789218</vt:lpwstr>
      </vt:variant>
      <vt:variant>
        <vt:lpwstr/>
      </vt:variant>
      <vt:variant>
        <vt:i4>2687091</vt:i4>
      </vt:variant>
      <vt:variant>
        <vt:i4>159</vt:i4>
      </vt:variant>
      <vt:variant>
        <vt:i4>0</vt:i4>
      </vt:variant>
      <vt:variant>
        <vt:i4>5</vt:i4>
      </vt:variant>
      <vt:variant>
        <vt:lpwstr>https://www.tandfonline.com/doi/full/10.1080/08038740.2020.1789218</vt:lpwstr>
      </vt:variant>
      <vt:variant>
        <vt:lpwstr/>
      </vt:variant>
      <vt:variant>
        <vt:i4>852037</vt:i4>
      </vt:variant>
      <vt:variant>
        <vt:i4>156</vt:i4>
      </vt:variant>
      <vt:variant>
        <vt:i4>0</vt:i4>
      </vt:variant>
      <vt:variant>
        <vt:i4>5</vt:i4>
      </vt:variant>
      <vt:variant>
        <vt:lpwstr>https://journals.sagepub.com/reader/content/17cd607fd28/10.1177/03091325211016087/format/epub/EPUB/xhtml/index.xhtml</vt:lpwstr>
      </vt:variant>
      <vt:variant>
        <vt:lpwstr>bibr56-03091325211016087</vt:lpwstr>
      </vt:variant>
      <vt:variant>
        <vt:i4>917577</vt:i4>
      </vt:variant>
      <vt:variant>
        <vt:i4>153</vt:i4>
      </vt:variant>
      <vt:variant>
        <vt:i4>0</vt:i4>
      </vt:variant>
      <vt:variant>
        <vt:i4>5</vt:i4>
      </vt:variant>
      <vt:variant>
        <vt:lpwstr>https://journals.sagepub.com/reader/content/17cd607fd28/10.1177/03091325211016087/format/epub/EPUB/xhtml/index.xhtml</vt:lpwstr>
      </vt:variant>
      <vt:variant>
        <vt:lpwstr>bibr95-03091325211016087</vt:lpwstr>
      </vt:variant>
      <vt:variant>
        <vt:i4>196676</vt:i4>
      </vt:variant>
      <vt:variant>
        <vt:i4>150</vt:i4>
      </vt:variant>
      <vt:variant>
        <vt:i4>0</vt:i4>
      </vt:variant>
      <vt:variant>
        <vt:i4>5</vt:i4>
      </vt:variant>
      <vt:variant>
        <vt:lpwstr>https://journals.sagepub.com/reader/content/17cd607fd28/10.1177/03091325211016087/format/epub/EPUB/xhtml/index.xhtml</vt:lpwstr>
      </vt:variant>
      <vt:variant>
        <vt:lpwstr>bibr48-03091325211016087</vt:lpwstr>
      </vt:variant>
      <vt:variant>
        <vt:i4>2293866</vt:i4>
      </vt:variant>
      <vt:variant>
        <vt:i4>147</vt:i4>
      </vt:variant>
      <vt:variant>
        <vt:i4>0</vt:i4>
      </vt:variant>
      <vt:variant>
        <vt:i4>5</vt:i4>
      </vt:variant>
      <vt:variant>
        <vt:lpwstr>https://journals.sagepub.com/reader/content/17cd607fd28/10.1177/03091325211016087/format/epub/EPUB/xhtml/index.xhtml</vt:lpwstr>
      </vt:variant>
      <vt:variant>
        <vt:lpwstr>bibr5-03091325211016087</vt:lpwstr>
      </vt:variant>
      <vt:variant>
        <vt:i4>196679</vt:i4>
      </vt:variant>
      <vt:variant>
        <vt:i4>144</vt:i4>
      </vt:variant>
      <vt:variant>
        <vt:i4>0</vt:i4>
      </vt:variant>
      <vt:variant>
        <vt:i4>5</vt:i4>
      </vt:variant>
      <vt:variant>
        <vt:lpwstr>https://journals.sagepub.com/reader/content/17cd607fd28/10.1177/03091325211016087/format/epub/EPUB/xhtml/index.xhtml</vt:lpwstr>
      </vt:variant>
      <vt:variant>
        <vt:lpwstr>bibr78-03091325211016087</vt:lpwstr>
      </vt:variant>
      <vt:variant>
        <vt:i4>983108</vt:i4>
      </vt:variant>
      <vt:variant>
        <vt:i4>141</vt:i4>
      </vt:variant>
      <vt:variant>
        <vt:i4>0</vt:i4>
      </vt:variant>
      <vt:variant>
        <vt:i4>5</vt:i4>
      </vt:variant>
      <vt:variant>
        <vt:lpwstr>https://journals.sagepub.com/reader/content/17cd607fd28/10.1177/03091325211016087/format/epub/EPUB/xhtml/index.xhtml</vt:lpwstr>
      </vt:variant>
      <vt:variant>
        <vt:lpwstr>bibr44-03091325211016087</vt:lpwstr>
      </vt:variant>
      <vt:variant>
        <vt:i4>1507385</vt:i4>
      </vt:variant>
      <vt:variant>
        <vt:i4>134</vt:i4>
      </vt:variant>
      <vt:variant>
        <vt:i4>0</vt:i4>
      </vt:variant>
      <vt:variant>
        <vt:i4>5</vt:i4>
      </vt:variant>
      <vt:variant>
        <vt:lpwstr/>
      </vt:variant>
      <vt:variant>
        <vt:lpwstr>_Toc117164946</vt:lpwstr>
      </vt:variant>
      <vt:variant>
        <vt:i4>1507385</vt:i4>
      </vt:variant>
      <vt:variant>
        <vt:i4>128</vt:i4>
      </vt:variant>
      <vt:variant>
        <vt:i4>0</vt:i4>
      </vt:variant>
      <vt:variant>
        <vt:i4>5</vt:i4>
      </vt:variant>
      <vt:variant>
        <vt:lpwstr/>
      </vt:variant>
      <vt:variant>
        <vt:lpwstr>_Toc117164945</vt:lpwstr>
      </vt:variant>
      <vt:variant>
        <vt:i4>1507385</vt:i4>
      </vt:variant>
      <vt:variant>
        <vt:i4>122</vt:i4>
      </vt:variant>
      <vt:variant>
        <vt:i4>0</vt:i4>
      </vt:variant>
      <vt:variant>
        <vt:i4>5</vt:i4>
      </vt:variant>
      <vt:variant>
        <vt:lpwstr/>
      </vt:variant>
      <vt:variant>
        <vt:lpwstr>_Toc117164944</vt:lpwstr>
      </vt:variant>
      <vt:variant>
        <vt:i4>1507385</vt:i4>
      </vt:variant>
      <vt:variant>
        <vt:i4>116</vt:i4>
      </vt:variant>
      <vt:variant>
        <vt:i4>0</vt:i4>
      </vt:variant>
      <vt:variant>
        <vt:i4>5</vt:i4>
      </vt:variant>
      <vt:variant>
        <vt:lpwstr/>
      </vt:variant>
      <vt:variant>
        <vt:lpwstr>_Toc117164943</vt:lpwstr>
      </vt:variant>
      <vt:variant>
        <vt:i4>1507385</vt:i4>
      </vt:variant>
      <vt:variant>
        <vt:i4>110</vt:i4>
      </vt:variant>
      <vt:variant>
        <vt:i4>0</vt:i4>
      </vt:variant>
      <vt:variant>
        <vt:i4>5</vt:i4>
      </vt:variant>
      <vt:variant>
        <vt:lpwstr/>
      </vt:variant>
      <vt:variant>
        <vt:lpwstr>_Toc117164942</vt:lpwstr>
      </vt:variant>
      <vt:variant>
        <vt:i4>1507385</vt:i4>
      </vt:variant>
      <vt:variant>
        <vt:i4>104</vt:i4>
      </vt:variant>
      <vt:variant>
        <vt:i4>0</vt:i4>
      </vt:variant>
      <vt:variant>
        <vt:i4>5</vt:i4>
      </vt:variant>
      <vt:variant>
        <vt:lpwstr/>
      </vt:variant>
      <vt:variant>
        <vt:lpwstr>_Toc117164941</vt:lpwstr>
      </vt:variant>
      <vt:variant>
        <vt:i4>1507385</vt:i4>
      </vt:variant>
      <vt:variant>
        <vt:i4>98</vt:i4>
      </vt:variant>
      <vt:variant>
        <vt:i4>0</vt:i4>
      </vt:variant>
      <vt:variant>
        <vt:i4>5</vt:i4>
      </vt:variant>
      <vt:variant>
        <vt:lpwstr/>
      </vt:variant>
      <vt:variant>
        <vt:lpwstr>_Toc117164940</vt:lpwstr>
      </vt:variant>
      <vt:variant>
        <vt:i4>1048633</vt:i4>
      </vt:variant>
      <vt:variant>
        <vt:i4>92</vt:i4>
      </vt:variant>
      <vt:variant>
        <vt:i4>0</vt:i4>
      </vt:variant>
      <vt:variant>
        <vt:i4>5</vt:i4>
      </vt:variant>
      <vt:variant>
        <vt:lpwstr/>
      </vt:variant>
      <vt:variant>
        <vt:lpwstr>_Toc117164939</vt:lpwstr>
      </vt:variant>
      <vt:variant>
        <vt:i4>1048633</vt:i4>
      </vt:variant>
      <vt:variant>
        <vt:i4>86</vt:i4>
      </vt:variant>
      <vt:variant>
        <vt:i4>0</vt:i4>
      </vt:variant>
      <vt:variant>
        <vt:i4>5</vt:i4>
      </vt:variant>
      <vt:variant>
        <vt:lpwstr/>
      </vt:variant>
      <vt:variant>
        <vt:lpwstr>_Toc117164938</vt:lpwstr>
      </vt:variant>
      <vt:variant>
        <vt:i4>1048633</vt:i4>
      </vt:variant>
      <vt:variant>
        <vt:i4>80</vt:i4>
      </vt:variant>
      <vt:variant>
        <vt:i4>0</vt:i4>
      </vt:variant>
      <vt:variant>
        <vt:i4>5</vt:i4>
      </vt:variant>
      <vt:variant>
        <vt:lpwstr/>
      </vt:variant>
      <vt:variant>
        <vt:lpwstr>_Toc117164937</vt:lpwstr>
      </vt:variant>
      <vt:variant>
        <vt:i4>1048633</vt:i4>
      </vt:variant>
      <vt:variant>
        <vt:i4>74</vt:i4>
      </vt:variant>
      <vt:variant>
        <vt:i4>0</vt:i4>
      </vt:variant>
      <vt:variant>
        <vt:i4>5</vt:i4>
      </vt:variant>
      <vt:variant>
        <vt:lpwstr/>
      </vt:variant>
      <vt:variant>
        <vt:lpwstr>_Toc117164936</vt:lpwstr>
      </vt:variant>
      <vt:variant>
        <vt:i4>1048633</vt:i4>
      </vt:variant>
      <vt:variant>
        <vt:i4>68</vt:i4>
      </vt:variant>
      <vt:variant>
        <vt:i4>0</vt:i4>
      </vt:variant>
      <vt:variant>
        <vt:i4>5</vt:i4>
      </vt:variant>
      <vt:variant>
        <vt:lpwstr/>
      </vt:variant>
      <vt:variant>
        <vt:lpwstr>_Toc117164935</vt:lpwstr>
      </vt:variant>
      <vt:variant>
        <vt:i4>1048633</vt:i4>
      </vt:variant>
      <vt:variant>
        <vt:i4>62</vt:i4>
      </vt:variant>
      <vt:variant>
        <vt:i4>0</vt:i4>
      </vt:variant>
      <vt:variant>
        <vt:i4>5</vt:i4>
      </vt:variant>
      <vt:variant>
        <vt:lpwstr/>
      </vt:variant>
      <vt:variant>
        <vt:lpwstr>_Toc117164934</vt:lpwstr>
      </vt:variant>
      <vt:variant>
        <vt:i4>1048633</vt:i4>
      </vt:variant>
      <vt:variant>
        <vt:i4>56</vt:i4>
      </vt:variant>
      <vt:variant>
        <vt:i4>0</vt:i4>
      </vt:variant>
      <vt:variant>
        <vt:i4>5</vt:i4>
      </vt:variant>
      <vt:variant>
        <vt:lpwstr/>
      </vt:variant>
      <vt:variant>
        <vt:lpwstr>_Toc117164933</vt:lpwstr>
      </vt:variant>
      <vt:variant>
        <vt:i4>1048633</vt:i4>
      </vt:variant>
      <vt:variant>
        <vt:i4>50</vt:i4>
      </vt:variant>
      <vt:variant>
        <vt:i4>0</vt:i4>
      </vt:variant>
      <vt:variant>
        <vt:i4>5</vt:i4>
      </vt:variant>
      <vt:variant>
        <vt:lpwstr/>
      </vt:variant>
      <vt:variant>
        <vt:lpwstr>_Toc117164932</vt:lpwstr>
      </vt:variant>
      <vt:variant>
        <vt:i4>1048633</vt:i4>
      </vt:variant>
      <vt:variant>
        <vt:i4>44</vt:i4>
      </vt:variant>
      <vt:variant>
        <vt:i4>0</vt:i4>
      </vt:variant>
      <vt:variant>
        <vt:i4>5</vt:i4>
      </vt:variant>
      <vt:variant>
        <vt:lpwstr/>
      </vt:variant>
      <vt:variant>
        <vt:lpwstr>_Toc117164931</vt:lpwstr>
      </vt:variant>
      <vt:variant>
        <vt:i4>1048633</vt:i4>
      </vt:variant>
      <vt:variant>
        <vt:i4>38</vt:i4>
      </vt:variant>
      <vt:variant>
        <vt:i4>0</vt:i4>
      </vt:variant>
      <vt:variant>
        <vt:i4>5</vt:i4>
      </vt:variant>
      <vt:variant>
        <vt:lpwstr/>
      </vt:variant>
      <vt:variant>
        <vt:lpwstr>_Toc117164930</vt:lpwstr>
      </vt:variant>
      <vt:variant>
        <vt:i4>1114169</vt:i4>
      </vt:variant>
      <vt:variant>
        <vt:i4>32</vt:i4>
      </vt:variant>
      <vt:variant>
        <vt:i4>0</vt:i4>
      </vt:variant>
      <vt:variant>
        <vt:i4>5</vt:i4>
      </vt:variant>
      <vt:variant>
        <vt:lpwstr/>
      </vt:variant>
      <vt:variant>
        <vt:lpwstr>_Toc117164929</vt:lpwstr>
      </vt:variant>
      <vt:variant>
        <vt:i4>1114169</vt:i4>
      </vt:variant>
      <vt:variant>
        <vt:i4>26</vt:i4>
      </vt:variant>
      <vt:variant>
        <vt:i4>0</vt:i4>
      </vt:variant>
      <vt:variant>
        <vt:i4>5</vt:i4>
      </vt:variant>
      <vt:variant>
        <vt:lpwstr/>
      </vt:variant>
      <vt:variant>
        <vt:lpwstr>_Toc117164928</vt:lpwstr>
      </vt:variant>
      <vt:variant>
        <vt:i4>1114169</vt:i4>
      </vt:variant>
      <vt:variant>
        <vt:i4>20</vt:i4>
      </vt:variant>
      <vt:variant>
        <vt:i4>0</vt:i4>
      </vt:variant>
      <vt:variant>
        <vt:i4>5</vt:i4>
      </vt:variant>
      <vt:variant>
        <vt:lpwstr/>
      </vt:variant>
      <vt:variant>
        <vt:lpwstr>_Toc117164927</vt:lpwstr>
      </vt:variant>
      <vt:variant>
        <vt:i4>1114169</vt:i4>
      </vt:variant>
      <vt:variant>
        <vt:i4>14</vt:i4>
      </vt:variant>
      <vt:variant>
        <vt:i4>0</vt:i4>
      </vt:variant>
      <vt:variant>
        <vt:i4>5</vt:i4>
      </vt:variant>
      <vt:variant>
        <vt:lpwstr/>
      </vt:variant>
      <vt:variant>
        <vt:lpwstr>_Toc117164926</vt:lpwstr>
      </vt:variant>
      <vt:variant>
        <vt:i4>1114169</vt:i4>
      </vt:variant>
      <vt:variant>
        <vt:i4>8</vt:i4>
      </vt:variant>
      <vt:variant>
        <vt:i4>0</vt:i4>
      </vt:variant>
      <vt:variant>
        <vt:i4>5</vt:i4>
      </vt:variant>
      <vt:variant>
        <vt:lpwstr/>
      </vt:variant>
      <vt:variant>
        <vt:lpwstr>_Toc117164925</vt:lpwstr>
      </vt:variant>
      <vt:variant>
        <vt:i4>1114169</vt:i4>
      </vt:variant>
      <vt:variant>
        <vt:i4>2</vt:i4>
      </vt:variant>
      <vt:variant>
        <vt:i4>0</vt:i4>
      </vt:variant>
      <vt:variant>
        <vt:i4>5</vt:i4>
      </vt:variant>
      <vt:variant>
        <vt:lpwstr/>
      </vt:variant>
      <vt:variant>
        <vt:lpwstr>_Toc117164924</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Tina Green</dc:title>
  <dc:subject/>
  <dc:creator>IT</dc:creator>
  <cp:keywords/>
  <cp:lastModifiedBy>Jake Furby</cp:lastModifiedBy>
  <cp:revision>4</cp:revision>
  <cp:lastPrinted>2023-09-18T17:51:00Z</cp:lastPrinted>
  <dcterms:created xsi:type="dcterms:W3CDTF">2023-09-18T10:06:00Z</dcterms:created>
  <dcterms:modified xsi:type="dcterms:W3CDTF">2023-09-18T17:52:00Z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2545ab143980bac3b3e0ceebd47996f583d76fd9f280fbb9078e873f4c1f5270</vt:lpwstr>
  </property>
  <property fmtid="{D5CDD505-2E9C-101B-9397-08002B2CF9AE}" pid="3" name="ContentTypeId">
    <vt:lpwstr>0x0101000A0D83DA8850E24F977D76094D2074AC</vt:lpwstr>
  </property>
</Properties>
</file>