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3B3" w:rsidRDefault="00E25A13" w:rsidP="00E25A13">
      <w:pPr>
        <w:pStyle w:val="Title"/>
        <w:jc w:val="center"/>
        <w:rPr>
          <w:rFonts w:ascii="Times New Roman" w:hAnsi="Times New Roman" w:cs="Times New Roman"/>
        </w:rPr>
      </w:pPr>
      <w:r w:rsidRPr="00E25A13">
        <w:rPr>
          <w:rFonts w:ascii="Times New Roman" w:hAnsi="Times New Roman" w:cs="Times New Roman"/>
        </w:rPr>
        <w:t>Methodology and Theory Discussion</w:t>
      </w:r>
    </w:p>
    <w:p w:rsidR="00245744" w:rsidRDefault="00245744" w:rsidP="00245744"/>
    <w:p w:rsidR="00E25A13" w:rsidRDefault="00245744" w:rsidP="006F4EBA">
      <w:pPr>
        <w:spacing w:line="360" w:lineRule="auto"/>
      </w:pPr>
      <w:r>
        <w:t xml:space="preserve">The halt of expansion of the Roman empire along the Rhine during the reign of Augustus is one of the most interesting and debated topics in modern studies on Roman expansion. </w:t>
      </w:r>
      <w:r w:rsidR="000C1C26">
        <w:t>N</w:t>
      </w:r>
      <w:r w:rsidR="00CE5395">
        <w:t xml:space="preserve">umerous theories and models have been created to determine and explain why this halt of expansion occurred. </w:t>
      </w:r>
      <w:r w:rsidR="00AC4053">
        <w:t>One methodology which has</w:t>
      </w:r>
      <w:r w:rsidR="007031AA">
        <w:t xml:space="preserve"> arguably</w:t>
      </w:r>
      <w:r w:rsidR="00AC4053">
        <w:t xml:space="preserve"> been</w:t>
      </w:r>
      <w:r w:rsidR="007031AA">
        <w:t xml:space="preserve"> the</w:t>
      </w:r>
      <w:r w:rsidR="00FC1AB7">
        <w:t xml:space="preserve"> great</w:t>
      </w:r>
      <w:r w:rsidR="007031AA">
        <w:t>est</w:t>
      </w:r>
      <w:r w:rsidR="001158A4">
        <w:t xml:space="preserve"> influence</w:t>
      </w:r>
      <w:r w:rsidR="00FC1AB7">
        <w:t xml:space="preserve"> on this study of the halt of expansion</w:t>
      </w:r>
      <w:r w:rsidR="001158A4">
        <w:t xml:space="preserve"> is that of the </w:t>
      </w:r>
      <w:r w:rsidR="001158A4" w:rsidRPr="001158A4">
        <w:rPr>
          <w:i/>
        </w:rPr>
        <w:t>Grand Strategy Theory</w:t>
      </w:r>
      <w:r w:rsidR="001158A4">
        <w:t xml:space="preserve"> or </w:t>
      </w:r>
      <w:r w:rsidR="001158A4" w:rsidRPr="001158A4">
        <w:rPr>
          <w:i/>
        </w:rPr>
        <w:t>Grand Strategy Model</w:t>
      </w:r>
      <w:r w:rsidR="001158A4">
        <w:t xml:space="preserve"> </w:t>
      </w:r>
      <w:r w:rsidR="00FC1AB7">
        <w:t xml:space="preserve">argued by </w:t>
      </w:r>
      <w:r w:rsidR="00FC1AB7" w:rsidRPr="00FC1AB7">
        <w:t>Luttwak</w:t>
      </w:r>
      <w:r w:rsidR="00FC1AB7">
        <w:t xml:space="preserve"> in his book </w:t>
      </w:r>
      <w:r w:rsidR="00FC1AB7" w:rsidRPr="00FC1AB7">
        <w:rPr>
          <w:i/>
        </w:rPr>
        <w:t>‘The grand strategy of the Roman Empire from the first century AD to the third’</w:t>
      </w:r>
      <w:r w:rsidR="004D2703">
        <w:t xml:space="preserve">. </w:t>
      </w:r>
      <w:proofErr w:type="spellStart"/>
      <w:r w:rsidR="004D2703">
        <w:t>Luttwak’s</w:t>
      </w:r>
      <w:proofErr w:type="spellEnd"/>
      <w:r w:rsidR="004D2703">
        <w:t xml:space="preserve"> theory is that the Roman state subscribed to an overarching set of policies based on realisations by the Romans on their systems</w:t>
      </w:r>
      <w:r w:rsidR="00AC4053">
        <w:t>’</w:t>
      </w:r>
      <w:r w:rsidR="004D2703">
        <w:t xml:space="preserve"> own inherent strengths and the faults found in their oppositions. These policies became codified by the introduction of Principate in the first century AD and lasted until the third century AD,</w:t>
      </w:r>
      <w:r w:rsidR="00F7675D">
        <w:t xml:space="preserve"> with little policy regarding the defence of the Empire changing. A</w:t>
      </w:r>
      <w:r w:rsidR="004D2703">
        <w:t xml:space="preserve"> unique feature of this </w:t>
      </w:r>
      <w:r w:rsidR="004D2703" w:rsidRPr="004D2703">
        <w:rPr>
          <w:i/>
        </w:rPr>
        <w:t>Grand Strategy Model</w:t>
      </w:r>
      <w:r w:rsidR="004D2703">
        <w:rPr>
          <w:i/>
        </w:rPr>
        <w:t xml:space="preserve"> </w:t>
      </w:r>
      <w:r w:rsidR="004D2703">
        <w:t xml:space="preserve">is that </w:t>
      </w:r>
      <w:r w:rsidR="00F7675D">
        <w:t xml:space="preserve">the Roman state does not inherently realise that </w:t>
      </w:r>
      <w:r w:rsidR="00AC4053">
        <w:t xml:space="preserve">it </w:t>
      </w:r>
      <w:r w:rsidR="00F7675D">
        <w:t>is in fact abiding to a model and it comes</w:t>
      </w:r>
      <w:r w:rsidR="008C2EDE">
        <w:t xml:space="preserve"> about more by circumstance than</w:t>
      </w:r>
      <w:r w:rsidR="00F7675D">
        <w:t xml:space="preserve"> active awareness of any one individual </w:t>
      </w:r>
      <w:r w:rsidR="00F7675D">
        <w:rPr>
          <w:rStyle w:val="FootnoteReference"/>
        </w:rPr>
        <w:footnoteReference w:id="1"/>
      </w:r>
      <w:r w:rsidR="00F7675D">
        <w:t xml:space="preserve">.  </w:t>
      </w:r>
    </w:p>
    <w:p w:rsidR="00BC32D3" w:rsidRDefault="00BC32D3" w:rsidP="006F4EBA">
      <w:pPr>
        <w:spacing w:line="360" w:lineRule="auto"/>
      </w:pPr>
    </w:p>
    <w:p w:rsidR="004C700E" w:rsidRDefault="0070301C" w:rsidP="006F4EBA">
      <w:pPr>
        <w:spacing w:line="360" w:lineRule="auto"/>
      </w:pPr>
      <w:r>
        <w:t xml:space="preserve">The </w:t>
      </w:r>
      <w:r w:rsidRPr="0070301C">
        <w:rPr>
          <w:i/>
        </w:rPr>
        <w:t>Grand Strategy Model</w:t>
      </w:r>
      <w:r>
        <w:rPr>
          <w:i/>
        </w:rPr>
        <w:t xml:space="preserve"> </w:t>
      </w:r>
      <w:r>
        <w:t>is based on the observation that the Roman state begins to conform to apparent patterns regarding the overa</w:t>
      </w:r>
      <w:r w:rsidR="00AC4053">
        <w:t>ll defence and security of the E</w:t>
      </w:r>
      <w:r>
        <w:t>mpire. This apparent pattern of a</w:t>
      </w:r>
      <w:r w:rsidR="007031AA">
        <w:t xml:space="preserve"> codified disposition of how best</w:t>
      </w:r>
      <w:r>
        <w:t xml:space="preserve"> to defend the empire is at the core of the </w:t>
      </w:r>
      <w:r w:rsidRPr="0070301C">
        <w:rPr>
          <w:i/>
        </w:rPr>
        <w:t>Grand Strategy Model</w:t>
      </w:r>
      <w:r>
        <w:rPr>
          <w:i/>
        </w:rPr>
        <w:t xml:space="preserve"> </w:t>
      </w:r>
      <w:r>
        <w:t xml:space="preserve">and is the fundamental argument that Luttwak is presenting. </w:t>
      </w:r>
      <w:r w:rsidR="007031AA" w:rsidRPr="007031AA">
        <w:t>Kagan,</w:t>
      </w:r>
      <w:r w:rsidR="007031AA">
        <w:t xml:space="preserve"> in her work on the </w:t>
      </w:r>
      <w:r w:rsidR="007031AA" w:rsidRPr="007031AA">
        <w:rPr>
          <w:i/>
        </w:rPr>
        <w:t>Grand Strategy Model</w:t>
      </w:r>
      <w:r w:rsidR="007031AA">
        <w:t xml:space="preserve"> is supportive of the view that the Romans conformed to a grand strategy based on the observation of the deployment of legions, locations of fortifications and the lack of major expansion of the empire after Augustus. </w:t>
      </w:r>
      <w:r w:rsidR="00D3350E">
        <w:t xml:space="preserve">However, Kagan is critical of one aspect of the </w:t>
      </w:r>
      <w:r w:rsidR="00D3350E" w:rsidRPr="00D3350E">
        <w:rPr>
          <w:i/>
        </w:rPr>
        <w:t>Grand Strategy Model</w:t>
      </w:r>
      <w:r w:rsidR="00D3350E">
        <w:rPr>
          <w:i/>
        </w:rPr>
        <w:t xml:space="preserve"> </w:t>
      </w:r>
      <w:r w:rsidR="00D3350E">
        <w:t xml:space="preserve">and that is the extent to which the Roman state was aware that it was conducting what could be termed as a ‘Grand Strategy’. Kagan argues that </w:t>
      </w:r>
      <w:proofErr w:type="spellStart"/>
      <w:r w:rsidR="00D3350E">
        <w:t>Luttwak</w:t>
      </w:r>
      <w:r w:rsidR="00312818">
        <w:t>’s</w:t>
      </w:r>
      <w:proofErr w:type="spellEnd"/>
      <w:r w:rsidR="00D3350E">
        <w:t xml:space="preserve"> assumption that the Roman state engaged in a continues policy through successive emperors is flawed, however, the emperors continually allocated resources to meet empire wide objectives </w:t>
      </w:r>
      <w:r w:rsidR="00312818">
        <w:t>in apparently</w:t>
      </w:r>
      <w:r w:rsidR="009D087D">
        <w:t xml:space="preserve"> the same manner as those before them. Therefore, Kagan argues that the </w:t>
      </w:r>
      <w:r w:rsidR="009D087D" w:rsidRPr="009D087D">
        <w:rPr>
          <w:i/>
        </w:rPr>
        <w:t>Grand Strategy Model</w:t>
      </w:r>
      <w:r w:rsidR="009D087D">
        <w:rPr>
          <w:i/>
        </w:rPr>
        <w:t xml:space="preserve"> </w:t>
      </w:r>
      <w:r w:rsidR="009D087D">
        <w:t>works for the Roman empire as long as one realises that the strategy is created by circumstance</w:t>
      </w:r>
      <w:r w:rsidR="00312818">
        <w:t xml:space="preserve">, rather than any one </w:t>
      </w:r>
      <w:r w:rsidR="009D087D">
        <w:t xml:space="preserve">person recognising the concept of a grand strategy or </w:t>
      </w:r>
      <w:r w:rsidR="00312818">
        <w:t xml:space="preserve">that </w:t>
      </w:r>
      <w:r w:rsidR="009D087D">
        <w:t xml:space="preserve">they are in engaged in long term planning </w:t>
      </w:r>
      <w:r w:rsidR="009D087D">
        <w:rPr>
          <w:rStyle w:val="FootnoteReference"/>
        </w:rPr>
        <w:footnoteReference w:id="2"/>
      </w:r>
      <w:r w:rsidR="009D087D">
        <w:t>.</w:t>
      </w:r>
      <w:r w:rsidR="00813854">
        <w:t xml:space="preserve"> </w:t>
      </w:r>
    </w:p>
    <w:p w:rsidR="004C700E" w:rsidRDefault="004C700E" w:rsidP="006F4EBA">
      <w:pPr>
        <w:spacing w:line="360" w:lineRule="auto"/>
      </w:pPr>
    </w:p>
    <w:p w:rsidR="00382649" w:rsidRDefault="004C700E" w:rsidP="006F4EBA">
      <w:pPr>
        <w:spacing w:line="360" w:lineRule="auto"/>
      </w:pPr>
      <w:r>
        <w:t xml:space="preserve">The </w:t>
      </w:r>
      <w:r w:rsidRPr="004C700E">
        <w:rPr>
          <w:i/>
        </w:rPr>
        <w:t>Grand Strategy Model</w:t>
      </w:r>
      <w:r w:rsidR="00813854" w:rsidRPr="004C700E">
        <w:t xml:space="preserve"> </w:t>
      </w:r>
      <w:r w:rsidR="00F76539">
        <w:t>and h</w:t>
      </w:r>
      <w:r w:rsidR="00221F9D">
        <w:t>ow it may have been implemented</w:t>
      </w:r>
      <w:r w:rsidR="00F76539">
        <w:t xml:space="preserve"> is very </w:t>
      </w:r>
      <w:r w:rsidR="00813854">
        <w:t>useful</w:t>
      </w:r>
      <w:r w:rsidR="00F76539">
        <w:t xml:space="preserve"> and </w:t>
      </w:r>
      <w:r w:rsidR="00221F9D">
        <w:t xml:space="preserve">accurate </w:t>
      </w:r>
      <w:r w:rsidR="00813854">
        <w:t xml:space="preserve">for understanding the situation that develops on the Rhine and the halt </w:t>
      </w:r>
      <w:r w:rsidR="00221F9D">
        <w:t xml:space="preserve">of the </w:t>
      </w:r>
      <w:r w:rsidR="00F76539">
        <w:t xml:space="preserve">Roman </w:t>
      </w:r>
      <w:r w:rsidR="00813854">
        <w:t>of expansion there</w:t>
      </w:r>
      <w:r w:rsidR="00F76539">
        <w:t xml:space="preserve"> </w:t>
      </w:r>
      <w:r w:rsidR="00F76539">
        <w:lastRenderedPageBreak/>
        <w:t>during the reign of Augustus</w:t>
      </w:r>
      <w:r w:rsidR="00813854">
        <w:t>.</w:t>
      </w:r>
      <w:r w:rsidR="001E0EFE">
        <w:t xml:space="preserve"> Wiegels and </w:t>
      </w:r>
      <w:r w:rsidR="00DE616F">
        <w:t xml:space="preserve">Spickermann </w:t>
      </w:r>
      <w:r w:rsidR="00F633AE">
        <w:t xml:space="preserve">can be seen arguing for the </w:t>
      </w:r>
      <w:r w:rsidR="00F633AE" w:rsidRPr="00F633AE">
        <w:rPr>
          <w:i/>
        </w:rPr>
        <w:t>Grand Strategy Model</w:t>
      </w:r>
      <w:r w:rsidR="00F633AE">
        <w:rPr>
          <w:i/>
        </w:rPr>
        <w:t xml:space="preserve"> </w:t>
      </w:r>
      <w:r w:rsidR="00F633AE">
        <w:t>with regards to their work on the region of Germania. Their position is</w:t>
      </w:r>
      <w:r w:rsidR="00AC1A2F">
        <w:t xml:space="preserve"> that the R</w:t>
      </w:r>
      <w:r w:rsidR="00F633AE">
        <w:t>oman state after finding the situation east of the Rhine had become untenable</w:t>
      </w:r>
      <w:r w:rsidR="00AC1A2F">
        <w:t>,</w:t>
      </w:r>
      <w:r w:rsidR="00F633AE">
        <w:t xml:space="preserve"> adopted a </w:t>
      </w:r>
      <w:r w:rsidR="00F76539">
        <w:t>new stance to deal with the situation in what they term as the Roman</w:t>
      </w:r>
      <w:r w:rsidR="00F633AE">
        <w:t xml:space="preserve"> ‘</w:t>
      </w:r>
      <w:r w:rsidR="00F633AE" w:rsidRPr="00F633AE">
        <w:t>Germania policy</w:t>
      </w:r>
      <w:r w:rsidR="00F633AE">
        <w:t xml:space="preserve">’. This policy was apparently that the Roman </w:t>
      </w:r>
      <w:r w:rsidR="00F76539">
        <w:t xml:space="preserve">state </w:t>
      </w:r>
      <w:r w:rsidR="00F76539" w:rsidRPr="00F633AE">
        <w:t>attempted</w:t>
      </w:r>
      <w:r w:rsidR="00F76539">
        <w:t xml:space="preserve"> to make a fully realised Roman province east of the Rhine</w:t>
      </w:r>
      <w:r w:rsidR="00F6641B">
        <w:t>,</w:t>
      </w:r>
      <w:r w:rsidR="00F76539">
        <w:t xml:space="preserve"> but after a series of setback</w:t>
      </w:r>
      <w:r w:rsidR="001675ED">
        <w:t>s</w:t>
      </w:r>
      <w:r w:rsidR="00F76539">
        <w:t xml:space="preserve"> adopted a new stance of defence and diplomatic pressure. The Rhine was chosen because it was easier t</w:t>
      </w:r>
      <w:r w:rsidR="00F6641B">
        <w:t xml:space="preserve">o defend and the Roman policy </w:t>
      </w:r>
      <w:r w:rsidR="00F76539">
        <w:t xml:space="preserve">came to build upon this defence line whilst supporting </w:t>
      </w:r>
      <w:r w:rsidR="001675ED">
        <w:t xml:space="preserve">weaker Germanic states against their enemies to keep any potential hegemony of the region from occurring </w:t>
      </w:r>
      <w:r w:rsidR="001675ED">
        <w:rPr>
          <w:rStyle w:val="FootnoteReference"/>
        </w:rPr>
        <w:footnoteReference w:id="3"/>
      </w:r>
      <w:r w:rsidR="001675ED">
        <w:t xml:space="preserve">. </w:t>
      </w:r>
      <w:r w:rsidR="00866E19">
        <w:t>This position of Wiegels and Spickermann ca</w:t>
      </w:r>
      <w:r w:rsidR="00F6641B">
        <w:t>n clearly be seen as that of</w:t>
      </w:r>
      <w:r w:rsidR="00866E19">
        <w:t xml:space="preserve"> subscribing to the </w:t>
      </w:r>
      <w:r w:rsidR="00866E19" w:rsidRPr="00866E19">
        <w:rPr>
          <w:i/>
        </w:rPr>
        <w:t>Grand Strategy Model</w:t>
      </w:r>
      <w:r w:rsidR="00866E19">
        <w:rPr>
          <w:i/>
        </w:rPr>
        <w:t>,</w:t>
      </w:r>
      <w:r w:rsidR="00866E19">
        <w:t xml:space="preserve"> </w:t>
      </w:r>
      <w:r w:rsidR="00F6641B">
        <w:t xml:space="preserve">as </w:t>
      </w:r>
      <w:r w:rsidR="00866E19">
        <w:t>it makes reference to a policy directed by the state regarding the defence of the empire</w:t>
      </w:r>
      <w:r w:rsidR="00F6641B">
        <w:t>, which</w:t>
      </w:r>
      <w:r w:rsidR="00866E19">
        <w:t xml:space="preserve"> is indicative of strategic planning on a state level. The halt of expansion along the Rhine is shown to be one of a state level decision, with the Romans choosing the Rhine</w:t>
      </w:r>
      <w:r w:rsidR="00382649">
        <w:t xml:space="preserve"> for a strategic reason after the attempts</w:t>
      </w:r>
      <w:r w:rsidR="00866E19">
        <w:t xml:space="preserve"> </w:t>
      </w:r>
      <w:r w:rsidR="00D7608E">
        <w:t>to pacify</w:t>
      </w:r>
      <w:r w:rsidR="00382649">
        <w:t xml:space="preserve"> the region east of the Rhine had failed. </w:t>
      </w:r>
    </w:p>
    <w:p w:rsidR="00382649" w:rsidRDefault="00382649" w:rsidP="006F4EBA">
      <w:pPr>
        <w:spacing w:line="360" w:lineRule="auto"/>
      </w:pPr>
    </w:p>
    <w:p w:rsidR="00E25A13" w:rsidRDefault="00382649" w:rsidP="006F4EBA">
      <w:pPr>
        <w:spacing w:line="360" w:lineRule="auto"/>
      </w:pPr>
      <w:r>
        <w:t xml:space="preserve">There is also evidence by </w:t>
      </w:r>
      <w:r w:rsidRPr="00382649">
        <w:t xml:space="preserve">contemporary </w:t>
      </w:r>
      <w:r>
        <w:t xml:space="preserve">sources during the Roman halt on the Rhine to support the </w:t>
      </w:r>
      <w:r w:rsidRPr="00382649">
        <w:rPr>
          <w:i/>
        </w:rPr>
        <w:t>Grand Strategy Model</w:t>
      </w:r>
      <w:r>
        <w:rPr>
          <w:i/>
        </w:rPr>
        <w:t>’s</w:t>
      </w:r>
      <w:r>
        <w:t xml:space="preserve"> conviction</w:t>
      </w:r>
      <w:r w:rsidR="00D7608E">
        <w:t>; in</w:t>
      </w:r>
      <w:r>
        <w:t xml:space="preserve"> that the halt of expansion was a strategic and state level decision over that </w:t>
      </w:r>
      <w:r w:rsidR="00E07F11">
        <w:t xml:space="preserve">of a </w:t>
      </w:r>
      <w:r>
        <w:t xml:space="preserve">simple </w:t>
      </w:r>
      <w:r w:rsidR="008F5ECE">
        <w:t>development</w:t>
      </w:r>
      <w:r>
        <w:t xml:space="preserve"> of circumstances. </w:t>
      </w:r>
      <w:r w:rsidR="008E2BBA">
        <w:t>Velleius Paterculus</w:t>
      </w:r>
      <w:r w:rsidR="00672738">
        <w:t xml:space="preserve"> was Roman of </w:t>
      </w:r>
      <w:r w:rsidR="00672738" w:rsidRPr="00672738">
        <w:t>equestrian class</w:t>
      </w:r>
      <w:r w:rsidR="0075649D">
        <w:t>, and</w:t>
      </w:r>
      <w:r w:rsidR="00672738">
        <w:t xml:space="preserve"> he served extensively with the Roman army and was </w:t>
      </w:r>
      <w:proofErr w:type="spellStart"/>
      <w:r w:rsidR="00672738" w:rsidRPr="00672738">
        <w:rPr>
          <w:i/>
        </w:rPr>
        <w:t>legatus</w:t>
      </w:r>
      <w:proofErr w:type="spellEnd"/>
      <w:r w:rsidR="00672738">
        <w:rPr>
          <w:i/>
        </w:rPr>
        <w:t xml:space="preserve"> </w:t>
      </w:r>
      <w:r w:rsidR="00672738">
        <w:t>under Tiberius during his campaigns east of the Rhine during the reign of the Emperor Augustus</w:t>
      </w:r>
      <w:r w:rsidR="003A016D">
        <w:t>. He was</w:t>
      </w:r>
      <w:r w:rsidR="00672738">
        <w:t xml:space="preserve"> therefore </w:t>
      </w:r>
      <w:proofErr w:type="gramStart"/>
      <w:r w:rsidR="00672738">
        <w:t>was</w:t>
      </w:r>
      <w:proofErr w:type="gramEnd"/>
      <w:r w:rsidR="00672738">
        <w:t xml:space="preserve"> alive when the Roman</w:t>
      </w:r>
      <w:r w:rsidR="003A016D">
        <w:t>s</w:t>
      </w:r>
      <w:r w:rsidR="00672738">
        <w:t xml:space="preserve"> apparently made the Rhine the boundary of the Empire, which he details in his work the </w:t>
      </w:r>
      <w:proofErr w:type="spellStart"/>
      <w:r w:rsidR="00672738" w:rsidRPr="00672738">
        <w:rPr>
          <w:i/>
        </w:rPr>
        <w:t>Historia</w:t>
      </w:r>
      <w:proofErr w:type="spellEnd"/>
      <w:r w:rsidR="00672738" w:rsidRPr="00672738">
        <w:rPr>
          <w:i/>
        </w:rPr>
        <w:t xml:space="preserve"> Romana</w:t>
      </w:r>
      <w:r w:rsidR="00672738">
        <w:rPr>
          <w:i/>
        </w:rPr>
        <w:t xml:space="preserve"> </w:t>
      </w:r>
      <w:r w:rsidR="00672738">
        <w:rPr>
          <w:rStyle w:val="FootnoteReference"/>
          <w:i/>
        </w:rPr>
        <w:footnoteReference w:id="4"/>
      </w:r>
      <w:r w:rsidR="00672738">
        <w:t>.</w:t>
      </w:r>
      <w:r w:rsidR="00B82D2D">
        <w:t xml:space="preserve"> Velleius states that the initial campaigns across the Rhine were highly successful and although the Germanic people were fierce</w:t>
      </w:r>
      <w:r w:rsidR="000C6782">
        <w:t>,</w:t>
      </w:r>
      <w:r w:rsidR="00B82D2D">
        <w:t xml:space="preserve"> they had little trouble conquering the areas up to the river Elbe </w:t>
      </w:r>
      <w:r w:rsidR="00C72A01">
        <w:t>and began the process of making it</w:t>
      </w:r>
      <w:r w:rsidR="000C6782">
        <w:t xml:space="preserve"> into a</w:t>
      </w:r>
      <w:r w:rsidR="00C72A01">
        <w:t xml:space="preserve"> province. This however</w:t>
      </w:r>
      <w:r w:rsidR="00EA399F">
        <w:t>,</w:t>
      </w:r>
      <w:r w:rsidR="00C72A01">
        <w:t xml:space="preserve"> did not come to pass as Velleius details</w:t>
      </w:r>
      <w:r w:rsidR="00EA399F">
        <w:t>, as</w:t>
      </w:r>
      <w:r w:rsidR="00C72A01">
        <w:t xml:space="preserve"> an uprising in </w:t>
      </w:r>
      <w:r w:rsidR="00C72A01" w:rsidRPr="00C72A01">
        <w:t>Pannonia</w:t>
      </w:r>
      <w:r w:rsidR="00EA399F">
        <w:t xml:space="preserve"> drew R</w:t>
      </w:r>
      <w:r w:rsidR="00C72A01">
        <w:t xml:space="preserve">oman forces </w:t>
      </w:r>
      <w:r w:rsidR="00EA399F">
        <w:t>away. A</w:t>
      </w:r>
      <w:r w:rsidR="00913464">
        <w:t xml:space="preserve">fter </w:t>
      </w:r>
      <w:r w:rsidR="00362FCC">
        <w:t>this uprising</w:t>
      </w:r>
      <w:r w:rsidR="00913464">
        <w:t xml:space="preserve"> was put down it was </w:t>
      </w:r>
      <w:r w:rsidR="00C72A01">
        <w:t>then followed by the disaster of the loss of three legions under Varus</w:t>
      </w:r>
      <w:r w:rsidR="00913464">
        <w:t xml:space="preserve"> in Germania</w:t>
      </w:r>
      <w:r w:rsidR="00C72A01">
        <w:t xml:space="preserve">. </w:t>
      </w:r>
      <w:r w:rsidR="00913464">
        <w:t xml:space="preserve">The campaign </w:t>
      </w:r>
      <w:r w:rsidR="00362FCC">
        <w:t xml:space="preserve">in Germania </w:t>
      </w:r>
      <w:r w:rsidR="00913464">
        <w:t xml:space="preserve">that Velleius details </w:t>
      </w:r>
      <w:r w:rsidR="00362FCC">
        <w:t xml:space="preserve">after the disaster and loss of control by the Romans is not one of </w:t>
      </w:r>
      <w:r w:rsidR="005A6FF5">
        <w:t>reconquering the area</w:t>
      </w:r>
      <w:r w:rsidR="007D397E">
        <w:t>;</w:t>
      </w:r>
      <w:r w:rsidR="005A6FF5">
        <w:t xml:space="preserve"> instead it is one</w:t>
      </w:r>
      <w:r w:rsidR="00362FCC">
        <w:t xml:space="preserve"> </w:t>
      </w:r>
      <w:r w:rsidR="007D397E">
        <w:t xml:space="preserve">of </w:t>
      </w:r>
      <w:r w:rsidR="005A6FF5">
        <w:t xml:space="preserve">brutal reprisal and protecting Roman controlled Gaul with the armies returning to winter quarters on the Rhine after campaigning </w:t>
      </w:r>
      <w:r w:rsidR="005A6FF5">
        <w:rPr>
          <w:rStyle w:val="FootnoteReference"/>
        </w:rPr>
        <w:footnoteReference w:id="5"/>
      </w:r>
      <w:r w:rsidR="005A6FF5">
        <w:t>. This account of the Roman activities</w:t>
      </w:r>
      <w:r w:rsidR="00150E72">
        <w:t xml:space="preserve"> with regards</w:t>
      </w:r>
      <w:r w:rsidR="00E731BE">
        <w:t xml:space="preserve"> to Germania is most likely what </w:t>
      </w:r>
      <w:r w:rsidR="00E731BE" w:rsidRPr="00E731BE">
        <w:t>Wiegels and Spickermann</w:t>
      </w:r>
      <w:r w:rsidR="00E731BE">
        <w:t xml:space="preserve"> based their view of a ‘Germania Policy’ on, and is thus supportive of the </w:t>
      </w:r>
      <w:r w:rsidR="00E731BE" w:rsidRPr="00E731BE">
        <w:rPr>
          <w:i/>
        </w:rPr>
        <w:t>Grand Strategy Model</w:t>
      </w:r>
      <w:r w:rsidR="00E731BE">
        <w:t xml:space="preserve">. </w:t>
      </w:r>
      <w:r w:rsidR="003E5B63">
        <w:t>The account fits into the understanding</w:t>
      </w:r>
      <w:r w:rsidR="004F3830">
        <w:t xml:space="preserve"> th</w:t>
      </w:r>
      <w:r w:rsidR="00310880">
        <w:t>at the Romans chose to abandon</w:t>
      </w:r>
      <w:r w:rsidR="004F3830">
        <w:t xml:space="preserve"> further expansion and settled on the Rhine as </w:t>
      </w:r>
      <w:r w:rsidR="00310880">
        <w:t xml:space="preserve">the </w:t>
      </w:r>
      <w:r w:rsidR="004F3830">
        <w:t xml:space="preserve">boundary for their Empire for a strategic reason. </w:t>
      </w:r>
      <w:r w:rsidR="00A70B47">
        <w:t>Velleius</w:t>
      </w:r>
      <w:r w:rsidR="00A70B47" w:rsidRPr="00A70B47">
        <w:t xml:space="preserve"> contemporary</w:t>
      </w:r>
      <w:r w:rsidR="00A70B47">
        <w:t xml:space="preserve"> account of the activities occurring east of the Rhine could be an indicator of this </w:t>
      </w:r>
      <w:r w:rsidR="00A70B47">
        <w:lastRenderedPageBreak/>
        <w:t xml:space="preserve">strategic thinking, </w:t>
      </w:r>
      <w:r w:rsidR="003A4131">
        <w:t xml:space="preserve">specifically </w:t>
      </w:r>
      <w:r w:rsidR="00A70B47">
        <w:t xml:space="preserve">with its lack of reference to any attempt to properly re-establish Roman control east of the Rhine beyond military supremacy. </w:t>
      </w:r>
      <w:r w:rsidR="003A4131">
        <w:t xml:space="preserve">Therefore, the ‘Germania Policy’ of </w:t>
      </w:r>
      <w:r w:rsidR="003A4131" w:rsidRPr="003A4131">
        <w:t>Wiegels and Spickermann</w:t>
      </w:r>
      <w:r w:rsidR="003A4131">
        <w:t xml:space="preserve"> is one of strategic reasoning and is thus a subscriber to the </w:t>
      </w:r>
      <w:r w:rsidR="003A4131" w:rsidRPr="003A4131">
        <w:rPr>
          <w:i/>
        </w:rPr>
        <w:t>Grand Strategy Model</w:t>
      </w:r>
      <w:r w:rsidR="003A4131">
        <w:rPr>
          <w:i/>
        </w:rPr>
        <w:t xml:space="preserve"> </w:t>
      </w:r>
      <w:r w:rsidR="003A4131">
        <w:t>at least with regards to long term planning and apparent direct</w:t>
      </w:r>
      <w:r w:rsidR="003C594B">
        <w:t xml:space="preserve">ed state policy on how to defend the empire </w:t>
      </w:r>
      <w:r w:rsidR="003C594B">
        <w:rPr>
          <w:rStyle w:val="FootnoteReference"/>
        </w:rPr>
        <w:footnoteReference w:id="6"/>
      </w:r>
      <w:r w:rsidR="003C594B">
        <w:t>.</w:t>
      </w:r>
      <w:r w:rsidR="003A4131">
        <w:t xml:space="preserve"> </w:t>
      </w:r>
    </w:p>
    <w:p w:rsidR="009F597A" w:rsidRDefault="009F597A" w:rsidP="006F4EBA">
      <w:pPr>
        <w:spacing w:line="360" w:lineRule="auto"/>
      </w:pPr>
    </w:p>
    <w:p w:rsidR="00014C6F" w:rsidRDefault="00EB2885" w:rsidP="006F4EBA">
      <w:pPr>
        <w:tabs>
          <w:tab w:val="left" w:pos="2160"/>
        </w:tabs>
        <w:spacing w:line="360" w:lineRule="auto"/>
      </w:pPr>
      <w:r>
        <w:t xml:space="preserve">The </w:t>
      </w:r>
      <w:r w:rsidRPr="00EB2885">
        <w:rPr>
          <w:i/>
        </w:rPr>
        <w:t>Grand Strategy Model</w:t>
      </w:r>
      <w:r>
        <w:rPr>
          <w:i/>
        </w:rPr>
        <w:t xml:space="preserve"> </w:t>
      </w:r>
      <w:r w:rsidR="009C6BED">
        <w:t xml:space="preserve">is also </w:t>
      </w:r>
      <w:r w:rsidR="002A7E4E">
        <w:t xml:space="preserve">based on the </w:t>
      </w:r>
      <w:r w:rsidR="0087743D">
        <w:t>fact that under the Emperor Augustus the Roman military underwent a number of reforms, the pri</w:t>
      </w:r>
      <w:r w:rsidR="005975BD">
        <w:t>nciple of which is the manner of</w:t>
      </w:r>
      <w:r w:rsidR="00541A5A">
        <w:t xml:space="preserve"> how best to defend the E</w:t>
      </w:r>
      <w:r w:rsidR="0087743D">
        <w:t>mpire from external threats. The solution according to Luttwak and his model was that of a mobile defence strategy directed on an empire state level</w:t>
      </w:r>
      <w:r w:rsidR="0081309A">
        <w:t xml:space="preserve"> and</w:t>
      </w:r>
      <w:r w:rsidR="0087743D">
        <w:t xml:space="preserve"> centred around fixed natural boundaries or </w:t>
      </w:r>
      <w:r w:rsidR="0087743D" w:rsidRPr="0087743D">
        <w:rPr>
          <w:i/>
        </w:rPr>
        <w:t>limes</w:t>
      </w:r>
      <w:r w:rsidR="00174E9C">
        <w:rPr>
          <w:i/>
        </w:rPr>
        <w:t>,</w:t>
      </w:r>
      <w:r w:rsidR="0087743D">
        <w:t xml:space="preserve"> </w:t>
      </w:r>
      <w:r w:rsidR="00D43B1C">
        <w:t xml:space="preserve">in order to provide the most effective protection with the available resources </w:t>
      </w:r>
      <w:r w:rsidR="00D43B1C">
        <w:rPr>
          <w:rStyle w:val="FootnoteReference"/>
        </w:rPr>
        <w:footnoteReference w:id="7"/>
      </w:r>
      <w:r w:rsidR="00A6233B">
        <w:t xml:space="preserve">. </w:t>
      </w:r>
      <w:r w:rsidR="00A51511">
        <w:t xml:space="preserve">Erdkamp provides the reasoning and evidence for this mobile defence strategy that the Romans employed in protecting their borders. </w:t>
      </w:r>
      <w:r w:rsidR="00A6233B">
        <w:t xml:space="preserve">The Roman state controlled a vast territory and as such a very extensive </w:t>
      </w:r>
      <w:r w:rsidR="0045703E">
        <w:t>frontier of roughly</w:t>
      </w:r>
      <w:r w:rsidR="00460C20">
        <w:t xml:space="preserve"> 4000 </w:t>
      </w:r>
      <w:r w:rsidR="00F65BE0">
        <w:t>miles</w:t>
      </w:r>
      <w:r w:rsidR="00460C20">
        <w:t xml:space="preserve"> </w:t>
      </w:r>
      <w:r w:rsidR="00A6233B">
        <w:t>which needed to be protected,</w:t>
      </w:r>
      <w:r w:rsidR="00BF4F02">
        <w:t xml:space="preserve"> by roughly 300,000 troops. Such a vast area meant that centralising all their forces woul</w:t>
      </w:r>
      <w:r w:rsidR="00F65BE0">
        <w:t>d mean they could</w:t>
      </w:r>
      <w:r w:rsidR="00674B7B">
        <w:t xml:space="preserve"> never respond</w:t>
      </w:r>
      <w:r w:rsidR="00BF4F02">
        <w:t xml:space="preserve"> to a threat and that manning the whole frontier would result in much the same problem. </w:t>
      </w:r>
      <w:r w:rsidR="00A6233B">
        <w:t>Erdkamp states that a mobile defence strategy was the only plausible way to protect</w:t>
      </w:r>
      <w:r w:rsidR="00BF4F02">
        <w:t xml:space="preserve"> such</w:t>
      </w:r>
      <w:r w:rsidR="00A6233B">
        <w:t xml:space="preserve"> a vast</w:t>
      </w:r>
      <w:r w:rsidR="00BF4F02">
        <w:t xml:space="preserve"> area </w:t>
      </w:r>
      <w:r w:rsidR="00F63669">
        <w:t xml:space="preserve">and by allocating troops in positions in which they could quickly response to incursions in force. The evidence Erdkamp uses is the placement of fortifications throughout the empire, </w:t>
      </w:r>
      <w:r w:rsidR="00F65BE0">
        <w:t>specifically the</w:t>
      </w:r>
      <w:r w:rsidR="00F63669">
        <w:t xml:space="preserve"> fact they position</w:t>
      </w:r>
      <w:r w:rsidR="00674B7B">
        <w:t>ed</w:t>
      </w:r>
      <w:r w:rsidR="00F63669">
        <w:t xml:space="preserve"> them near natural boundaries which provide a natural protection for the Romans and obstacle for their enemies</w:t>
      </w:r>
      <w:r w:rsidR="0014417A">
        <w:t>. This placement of troops would mean that Rom</w:t>
      </w:r>
      <w:r w:rsidR="00674B7B">
        <w:t>an forces could quickly respond</w:t>
      </w:r>
      <w:r w:rsidR="0014417A">
        <w:t xml:space="preserve"> to incursions in force without having to man the entire frontier of the Empire,</w:t>
      </w:r>
      <w:r w:rsidR="00F63669">
        <w:t xml:space="preserve"> </w:t>
      </w:r>
      <w:r w:rsidR="0014417A">
        <w:t xml:space="preserve">thus in Erdkamp’s </w:t>
      </w:r>
      <w:r w:rsidR="00674B7B">
        <w:t>view the Romans are subscribing</w:t>
      </w:r>
      <w:r w:rsidR="0014417A">
        <w:t xml:space="preserve"> to a mobile defence strategy  </w:t>
      </w:r>
      <w:r w:rsidR="00F63669">
        <w:rPr>
          <w:rStyle w:val="FootnoteReference"/>
        </w:rPr>
        <w:footnoteReference w:id="8"/>
      </w:r>
      <w:r w:rsidR="0014417A">
        <w:t xml:space="preserve">. </w:t>
      </w:r>
    </w:p>
    <w:p w:rsidR="00014C6F" w:rsidRDefault="00014C6F" w:rsidP="006F4EBA">
      <w:pPr>
        <w:tabs>
          <w:tab w:val="left" w:pos="2160"/>
        </w:tabs>
        <w:spacing w:line="360" w:lineRule="auto"/>
      </w:pPr>
    </w:p>
    <w:p w:rsidR="00FB2C6C" w:rsidRPr="00FB2C6C" w:rsidRDefault="0014417A" w:rsidP="006F4EBA">
      <w:pPr>
        <w:tabs>
          <w:tab w:val="left" w:pos="2160"/>
        </w:tabs>
        <w:spacing w:line="360" w:lineRule="auto"/>
      </w:pPr>
      <w:r>
        <w:t xml:space="preserve">Therefore, with the mobile defence strategy being a critical part of the </w:t>
      </w:r>
      <w:r w:rsidRPr="0014417A">
        <w:rPr>
          <w:i/>
        </w:rPr>
        <w:t>Grand Strategy Model</w:t>
      </w:r>
      <w:r>
        <w:t xml:space="preserve">, Erdkamp’s support and inclusion of it within his work would indicate that </w:t>
      </w:r>
      <w:r w:rsidR="002A494A">
        <w:t>he</w:t>
      </w:r>
      <w:r>
        <w:t xml:space="preserve"> supports the </w:t>
      </w:r>
      <w:r>
        <w:rPr>
          <w:i/>
        </w:rPr>
        <w:t xml:space="preserve">Grand Strategy Model </w:t>
      </w:r>
      <w:r w:rsidR="00DE4073">
        <w:t xml:space="preserve">to degree that it </w:t>
      </w:r>
      <w:r w:rsidR="00B423A4">
        <w:t xml:space="preserve">is </w:t>
      </w:r>
      <w:r w:rsidR="00DE4073">
        <w:t>the most logical conclusion that can be reached with</w:t>
      </w:r>
      <w:r w:rsidR="00724A92">
        <w:t xml:space="preserve"> the</w:t>
      </w:r>
      <w:r w:rsidR="00DE4073">
        <w:t xml:space="preserve"> available evidence. Tacitus in his works </w:t>
      </w:r>
      <w:r w:rsidR="00DE4073" w:rsidRPr="00DE4073">
        <w:rPr>
          <w:i/>
        </w:rPr>
        <w:t>The Annals of Imperial Rome</w:t>
      </w:r>
      <w:r w:rsidR="00DE4073" w:rsidRPr="00DE4073">
        <w:t xml:space="preserve"> </w:t>
      </w:r>
      <w:r w:rsidR="00DE4073">
        <w:t>includes a detailed description of the disposition of the armies in AD 14 which some scholars such as Erdkamp and Luttwak view as Mobile Defence as state policy</w:t>
      </w:r>
      <w:r w:rsidR="000D17F1">
        <w:t xml:space="preserve"> </w:t>
      </w:r>
      <w:r w:rsidR="000D17F1">
        <w:rPr>
          <w:rStyle w:val="FootnoteReference"/>
        </w:rPr>
        <w:footnoteReference w:id="9"/>
      </w:r>
      <w:r w:rsidR="00DE4073">
        <w:t xml:space="preserve">. </w:t>
      </w:r>
      <w:r w:rsidR="000D17F1">
        <w:t xml:space="preserve">The description Tacitus provides </w:t>
      </w:r>
      <w:r w:rsidR="008E430D">
        <w:t>was</w:t>
      </w:r>
      <w:r w:rsidR="0066434F">
        <w:t xml:space="preserve"> that the main strength of the Roman army </w:t>
      </w:r>
      <w:r w:rsidR="001067FF">
        <w:t xml:space="preserve">was positioned on the Rhine to protect against the </w:t>
      </w:r>
      <w:r w:rsidR="001067FF" w:rsidRPr="001067FF">
        <w:rPr>
          <w:i/>
        </w:rPr>
        <w:t>‘Germanics’</w:t>
      </w:r>
      <w:r w:rsidR="001067FF">
        <w:t xml:space="preserve"> and </w:t>
      </w:r>
      <w:r w:rsidR="001067FF" w:rsidRPr="001067FF">
        <w:rPr>
          <w:i/>
        </w:rPr>
        <w:t>‘Gauls’</w:t>
      </w:r>
      <w:r w:rsidR="001067FF">
        <w:t xml:space="preserve"> as well as a force stationed in Dalmatia that was position</w:t>
      </w:r>
      <w:r w:rsidR="00A43E5A">
        <w:t>ed</w:t>
      </w:r>
      <w:r w:rsidR="001067FF">
        <w:t xml:space="preserve"> there to support the forces on the Danube or could </w:t>
      </w:r>
      <w:r w:rsidR="001067FF">
        <w:lastRenderedPageBreak/>
        <w:t xml:space="preserve">move into Italy at short notice if needed </w:t>
      </w:r>
      <w:r w:rsidR="001067FF">
        <w:rPr>
          <w:rStyle w:val="FootnoteReference"/>
        </w:rPr>
        <w:footnoteReference w:id="10"/>
      </w:r>
      <w:r w:rsidR="001067FF">
        <w:t>.</w:t>
      </w:r>
      <w:r w:rsidR="00FA3C89">
        <w:t xml:space="preserve"> </w:t>
      </w:r>
      <w:r w:rsidR="008E430D">
        <w:t xml:space="preserve">This </w:t>
      </w:r>
      <w:r w:rsidR="00F16D6F">
        <w:t xml:space="preserve">description of the placement of the legions in AD 14 along natural barriers combined with the statement that certain legions were positioned to provide support to other legions or areas they were not stationed in is clearly a mobile defence strategy. </w:t>
      </w:r>
      <w:r w:rsidR="009965B8">
        <w:t xml:space="preserve">Furthermore, the fact that a mobile defence strategy is even present within Roman military organisation indicates a level of empire wide strategic thinking and state directed policy of defence. </w:t>
      </w:r>
      <w:r w:rsidR="001078F7">
        <w:t xml:space="preserve">Therefore, </w:t>
      </w:r>
      <w:r w:rsidR="00153B42">
        <w:t>with placement of the legions as well as their apparent operating methods provided by Tacitus</w:t>
      </w:r>
      <w:r w:rsidR="00A43E5A">
        <w:t>,</w:t>
      </w:r>
      <w:r w:rsidR="00153B42">
        <w:t xml:space="preserve"> it is clear that there existed some form of overarching strategic defence of the Empire, as found in the </w:t>
      </w:r>
      <w:r w:rsidR="00153B42">
        <w:rPr>
          <w:i/>
        </w:rPr>
        <w:t>Grand Strategy Model</w:t>
      </w:r>
      <w:r w:rsidR="00153B42" w:rsidRPr="00FB2C6C">
        <w:t xml:space="preserve">. </w:t>
      </w:r>
    </w:p>
    <w:p w:rsidR="00FB2C6C" w:rsidRDefault="00FB2C6C" w:rsidP="006F4EBA">
      <w:pPr>
        <w:tabs>
          <w:tab w:val="left" w:pos="2160"/>
        </w:tabs>
        <w:spacing w:line="360" w:lineRule="auto"/>
        <w:rPr>
          <w:i/>
        </w:rPr>
      </w:pPr>
    </w:p>
    <w:p w:rsidR="00150E72" w:rsidRDefault="00153B42" w:rsidP="006F4EBA">
      <w:pPr>
        <w:tabs>
          <w:tab w:val="left" w:pos="2160"/>
        </w:tabs>
        <w:spacing w:line="360" w:lineRule="auto"/>
      </w:pPr>
      <w:r>
        <w:t xml:space="preserve">However, the </w:t>
      </w:r>
      <w:r w:rsidRPr="0014417A">
        <w:rPr>
          <w:i/>
        </w:rPr>
        <w:t>Grand Strategy Model</w:t>
      </w:r>
      <w:r w:rsidR="00FB2C6C">
        <w:t xml:space="preserve"> has faced criticism and opposition since it was first </w:t>
      </w:r>
      <w:r w:rsidR="00A43E5A">
        <w:t>presented by Luttwak in 1976.</w:t>
      </w:r>
      <w:r w:rsidR="00FB2C6C">
        <w:t xml:space="preserve"> </w:t>
      </w:r>
      <w:r w:rsidR="00A43E5A">
        <w:t>S</w:t>
      </w:r>
      <w:r w:rsidR="00FB2C6C">
        <w:t>inc</w:t>
      </w:r>
      <w:r w:rsidR="00014C6F">
        <w:t>e then</w:t>
      </w:r>
      <w:r w:rsidR="00A43E5A">
        <w:t>,</w:t>
      </w:r>
      <w:r w:rsidR="00014C6F">
        <w:t xml:space="preserve"> scholars</w:t>
      </w:r>
      <w:r w:rsidR="00A43E5A">
        <w:t xml:space="preserve"> as Kagan </w:t>
      </w:r>
      <w:r w:rsidR="00014C6F">
        <w:t>have debated</w:t>
      </w:r>
      <w:r w:rsidR="00FB2C6C">
        <w:t xml:space="preserve"> its viability as model as a whole </w:t>
      </w:r>
      <w:r w:rsidR="00014C6F">
        <w:t xml:space="preserve">as well as key aspects of the </w:t>
      </w:r>
      <w:r w:rsidR="00014C6F" w:rsidRPr="00014C6F">
        <w:rPr>
          <w:i/>
        </w:rPr>
        <w:t>Grand Strategy Model</w:t>
      </w:r>
      <w:r w:rsidR="00014C6F">
        <w:rPr>
          <w:i/>
        </w:rPr>
        <w:t>.</w:t>
      </w:r>
      <w:r w:rsidR="00014C6F">
        <w:t xml:space="preserve"> </w:t>
      </w:r>
      <w:proofErr w:type="spellStart"/>
      <w:r w:rsidR="00014C6F">
        <w:t>Kagan’s</w:t>
      </w:r>
      <w:proofErr w:type="spellEnd"/>
      <w:r w:rsidR="00014C6F">
        <w:t xml:space="preserve"> work ‘</w:t>
      </w:r>
      <w:r w:rsidR="00014C6F" w:rsidRPr="00014C6F">
        <w:rPr>
          <w:i/>
        </w:rPr>
        <w:t>Redefining Roman Grand Strategy</w:t>
      </w:r>
      <w:r w:rsidR="00014C6F">
        <w:rPr>
          <w:i/>
        </w:rPr>
        <w:t xml:space="preserve">’ </w:t>
      </w:r>
      <w:r w:rsidR="00014C6F">
        <w:t xml:space="preserve">is attempt to adjust the </w:t>
      </w:r>
      <w:r w:rsidR="00014C6F" w:rsidRPr="00014C6F">
        <w:rPr>
          <w:i/>
        </w:rPr>
        <w:t>Grand Strategy Model</w:t>
      </w:r>
      <w:r w:rsidR="00014C6F">
        <w:rPr>
          <w:i/>
        </w:rPr>
        <w:t xml:space="preserve"> </w:t>
      </w:r>
      <w:r w:rsidR="00014C6F">
        <w:t>to resolve the issues that modern scholars have w</w:t>
      </w:r>
      <w:r w:rsidR="008C21F8">
        <w:t>ith it. One such example is the key issue of directed state polic</w:t>
      </w:r>
      <w:r w:rsidR="00247DEB">
        <w:t>y towards the frontiers of the E</w:t>
      </w:r>
      <w:r w:rsidR="008C21F8">
        <w:t xml:space="preserve">mpire and centralised administration. Kagan resolves this issue by </w:t>
      </w:r>
      <w:r w:rsidR="00373E66">
        <w:t xml:space="preserve">stating that </w:t>
      </w:r>
      <w:proofErr w:type="spellStart"/>
      <w:r w:rsidR="00373E66">
        <w:t>Luttwak’s</w:t>
      </w:r>
      <w:proofErr w:type="spellEnd"/>
      <w:r w:rsidR="00373E66">
        <w:t xml:space="preserve"> paradigm was incorrect if one equates the term</w:t>
      </w:r>
      <w:r w:rsidR="0081223F">
        <w:t>s</w:t>
      </w:r>
      <w:r w:rsidR="00373E66">
        <w:t xml:space="preserve"> “Grand Strategy” with “systematic planning”</w:t>
      </w:r>
      <w:r w:rsidR="0081223F">
        <w:t xml:space="preserve"> and that by using the term ‘Grand Strategy’ the issue becomes one of, to what degree was there a continuous state policy through successive emperors.</w:t>
      </w:r>
      <w:r w:rsidR="00C912C7">
        <w:t xml:space="preserve"> </w:t>
      </w:r>
      <w:proofErr w:type="spellStart"/>
      <w:r w:rsidR="00C912C7">
        <w:t>Kagan</w:t>
      </w:r>
      <w:r w:rsidR="001D6229">
        <w:t>’s</w:t>
      </w:r>
      <w:proofErr w:type="spellEnd"/>
      <w:r w:rsidR="00C912C7">
        <w:t xml:space="preserve"> answer is that a “Grand Strategy” did exist and can clearly be seen by Roman policy and management of the frontier regions as well as the army’s disposition across the empire. </w:t>
      </w:r>
      <w:r w:rsidR="00873D6A">
        <w:t>However,</w:t>
      </w:r>
      <w:r w:rsidR="00C912C7">
        <w:t xml:space="preserve"> Kagan argues that this was not a result of direct realisation on the state</w:t>
      </w:r>
      <w:r w:rsidR="007C2C98">
        <w:t>’</w:t>
      </w:r>
      <w:r w:rsidR="00C912C7">
        <w:t xml:space="preserve">s part but a natural development </w:t>
      </w:r>
      <w:r w:rsidR="00873D6A">
        <w:t>of imperial expansion</w:t>
      </w:r>
      <w:r w:rsidR="0042741C">
        <w:t>. The state directs efforts to protect the out reaches of their empire</w:t>
      </w:r>
      <w:r w:rsidR="00873D6A">
        <w:t xml:space="preserve"> </w:t>
      </w:r>
      <w:r w:rsidR="0042741C">
        <w:t>through the most logical means and this continues in the same fashion until the situation changes significantly. Kagan states that with</w:t>
      </w:r>
      <w:r w:rsidR="00325A40">
        <w:t xml:space="preserve"> </w:t>
      </w:r>
      <w:r w:rsidR="00F1446B">
        <w:t xml:space="preserve">the </w:t>
      </w:r>
      <w:r w:rsidR="00325A40">
        <w:t xml:space="preserve">Roman method of dealing with the frontier </w:t>
      </w:r>
      <w:r w:rsidR="0085173F">
        <w:t xml:space="preserve">region </w:t>
      </w:r>
      <w:r w:rsidR="00325A40">
        <w:t xml:space="preserve">meant that </w:t>
      </w:r>
      <w:r w:rsidR="0042741C">
        <w:t xml:space="preserve">the situation did not alter greatly </w:t>
      </w:r>
      <w:r w:rsidR="00325A40">
        <w:t>for nearly 3 centuries and as such</w:t>
      </w:r>
      <w:r w:rsidR="007C2C98">
        <w:t>,</w:t>
      </w:r>
      <w:r w:rsidR="00325A40">
        <w:t xml:space="preserve"> what appears to have existed is a continuous direct state policy </w:t>
      </w:r>
      <w:r w:rsidR="00325A40">
        <w:rPr>
          <w:rStyle w:val="FootnoteReference"/>
        </w:rPr>
        <w:footnoteReference w:id="11"/>
      </w:r>
      <w:r w:rsidR="00325A40">
        <w:t xml:space="preserve">. </w:t>
      </w:r>
      <w:r w:rsidR="00322696">
        <w:t xml:space="preserve">Therefore, although Kagan is critical like many of the level of overall state involvement with the development of the situation that occurs on the Empires borders, she views the </w:t>
      </w:r>
      <w:r w:rsidR="00322696" w:rsidRPr="00322696">
        <w:rPr>
          <w:i/>
        </w:rPr>
        <w:t>Grand Strategy Model</w:t>
      </w:r>
      <w:r w:rsidR="00322696">
        <w:t xml:space="preserve"> as being a useful framework when dealing with Roman interactions across its borders and its defensive </w:t>
      </w:r>
      <w:r w:rsidR="00A54226">
        <w:t>ideology</w:t>
      </w:r>
      <w:r w:rsidR="00322696">
        <w:t xml:space="preserve">. </w:t>
      </w:r>
    </w:p>
    <w:p w:rsidR="007C2C98" w:rsidRDefault="007C2C98" w:rsidP="006F4EBA">
      <w:pPr>
        <w:tabs>
          <w:tab w:val="left" w:pos="2160"/>
        </w:tabs>
        <w:spacing w:line="360" w:lineRule="auto"/>
      </w:pPr>
    </w:p>
    <w:p w:rsidR="007C2C98" w:rsidRDefault="007C2C98" w:rsidP="006F4EBA">
      <w:pPr>
        <w:tabs>
          <w:tab w:val="left" w:pos="2160"/>
        </w:tabs>
        <w:spacing w:line="360" w:lineRule="auto"/>
      </w:pPr>
    </w:p>
    <w:p w:rsidR="00A43E5A" w:rsidRDefault="00A43E5A" w:rsidP="006F4EBA">
      <w:pPr>
        <w:tabs>
          <w:tab w:val="left" w:pos="2160"/>
        </w:tabs>
        <w:spacing w:line="360" w:lineRule="auto"/>
      </w:pPr>
    </w:p>
    <w:p w:rsidR="00E25A13" w:rsidRDefault="00E25A13" w:rsidP="00E25A13">
      <w:pPr>
        <w:pStyle w:val="Heading1"/>
        <w:rPr>
          <w:rFonts w:ascii="Times New Roman" w:hAnsi="Times New Roman" w:cs="Times New Roman"/>
          <w:color w:val="auto"/>
        </w:rPr>
      </w:pPr>
      <w:r w:rsidRPr="00E25A13">
        <w:rPr>
          <w:rFonts w:ascii="Times New Roman" w:hAnsi="Times New Roman" w:cs="Times New Roman"/>
          <w:color w:val="auto"/>
        </w:rPr>
        <w:lastRenderedPageBreak/>
        <w:t>Bibliograp</w:t>
      </w:r>
      <w:bookmarkStart w:id="0" w:name="_GoBack"/>
      <w:bookmarkEnd w:id="0"/>
      <w:r w:rsidRPr="00E25A13">
        <w:rPr>
          <w:rFonts w:ascii="Times New Roman" w:hAnsi="Times New Roman" w:cs="Times New Roman"/>
          <w:color w:val="auto"/>
        </w:rPr>
        <w:t xml:space="preserve">hy </w:t>
      </w:r>
    </w:p>
    <w:p w:rsidR="00E25A13" w:rsidRDefault="00E25A13" w:rsidP="00E25A13"/>
    <w:p w:rsidR="00E25A13" w:rsidRPr="00E25A13" w:rsidRDefault="00E25A13" w:rsidP="00E25A13">
      <w:pPr>
        <w:rPr>
          <w:b/>
          <w:u w:val="single"/>
        </w:rPr>
      </w:pPr>
      <w:r w:rsidRPr="00E25A13">
        <w:rPr>
          <w:b/>
          <w:u w:val="single"/>
        </w:rPr>
        <w:t xml:space="preserve">Ancient Sources </w:t>
      </w:r>
    </w:p>
    <w:p w:rsidR="008F5ECE" w:rsidRPr="00E25A13" w:rsidRDefault="008F5ECE" w:rsidP="00E25A13">
      <w:r w:rsidRPr="008F5ECE">
        <w:t xml:space="preserve">Augustus. Res Gestae </w:t>
      </w:r>
      <w:proofErr w:type="spellStart"/>
      <w:r w:rsidRPr="008F5ECE">
        <w:t>Divi</w:t>
      </w:r>
      <w:proofErr w:type="spellEnd"/>
      <w:r w:rsidRPr="008F5ECE">
        <w:t xml:space="preserve"> </w:t>
      </w:r>
      <w:proofErr w:type="spellStart"/>
      <w:r w:rsidRPr="008F5ECE">
        <w:t>Augusti</w:t>
      </w:r>
      <w:proofErr w:type="spellEnd"/>
      <w:r w:rsidRPr="008F5ECE">
        <w:t xml:space="preserve">. F. W. Shipley (trans.). 1992. Cambridge, Massachusetts: Harvard University Press.     </w:t>
      </w:r>
    </w:p>
    <w:p w:rsidR="008F5ECE" w:rsidRDefault="008F5ECE" w:rsidP="00CE71F1">
      <w:pPr>
        <w:tabs>
          <w:tab w:val="left" w:pos="990"/>
        </w:tabs>
      </w:pPr>
      <w:r w:rsidRPr="00CE71F1">
        <w:t xml:space="preserve">Tacitus. Germania. H. W. Benario (trans.) 1999. United Kingdom, Wiltshire: </w:t>
      </w:r>
      <w:proofErr w:type="spellStart"/>
      <w:r w:rsidRPr="00CE71F1">
        <w:t>Aris</w:t>
      </w:r>
      <w:proofErr w:type="spellEnd"/>
      <w:r w:rsidRPr="00CE71F1">
        <w:t xml:space="preserve"> and Philips Ltd.  </w:t>
      </w:r>
    </w:p>
    <w:p w:rsidR="008F5ECE" w:rsidRDefault="008F5ECE" w:rsidP="00E25A13">
      <w:r w:rsidRPr="00787922">
        <w:t xml:space="preserve">Velleius Paterculus: The Roman History. F. W. Shipley (trans.). 1992. Cambridge, Massachusetts: Harvard University Press.     </w:t>
      </w:r>
    </w:p>
    <w:p w:rsidR="0014417A" w:rsidRDefault="0014417A" w:rsidP="00E25A13">
      <w:r w:rsidRPr="0014417A">
        <w:t>Tacitus. The Annals of Imperial Rome. M. Grant (trans.). 1996. United Kingdom, London: Penguin Books.</w:t>
      </w:r>
    </w:p>
    <w:p w:rsidR="00E25A13" w:rsidRDefault="00E25A13" w:rsidP="00E25A13">
      <w:pPr>
        <w:rPr>
          <w:b/>
          <w:u w:val="single"/>
        </w:rPr>
      </w:pPr>
      <w:r w:rsidRPr="00E25A13">
        <w:rPr>
          <w:b/>
          <w:u w:val="single"/>
        </w:rPr>
        <w:t>Modern Scholarship</w:t>
      </w:r>
    </w:p>
    <w:p w:rsidR="00014C6F" w:rsidRPr="006E0886" w:rsidRDefault="00014C6F" w:rsidP="006E0886">
      <w:r>
        <w:t>Erdkamp, P. (2011</w:t>
      </w:r>
      <w:r w:rsidRPr="00D75D03">
        <w:t>). A companion to the Roman army</w:t>
      </w:r>
      <w:r>
        <w:t xml:space="preserve">. United Kingdom: Blackwell Publishing Ltd. </w:t>
      </w:r>
    </w:p>
    <w:p w:rsidR="00014C6F" w:rsidRDefault="00014C6F" w:rsidP="006E0886">
      <w:proofErr w:type="spellStart"/>
      <w:r>
        <w:t>Fündling</w:t>
      </w:r>
      <w:proofErr w:type="spellEnd"/>
      <w:r>
        <w:t xml:space="preserve">, J. and </w:t>
      </w:r>
      <w:proofErr w:type="spellStart"/>
      <w:r>
        <w:t>Krapinger</w:t>
      </w:r>
      <w:proofErr w:type="spellEnd"/>
      <w:r>
        <w:t>, G. (2006.)</w:t>
      </w:r>
      <w:r w:rsidRPr="008F5ECE">
        <w:t xml:space="preserve"> “</w:t>
      </w:r>
      <w:proofErr w:type="gramStart"/>
      <w:r w:rsidRPr="008F5ECE">
        <w:t xml:space="preserve">Velleius” </w:t>
      </w:r>
      <w:r>
        <w:t xml:space="preserve">  </w:t>
      </w:r>
      <w:proofErr w:type="gramEnd"/>
      <w:r>
        <w:t xml:space="preserve">                                         </w:t>
      </w:r>
      <w:hyperlink r:id="rId7" w:history="1">
        <w:r w:rsidRPr="00876A41">
          <w:rPr>
            <w:rStyle w:val="Hyperlink"/>
          </w:rPr>
          <w:t>http://dx.doi.org/10.1163/1574-9347_bnp_e1229460</w:t>
        </w:r>
      </w:hyperlink>
      <w:r>
        <w:t xml:space="preserve"> [Accessed: 23</w:t>
      </w:r>
      <w:r w:rsidRPr="008F5ECE">
        <w:rPr>
          <w:vertAlign w:val="superscript"/>
        </w:rPr>
        <w:t>rd</w:t>
      </w:r>
      <w:r>
        <w:t xml:space="preserve"> January 2019]</w:t>
      </w:r>
    </w:p>
    <w:p w:rsidR="00014C6F" w:rsidRDefault="00014C6F" w:rsidP="00CE71F1">
      <w:r w:rsidRPr="00CE71F1">
        <w:t>Hedeager, L. (1987.) Empire, frontier and barbarian hinterland: Rome and northern Europe from AD 1-400. United Kingdom, London: Routledge</w:t>
      </w:r>
    </w:p>
    <w:p w:rsidR="00014C6F" w:rsidRDefault="00014C6F" w:rsidP="00CE71F1">
      <w:r w:rsidRPr="00787922">
        <w:t>Kagan</w:t>
      </w:r>
      <w:r>
        <w:t>, K</w:t>
      </w:r>
      <w:r w:rsidRPr="00787922">
        <w:t>.</w:t>
      </w:r>
      <w:r>
        <w:t xml:space="preserve"> (2006.) </w:t>
      </w:r>
      <w:r w:rsidRPr="00787922">
        <w:t xml:space="preserve"> “Redefining Roman Grand Strategy.” The Journal of Military History, vol. 70, no. 2, pp. 333–362</w:t>
      </w:r>
    </w:p>
    <w:p w:rsidR="00014C6F" w:rsidRDefault="00014C6F" w:rsidP="006E0886">
      <w:r>
        <w:t>Lewis.</w:t>
      </w:r>
      <w:r w:rsidRPr="003C594B">
        <w:t xml:space="preserve"> </w:t>
      </w:r>
      <w:r>
        <w:t>N. and Reinhold, M. (1990). Roman civilization: The Empire. United States, New York: Columbia University Press.</w:t>
      </w:r>
    </w:p>
    <w:p w:rsidR="00014C6F" w:rsidRDefault="00014C6F" w:rsidP="00CE71F1">
      <w:r>
        <w:t>Luttwak, E. (2016</w:t>
      </w:r>
      <w:r w:rsidRPr="00CE71F1">
        <w:t>). The grand strategy of the Roman Empire from the first cen</w:t>
      </w:r>
      <w:r>
        <w:t>tury AD to the third. Baltimore</w:t>
      </w:r>
      <w:r w:rsidRPr="00CE71F1">
        <w:t>; London: Johns Hopkins University Press.</w:t>
      </w:r>
    </w:p>
    <w:p w:rsidR="00014C6F" w:rsidRDefault="00014C6F" w:rsidP="00CE71F1">
      <w:r w:rsidRPr="00CE71F1">
        <w:t>Scheidel, W. Morris, I. and Saller, R. P. (2014). The Cambridge Economic History of the Greco-Roman World. United Kingdom, Cambridge: Cambridge University Press.</w:t>
      </w:r>
    </w:p>
    <w:p w:rsidR="00014C6F" w:rsidRDefault="00014C6F" w:rsidP="00E25A13">
      <w:r w:rsidRPr="00CE71F1">
        <w:t>Whittaker, C. (1994). Frontiers of the Roman Empire: A social and economic study. Baltimore, MD: Johns Hopkins University Press.</w:t>
      </w:r>
    </w:p>
    <w:p w:rsidR="00014C6F" w:rsidRDefault="00014C6F" w:rsidP="006E0886">
      <w:r w:rsidRPr="006E0886">
        <w:t xml:space="preserve">Wiegels, R. and Spickermann, W. </w:t>
      </w:r>
      <w:r>
        <w:t>(</w:t>
      </w:r>
      <w:r w:rsidRPr="006E0886">
        <w:t>2006.</w:t>
      </w:r>
      <w:r>
        <w:t>)</w:t>
      </w:r>
      <w:r w:rsidRPr="006E0886">
        <w:t xml:space="preserve"> “</w:t>
      </w:r>
      <w:proofErr w:type="spellStart"/>
      <w:r w:rsidRPr="006E0886">
        <w:t>Germani</w:t>
      </w:r>
      <w:proofErr w:type="spellEnd"/>
      <w:r w:rsidRPr="006E0886">
        <w:t xml:space="preserve">, Germania”. </w:t>
      </w:r>
      <w:hyperlink r:id="rId8" w:anchor="e422450" w:history="1">
        <w:r w:rsidRPr="006D50C3">
          <w:rPr>
            <w:rStyle w:val="Hyperlink"/>
          </w:rPr>
          <w:t>https://referenceworks.brillonline.com/entries/der-neue-pauly/germani-germania-e422340#e422450</w:t>
        </w:r>
      </w:hyperlink>
      <w:r>
        <w:t xml:space="preserve"> [Accessed: 23</w:t>
      </w:r>
      <w:r w:rsidRPr="006E0886">
        <w:rPr>
          <w:vertAlign w:val="superscript"/>
        </w:rPr>
        <w:t>rd</w:t>
      </w:r>
      <w:r>
        <w:t xml:space="preserve"> January 2019]</w:t>
      </w:r>
    </w:p>
    <w:sectPr w:rsidR="00014C6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54F" w:rsidRDefault="00ED354F" w:rsidP="00245744">
      <w:pPr>
        <w:spacing w:after="0" w:line="240" w:lineRule="auto"/>
      </w:pPr>
      <w:r>
        <w:separator/>
      </w:r>
    </w:p>
  </w:endnote>
  <w:endnote w:type="continuationSeparator" w:id="0">
    <w:p w:rsidR="00ED354F" w:rsidRDefault="00ED354F" w:rsidP="00245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2140603"/>
      <w:docPartObj>
        <w:docPartGallery w:val="Page Numbers (Bottom of Page)"/>
        <w:docPartUnique/>
      </w:docPartObj>
    </w:sdtPr>
    <w:sdtEndPr>
      <w:rPr>
        <w:color w:val="7F7F7F" w:themeColor="background1" w:themeShade="7F"/>
        <w:spacing w:val="60"/>
      </w:rPr>
    </w:sdtEndPr>
    <w:sdtContent>
      <w:p w:rsidR="00A730E0" w:rsidRDefault="00A730E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A730E0">
          <w:rPr>
            <w:b/>
            <w:bCs/>
            <w:noProof/>
          </w:rPr>
          <w:t>5</w:t>
        </w:r>
        <w:r>
          <w:rPr>
            <w:b/>
            <w:bCs/>
            <w:noProof/>
          </w:rPr>
          <w:fldChar w:fldCharType="end"/>
        </w:r>
        <w:r>
          <w:rPr>
            <w:b/>
            <w:bCs/>
          </w:rPr>
          <w:t xml:space="preserve"> | </w:t>
        </w:r>
        <w:r>
          <w:rPr>
            <w:color w:val="7F7F7F" w:themeColor="background1" w:themeShade="7F"/>
            <w:spacing w:val="60"/>
          </w:rPr>
          <w:t>Page</w:t>
        </w:r>
      </w:p>
    </w:sdtContent>
  </w:sdt>
  <w:p w:rsidR="00A730E0" w:rsidRDefault="00A73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54F" w:rsidRDefault="00ED354F" w:rsidP="00245744">
      <w:pPr>
        <w:spacing w:after="0" w:line="240" w:lineRule="auto"/>
      </w:pPr>
      <w:r>
        <w:separator/>
      </w:r>
    </w:p>
  </w:footnote>
  <w:footnote w:type="continuationSeparator" w:id="0">
    <w:p w:rsidR="00ED354F" w:rsidRDefault="00ED354F" w:rsidP="00245744">
      <w:pPr>
        <w:spacing w:after="0" w:line="240" w:lineRule="auto"/>
      </w:pPr>
      <w:r>
        <w:continuationSeparator/>
      </w:r>
    </w:p>
  </w:footnote>
  <w:footnote w:id="1">
    <w:p w:rsidR="00F7675D" w:rsidRPr="00F7675D" w:rsidRDefault="00F7675D" w:rsidP="00F7675D">
      <w:pPr>
        <w:pStyle w:val="FootnoteText"/>
      </w:pPr>
      <w:r>
        <w:rPr>
          <w:rStyle w:val="FootnoteReference"/>
        </w:rPr>
        <w:footnoteRef/>
      </w:r>
      <w:r>
        <w:t xml:space="preserve"> Luttwak 2016: 1-10</w:t>
      </w:r>
    </w:p>
  </w:footnote>
  <w:footnote w:id="2">
    <w:p w:rsidR="009D087D" w:rsidRDefault="009D087D">
      <w:pPr>
        <w:pStyle w:val="FootnoteText"/>
      </w:pPr>
      <w:r>
        <w:rPr>
          <w:rStyle w:val="FootnoteReference"/>
        </w:rPr>
        <w:footnoteRef/>
      </w:r>
      <w:r>
        <w:t xml:space="preserve"> Kagan 2006: 333-340</w:t>
      </w:r>
    </w:p>
  </w:footnote>
  <w:footnote w:id="3">
    <w:p w:rsidR="001675ED" w:rsidRDefault="001675ED">
      <w:pPr>
        <w:pStyle w:val="FootnoteText"/>
      </w:pPr>
      <w:r>
        <w:rPr>
          <w:rStyle w:val="FootnoteReference"/>
        </w:rPr>
        <w:footnoteRef/>
      </w:r>
      <w:r>
        <w:t xml:space="preserve"> Wiegels and Spickermann</w:t>
      </w:r>
      <w:r w:rsidRPr="001675ED">
        <w:t>. 2006</w:t>
      </w:r>
    </w:p>
  </w:footnote>
  <w:footnote w:id="4">
    <w:p w:rsidR="00672738" w:rsidRPr="00672738" w:rsidRDefault="00672738" w:rsidP="00672738">
      <w:pPr>
        <w:pStyle w:val="FootnoteText"/>
        <w:tabs>
          <w:tab w:val="left" w:pos="750"/>
        </w:tabs>
      </w:pPr>
      <w:r>
        <w:rPr>
          <w:rStyle w:val="FootnoteReference"/>
        </w:rPr>
        <w:footnoteRef/>
      </w:r>
      <w:r>
        <w:t xml:space="preserve"> </w:t>
      </w:r>
      <w:proofErr w:type="spellStart"/>
      <w:r>
        <w:t>Fündling</w:t>
      </w:r>
      <w:proofErr w:type="spellEnd"/>
      <w:r>
        <w:t xml:space="preserve"> </w:t>
      </w:r>
      <w:r w:rsidRPr="00672738">
        <w:t xml:space="preserve">and </w:t>
      </w:r>
      <w:proofErr w:type="spellStart"/>
      <w:r w:rsidRPr="00672738">
        <w:t>Krapinger</w:t>
      </w:r>
      <w:proofErr w:type="spellEnd"/>
      <w:r>
        <w:t xml:space="preserve"> 2006</w:t>
      </w:r>
    </w:p>
  </w:footnote>
  <w:footnote w:id="5">
    <w:p w:rsidR="005A6FF5" w:rsidRDefault="005A6FF5">
      <w:pPr>
        <w:pStyle w:val="FootnoteText"/>
      </w:pPr>
      <w:r>
        <w:rPr>
          <w:rStyle w:val="FootnoteReference"/>
        </w:rPr>
        <w:footnoteRef/>
      </w:r>
      <w:r>
        <w:t xml:space="preserve"> </w:t>
      </w:r>
      <w:proofErr w:type="spellStart"/>
      <w:r>
        <w:t>Vell</w:t>
      </w:r>
      <w:proofErr w:type="spellEnd"/>
      <w:r>
        <w:t>. Pat. 2. 105-130</w:t>
      </w:r>
    </w:p>
  </w:footnote>
  <w:footnote w:id="6">
    <w:p w:rsidR="003C594B" w:rsidRDefault="003C594B" w:rsidP="003C594B">
      <w:pPr>
        <w:pStyle w:val="FootnoteText"/>
        <w:tabs>
          <w:tab w:val="left" w:pos="930"/>
        </w:tabs>
      </w:pPr>
      <w:r>
        <w:rPr>
          <w:rStyle w:val="FootnoteReference"/>
        </w:rPr>
        <w:footnoteRef/>
      </w:r>
      <w:r>
        <w:t xml:space="preserve"> </w:t>
      </w:r>
      <w:r w:rsidRPr="003C594B">
        <w:t>Wiegels and Spickermann. 2006</w:t>
      </w:r>
    </w:p>
  </w:footnote>
  <w:footnote w:id="7">
    <w:p w:rsidR="00D43B1C" w:rsidRDefault="00D43B1C">
      <w:pPr>
        <w:pStyle w:val="FootnoteText"/>
      </w:pPr>
      <w:r>
        <w:rPr>
          <w:rStyle w:val="FootnoteReference"/>
        </w:rPr>
        <w:footnoteRef/>
      </w:r>
      <w:r>
        <w:t xml:space="preserve"> Luttwak 2016: </w:t>
      </w:r>
      <w:r w:rsidR="005661FA">
        <w:t>1-15</w:t>
      </w:r>
    </w:p>
  </w:footnote>
  <w:footnote w:id="8">
    <w:p w:rsidR="00F63669" w:rsidRDefault="00F63669">
      <w:pPr>
        <w:pStyle w:val="FootnoteText"/>
      </w:pPr>
      <w:r>
        <w:rPr>
          <w:rStyle w:val="FootnoteReference"/>
        </w:rPr>
        <w:footnoteRef/>
      </w:r>
      <w:r>
        <w:t xml:space="preserve"> </w:t>
      </w:r>
      <w:r w:rsidR="005661FA">
        <w:t xml:space="preserve">Erdkamp 2011: </w:t>
      </w:r>
      <w:r w:rsidR="00C15C6E">
        <w:t>228-232</w:t>
      </w:r>
    </w:p>
  </w:footnote>
  <w:footnote w:id="9">
    <w:p w:rsidR="000D17F1" w:rsidRDefault="000D17F1">
      <w:pPr>
        <w:pStyle w:val="FootnoteText"/>
      </w:pPr>
      <w:r>
        <w:rPr>
          <w:rStyle w:val="FootnoteReference"/>
        </w:rPr>
        <w:footnoteRef/>
      </w:r>
      <w:r>
        <w:t xml:space="preserve"> Luttwak 2016: 5-20 &amp; Erdkamp 2011: 229-30 </w:t>
      </w:r>
    </w:p>
  </w:footnote>
  <w:footnote w:id="10">
    <w:p w:rsidR="001067FF" w:rsidRDefault="001067FF">
      <w:pPr>
        <w:pStyle w:val="FootnoteText"/>
      </w:pPr>
      <w:r>
        <w:rPr>
          <w:rStyle w:val="FootnoteReference"/>
        </w:rPr>
        <w:footnoteRef/>
      </w:r>
      <w:r>
        <w:t xml:space="preserve"> Tac. Ann. 4.5 </w:t>
      </w:r>
    </w:p>
  </w:footnote>
  <w:footnote w:id="11">
    <w:p w:rsidR="00325A40" w:rsidRPr="00325A40" w:rsidRDefault="00325A40" w:rsidP="00325A40">
      <w:pPr>
        <w:pStyle w:val="FootnoteText"/>
      </w:pPr>
      <w:r>
        <w:rPr>
          <w:rStyle w:val="FootnoteReference"/>
        </w:rPr>
        <w:footnoteRef/>
      </w:r>
      <w:r>
        <w:t xml:space="preserve"> </w:t>
      </w:r>
      <w:r w:rsidRPr="00325A40">
        <w:t>Kagan 2006:</w:t>
      </w:r>
      <w:r>
        <w:t xml:space="preserve"> 333-350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744" w:rsidRDefault="00245744">
    <w:pPr>
      <w:pStyle w:val="Header"/>
    </w:pPr>
    <w:r>
      <w:t>Luke Carter 1500745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A13"/>
    <w:rsid w:val="00014C6F"/>
    <w:rsid w:val="00064CAC"/>
    <w:rsid w:val="000C1C26"/>
    <w:rsid w:val="000C6365"/>
    <w:rsid w:val="000C6782"/>
    <w:rsid w:val="000D17F1"/>
    <w:rsid w:val="001067FF"/>
    <w:rsid w:val="001078F7"/>
    <w:rsid w:val="00112EDE"/>
    <w:rsid w:val="001158A4"/>
    <w:rsid w:val="0014417A"/>
    <w:rsid w:val="00150E72"/>
    <w:rsid w:val="00153B42"/>
    <w:rsid w:val="001675ED"/>
    <w:rsid w:val="00174E9C"/>
    <w:rsid w:val="001A6817"/>
    <w:rsid w:val="001D6229"/>
    <w:rsid w:val="001E0EFE"/>
    <w:rsid w:val="00221F9D"/>
    <w:rsid w:val="00245744"/>
    <w:rsid w:val="00247DEB"/>
    <w:rsid w:val="002A494A"/>
    <w:rsid w:val="002A64E1"/>
    <w:rsid w:val="002A7E4E"/>
    <w:rsid w:val="00305A74"/>
    <w:rsid w:val="00310880"/>
    <w:rsid w:val="00312818"/>
    <w:rsid w:val="00322696"/>
    <w:rsid w:val="003230D4"/>
    <w:rsid w:val="00325A40"/>
    <w:rsid w:val="00362FCC"/>
    <w:rsid w:val="00373E66"/>
    <w:rsid w:val="00382649"/>
    <w:rsid w:val="003A016D"/>
    <w:rsid w:val="003A4131"/>
    <w:rsid w:val="003B6FDA"/>
    <w:rsid w:val="003C594B"/>
    <w:rsid w:val="003E5B63"/>
    <w:rsid w:val="0042741C"/>
    <w:rsid w:val="0045703E"/>
    <w:rsid w:val="00460C20"/>
    <w:rsid w:val="004C700E"/>
    <w:rsid w:val="004D2703"/>
    <w:rsid w:val="004F3830"/>
    <w:rsid w:val="00512E96"/>
    <w:rsid w:val="00541A5A"/>
    <w:rsid w:val="005661FA"/>
    <w:rsid w:val="005975BD"/>
    <w:rsid w:val="005A6FF5"/>
    <w:rsid w:val="005C4736"/>
    <w:rsid w:val="0066434F"/>
    <w:rsid w:val="00672738"/>
    <w:rsid w:val="00674B7B"/>
    <w:rsid w:val="006E0886"/>
    <w:rsid w:val="006F4EBA"/>
    <w:rsid w:val="0070301C"/>
    <w:rsid w:val="007031AA"/>
    <w:rsid w:val="00724A92"/>
    <w:rsid w:val="0075649D"/>
    <w:rsid w:val="00787922"/>
    <w:rsid w:val="007C2C98"/>
    <w:rsid w:val="007D397E"/>
    <w:rsid w:val="0081223F"/>
    <w:rsid w:val="0081309A"/>
    <w:rsid w:val="00813854"/>
    <w:rsid w:val="00841160"/>
    <w:rsid w:val="0085173F"/>
    <w:rsid w:val="00866E19"/>
    <w:rsid w:val="00873D6A"/>
    <w:rsid w:val="0087743D"/>
    <w:rsid w:val="008B7C96"/>
    <w:rsid w:val="008C21F8"/>
    <w:rsid w:val="008C2EDE"/>
    <w:rsid w:val="008E2BBA"/>
    <w:rsid w:val="008E430D"/>
    <w:rsid w:val="008F5ECE"/>
    <w:rsid w:val="00913464"/>
    <w:rsid w:val="00961969"/>
    <w:rsid w:val="009965B8"/>
    <w:rsid w:val="009C6BED"/>
    <w:rsid w:val="009D087D"/>
    <w:rsid w:val="009F597A"/>
    <w:rsid w:val="00A42EC3"/>
    <w:rsid w:val="00A43E5A"/>
    <w:rsid w:val="00A51511"/>
    <w:rsid w:val="00A54226"/>
    <w:rsid w:val="00A6233B"/>
    <w:rsid w:val="00A70B47"/>
    <w:rsid w:val="00A730E0"/>
    <w:rsid w:val="00AC1A2F"/>
    <w:rsid w:val="00AC4053"/>
    <w:rsid w:val="00B219BC"/>
    <w:rsid w:val="00B423A4"/>
    <w:rsid w:val="00B567F0"/>
    <w:rsid w:val="00B82D2D"/>
    <w:rsid w:val="00BC32D3"/>
    <w:rsid w:val="00BE036C"/>
    <w:rsid w:val="00BF4F02"/>
    <w:rsid w:val="00C15C6E"/>
    <w:rsid w:val="00C43388"/>
    <w:rsid w:val="00C64044"/>
    <w:rsid w:val="00C72A01"/>
    <w:rsid w:val="00C912C7"/>
    <w:rsid w:val="00CE5395"/>
    <w:rsid w:val="00CE71F1"/>
    <w:rsid w:val="00D3350E"/>
    <w:rsid w:val="00D43B1C"/>
    <w:rsid w:val="00D75D03"/>
    <w:rsid w:val="00D7608E"/>
    <w:rsid w:val="00D9797F"/>
    <w:rsid w:val="00DC7687"/>
    <w:rsid w:val="00DE4073"/>
    <w:rsid w:val="00DE616F"/>
    <w:rsid w:val="00E07F11"/>
    <w:rsid w:val="00E25A13"/>
    <w:rsid w:val="00E731BE"/>
    <w:rsid w:val="00EA399F"/>
    <w:rsid w:val="00EB2885"/>
    <w:rsid w:val="00ED354F"/>
    <w:rsid w:val="00F1446B"/>
    <w:rsid w:val="00F16D6F"/>
    <w:rsid w:val="00F633AE"/>
    <w:rsid w:val="00F63669"/>
    <w:rsid w:val="00F65BE0"/>
    <w:rsid w:val="00F6641B"/>
    <w:rsid w:val="00F76539"/>
    <w:rsid w:val="00F7675D"/>
    <w:rsid w:val="00FA3C89"/>
    <w:rsid w:val="00FB1AB6"/>
    <w:rsid w:val="00FB2C6C"/>
    <w:rsid w:val="00FC1AB7"/>
    <w:rsid w:val="00FD0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09BB41-4378-49E1-A2F4-43FC4DFBB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A13"/>
    <w:rPr>
      <w:rFonts w:ascii="Times New Roman" w:hAnsi="Times New Roman"/>
    </w:rPr>
  </w:style>
  <w:style w:type="paragraph" w:styleId="Heading1">
    <w:name w:val="heading 1"/>
    <w:basedOn w:val="Normal"/>
    <w:next w:val="Normal"/>
    <w:link w:val="Heading1Char"/>
    <w:uiPriority w:val="9"/>
    <w:qFormat/>
    <w:rsid w:val="00E25A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5A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A1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25A13"/>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245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744"/>
    <w:rPr>
      <w:rFonts w:ascii="Times New Roman" w:hAnsi="Times New Roman"/>
    </w:rPr>
  </w:style>
  <w:style w:type="paragraph" w:styleId="Footer">
    <w:name w:val="footer"/>
    <w:basedOn w:val="Normal"/>
    <w:link w:val="FooterChar"/>
    <w:uiPriority w:val="99"/>
    <w:unhideWhenUsed/>
    <w:rsid w:val="00245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744"/>
    <w:rPr>
      <w:rFonts w:ascii="Times New Roman" w:hAnsi="Times New Roman"/>
    </w:rPr>
  </w:style>
  <w:style w:type="paragraph" w:styleId="FootnoteText">
    <w:name w:val="footnote text"/>
    <w:basedOn w:val="Normal"/>
    <w:link w:val="FootnoteTextChar"/>
    <w:uiPriority w:val="99"/>
    <w:semiHidden/>
    <w:unhideWhenUsed/>
    <w:rsid w:val="00F767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675D"/>
    <w:rPr>
      <w:rFonts w:ascii="Times New Roman" w:hAnsi="Times New Roman"/>
      <w:sz w:val="20"/>
      <w:szCs w:val="20"/>
    </w:rPr>
  </w:style>
  <w:style w:type="character" w:styleId="FootnoteReference">
    <w:name w:val="footnote reference"/>
    <w:basedOn w:val="DefaultParagraphFont"/>
    <w:uiPriority w:val="99"/>
    <w:semiHidden/>
    <w:unhideWhenUsed/>
    <w:rsid w:val="00F7675D"/>
    <w:rPr>
      <w:vertAlign w:val="superscript"/>
    </w:rPr>
  </w:style>
  <w:style w:type="character" w:styleId="Hyperlink">
    <w:name w:val="Hyperlink"/>
    <w:basedOn w:val="DefaultParagraphFont"/>
    <w:uiPriority w:val="99"/>
    <w:unhideWhenUsed/>
    <w:rsid w:val="006E08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ferenceworks.brillonline.com/entries/der-neue-pauly/germani-germania-e422340" TargetMode="External"/><Relationship Id="rId3" Type="http://schemas.openxmlformats.org/officeDocument/2006/relationships/settings" Target="settings.xml"/><Relationship Id="rId7" Type="http://schemas.openxmlformats.org/officeDocument/2006/relationships/hyperlink" Target="http://dx.doi.org/10.1163/1574-9347_bnp_e122946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2925C-95ED-4B5D-8036-E20CF60B9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1</Pages>
  <Words>1982</Words>
  <Characters>11300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Carter (1500745)</dc:creator>
  <cp:keywords/>
  <dc:description/>
  <cp:lastModifiedBy>Luke Carter (1500745)</cp:lastModifiedBy>
  <cp:revision>100</cp:revision>
  <dcterms:created xsi:type="dcterms:W3CDTF">2019-01-21T18:56:00Z</dcterms:created>
  <dcterms:modified xsi:type="dcterms:W3CDTF">2019-02-04T18:03:00Z</dcterms:modified>
</cp:coreProperties>
</file>