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37BA5" w14:textId="189F50EF" w:rsidR="00881FF3" w:rsidRDefault="00CE283D" w:rsidP="000A3A03">
      <w:r>
        <w:rPr>
          <w:noProof/>
        </w:rPr>
        <w:drawing>
          <wp:inline distT="0" distB="0" distL="0" distR="0" wp14:anchorId="361141F8" wp14:editId="4F1C9265">
            <wp:extent cx="3856774" cy="1465573"/>
            <wp:effectExtent l="0" t="0" r="0" b="1905"/>
            <wp:docPr id="4" name="Picture 3" descr="Text&#10;&#10;Description automatically generated">
              <a:extLst xmlns:a="http://schemas.openxmlformats.org/drawingml/2006/main">
                <a:ext uri="{FF2B5EF4-FFF2-40B4-BE49-F238E27FC236}">
                  <a16:creationId xmlns:a16="http://schemas.microsoft.com/office/drawing/2014/main" id="{1060B36A-0B55-E9FA-F296-86335EEBA2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060B36A-0B55-E9FA-F296-86335EEBA2FD}"/>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856774" cy="1465573"/>
                    </a:xfrm>
                    <a:prstGeom prst="rect">
                      <a:avLst/>
                    </a:prstGeom>
                  </pic:spPr>
                </pic:pic>
              </a:graphicData>
            </a:graphic>
          </wp:inline>
        </w:drawing>
      </w:r>
    </w:p>
    <w:p w14:paraId="76A09CE2" w14:textId="77777777" w:rsidR="00CE283D" w:rsidRPr="00C647EA" w:rsidRDefault="00CE283D" w:rsidP="00CE283D">
      <w:pPr>
        <w:spacing w:line="480" w:lineRule="auto"/>
        <w:jc w:val="center"/>
        <w:rPr>
          <w:rFonts w:ascii="Arial" w:hAnsi="Arial" w:cs="Arial"/>
          <w:b/>
          <w:bCs/>
          <w:color w:val="4472C4" w:themeColor="accent5"/>
          <w:sz w:val="32"/>
          <w:szCs w:val="32"/>
        </w:rPr>
      </w:pPr>
      <w:r w:rsidRPr="00C647EA">
        <w:rPr>
          <w:rFonts w:ascii="Arial" w:hAnsi="Arial" w:cs="Arial"/>
          <w:b/>
          <w:bCs/>
          <w:color w:val="4472C4" w:themeColor="accent5"/>
          <w:sz w:val="32"/>
          <w:szCs w:val="32"/>
        </w:rPr>
        <w:t>VULNERABLE CHILDREN, YOUNG PEOPLE, AND FAMILIES</w:t>
      </w:r>
    </w:p>
    <w:p w14:paraId="317D8D51" w14:textId="77777777" w:rsidR="00CE283D" w:rsidRPr="00A01112" w:rsidRDefault="00CE283D" w:rsidP="00CE283D">
      <w:pPr>
        <w:spacing w:line="480" w:lineRule="auto"/>
        <w:ind w:left="720"/>
        <w:rPr>
          <w:rFonts w:ascii="Times New Roman" w:hAnsi="Times New Roman" w:cs="Times New Roman"/>
          <w:sz w:val="32"/>
          <w:szCs w:val="32"/>
          <w:lang w:val="en-GB"/>
        </w:rPr>
      </w:pPr>
      <w:r w:rsidRPr="00A01112">
        <w:rPr>
          <w:rFonts w:ascii="Times New Roman" w:hAnsi="Times New Roman" w:cs="Times New Roman"/>
          <w:sz w:val="32"/>
          <w:szCs w:val="32"/>
        </w:rPr>
        <w:t xml:space="preserve">Student name: </w:t>
      </w:r>
      <w:r w:rsidRPr="00A01112">
        <w:rPr>
          <w:rFonts w:ascii="Arial" w:hAnsi="Arial" w:cs="Arial"/>
          <w:b/>
          <w:bCs/>
          <w:color w:val="4472C4" w:themeColor="accent5"/>
          <w:sz w:val="32"/>
          <w:szCs w:val="32"/>
        </w:rPr>
        <w:t>HARRIET ERHERE AKPOJOTOR</w:t>
      </w:r>
    </w:p>
    <w:p w14:paraId="38A33644" w14:textId="77777777" w:rsidR="00CE283D" w:rsidRPr="00A01112" w:rsidRDefault="00CE283D" w:rsidP="00CE283D">
      <w:pPr>
        <w:spacing w:line="480" w:lineRule="auto"/>
        <w:ind w:left="720"/>
        <w:rPr>
          <w:rFonts w:ascii="Times New Roman" w:hAnsi="Times New Roman" w:cs="Times New Roman"/>
          <w:b/>
          <w:bCs/>
          <w:sz w:val="32"/>
          <w:szCs w:val="32"/>
          <w:lang w:val="en-GB"/>
        </w:rPr>
      </w:pPr>
      <w:r w:rsidRPr="00A01112">
        <w:rPr>
          <w:rFonts w:ascii="Times New Roman" w:hAnsi="Times New Roman" w:cs="Times New Roman"/>
          <w:sz w:val="32"/>
          <w:szCs w:val="32"/>
        </w:rPr>
        <w:t>Student ID</w:t>
      </w:r>
      <w:r w:rsidRPr="00A01112">
        <w:rPr>
          <w:rFonts w:ascii="Times New Roman" w:hAnsi="Times New Roman" w:cs="Times New Roman"/>
          <w:color w:val="4472C4" w:themeColor="accent5"/>
          <w:sz w:val="32"/>
          <w:szCs w:val="32"/>
        </w:rPr>
        <w:t xml:space="preserve">: </w:t>
      </w:r>
      <w:r w:rsidRPr="00A01112">
        <w:rPr>
          <w:rFonts w:ascii="Times New Roman" w:hAnsi="Times New Roman" w:cs="Times New Roman"/>
          <w:b/>
          <w:bCs/>
          <w:color w:val="4472C4" w:themeColor="accent5"/>
          <w:sz w:val="32"/>
          <w:szCs w:val="32"/>
        </w:rPr>
        <w:t>2020979</w:t>
      </w:r>
    </w:p>
    <w:p w14:paraId="6865A05F" w14:textId="77777777" w:rsidR="00CE283D" w:rsidRPr="00A01112" w:rsidRDefault="00CE283D" w:rsidP="00CE283D">
      <w:pPr>
        <w:spacing w:line="480" w:lineRule="auto"/>
        <w:ind w:left="720"/>
        <w:rPr>
          <w:rFonts w:ascii="Times New Roman" w:hAnsi="Times New Roman" w:cs="Times New Roman"/>
          <w:sz w:val="32"/>
          <w:szCs w:val="32"/>
          <w:lang w:val="en-GB"/>
        </w:rPr>
      </w:pPr>
      <w:r w:rsidRPr="00A01112">
        <w:rPr>
          <w:rFonts w:ascii="Times New Roman" w:hAnsi="Times New Roman" w:cs="Times New Roman"/>
          <w:sz w:val="32"/>
          <w:szCs w:val="32"/>
        </w:rPr>
        <w:t xml:space="preserve">Module name: </w:t>
      </w:r>
      <w:r w:rsidRPr="00A01112">
        <w:rPr>
          <w:rFonts w:ascii="Times New Roman" w:hAnsi="Times New Roman" w:cs="Times New Roman"/>
          <w:color w:val="4472C4" w:themeColor="accent5"/>
          <w:sz w:val="32"/>
          <w:szCs w:val="32"/>
        </w:rPr>
        <w:t>Children, Young People and Families</w:t>
      </w:r>
    </w:p>
    <w:p w14:paraId="1DC65C44" w14:textId="77777777" w:rsidR="00CE283D" w:rsidRPr="00A01112" w:rsidRDefault="00CE283D" w:rsidP="00CE283D">
      <w:pPr>
        <w:spacing w:line="480" w:lineRule="auto"/>
        <w:ind w:left="720"/>
        <w:rPr>
          <w:rFonts w:ascii="Times New Roman" w:hAnsi="Times New Roman" w:cs="Times New Roman"/>
          <w:color w:val="4472C4" w:themeColor="accent5"/>
          <w:sz w:val="32"/>
          <w:szCs w:val="32"/>
          <w:lang w:val="en-GB"/>
        </w:rPr>
      </w:pPr>
      <w:r w:rsidRPr="00A01112">
        <w:rPr>
          <w:rFonts w:ascii="Times New Roman" w:hAnsi="Times New Roman" w:cs="Times New Roman"/>
          <w:sz w:val="32"/>
          <w:szCs w:val="32"/>
        </w:rPr>
        <w:t>Module code</w:t>
      </w:r>
      <w:r w:rsidRPr="00A01112">
        <w:rPr>
          <w:rFonts w:ascii="Times New Roman" w:hAnsi="Times New Roman" w:cs="Times New Roman"/>
          <w:color w:val="4472C4" w:themeColor="accent5"/>
          <w:sz w:val="32"/>
          <w:szCs w:val="32"/>
        </w:rPr>
        <w:t>: (BMHP5004_LON)</w:t>
      </w:r>
    </w:p>
    <w:p w14:paraId="5C1D4530" w14:textId="76EED77E" w:rsidR="00CE283D" w:rsidRPr="00A01112" w:rsidRDefault="00CE283D" w:rsidP="00CE283D">
      <w:pPr>
        <w:spacing w:line="480" w:lineRule="auto"/>
        <w:ind w:left="720"/>
        <w:rPr>
          <w:rFonts w:ascii="Times New Roman" w:hAnsi="Times New Roman" w:cs="Times New Roman"/>
          <w:color w:val="4472C4" w:themeColor="accent5"/>
          <w:sz w:val="32"/>
          <w:szCs w:val="32"/>
        </w:rPr>
      </w:pPr>
      <w:r w:rsidRPr="00A01112">
        <w:rPr>
          <w:rFonts w:ascii="Times New Roman" w:hAnsi="Times New Roman" w:cs="Times New Roman"/>
          <w:sz w:val="32"/>
          <w:szCs w:val="32"/>
        </w:rPr>
        <w:t xml:space="preserve">Lecturer name: </w:t>
      </w:r>
      <w:r w:rsidRPr="00A01112">
        <w:rPr>
          <w:rFonts w:ascii="Times New Roman" w:hAnsi="Times New Roman" w:cs="Times New Roman"/>
          <w:color w:val="4472C4" w:themeColor="accent5"/>
          <w:sz w:val="32"/>
          <w:szCs w:val="32"/>
        </w:rPr>
        <w:t>Bianca Sanfilippo</w:t>
      </w:r>
    </w:p>
    <w:p w14:paraId="43CDF290" w14:textId="4347E67B" w:rsidR="002111CF" w:rsidRPr="00A01112" w:rsidRDefault="002111CF" w:rsidP="00CE283D">
      <w:pPr>
        <w:spacing w:line="480" w:lineRule="auto"/>
        <w:ind w:left="720"/>
        <w:rPr>
          <w:rFonts w:ascii="Times New Roman" w:hAnsi="Times New Roman" w:cs="Times New Roman"/>
          <w:color w:val="4472C4" w:themeColor="accent5"/>
          <w:sz w:val="32"/>
          <w:szCs w:val="32"/>
        </w:rPr>
      </w:pPr>
      <w:r w:rsidRPr="00A01112">
        <w:rPr>
          <w:rFonts w:ascii="Times New Roman" w:hAnsi="Times New Roman" w:cs="Times New Roman"/>
          <w:sz w:val="32"/>
          <w:szCs w:val="32"/>
        </w:rPr>
        <w:t>Assessment 2</w:t>
      </w:r>
    </w:p>
    <w:p w14:paraId="073B080A" w14:textId="304ECAFE" w:rsidR="009F1B80" w:rsidRPr="00BB0C1A" w:rsidRDefault="00CE283D" w:rsidP="00BB0C1A">
      <w:pPr>
        <w:spacing w:line="480" w:lineRule="auto"/>
        <w:ind w:left="720"/>
        <w:rPr>
          <w:rFonts w:ascii="Times New Roman" w:hAnsi="Times New Roman" w:cs="Times New Roman"/>
          <w:color w:val="4472C4" w:themeColor="accent5"/>
          <w:sz w:val="32"/>
          <w:szCs w:val="32"/>
          <w:lang w:val="en-GB"/>
        </w:rPr>
      </w:pPr>
      <w:r w:rsidRPr="00A01112">
        <w:rPr>
          <w:rFonts w:ascii="Times New Roman" w:hAnsi="Times New Roman" w:cs="Times New Roman"/>
          <w:sz w:val="32"/>
          <w:szCs w:val="32"/>
        </w:rPr>
        <w:t xml:space="preserve">Date: </w:t>
      </w:r>
      <w:r w:rsidR="000C22E6">
        <w:rPr>
          <w:rFonts w:ascii="Times New Roman" w:hAnsi="Times New Roman" w:cs="Times New Roman"/>
          <w:color w:val="4472C4" w:themeColor="accent5"/>
          <w:sz w:val="32"/>
          <w:szCs w:val="32"/>
        </w:rPr>
        <w:t>06</w:t>
      </w:r>
      <w:r w:rsidRPr="00A01112">
        <w:rPr>
          <w:rFonts w:ascii="Times New Roman" w:hAnsi="Times New Roman" w:cs="Times New Roman"/>
          <w:color w:val="4472C4" w:themeColor="accent5"/>
          <w:sz w:val="32"/>
          <w:szCs w:val="32"/>
        </w:rPr>
        <w:t>/0</w:t>
      </w:r>
      <w:r w:rsidR="000C22E6">
        <w:rPr>
          <w:rFonts w:ascii="Times New Roman" w:hAnsi="Times New Roman" w:cs="Times New Roman"/>
          <w:color w:val="4472C4" w:themeColor="accent5"/>
          <w:sz w:val="32"/>
          <w:szCs w:val="32"/>
        </w:rPr>
        <w:t>9</w:t>
      </w:r>
      <w:r w:rsidRPr="00A01112">
        <w:rPr>
          <w:rFonts w:ascii="Times New Roman" w:hAnsi="Times New Roman" w:cs="Times New Roman"/>
          <w:color w:val="4472C4" w:themeColor="accent5"/>
          <w:sz w:val="32"/>
          <w:szCs w:val="32"/>
        </w:rPr>
        <w:t>/20</w:t>
      </w:r>
    </w:p>
    <w:p w14:paraId="7EB02824" w14:textId="77777777" w:rsidR="009F1B80" w:rsidRDefault="009F1B80" w:rsidP="0016572A">
      <w:pPr>
        <w:spacing w:line="480" w:lineRule="auto"/>
        <w:jc w:val="center"/>
        <w:rPr>
          <w:rFonts w:ascii="Times New Roman" w:hAnsi="Times New Roman" w:cs="Times New Roman"/>
          <w:sz w:val="24"/>
          <w:szCs w:val="24"/>
        </w:rPr>
      </w:pPr>
    </w:p>
    <w:p w14:paraId="4700FC57" w14:textId="77777777" w:rsidR="0016572A" w:rsidRDefault="0016572A" w:rsidP="0016572A">
      <w:pPr>
        <w:spacing w:line="480" w:lineRule="auto"/>
        <w:jc w:val="center"/>
        <w:rPr>
          <w:rFonts w:ascii="Times New Roman" w:hAnsi="Times New Roman" w:cs="Times New Roman"/>
          <w:sz w:val="24"/>
          <w:szCs w:val="24"/>
        </w:rPr>
      </w:pPr>
    </w:p>
    <w:p w14:paraId="0BDD7AD6" w14:textId="77777777" w:rsidR="0016572A" w:rsidRDefault="0016572A" w:rsidP="0016572A">
      <w:pPr>
        <w:spacing w:line="480" w:lineRule="auto"/>
        <w:jc w:val="center"/>
        <w:rPr>
          <w:rFonts w:ascii="Times New Roman" w:hAnsi="Times New Roman" w:cs="Times New Roman"/>
          <w:sz w:val="24"/>
          <w:szCs w:val="24"/>
        </w:rPr>
      </w:pPr>
    </w:p>
    <w:p w14:paraId="4ABE266E" w14:textId="77777777" w:rsidR="0016572A" w:rsidRDefault="0016572A" w:rsidP="0016572A">
      <w:pPr>
        <w:spacing w:line="480" w:lineRule="auto"/>
        <w:jc w:val="center"/>
        <w:rPr>
          <w:rFonts w:ascii="Times New Roman" w:hAnsi="Times New Roman" w:cs="Times New Roman"/>
          <w:sz w:val="24"/>
          <w:szCs w:val="24"/>
        </w:rPr>
      </w:pPr>
    </w:p>
    <w:p w14:paraId="7BD516C2" w14:textId="77777777" w:rsidR="0016572A" w:rsidRDefault="0016572A" w:rsidP="0016572A">
      <w:pPr>
        <w:spacing w:line="480" w:lineRule="auto"/>
        <w:jc w:val="center"/>
        <w:rPr>
          <w:rFonts w:ascii="Times New Roman" w:hAnsi="Times New Roman" w:cs="Times New Roman"/>
          <w:sz w:val="24"/>
          <w:szCs w:val="24"/>
        </w:rPr>
      </w:pPr>
    </w:p>
    <w:p w14:paraId="38D717A6" w14:textId="77777777" w:rsidR="0016572A" w:rsidRDefault="0016572A" w:rsidP="0016572A">
      <w:pPr>
        <w:spacing w:line="480" w:lineRule="auto"/>
        <w:jc w:val="center"/>
        <w:rPr>
          <w:rFonts w:ascii="Times New Roman" w:hAnsi="Times New Roman" w:cs="Times New Roman"/>
          <w:sz w:val="24"/>
          <w:szCs w:val="24"/>
        </w:rPr>
      </w:pPr>
    </w:p>
    <w:p w14:paraId="2EB308DB" w14:textId="77777777" w:rsidR="0016572A" w:rsidRDefault="0016572A" w:rsidP="0016572A">
      <w:pPr>
        <w:spacing w:line="480" w:lineRule="auto"/>
        <w:jc w:val="center"/>
        <w:rPr>
          <w:rFonts w:ascii="Times New Roman" w:hAnsi="Times New Roman" w:cs="Times New Roman"/>
          <w:sz w:val="24"/>
          <w:szCs w:val="24"/>
        </w:rPr>
      </w:pPr>
    </w:p>
    <w:p w14:paraId="25679353" w14:textId="77777777" w:rsidR="0016572A" w:rsidRDefault="0016572A" w:rsidP="0016572A">
      <w:pPr>
        <w:spacing w:line="480" w:lineRule="auto"/>
        <w:jc w:val="center"/>
        <w:rPr>
          <w:rFonts w:ascii="Times New Roman" w:hAnsi="Times New Roman" w:cs="Times New Roman"/>
          <w:sz w:val="24"/>
          <w:szCs w:val="24"/>
        </w:rPr>
      </w:pPr>
    </w:p>
    <w:p w14:paraId="118BA1DC" w14:textId="77777777" w:rsidR="0016572A" w:rsidRDefault="0016572A" w:rsidP="0016572A">
      <w:pPr>
        <w:spacing w:line="480" w:lineRule="auto"/>
        <w:jc w:val="center"/>
        <w:rPr>
          <w:rFonts w:ascii="Times New Roman" w:hAnsi="Times New Roman" w:cs="Times New Roman"/>
          <w:sz w:val="24"/>
          <w:szCs w:val="24"/>
        </w:rPr>
      </w:pPr>
    </w:p>
    <w:p w14:paraId="34CD2C12" w14:textId="77777777" w:rsidR="0016572A" w:rsidRDefault="0016572A" w:rsidP="0016572A">
      <w:pPr>
        <w:spacing w:line="480" w:lineRule="auto"/>
        <w:jc w:val="center"/>
        <w:rPr>
          <w:rFonts w:ascii="Times New Roman" w:hAnsi="Times New Roman" w:cs="Times New Roman"/>
          <w:sz w:val="24"/>
          <w:szCs w:val="24"/>
        </w:rPr>
      </w:pPr>
    </w:p>
    <w:p w14:paraId="3E207C64" w14:textId="77777777" w:rsidR="0016572A" w:rsidRDefault="0016572A" w:rsidP="0016572A">
      <w:pPr>
        <w:spacing w:line="480" w:lineRule="auto"/>
        <w:rPr>
          <w:rFonts w:ascii="Times New Roman" w:hAnsi="Times New Roman" w:cs="Times New Roman"/>
          <w:sz w:val="24"/>
          <w:szCs w:val="24"/>
        </w:rPr>
      </w:pPr>
    </w:p>
    <w:p w14:paraId="7F50D799" w14:textId="567FECF0" w:rsidR="00270FB2" w:rsidRPr="0016572A" w:rsidRDefault="00933201"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While childhood can </w:t>
      </w:r>
      <w:r w:rsidR="006F62B8" w:rsidRPr="0016572A">
        <w:rPr>
          <w:rFonts w:ascii="Times New Roman" w:hAnsi="Times New Roman" w:cs="Times New Roman"/>
          <w:sz w:val="24"/>
          <w:szCs w:val="24"/>
        </w:rPr>
        <w:t xml:space="preserve">generally </w:t>
      </w:r>
      <w:r w:rsidRPr="0016572A">
        <w:rPr>
          <w:rFonts w:ascii="Times New Roman" w:hAnsi="Times New Roman" w:cs="Times New Roman"/>
          <w:sz w:val="24"/>
          <w:szCs w:val="24"/>
        </w:rPr>
        <w:t>imply the state of being a child, there are diverse approaches to it</w:t>
      </w:r>
      <w:r w:rsidR="00A9559F" w:rsidRPr="0016572A">
        <w:rPr>
          <w:rFonts w:ascii="Times New Roman" w:hAnsi="Times New Roman" w:cs="Times New Roman"/>
          <w:sz w:val="24"/>
          <w:szCs w:val="24"/>
        </w:rPr>
        <w:t xml:space="preserve"> (Jenks 2015)</w:t>
      </w:r>
      <w:r w:rsidRPr="0016572A">
        <w:rPr>
          <w:rFonts w:ascii="Times New Roman" w:hAnsi="Times New Roman" w:cs="Times New Roman"/>
          <w:sz w:val="24"/>
          <w:szCs w:val="24"/>
        </w:rPr>
        <w:t xml:space="preserve">. </w:t>
      </w:r>
      <w:r w:rsidR="00270FB2" w:rsidRPr="0016572A">
        <w:rPr>
          <w:rFonts w:ascii="Times New Roman" w:hAnsi="Times New Roman" w:cs="Times New Roman"/>
          <w:sz w:val="24"/>
          <w:szCs w:val="24"/>
        </w:rPr>
        <w:t>The following essay seeks to explore the definitions</w:t>
      </w:r>
      <w:r w:rsidR="00F5725A" w:rsidRPr="0016572A">
        <w:rPr>
          <w:rFonts w:ascii="Times New Roman" w:hAnsi="Times New Roman" w:cs="Times New Roman"/>
          <w:sz w:val="24"/>
          <w:szCs w:val="24"/>
        </w:rPr>
        <w:t xml:space="preserve"> from the cognitive and </w:t>
      </w:r>
      <w:r w:rsidR="007E49E2" w:rsidRPr="0016572A">
        <w:rPr>
          <w:rFonts w:ascii="Times New Roman" w:hAnsi="Times New Roman" w:cs="Times New Roman"/>
          <w:sz w:val="24"/>
          <w:szCs w:val="24"/>
        </w:rPr>
        <w:t>socialization</w:t>
      </w:r>
      <w:r w:rsidR="00F5725A" w:rsidRPr="0016572A">
        <w:rPr>
          <w:rFonts w:ascii="Times New Roman" w:hAnsi="Times New Roman" w:cs="Times New Roman"/>
          <w:sz w:val="24"/>
          <w:szCs w:val="24"/>
        </w:rPr>
        <w:t xml:space="preserve"> aspects, </w:t>
      </w:r>
      <w:r w:rsidR="00270FB2" w:rsidRPr="0016572A">
        <w:rPr>
          <w:rFonts w:ascii="Times New Roman" w:hAnsi="Times New Roman" w:cs="Times New Roman"/>
          <w:sz w:val="24"/>
          <w:szCs w:val="24"/>
        </w:rPr>
        <w:t xml:space="preserve">the development of social construction of childhood, the changes that have occurred in children and their families over time and how they have impacted on the lives of the children, young people, and families with regard to health and social inequalities, and the interventions that support the vulnerable. </w:t>
      </w:r>
      <w:r w:rsidR="000F7C8E" w:rsidRPr="0016572A">
        <w:rPr>
          <w:rFonts w:ascii="Times New Roman" w:hAnsi="Times New Roman" w:cs="Times New Roman"/>
          <w:sz w:val="24"/>
          <w:szCs w:val="24"/>
        </w:rPr>
        <w:t>It is hereby identifiable that there have been changes in the way children have been perceived across generations, which has resulted into the need to institute policies to protect them but more investment in the quality of childhood is paramount.</w:t>
      </w:r>
    </w:p>
    <w:p w14:paraId="5B6C0F87" w14:textId="77777777" w:rsidR="00385AD8" w:rsidRPr="0016572A" w:rsidRDefault="00710841"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The </w:t>
      </w:r>
      <w:r w:rsidR="00A80709" w:rsidRPr="0016572A">
        <w:rPr>
          <w:rFonts w:ascii="Times New Roman" w:hAnsi="Times New Roman" w:cs="Times New Roman"/>
          <w:sz w:val="24"/>
          <w:szCs w:val="24"/>
        </w:rPr>
        <w:t xml:space="preserve">scientific definition of </w:t>
      </w:r>
      <w:r w:rsidRPr="0016572A">
        <w:rPr>
          <w:rFonts w:ascii="Times New Roman" w:hAnsi="Times New Roman" w:cs="Times New Roman"/>
          <w:sz w:val="24"/>
          <w:szCs w:val="24"/>
        </w:rPr>
        <w:t xml:space="preserve">early </w:t>
      </w:r>
      <w:r w:rsidR="00A80709" w:rsidRPr="0016572A">
        <w:rPr>
          <w:rFonts w:ascii="Times New Roman" w:hAnsi="Times New Roman" w:cs="Times New Roman"/>
          <w:sz w:val="24"/>
          <w:szCs w:val="24"/>
        </w:rPr>
        <w:t>childhood involves those</w:t>
      </w:r>
      <w:r w:rsidRPr="0016572A">
        <w:rPr>
          <w:rFonts w:ascii="Times New Roman" w:hAnsi="Times New Roman" w:cs="Times New Roman"/>
          <w:sz w:val="24"/>
          <w:szCs w:val="24"/>
        </w:rPr>
        <w:t xml:space="preserve"> between birth and eight years, and late childhood encompassing those</w:t>
      </w:r>
      <w:r w:rsidR="000859E9" w:rsidRPr="0016572A">
        <w:rPr>
          <w:rFonts w:ascii="Times New Roman" w:hAnsi="Times New Roman" w:cs="Times New Roman"/>
          <w:sz w:val="24"/>
          <w:szCs w:val="24"/>
        </w:rPr>
        <w:t xml:space="preserve"> between 8 and 12 years. </w:t>
      </w:r>
      <w:r w:rsidR="00385AD8" w:rsidRPr="0016572A">
        <w:rPr>
          <w:rFonts w:ascii="Times New Roman" w:hAnsi="Times New Roman" w:cs="Times New Roman"/>
          <w:sz w:val="24"/>
          <w:szCs w:val="24"/>
        </w:rPr>
        <w:t>Maree (2021) describes that one of the theories that address childhood is the psychosocial developmental theory, which was prominently applied in the 20</w:t>
      </w:r>
      <w:r w:rsidR="00385AD8" w:rsidRPr="0016572A">
        <w:rPr>
          <w:rFonts w:ascii="Times New Roman" w:hAnsi="Times New Roman" w:cs="Times New Roman"/>
          <w:sz w:val="24"/>
          <w:szCs w:val="24"/>
          <w:vertAlign w:val="superscript"/>
        </w:rPr>
        <w:t>th</w:t>
      </w:r>
      <w:r w:rsidR="00385AD8" w:rsidRPr="0016572A">
        <w:rPr>
          <w:rFonts w:ascii="Times New Roman" w:hAnsi="Times New Roman" w:cs="Times New Roman"/>
          <w:sz w:val="24"/>
          <w:szCs w:val="24"/>
        </w:rPr>
        <w:t xml:space="preserve"> century. It identifies 8 stages of growth among the children, which relate to the social aspect of life. It states that there are crises in various stages of growth, with the first being the trust vs. mistrust during which the infant realises the people around them and those that take care of them. Accordingly, the parents as the primary caregiver has the </w:t>
      </w:r>
      <w:r w:rsidR="00385AD8" w:rsidRPr="0016572A">
        <w:rPr>
          <w:rFonts w:ascii="Times New Roman" w:hAnsi="Times New Roman" w:cs="Times New Roman"/>
          <w:sz w:val="24"/>
          <w:szCs w:val="24"/>
        </w:rPr>
        <w:lastRenderedPageBreak/>
        <w:t xml:space="preserve">responsibility of promoting trust since the child carries the trust to subsequent relationships. </w:t>
      </w:r>
      <w:r w:rsidR="00942675" w:rsidRPr="0016572A">
        <w:rPr>
          <w:rFonts w:ascii="Times New Roman" w:hAnsi="Times New Roman" w:cs="Times New Roman"/>
          <w:sz w:val="24"/>
          <w:szCs w:val="24"/>
        </w:rPr>
        <w:t>Childhood then transitions to the autonomy vs. shame and doubt, which involve the child becoming more aware of themselves, which involves the way they interact with the other people</w:t>
      </w:r>
      <w:r w:rsidR="000050A7" w:rsidRPr="0016572A">
        <w:rPr>
          <w:rFonts w:ascii="Times New Roman" w:hAnsi="Times New Roman" w:cs="Times New Roman"/>
          <w:sz w:val="24"/>
          <w:szCs w:val="24"/>
        </w:rPr>
        <w:t xml:space="preserve"> (</w:t>
      </w:r>
      <w:r w:rsidR="000050A7" w:rsidRPr="0016572A">
        <w:rPr>
          <w:rFonts w:ascii="Times New Roman" w:eastAsia="Arial Unicode MS" w:hAnsi="Times New Roman" w:cs="Times New Roman"/>
          <w:color w:val="000000"/>
          <w:sz w:val="24"/>
          <w:szCs w:val="24"/>
          <w:shd w:val="clear" w:color="auto" w:fill="FFFFFF"/>
        </w:rPr>
        <w:t>Scheck 2014</w:t>
      </w:r>
      <w:r w:rsidR="000050A7" w:rsidRPr="0016572A">
        <w:rPr>
          <w:rFonts w:ascii="Times New Roman" w:hAnsi="Times New Roman" w:cs="Times New Roman"/>
          <w:sz w:val="24"/>
          <w:szCs w:val="24"/>
        </w:rPr>
        <w:t>)</w:t>
      </w:r>
      <w:r w:rsidR="00942675" w:rsidRPr="0016572A">
        <w:rPr>
          <w:rFonts w:ascii="Times New Roman" w:hAnsi="Times New Roman" w:cs="Times New Roman"/>
          <w:sz w:val="24"/>
          <w:szCs w:val="24"/>
        </w:rPr>
        <w:t xml:space="preserve">. Accordingly, they seek to identify themselves with the norms in the society, which implies that how the society itself perceives the children is key in shaping their identity. </w:t>
      </w:r>
    </w:p>
    <w:p w14:paraId="5B9C8D20" w14:textId="584A2F68" w:rsidR="00A80709" w:rsidRPr="0016572A" w:rsidRDefault="00C126CB"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Babakr et al. (2019) explore the Piaget’s cognitive development theory that is based on the hypothesis that there is a difference between the way children and adults think. </w:t>
      </w:r>
      <w:r w:rsidR="0037275A" w:rsidRPr="0016572A">
        <w:rPr>
          <w:rFonts w:ascii="Times New Roman" w:hAnsi="Times New Roman" w:cs="Times New Roman"/>
          <w:sz w:val="24"/>
          <w:szCs w:val="24"/>
        </w:rPr>
        <w:t xml:space="preserve">The theory explains that the thought processes are influential to the interaction the children have. </w:t>
      </w:r>
      <w:r w:rsidR="00F5725A" w:rsidRPr="0016572A">
        <w:rPr>
          <w:rFonts w:ascii="Times New Roman" w:hAnsi="Times New Roman" w:cs="Times New Roman"/>
          <w:sz w:val="24"/>
          <w:szCs w:val="24"/>
        </w:rPr>
        <w:t xml:space="preserve">Accordingly, there are stages in intellectual development, starting with sensorimotor during which the knowledge and </w:t>
      </w:r>
      <w:r w:rsidR="007E49E2" w:rsidRPr="0016572A">
        <w:rPr>
          <w:rFonts w:ascii="Times New Roman" w:hAnsi="Times New Roman" w:cs="Times New Roman"/>
          <w:sz w:val="24"/>
          <w:szCs w:val="24"/>
        </w:rPr>
        <w:t>behavior</w:t>
      </w:r>
      <w:r w:rsidR="00F5725A" w:rsidRPr="0016572A">
        <w:rPr>
          <w:rFonts w:ascii="Times New Roman" w:hAnsi="Times New Roman" w:cs="Times New Roman"/>
          <w:sz w:val="24"/>
          <w:szCs w:val="24"/>
        </w:rPr>
        <w:t xml:space="preserve"> are limited to senses. The successive pre-operational stage involves the children learning languages but cannot manipulate information. The children develop better mental functioning during the concrete stage that is basically between 7 and 11. The final childhood stage is formal operational stage, during which the children can apply logical reasoning and systematic planning.</w:t>
      </w:r>
      <w:r w:rsidR="00314D3F" w:rsidRPr="0016572A">
        <w:rPr>
          <w:rFonts w:ascii="Times New Roman" w:hAnsi="Times New Roman" w:cs="Times New Roman"/>
          <w:sz w:val="24"/>
          <w:szCs w:val="24"/>
        </w:rPr>
        <w:t xml:space="preserve"> While the definition asserts that there are changes in cognitive functioning, the exact distinction about the ages in which they occur does not consider factors particular to the child. For instance, the child could be suffering from a disorder that makes them retarded, hence delays in transitioning through the stages.</w:t>
      </w:r>
    </w:p>
    <w:p w14:paraId="1FDEF1B9" w14:textId="3921DDEA" w:rsidR="00C7588C" w:rsidRPr="0016572A" w:rsidRDefault="00A80709"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On the other hand, </w:t>
      </w:r>
      <w:r w:rsidR="00933201" w:rsidRPr="0016572A">
        <w:rPr>
          <w:rFonts w:ascii="Times New Roman" w:hAnsi="Times New Roman" w:cs="Times New Roman"/>
          <w:sz w:val="24"/>
          <w:szCs w:val="24"/>
        </w:rPr>
        <w:t>Al</w:t>
      </w:r>
      <w:r w:rsidR="00FC7A52" w:rsidRPr="0016572A">
        <w:rPr>
          <w:rFonts w:ascii="Times New Roman" w:hAnsi="Times New Roman" w:cs="Times New Roman"/>
          <w:sz w:val="24"/>
          <w:szCs w:val="24"/>
        </w:rPr>
        <w:t xml:space="preserve">i Norozi and Moen (2016) </w:t>
      </w:r>
      <w:r w:rsidR="009F1B80" w:rsidRPr="0016572A">
        <w:rPr>
          <w:rFonts w:ascii="Times New Roman" w:hAnsi="Times New Roman" w:cs="Times New Roman"/>
          <w:sz w:val="24"/>
          <w:szCs w:val="24"/>
        </w:rPr>
        <w:t>p</w:t>
      </w:r>
      <w:r w:rsidR="00FC7A52" w:rsidRPr="0016572A">
        <w:rPr>
          <w:rFonts w:ascii="Times New Roman" w:hAnsi="Times New Roman" w:cs="Times New Roman"/>
          <w:sz w:val="24"/>
          <w:szCs w:val="24"/>
        </w:rPr>
        <w:t>rovide an intriguing</w:t>
      </w:r>
      <w:r w:rsidR="009F1B80" w:rsidRPr="0016572A">
        <w:rPr>
          <w:rFonts w:ascii="Times New Roman" w:hAnsi="Times New Roman" w:cs="Times New Roman"/>
          <w:sz w:val="24"/>
          <w:szCs w:val="24"/>
        </w:rPr>
        <w:t xml:space="preserve"> s</w:t>
      </w:r>
      <w:r w:rsidR="00933201" w:rsidRPr="0016572A">
        <w:rPr>
          <w:rFonts w:ascii="Times New Roman" w:hAnsi="Times New Roman" w:cs="Times New Roman"/>
          <w:sz w:val="24"/>
          <w:szCs w:val="24"/>
        </w:rPr>
        <w:t xml:space="preserve">ocial constructionism approach, childhood is subjective to the people who are defining it and can differ over time, which is based by the social construction being the ways in which reality changes to match the people’s sets of </w:t>
      </w:r>
      <w:r w:rsidRPr="0016572A">
        <w:rPr>
          <w:rFonts w:ascii="Times New Roman" w:hAnsi="Times New Roman" w:cs="Times New Roman"/>
          <w:sz w:val="24"/>
          <w:szCs w:val="24"/>
        </w:rPr>
        <w:t>discourse</w:t>
      </w:r>
      <w:r w:rsidR="00933201" w:rsidRPr="0016572A">
        <w:rPr>
          <w:rFonts w:ascii="Times New Roman" w:hAnsi="Times New Roman" w:cs="Times New Roman"/>
          <w:sz w:val="24"/>
          <w:szCs w:val="24"/>
        </w:rPr>
        <w:t xml:space="preserve">. </w:t>
      </w:r>
      <w:r w:rsidR="009762D8" w:rsidRPr="0016572A">
        <w:rPr>
          <w:rFonts w:ascii="Times New Roman" w:hAnsi="Times New Roman" w:cs="Times New Roman"/>
          <w:sz w:val="24"/>
          <w:szCs w:val="24"/>
        </w:rPr>
        <w:t>It then follows that childhood is defined by the society rather</w:t>
      </w:r>
      <w:r w:rsidR="00F82928" w:rsidRPr="0016572A">
        <w:rPr>
          <w:rFonts w:ascii="Times New Roman" w:hAnsi="Times New Roman" w:cs="Times New Roman"/>
          <w:sz w:val="24"/>
          <w:szCs w:val="24"/>
        </w:rPr>
        <w:t xml:space="preserve"> than biological age. One of the ways in which the society distinguishes adults from children is their physical, emotional, and psychological nature, with the children being </w:t>
      </w:r>
      <w:r w:rsidR="009D16E6" w:rsidRPr="0016572A">
        <w:rPr>
          <w:rFonts w:ascii="Times New Roman" w:hAnsi="Times New Roman" w:cs="Times New Roman"/>
          <w:sz w:val="24"/>
          <w:szCs w:val="24"/>
        </w:rPr>
        <w:t xml:space="preserve">considered immature and </w:t>
      </w:r>
      <w:r w:rsidR="009D16E6" w:rsidRPr="0016572A">
        <w:rPr>
          <w:rFonts w:ascii="Times New Roman" w:hAnsi="Times New Roman" w:cs="Times New Roman"/>
          <w:sz w:val="24"/>
          <w:szCs w:val="24"/>
        </w:rPr>
        <w:lastRenderedPageBreak/>
        <w:t xml:space="preserve">in the learning process, and so they are not held accountable. Secondly, the children are dependent of adults for their needs, which are met through the </w:t>
      </w:r>
      <w:r w:rsidR="007E49E2" w:rsidRPr="0016572A">
        <w:rPr>
          <w:rFonts w:ascii="Times New Roman" w:hAnsi="Times New Roman" w:cs="Times New Roman"/>
          <w:sz w:val="24"/>
          <w:szCs w:val="24"/>
        </w:rPr>
        <w:t>socialization</w:t>
      </w:r>
      <w:r w:rsidR="009D16E6" w:rsidRPr="0016572A">
        <w:rPr>
          <w:rFonts w:ascii="Times New Roman" w:hAnsi="Times New Roman" w:cs="Times New Roman"/>
          <w:sz w:val="24"/>
          <w:szCs w:val="24"/>
        </w:rPr>
        <w:t xml:space="preserve"> process. </w:t>
      </w:r>
      <w:r w:rsidR="00A316BB" w:rsidRPr="0016572A">
        <w:rPr>
          <w:rFonts w:ascii="Times New Roman" w:hAnsi="Times New Roman" w:cs="Times New Roman"/>
          <w:sz w:val="24"/>
          <w:szCs w:val="24"/>
        </w:rPr>
        <w:t xml:space="preserve">Thirdly, the children are less efficient to make decisions about their lives and act accordingly. </w:t>
      </w:r>
      <w:r w:rsidR="00FC7A52" w:rsidRPr="0016572A">
        <w:rPr>
          <w:rFonts w:ascii="Times New Roman" w:hAnsi="Times New Roman" w:cs="Times New Roman"/>
          <w:sz w:val="24"/>
          <w:szCs w:val="24"/>
        </w:rPr>
        <w:t>As a result, the children are naïve to suffering, war, and sex</w:t>
      </w:r>
      <w:r w:rsidR="000050A7" w:rsidRPr="0016572A">
        <w:rPr>
          <w:rFonts w:ascii="Times New Roman" w:hAnsi="Times New Roman" w:cs="Times New Roman"/>
          <w:sz w:val="24"/>
          <w:szCs w:val="24"/>
        </w:rPr>
        <w:t xml:space="preserve"> (</w:t>
      </w:r>
      <w:r w:rsidR="000050A7" w:rsidRPr="0016572A">
        <w:rPr>
          <w:rFonts w:ascii="Times New Roman" w:eastAsia="Arial Unicode MS" w:hAnsi="Times New Roman" w:cs="Times New Roman"/>
          <w:color w:val="000000"/>
          <w:sz w:val="24"/>
          <w:szCs w:val="24"/>
          <w:shd w:val="clear" w:color="auto" w:fill="FFFFFF"/>
        </w:rPr>
        <w:t>Hinds &amp; Giardino 2020</w:t>
      </w:r>
      <w:r w:rsidR="000050A7" w:rsidRPr="0016572A">
        <w:rPr>
          <w:rFonts w:ascii="Times New Roman" w:hAnsi="Times New Roman" w:cs="Times New Roman"/>
          <w:sz w:val="24"/>
          <w:szCs w:val="24"/>
        </w:rPr>
        <w:t>)</w:t>
      </w:r>
      <w:r w:rsidR="00FC7A52" w:rsidRPr="0016572A">
        <w:rPr>
          <w:rFonts w:ascii="Times New Roman" w:hAnsi="Times New Roman" w:cs="Times New Roman"/>
          <w:sz w:val="24"/>
          <w:szCs w:val="24"/>
        </w:rPr>
        <w:t>.</w:t>
      </w:r>
    </w:p>
    <w:p w14:paraId="46EC0BAA" w14:textId="77777777" w:rsidR="009A5F74" w:rsidRPr="0016572A" w:rsidRDefault="00C7588C"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There are social factors that contribute to the quality of lives of the children, youth, and families and reducing inequalities. They follow from the factors that lead to vulnerability. One of the improvements that addresses inequalities is the level of income in the respective household. Notably, households that have sustainable and reasonable income have the benefits of affording decent living, which implies that they are not vulnerable to conditions that would then affect their well-being</w:t>
      </w:r>
      <w:r w:rsidR="007244B3" w:rsidRPr="0016572A">
        <w:rPr>
          <w:rFonts w:ascii="Times New Roman" w:hAnsi="Times New Roman" w:cs="Times New Roman"/>
          <w:sz w:val="24"/>
          <w:szCs w:val="24"/>
        </w:rPr>
        <w:t xml:space="preserve"> (Kruk 2013)</w:t>
      </w:r>
      <w:r w:rsidRPr="0016572A">
        <w:rPr>
          <w:rFonts w:ascii="Times New Roman" w:hAnsi="Times New Roman" w:cs="Times New Roman"/>
          <w:sz w:val="24"/>
          <w:szCs w:val="24"/>
        </w:rPr>
        <w:t>. In addition, they can access medical services from private facilities in the case they observe long doctor appointm</w:t>
      </w:r>
      <w:r w:rsidR="00B66361" w:rsidRPr="0016572A">
        <w:rPr>
          <w:rFonts w:ascii="Times New Roman" w:hAnsi="Times New Roman" w:cs="Times New Roman"/>
          <w:sz w:val="24"/>
          <w:szCs w:val="24"/>
        </w:rPr>
        <w:t>ent waiting hours, and so the issues f</w:t>
      </w:r>
      <w:r w:rsidR="009A5F74" w:rsidRPr="0016572A">
        <w:rPr>
          <w:rFonts w:ascii="Times New Roman" w:hAnsi="Times New Roman" w:cs="Times New Roman"/>
          <w:sz w:val="24"/>
          <w:szCs w:val="24"/>
        </w:rPr>
        <w:t>acing them are managed in time.</w:t>
      </w:r>
      <w:r w:rsidR="00077673" w:rsidRPr="0016572A">
        <w:rPr>
          <w:rFonts w:ascii="Times New Roman" w:hAnsi="Times New Roman" w:cs="Times New Roman"/>
          <w:sz w:val="24"/>
          <w:szCs w:val="24"/>
        </w:rPr>
        <w:t xml:space="preserve"> The level of income as a determinant of social class has also been a significant since the middle class would earlier prevent their children from interacting with those in the low-income class, opinionated tha</w:t>
      </w:r>
      <w:r w:rsidR="00283C05" w:rsidRPr="0016572A">
        <w:rPr>
          <w:rFonts w:ascii="Times New Roman" w:hAnsi="Times New Roman" w:cs="Times New Roman"/>
          <w:sz w:val="24"/>
          <w:szCs w:val="24"/>
        </w:rPr>
        <w:t>t the other children were inefficient</w:t>
      </w:r>
      <w:r w:rsidR="007244B3" w:rsidRPr="0016572A">
        <w:rPr>
          <w:rFonts w:ascii="Times New Roman" w:hAnsi="Times New Roman" w:cs="Times New Roman"/>
          <w:sz w:val="24"/>
          <w:szCs w:val="24"/>
        </w:rPr>
        <w:t xml:space="preserve"> </w:t>
      </w:r>
      <w:r w:rsidR="000A3A03">
        <w:rPr>
          <w:rFonts w:ascii="Times New Roman" w:hAnsi="Times New Roman" w:cs="Times New Roman"/>
          <w:sz w:val="24"/>
          <w:szCs w:val="24"/>
        </w:rPr>
        <w:t>(</w:t>
      </w:r>
      <w:r w:rsidR="007244B3" w:rsidRPr="0016572A">
        <w:rPr>
          <w:rFonts w:ascii="Times New Roman" w:hAnsi="Times New Roman" w:cs="Times New Roman"/>
          <w:sz w:val="24"/>
          <w:szCs w:val="24"/>
        </w:rPr>
        <w:t>Bann et al.</w:t>
      </w:r>
      <w:r w:rsidR="000A3A03">
        <w:rPr>
          <w:rFonts w:ascii="Times New Roman" w:hAnsi="Times New Roman" w:cs="Times New Roman"/>
          <w:sz w:val="24"/>
          <w:szCs w:val="24"/>
        </w:rPr>
        <w:t>,</w:t>
      </w:r>
      <w:r w:rsidR="007244B3" w:rsidRPr="0016572A">
        <w:rPr>
          <w:rFonts w:ascii="Times New Roman" w:hAnsi="Times New Roman" w:cs="Times New Roman"/>
          <w:sz w:val="24"/>
          <w:szCs w:val="24"/>
        </w:rPr>
        <w:t xml:space="preserve"> 2018)</w:t>
      </w:r>
      <w:r w:rsidR="00283C05" w:rsidRPr="0016572A">
        <w:rPr>
          <w:rFonts w:ascii="Times New Roman" w:hAnsi="Times New Roman" w:cs="Times New Roman"/>
          <w:sz w:val="24"/>
          <w:szCs w:val="24"/>
        </w:rPr>
        <w:t xml:space="preserve">. </w:t>
      </w:r>
      <w:r w:rsidR="00745D4A" w:rsidRPr="0016572A">
        <w:rPr>
          <w:rFonts w:ascii="Times New Roman" w:hAnsi="Times New Roman" w:cs="Times New Roman"/>
          <w:sz w:val="24"/>
          <w:szCs w:val="24"/>
        </w:rPr>
        <w:t>However, this has significantly changed with the facilitation of equal opportunities.</w:t>
      </w:r>
    </w:p>
    <w:p w14:paraId="68886135" w14:textId="5DEE67A8"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The concept of childhood has evolved with time, with one of the historical accounts starting from the Victorian Times that lasted until the start of 20</w:t>
      </w:r>
      <w:r w:rsidRPr="0016572A">
        <w:rPr>
          <w:rFonts w:ascii="Times New Roman" w:hAnsi="Times New Roman" w:cs="Times New Roman"/>
          <w:sz w:val="24"/>
          <w:szCs w:val="24"/>
          <w:vertAlign w:val="superscript"/>
        </w:rPr>
        <w:t>th</w:t>
      </w:r>
      <w:r w:rsidRPr="0016572A">
        <w:rPr>
          <w:rFonts w:ascii="Times New Roman" w:hAnsi="Times New Roman" w:cs="Times New Roman"/>
          <w:sz w:val="24"/>
          <w:szCs w:val="24"/>
        </w:rPr>
        <w:t xml:space="preserve"> century</w:t>
      </w:r>
      <w:r w:rsidR="007244B3" w:rsidRPr="0016572A">
        <w:rPr>
          <w:rFonts w:ascii="Times New Roman" w:hAnsi="Times New Roman" w:cs="Times New Roman"/>
          <w:sz w:val="24"/>
          <w:szCs w:val="24"/>
        </w:rPr>
        <w:t xml:space="preserve"> (Nandrajog 2021)</w:t>
      </w:r>
      <w:r w:rsidRPr="0016572A">
        <w:rPr>
          <w:rFonts w:ascii="Times New Roman" w:hAnsi="Times New Roman" w:cs="Times New Roman"/>
          <w:sz w:val="24"/>
          <w:szCs w:val="24"/>
        </w:rPr>
        <w:t xml:space="preserve">. Children at the time could work in mills and factories, where they could be subjected to long working hours and the environments were </w:t>
      </w:r>
      <w:r w:rsidR="007E49E2" w:rsidRPr="0016572A">
        <w:rPr>
          <w:rFonts w:ascii="Times New Roman" w:hAnsi="Times New Roman" w:cs="Times New Roman"/>
          <w:sz w:val="24"/>
          <w:szCs w:val="24"/>
        </w:rPr>
        <w:t>unfavorable</w:t>
      </w:r>
      <w:r w:rsidRPr="0016572A">
        <w:rPr>
          <w:rFonts w:ascii="Times New Roman" w:hAnsi="Times New Roman" w:cs="Times New Roman"/>
          <w:sz w:val="24"/>
          <w:szCs w:val="24"/>
        </w:rPr>
        <w:t xml:space="preserve">. Accordingly, they were predisposed to health conditions due to issues such as injuries, occupational diseases, stress, and pollution, given that they were not as resilient as the adults, to an extent that some of the children would die. In addition, the children could do domestic chores that were more suited for adults that would include hard labour and taking care of the sick, where the latter meant that they would be prone to the diseases. However, </w:t>
      </w:r>
      <w:r w:rsidRPr="0016572A">
        <w:rPr>
          <w:rFonts w:ascii="Times New Roman" w:hAnsi="Times New Roman" w:cs="Times New Roman"/>
          <w:sz w:val="24"/>
          <w:szCs w:val="24"/>
        </w:rPr>
        <w:lastRenderedPageBreak/>
        <w:t>there was a transition in the mid-19</w:t>
      </w:r>
      <w:r w:rsidRPr="0016572A">
        <w:rPr>
          <w:rFonts w:ascii="Times New Roman" w:hAnsi="Times New Roman" w:cs="Times New Roman"/>
          <w:sz w:val="24"/>
          <w:szCs w:val="24"/>
          <w:vertAlign w:val="superscript"/>
        </w:rPr>
        <w:t>th</w:t>
      </w:r>
      <w:r w:rsidRPr="0016572A">
        <w:rPr>
          <w:rFonts w:ascii="Times New Roman" w:hAnsi="Times New Roman" w:cs="Times New Roman"/>
          <w:sz w:val="24"/>
          <w:szCs w:val="24"/>
        </w:rPr>
        <w:t xml:space="preserve"> century that occurred with the society changing its attitude on children, which involved considering childhood as a distinctive phase from adulthood. Accordingly, the society identified the need for the protection of children since it considered them as vulnerable just by the virtue of being of tender age. Accordingly, several policies were instituted to make it legal, fronted by the United Nations. Foster (2020) add that the Children and Social Work Act 2017 made further changes that included the placing of responsibilities to the local authorities to facilitate local agencies cooperation for the children wellbeing. Besides, it establishment and empowerment of partners including the police, councils, and Clinical Commissioning Groups that safeguard the children needs.</w:t>
      </w:r>
    </w:p>
    <w:p w14:paraId="53061009" w14:textId="77777777"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There were transitions that reflected in various aspects of childhood, with one of them being the factories capping the number of working hours including that of children. The 1833 Factories Act specifically abolished the employment of children aged below 9 years, and it required that the textile factories would allow the children between 9 and 13 the opportunity for 12 hours of education weekly, with the act extending to all factories in 1878</w:t>
      </w:r>
      <w:r w:rsidR="007244B3" w:rsidRPr="0016572A">
        <w:rPr>
          <w:rFonts w:ascii="Times New Roman" w:hAnsi="Times New Roman" w:cs="Times New Roman"/>
          <w:sz w:val="24"/>
          <w:szCs w:val="24"/>
        </w:rPr>
        <w:t xml:space="preserve"> (Robson 2018)</w:t>
      </w:r>
      <w:r w:rsidRPr="0016572A">
        <w:rPr>
          <w:rFonts w:ascii="Times New Roman" w:hAnsi="Times New Roman" w:cs="Times New Roman"/>
          <w:sz w:val="24"/>
          <w:szCs w:val="24"/>
        </w:rPr>
        <w:t>. Later developments in policies dictate that the children get fulltime employment only when they are aged 16 years, and concurrently get some training on the job, with the rights for exclusive fulltime employment being applied once the individual attains 18 years. The developments also involve 13-15 children being allowed to work in some sectors that do not require extensive energy and does not expose them to hazards, for instance babysitting, and to a limited number of hours.</w:t>
      </w:r>
    </w:p>
    <w:p w14:paraId="2AA204AF" w14:textId="77777777"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The historical development of childhood in the social construct is also evident in education</w:t>
      </w:r>
      <w:r w:rsidR="007244B3" w:rsidRPr="0016572A">
        <w:rPr>
          <w:rFonts w:ascii="Times New Roman" w:hAnsi="Times New Roman" w:cs="Times New Roman"/>
          <w:sz w:val="24"/>
          <w:szCs w:val="24"/>
        </w:rPr>
        <w:t xml:space="preserve"> (Nandrajog 2021)</w:t>
      </w:r>
      <w:r w:rsidRPr="0016572A">
        <w:rPr>
          <w:rFonts w:ascii="Times New Roman" w:hAnsi="Times New Roman" w:cs="Times New Roman"/>
          <w:sz w:val="24"/>
          <w:szCs w:val="24"/>
        </w:rPr>
        <w:t xml:space="preserve">. Children aged 5-12 could voluntarily access education after the 1870 Education Act, and it was not until 1880 when it was made mandatory. The school leaving age </w:t>
      </w:r>
      <w:r w:rsidRPr="0016572A">
        <w:rPr>
          <w:rFonts w:ascii="Times New Roman" w:hAnsi="Times New Roman" w:cs="Times New Roman"/>
          <w:sz w:val="24"/>
          <w:szCs w:val="24"/>
        </w:rPr>
        <w:lastRenderedPageBreak/>
        <w:t>was also increased to 14, 15, and 16 in 1918, 1944, and 1973 respectively, and since 2013, the children are required to be in education or working and concurrently training until they are 18. The progress in education is closely monitored to ascertain their attendance, and the necessary support is provided. It is observable that educating the children was impactful in empowering them to be positioned to take the advantages of opportunities including employment and business</w:t>
      </w:r>
      <w:r w:rsidR="009F1B80" w:rsidRPr="0016572A">
        <w:rPr>
          <w:rFonts w:ascii="Times New Roman" w:hAnsi="Times New Roman" w:cs="Times New Roman"/>
          <w:sz w:val="24"/>
          <w:szCs w:val="24"/>
        </w:rPr>
        <w:t xml:space="preserve"> (Fink &amp; Rockers 2014)</w:t>
      </w:r>
      <w:r w:rsidRPr="0016572A">
        <w:rPr>
          <w:rFonts w:ascii="Times New Roman" w:hAnsi="Times New Roman" w:cs="Times New Roman"/>
          <w:sz w:val="24"/>
          <w:szCs w:val="24"/>
        </w:rPr>
        <w:t>. Accordingly, they would earn a sustainable income and as such reduce the inequality that resulted from poverty. They could as well be able to get informed about healthy lifestyles and become sensitised about social issues, and as such develop consciousness about the health trends, which contributed to the reduction of avoidable diseases.</w:t>
      </w:r>
    </w:p>
    <w:p w14:paraId="249A7821" w14:textId="77777777"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The focus towards healthcare in childhood has also changed from the Victorian era. The mortality rates of children was significantly high, given that the children were exposed to various risks, as aforementioned, and the research into the issues facing them was inadequate. The infant mortality had led to the negligence on their health, with the notion that their survival was quite uncertain to the extent of referring to each as ‘it’ instead of by their names or gender</w:t>
      </w:r>
      <w:r w:rsidR="008A4066" w:rsidRPr="0016572A">
        <w:rPr>
          <w:rFonts w:ascii="Times New Roman" w:hAnsi="Times New Roman" w:cs="Times New Roman"/>
          <w:sz w:val="24"/>
          <w:szCs w:val="24"/>
        </w:rPr>
        <w:t xml:space="preserve"> (Power 2022)</w:t>
      </w:r>
      <w:r w:rsidRPr="0016572A">
        <w:rPr>
          <w:rFonts w:ascii="Times New Roman" w:hAnsi="Times New Roman" w:cs="Times New Roman"/>
          <w:sz w:val="24"/>
          <w:szCs w:val="24"/>
        </w:rPr>
        <w:t>. Further, the health facilities were not well equipped, and there were inadequate skills to manage diseases prevalent among the children. However, the medical sector identified to need for specialised treatment for the children, and as such introduced pediatric in the mid-19</w:t>
      </w:r>
      <w:r w:rsidRPr="0016572A">
        <w:rPr>
          <w:rFonts w:ascii="Times New Roman" w:hAnsi="Times New Roman" w:cs="Times New Roman"/>
          <w:sz w:val="24"/>
          <w:szCs w:val="24"/>
          <w:vertAlign w:val="superscript"/>
        </w:rPr>
        <w:t>th</w:t>
      </w:r>
      <w:r w:rsidRPr="0016572A">
        <w:rPr>
          <w:rFonts w:ascii="Times New Roman" w:hAnsi="Times New Roman" w:cs="Times New Roman"/>
          <w:sz w:val="24"/>
          <w:szCs w:val="24"/>
        </w:rPr>
        <w:t xml:space="preserve"> century. It implied that the conditions and diseases particularly affecting the children could be comprehensively managed. </w:t>
      </w:r>
    </w:p>
    <w:p w14:paraId="54FF5990" w14:textId="77777777"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It is observable that while there has been a generally social approach to children as naïve and cannot be entrusted with responsibilities same with the adults, the measures to protect them are still inadequate. One of the factors is the media that is exposing the children to content that is effecting their innocence. For instance, while the society could be holding the opinion that </w:t>
      </w:r>
      <w:r w:rsidRPr="0016572A">
        <w:rPr>
          <w:rFonts w:ascii="Times New Roman" w:hAnsi="Times New Roman" w:cs="Times New Roman"/>
          <w:sz w:val="24"/>
          <w:szCs w:val="24"/>
        </w:rPr>
        <w:lastRenderedPageBreak/>
        <w:t xml:space="preserve">children should not engage in sex, the media divulges sexual content to them, leading to the children exploring. The phenomenon is particularly exhibited in the present given that there are several ways in which the children access information such as on the internet, and the caregivers might not have control over the information the children seek and encounter. </w:t>
      </w:r>
      <w:r w:rsidR="00CD56DB" w:rsidRPr="0016572A">
        <w:rPr>
          <w:rFonts w:ascii="Times New Roman" w:hAnsi="Times New Roman" w:cs="Times New Roman"/>
          <w:sz w:val="24"/>
          <w:szCs w:val="24"/>
        </w:rPr>
        <w:t>Firinci Orman (2020)</w:t>
      </w:r>
      <w:r w:rsidRPr="0016572A">
        <w:rPr>
          <w:rFonts w:ascii="Times New Roman" w:hAnsi="Times New Roman" w:cs="Times New Roman"/>
          <w:b/>
          <w:sz w:val="24"/>
          <w:szCs w:val="24"/>
        </w:rPr>
        <w:t xml:space="preserve"> </w:t>
      </w:r>
      <w:r w:rsidRPr="0016572A">
        <w:rPr>
          <w:rFonts w:ascii="Times New Roman" w:hAnsi="Times New Roman" w:cs="Times New Roman"/>
          <w:sz w:val="24"/>
          <w:szCs w:val="24"/>
        </w:rPr>
        <w:t>also attribute</w:t>
      </w:r>
      <w:r w:rsidR="00CD56DB" w:rsidRPr="0016572A">
        <w:rPr>
          <w:rFonts w:ascii="Times New Roman" w:hAnsi="Times New Roman" w:cs="Times New Roman"/>
          <w:sz w:val="24"/>
          <w:szCs w:val="24"/>
        </w:rPr>
        <w:t>s</w:t>
      </w:r>
      <w:r w:rsidRPr="0016572A">
        <w:rPr>
          <w:rFonts w:ascii="Times New Roman" w:hAnsi="Times New Roman" w:cs="Times New Roman"/>
          <w:sz w:val="24"/>
          <w:szCs w:val="24"/>
        </w:rPr>
        <w:t xml:space="preserve"> the disappearance of childhood due to the changes </w:t>
      </w:r>
      <w:r w:rsidR="00CD56DB" w:rsidRPr="0016572A">
        <w:rPr>
          <w:rFonts w:ascii="Times New Roman" w:hAnsi="Times New Roman" w:cs="Times New Roman"/>
          <w:sz w:val="24"/>
          <w:szCs w:val="24"/>
        </w:rPr>
        <w:t>in parenting. He</w:t>
      </w:r>
      <w:r w:rsidRPr="0016572A">
        <w:rPr>
          <w:rFonts w:ascii="Times New Roman" w:hAnsi="Times New Roman" w:cs="Times New Roman"/>
          <w:sz w:val="24"/>
          <w:szCs w:val="24"/>
        </w:rPr>
        <w:t xml:space="preserve"> realize</w:t>
      </w:r>
      <w:r w:rsidR="00CD56DB" w:rsidRPr="0016572A">
        <w:rPr>
          <w:rFonts w:ascii="Times New Roman" w:hAnsi="Times New Roman" w:cs="Times New Roman"/>
          <w:sz w:val="24"/>
          <w:szCs w:val="24"/>
        </w:rPr>
        <w:t>s</w:t>
      </w:r>
      <w:r w:rsidRPr="0016572A">
        <w:rPr>
          <w:rFonts w:ascii="Times New Roman" w:hAnsi="Times New Roman" w:cs="Times New Roman"/>
          <w:sz w:val="24"/>
          <w:szCs w:val="24"/>
        </w:rPr>
        <w:t xml:space="preserve"> that parents are occupied by other life issues, and do not supervise the children in the conventional way. Describing it as toxic childhood, it is composed of features including little physical and outdoor activities, extensive screen time that implies less time for interactions, and increased childhood anxiety due to pressure from academic tests and personal objectives. </w:t>
      </w:r>
      <w:r w:rsidR="00CD56DB" w:rsidRPr="0016572A">
        <w:rPr>
          <w:rFonts w:ascii="Times New Roman" w:hAnsi="Times New Roman" w:cs="Times New Roman"/>
          <w:sz w:val="24"/>
          <w:szCs w:val="24"/>
        </w:rPr>
        <w:t>Fan and Porter (2020)</w:t>
      </w:r>
      <w:r w:rsidRPr="0016572A">
        <w:rPr>
          <w:rFonts w:ascii="Times New Roman" w:hAnsi="Times New Roman" w:cs="Times New Roman"/>
          <w:b/>
          <w:sz w:val="24"/>
          <w:szCs w:val="24"/>
        </w:rPr>
        <w:t xml:space="preserve"> </w:t>
      </w:r>
      <w:r w:rsidR="00CD56DB" w:rsidRPr="0016572A">
        <w:rPr>
          <w:rFonts w:ascii="Times New Roman" w:hAnsi="Times New Roman" w:cs="Times New Roman"/>
          <w:sz w:val="24"/>
          <w:szCs w:val="24"/>
        </w:rPr>
        <w:t>point</w:t>
      </w:r>
      <w:r w:rsidRPr="0016572A">
        <w:rPr>
          <w:rFonts w:ascii="Times New Roman" w:hAnsi="Times New Roman" w:cs="Times New Roman"/>
          <w:sz w:val="24"/>
          <w:szCs w:val="24"/>
        </w:rPr>
        <w:t xml:space="preserve"> out the concept of consumption as compensation, whereby the caregivers spend money on children to cover the guilt they have for not allocating enough time for them.</w:t>
      </w:r>
    </w:p>
    <w:p w14:paraId="631BBF67" w14:textId="5903AACC"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The concept of childhood has been changing over time and across cultures. Presently, governments have intensified their investments in education, health, and welfare to promote their wellbeing, and various groups lobbying for special protection for children. However, it has been </w:t>
      </w:r>
      <w:r w:rsidR="00B67063" w:rsidRPr="0016572A">
        <w:rPr>
          <w:rFonts w:ascii="Times New Roman" w:hAnsi="Times New Roman" w:cs="Times New Roman"/>
          <w:sz w:val="24"/>
          <w:szCs w:val="24"/>
        </w:rPr>
        <w:t>realized</w:t>
      </w:r>
      <w:r w:rsidRPr="0016572A">
        <w:rPr>
          <w:rFonts w:ascii="Times New Roman" w:hAnsi="Times New Roman" w:cs="Times New Roman"/>
          <w:sz w:val="24"/>
          <w:szCs w:val="24"/>
        </w:rPr>
        <w:t xml:space="preserve"> that the current developments have transformed childhood in ways considerably positive or negative depending on the culture, time, ethnicity, and social class. It is then hereby recommended that given the gullibility among children, the caregivers have the responsibility of balancing their lives to have time with the children</w:t>
      </w:r>
      <w:r w:rsidR="00CD56DB" w:rsidRPr="0016572A">
        <w:rPr>
          <w:rFonts w:ascii="Times New Roman" w:hAnsi="Times New Roman" w:cs="Times New Roman"/>
          <w:sz w:val="24"/>
          <w:szCs w:val="24"/>
        </w:rPr>
        <w:t xml:space="preserve"> (Beheshti 2020)</w:t>
      </w:r>
      <w:r w:rsidRPr="0016572A">
        <w:rPr>
          <w:rFonts w:ascii="Times New Roman" w:hAnsi="Times New Roman" w:cs="Times New Roman"/>
          <w:sz w:val="24"/>
          <w:szCs w:val="24"/>
        </w:rPr>
        <w:t xml:space="preserve">. The parents </w:t>
      </w:r>
      <w:r w:rsidR="00B67063" w:rsidRPr="0016572A">
        <w:rPr>
          <w:rFonts w:ascii="Times New Roman" w:hAnsi="Times New Roman" w:cs="Times New Roman"/>
          <w:sz w:val="24"/>
          <w:szCs w:val="24"/>
        </w:rPr>
        <w:t>must</w:t>
      </w:r>
      <w:r w:rsidRPr="0016572A">
        <w:rPr>
          <w:rFonts w:ascii="Times New Roman" w:hAnsi="Times New Roman" w:cs="Times New Roman"/>
          <w:sz w:val="24"/>
          <w:szCs w:val="24"/>
        </w:rPr>
        <w:t xml:space="preserve"> provide for their families and meet other life goals, which generally occupies most of their daytime</w:t>
      </w:r>
      <w:r w:rsidR="008A4066" w:rsidRPr="0016572A">
        <w:rPr>
          <w:rFonts w:ascii="Times New Roman" w:hAnsi="Times New Roman" w:cs="Times New Roman"/>
          <w:sz w:val="24"/>
          <w:szCs w:val="24"/>
        </w:rPr>
        <w:t xml:space="preserve"> (Gual et al. 2018)</w:t>
      </w:r>
      <w:r w:rsidRPr="0016572A">
        <w:rPr>
          <w:rFonts w:ascii="Times New Roman" w:hAnsi="Times New Roman" w:cs="Times New Roman"/>
          <w:sz w:val="24"/>
          <w:szCs w:val="24"/>
        </w:rPr>
        <w:t xml:space="preserve">. </w:t>
      </w:r>
      <w:r w:rsidR="00B67063" w:rsidRPr="0016572A">
        <w:rPr>
          <w:rFonts w:ascii="Times New Roman" w:hAnsi="Times New Roman" w:cs="Times New Roman"/>
          <w:sz w:val="24"/>
          <w:szCs w:val="24"/>
        </w:rPr>
        <w:t>However,</w:t>
      </w:r>
      <w:r w:rsidRPr="0016572A">
        <w:rPr>
          <w:rFonts w:ascii="Times New Roman" w:hAnsi="Times New Roman" w:cs="Times New Roman"/>
          <w:sz w:val="24"/>
          <w:szCs w:val="24"/>
        </w:rPr>
        <w:t xml:space="preserve"> given that it has been </w:t>
      </w:r>
      <w:r w:rsidR="00B67063" w:rsidRPr="0016572A">
        <w:rPr>
          <w:rFonts w:ascii="Times New Roman" w:hAnsi="Times New Roman" w:cs="Times New Roman"/>
          <w:sz w:val="24"/>
          <w:szCs w:val="24"/>
        </w:rPr>
        <w:t>realized</w:t>
      </w:r>
      <w:r w:rsidRPr="0016572A">
        <w:rPr>
          <w:rFonts w:ascii="Times New Roman" w:hAnsi="Times New Roman" w:cs="Times New Roman"/>
          <w:sz w:val="24"/>
          <w:szCs w:val="24"/>
        </w:rPr>
        <w:t xml:space="preserve"> that monitoring of the children is a major way of protecting them, it then follows that they should ensure they allocate time for the children. It will as well have the benefit of improving the social interaction for the children since </w:t>
      </w:r>
      <w:r w:rsidRPr="0016572A">
        <w:rPr>
          <w:rFonts w:ascii="Times New Roman" w:hAnsi="Times New Roman" w:cs="Times New Roman"/>
          <w:sz w:val="24"/>
          <w:szCs w:val="24"/>
        </w:rPr>
        <w:lastRenderedPageBreak/>
        <w:t>they will learn interpersonal skills from a practical way and from the adults they trust as informed by the psychosocial developmental theory.</w:t>
      </w:r>
    </w:p>
    <w:p w14:paraId="3A8AC74F" w14:textId="4FAC3F11"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Another recommendation is for the government to intensify policies relating to the identified issues that eventually affect children, young people, and families. One of them includes regulating the content provided in the media that not only contributed to the disappearance of childhood, but also considered children as target customers</w:t>
      </w:r>
      <w:r w:rsidR="00037087" w:rsidRPr="0016572A">
        <w:rPr>
          <w:rFonts w:ascii="Times New Roman" w:hAnsi="Times New Roman" w:cs="Times New Roman"/>
          <w:sz w:val="24"/>
          <w:szCs w:val="24"/>
        </w:rPr>
        <w:t xml:space="preserve"> (Roberts 2012)</w:t>
      </w:r>
      <w:r w:rsidRPr="0016572A">
        <w:rPr>
          <w:rFonts w:ascii="Times New Roman" w:hAnsi="Times New Roman" w:cs="Times New Roman"/>
          <w:sz w:val="24"/>
          <w:szCs w:val="24"/>
        </w:rPr>
        <w:t xml:space="preserve">. For instance, it can include website developers requiring authentication of a user’s age before accessing </w:t>
      </w:r>
      <w:r w:rsidR="005F2ACE" w:rsidRPr="0016572A">
        <w:rPr>
          <w:rFonts w:ascii="Times New Roman" w:hAnsi="Times New Roman" w:cs="Times New Roman"/>
          <w:sz w:val="24"/>
          <w:szCs w:val="24"/>
        </w:rPr>
        <w:t>website</w:t>
      </w:r>
      <w:r w:rsidRPr="0016572A">
        <w:rPr>
          <w:rFonts w:ascii="Times New Roman" w:hAnsi="Times New Roman" w:cs="Times New Roman"/>
          <w:sz w:val="24"/>
          <w:szCs w:val="24"/>
        </w:rPr>
        <w:t xml:space="preserve"> that has content for adults, so that the children are restricted. In addition, </w:t>
      </w:r>
      <w:r w:rsidR="005F2ACE" w:rsidRPr="0016572A">
        <w:rPr>
          <w:rFonts w:ascii="Times New Roman" w:hAnsi="Times New Roman" w:cs="Times New Roman"/>
          <w:sz w:val="24"/>
          <w:szCs w:val="24"/>
        </w:rPr>
        <w:t>labor</w:t>
      </w:r>
      <w:r w:rsidRPr="0016572A">
        <w:rPr>
          <w:rFonts w:ascii="Times New Roman" w:hAnsi="Times New Roman" w:cs="Times New Roman"/>
          <w:sz w:val="24"/>
          <w:szCs w:val="24"/>
        </w:rPr>
        <w:t xml:space="preserve"> regulations can develop ways in which the working conditions are adjusted so that the caregivers have sufficient time with the children. This will be complemented by the </w:t>
      </w:r>
      <w:r w:rsidR="005F2ACE" w:rsidRPr="0016572A">
        <w:rPr>
          <w:rFonts w:ascii="Times New Roman" w:hAnsi="Times New Roman" w:cs="Times New Roman"/>
          <w:sz w:val="24"/>
          <w:szCs w:val="24"/>
        </w:rPr>
        <w:t>sensitization</w:t>
      </w:r>
      <w:r w:rsidRPr="0016572A">
        <w:rPr>
          <w:rFonts w:ascii="Times New Roman" w:hAnsi="Times New Roman" w:cs="Times New Roman"/>
          <w:sz w:val="24"/>
          <w:szCs w:val="24"/>
        </w:rPr>
        <w:t xml:space="preserve"> of the people about the concept of childhood and why it is relevant in shaping the society and how the society’s perception contributes to its nature</w:t>
      </w:r>
      <w:r w:rsidR="000050A7" w:rsidRPr="0016572A">
        <w:rPr>
          <w:rFonts w:ascii="Times New Roman" w:hAnsi="Times New Roman" w:cs="Times New Roman"/>
          <w:sz w:val="24"/>
          <w:szCs w:val="24"/>
        </w:rPr>
        <w:t xml:space="preserve"> (</w:t>
      </w:r>
      <w:r w:rsidR="000050A7" w:rsidRPr="0016572A">
        <w:rPr>
          <w:rFonts w:ascii="Times New Roman" w:eastAsia="Arial Unicode MS" w:hAnsi="Times New Roman" w:cs="Times New Roman"/>
          <w:color w:val="000000"/>
          <w:sz w:val="24"/>
          <w:szCs w:val="24"/>
          <w:shd w:val="clear" w:color="auto" w:fill="FFFFFF"/>
        </w:rPr>
        <w:t>Subrahmanian &amp; Swamy 2018</w:t>
      </w:r>
      <w:r w:rsidR="000050A7" w:rsidRPr="0016572A">
        <w:rPr>
          <w:rFonts w:ascii="Times New Roman" w:hAnsi="Times New Roman" w:cs="Times New Roman"/>
          <w:sz w:val="24"/>
          <w:szCs w:val="24"/>
        </w:rPr>
        <w:t>)</w:t>
      </w:r>
      <w:r w:rsidRPr="0016572A">
        <w:rPr>
          <w:rFonts w:ascii="Times New Roman" w:hAnsi="Times New Roman" w:cs="Times New Roman"/>
          <w:sz w:val="24"/>
          <w:szCs w:val="24"/>
        </w:rPr>
        <w:t>.</w:t>
      </w:r>
      <w:r w:rsidR="000050A7" w:rsidRPr="0016572A">
        <w:rPr>
          <w:rFonts w:ascii="Times New Roman" w:hAnsi="Times New Roman" w:cs="Times New Roman"/>
          <w:sz w:val="24"/>
          <w:szCs w:val="24"/>
        </w:rPr>
        <w:t xml:space="preserve"> Therefore, while there are generational changes, </w:t>
      </w:r>
      <w:r w:rsidR="009B150B" w:rsidRPr="0016572A">
        <w:rPr>
          <w:rFonts w:ascii="Times New Roman" w:hAnsi="Times New Roman" w:cs="Times New Roman"/>
          <w:sz w:val="24"/>
          <w:szCs w:val="24"/>
        </w:rPr>
        <w:t>there will be influence of the current society in directing future childhoods and lives, and thus ensure smooth transitions.</w:t>
      </w:r>
    </w:p>
    <w:p w14:paraId="790CE2F5" w14:textId="146C3CB6" w:rsidR="00FC7A52" w:rsidRPr="0016572A" w:rsidRDefault="00FC7A52" w:rsidP="0016572A">
      <w:pPr>
        <w:spacing w:line="480" w:lineRule="auto"/>
        <w:rPr>
          <w:rFonts w:ascii="Times New Roman" w:hAnsi="Times New Roman" w:cs="Times New Roman"/>
          <w:sz w:val="24"/>
          <w:szCs w:val="24"/>
        </w:rPr>
      </w:pPr>
      <w:r w:rsidRPr="0016572A">
        <w:rPr>
          <w:rFonts w:ascii="Times New Roman" w:hAnsi="Times New Roman" w:cs="Times New Roman"/>
          <w:sz w:val="24"/>
          <w:szCs w:val="24"/>
        </w:rPr>
        <w:t xml:space="preserve">Holding et al. (2021) mention some interventions that the healthcare sector can implement in reducing inequality. They state that early intervention is a strategy that would greatly improve the quality of lives among the children and young people. Yuan et al. (2014) suggest that working in regions of high deprivation as key in levelling the approach to childhood for families from various social classes. In addition, they </w:t>
      </w:r>
      <w:r w:rsidR="005E4746" w:rsidRPr="0016572A">
        <w:rPr>
          <w:rFonts w:ascii="Times New Roman" w:hAnsi="Times New Roman" w:cs="Times New Roman"/>
          <w:sz w:val="24"/>
          <w:szCs w:val="24"/>
        </w:rPr>
        <w:t>recognize</w:t>
      </w:r>
      <w:r w:rsidRPr="0016572A">
        <w:rPr>
          <w:rFonts w:ascii="Times New Roman" w:hAnsi="Times New Roman" w:cs="Times New Roman"/>
          <w:sz w:val="24"/>
          <w:szCs w:val="24"/>
        </w:rPr>
        <w:t xml:space="preserve"> the role that the healthcare system has in the integration of </w:t>
      </w:r>
      <w:r w:rsidR="005E4746" w:rsidRPr="0016572A">
        <w:rPr>
          <w:rFonts w:ascii="Times New Roman" w:hAnsi="Times New Roman" w:cs="Times New Roman"/>
          <w:sz w:val="24"/>
          <w:szCs w:val="24"/>
        </w:rPr>
        <w:t>organizations</w:t>
      </w:r>
      <w:r w:rsidRPr="0016572A">
        <w:rPr>
          <w:rFonts w:ascii="Times New Roman" w:hAnsi="Times New Roman" w:cs="Times New Roman"/>
          <w:sz w:val="24"/>
          <w:szCs w:val="24"/>
        </w:rPr>
        <w:t xml:space="preserve"> such that they collectively perform towards the facilitation of healthcare access. Morrison et al. (2017) describe that services towards the children, young people, and families should be tailored to the specific needs. Accordingly, it is relevant to identify the needs that each individual and people close to the individual have without a </w:t>
      </w:r>
      <w:r w:rsidR="005E4746" w:rsidRPr="0016572A">
        <w:rPr>
          <w:rFonts w:ascii="Times New Roman" w:hAnsi="Times New Roman" w:cs="Times New Roman"/>
          <w:sz w:val="24"/>
          <w:szCs w:val="24"/>
        </w:rPr>
        <w:lastRenderedPageBreak/>
        <w:t>generalized</w:t>
      </w:r>
      <w:r w:rsidRPr="0016572A">
        <w:rPr>
          <w:rFonts w:ascii="Times New Roman" w:hAnsi="Times New Roman" w:cs="Times New Roman"/>
          <w:sz w:val="24"/>
          <w:szCs w:val="24"/>
        </w:rPr>
        <w:t xml:space="preserve"> approach. It will eventually result into the emergence and emphasis on childhood being considerate of sustainability of humanity.</w:t>
      </w:r>
    </w:p>
    <w:p w14:paraId="7E6BD938" w14:textId="77777777" w:rsidR="00FC7A52" w:rsidRPr="0016572A" w:rsidRDefault="00FC7A52" w:rsidP="0016572A">
      <w:pPr>
        <w:spacing w:line="480" w:lineRule="auto"/>
        <w:jc w:val="center"/>
        <w:rPr>
          <w:rFonts w:ascii="Times New Roman" w:hAnsi="Times New Roman" w:cs="Times New Roman"/>
          <w:sz w:val="24"/>
          <w:szCs w:val="24"/>
        </w:rPr>
      </w:pPr>
    </w:p>
    <w:p w14:paraId="0A79423E" w14:textId="77777777" w:rsidR="007244B3" w:rsidRDefault="007244B3" w:rsidP="0016572A">
      <w:pPr>
        <w:spacing w:line="480" w:lineRule="auto"/>
        <w:jc w:val="center"/>
        <w:rPr>
          <w:rFonts w:ascii="Times New Roman" w:hAnsi="Times New Roman" w:cs="Times New Roman"/>
          <w:sz w:val="24"/>
          <w:szCs w:val="24"/>
        </w:rPr>
      </w:pPr>
    </w:p>
    <w:p w14:paraId="68EEF29A" w14:textId="77777777" w:rsidR="0016572A" w:rsidRDefault="0016572A" w:rsidP="0016572A">
      <w:pPr>
        <w:spacing w:line="480" w:lineRule="auto"/>
        <w:jc w:val="center"/>
        <w:rPr>
          <w:rFonts w:ascii="Times New Roman" w:hAnsi="Times New Roman" w:cs="Times New Roman"/>
          <w:sz w:val="24"/>
          <w:szCs w:val="24"/>
        </w:rPr>
      </w:pPr>
    </w:p>
    <w:p w14:paraId="31DDF2FC" w14:textId="77777777" w:rsidR="0016572A" w:rsidRDefault="0016572A" w:rsidP="0016572A">
      <w:pPr>
        <w:spacing w:line="480" w:lineRule="auto"/>
        <w:jc w:val="center"/>
        <w:rPr>
          <w:rFonts w:ascii="Times New Roman" w:hAnsi="Times New Roman" w:cs="Times New Roman"/>
          <w:sz w:val="24"/>
          <w:szCs w:val="24"/>
        </w:rPr>
      </w:pPr>
    </w:p>
    <w:p w14:paraId="2ABF7CBF" w14:textId="77777777" w:rsidR="0016572A" w:rsidRPr="0016572A" w:rsidRDefault="0016572A" w:rsidP="0016572A">
      <w:pPr>
        <w:spacing w:line="480" w:lineRule="auto"/>
        <w:jc w:val="center"/>
        <w:rPr>
          <w:rFonts w:ascii="Times New Roman" w:hAnsi="Times New Roman" w:cs="Times New Roman"/>
          <w:sz w:val="24"/>
          <w:szCs w:val="24"/>
        </w:rPr>
      </w:pPr>
    </w:p>
    <w:p w14:paraId="0F218501" w14:textId="77777777" w:rsidR="007244B3" w:rsidRPr="0016572A" w:rsidRDefault="007244B3" w:rsidP="0016572A">
      <w:pPr>
        <w:spacing w:line="480" w:lineRule="auto"/>
        <w:jc w:val="center"/>
        <w:rPr>
          <w:rFonts w:ascii="Times New Roman" w:hAnsi="Times New Roman" w:cs="Times New Roman"/>
          <w:sz w:val="24"/>
          <w:szCs w:val="24"/>
        </w:rPr>
      </w:pPr>
      <w:r w:rsidRPr="0016572A">
        <w:rPr>
          <w:rFonts w:ascii="Times New Roman" w:hAnsi="Times New Roman" w:cs="Times New Roman"/>
          <w:sz w:val="24"/>
          <w:szCs w:val="24"/>
        </w:rPr>
        <w:t>List of References</w:t>
      </w:r>
    </w:p>
    <w:p w14:paraId="13F83422"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Ali Norozi, S., &amp; Moen, T. (2016). Childhood as a Social Construction. </w:t>
      </w:r>
      <w:r w:rsidRPr="0016572A">
        <w:rPr>
          <w:rFonts w:ascii="Times New Roman" w:hAnsi="Times New Roman" w:cs="Times New Roman"/>
          <w:i/>
          <w:iCs/>
          <w:sz w:val="24"/>
          <w:szCs w:val="24"/>
        </w:rPr>
        <w:t>Journal of Educational and Social Research</w:t>
      </w:r>
      <w:r w:rsidRPr="0016572A">
        <w:rPr>
          <w:rFonts w:ascii="Times New Roman" w:hAnsi="Times New Roman" w:cs="Times New Roman"/>
          <w:sz w:val="24"/>
          <w:szCs w:val="24"/>
        </w:rPr>
        <w:t>.</w:t>
      </w:r>
    </w:p>
    <w:p w14:paraId="33F4BBBE"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Babakr, Z. H., Mohamedamin, P., &amp; Kakamad, K. (2019). Piaget’s Cognitive Developmental Theory: Critical Review. </w:t>
      </w:r>
      <w:r w:rsidRPr="0016572A">
        <w:rPr>
          <w:rFonts w:ascii="Times New Roman" w:hAnsi="Times New Roman" w:cs="Times New Roman"/>
          <w:i/>
          <w:iCs/>
          <w:sz w:val="24"/>
          <w:szCs w:val="24"/>
        </w:rPr>
        <w:t>Education Quarterly Reviews</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2</w:t>
      </w:r>
      <w:r w:rsidRPr="0016572A">
        <w:rPr>
          <w:rFonts w:ascii="Times New Roman" w:hAnsi="Times New Roman" w:cs="Times New Roman"/>
          <w:sz w:val="24"/>
          <w:szCs w:val="24"/>
        </w:rPr>
        <w:t>(3).</w:t>
      </w:r>
    </w:p>
    <w:p w14:paraId="4ED33520"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Bann, D., Johnson, W., Li, L., Kuh, D., &amp; Hardy, R. (2018). Socioeconomic inequalities in childhood and adolescent body-mass index, weight, and height from 1953 to 2015: an analysis of four longitudinal, observational, British birth cohort studies. </w:t>
      </w:r>
      <w:r w:rsidRPr="0016572A">
        <w:rPr>
          <w:rFonts w:ascii="Times New Roman" w:hAnsi="Times New Roman" w:cs="Times New Roman"/>
          <w:i/>
          <w:iCs/>
          <w:sz w:val="24"/>
          <w:szCs w:val="24"/>
        </w:rPr>
        <w:t>The Lancet Public Health</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3</w:t>
      </w:r>
      <w:r w:rsidRPr="0016572A">
        <w:rPr>
          <w:rFonts w:ascii="Times New Roman" w:hAnsi="Times New Roman" w:cs="Times New Roman"/>
          <w:sz w:val="24"/>
          <w:szCs w:val="24"/>
        </w:rPr>
        <w:t>(4), e194–e203.</w:t>
      </w:r>
    </w:p>
    <w:p w14:paraId="17A9E2F2" w14:textId="5C4AC1C3"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Beheshti, N. (2020). Is Remote Work Good </w:t>
      </w:r>
      <w:r w:rsidR="005E4746" w:rsidRPr="0016572A">
        <w:rPr>
          <w:rFonts w:ascii="Times New Roman" w:hAnsi="Times New Roman" w:cs="Times New Roman"/>
          <w:sz w:val="24"/>
          <w:szCs w:val="24"/>
        </w:rPr>
        <w:t>or</w:t>
      </w:r>
      <w:r w:rsidRPr="0016572A">
        <w:rPr>
          <w:rFonts w:ascii="Times New Roman" w:hAnsi="Times New Roman" w:cs="Times New Roman"/>
          <w:sz w:val="24"/>
          <w:szCs w:val="24"/>
        </w:rPr>
        <w:t xml:space="preserve"> Bad For Employee Engagement? Your Leadership Holds </w:t>
      </w:r>
      <w:r w:rsidR="005E4746" w:rsidRPr="0016572A">
        <w:rPr>
          <w:rFonts w:ascii="Times New Roman" w:hAnsi="Times New Roman" w:cs="Times New Roman"/>
          <w:sz w:val="24"/>
          <w:szCs w:val="24"/>
        </w:rPr>
        <w:t>the</w:t>
      </w:r>
      <w:r w:rsidRPr="0016572A">
        <w:rPr>
          <w:rFonts w:ascii="Times New Roman" w:hAnsi="Times New Roman" w:cs="Times New Roman"/>
          <w:sz w:val="24"/>
          <w:szCs w:val="24"/>
        </w:rPr>
        <w:t xml:space="preserve"> Answer. </w:t>
      </w:r>
      <w:r w:rsidRPr="0016572A">
        <w:rPr>
          <w:rFonts w:ascii="Times New Roman" w:hAnsi="Times New Roman" w:cs="Times New Roman"/>
          <w:i/>
          <w:iCs/>
          <w:sz w:val="24"/>
          <w:szCs w:val="24"/>
        </w:rPr>
        <w:t>Forbes</w:t>
      </w:r>
      <w:r w:rsidRPr="0016572A">
        <w:rPr>
          <w:rFonts w:ascii="Times New Roman" w:hAnsi="Times New Roman" w:cs="Times New Roman"/>
          <w:sz w:val="24"/>
          <w:szCs w:val="24"/>
        </w:rPr>
        <w:t>.</w:t>
      </w:r>
    </w:p>
    <w:p w14:paraId="6B741AFA" w14:textId="5FF084DF"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Fan, W., &amp; Porter, C. (2020). Reinforcement or compensation? Parental responses to </w:t>
      </w:r>
      <w:r w:rsidR="005E4746" w:rsidRPr="0016572A">
        <w:rPr>
          <w:rFonts w:ascii="Times New Roman" w:hAnsi="Times New Roman" w:cs="Times New Roman"/>
          <w:sz w:val="24"/>
          <w:szCs w:val="24"/>
        </w:rPr>
        <w:t>children</w:t>
      </w:r>
      <w:r w:rsidRPr="0016572A">
        <w:rPr>
          <w:rFonts w:ascii="Times New Roman" w:hAnsi="Times New Roman" w:cs="Times New Roman"/>
          <w:sz w:val="24"/>
          <w:szCs w:val="24"/>
        </w:rPr>
        <w:t xml:space="preserve"> revealed human capital levels. </w:t>
      </w:r>
      <w:r w:rsidRPr="0016572A">
        <w:rPr>
          <w:rFonts w:ascii="Times New Roman" w:hAnsi="Times New Roman" w:cs="Times New Roman"/>
          <w:i/>
          <w:iCs/>
          <w:sz w:val="24"/>
          <w:szCs w:val="24"/>
        </w:rPr>
        <w:t>Journal of Population Economics</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33</w:t>
      </w:r>
      <w:r w:rsidRPr="0016572A">
        <w:rPr>
          <w:rFonts w:ascii="Times New Roman" w:hAnsi="Times New Roman" w:cs="Times New Roman"/>
          <w:sz w:val="24"/>
          <w:szCs w:val="24"/>
        </w:rPr>
        <w:t>(1), 233–270.</w:t>
      </w:r>
    </w:p>
    <w:p w14:paraId="603BEA72"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lastRenderedPageBreak/>
        <w:t xml:space="preserve">Fink, G., &amp; Rockers, P. C. (2014). Childhood growth, schooling, and cognitive development: Further evidence from the Young Lives study. </w:t>
      </w:r>
      <w:r w:rsidRPr="0016572A">
        <w:rPr>
          <w:rFonts w:ascii="Times New Roman" w:hAnsi="Times New Roman" w:cs="Times New Roman"/>
          <w:i/>
          <w:iCs/>
          <w:sz w:val="24"/>
          <w:szCs w:val="24"/>
        </w:rPr>
        <w:t>American Journal of Clinical Nutrition</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100</w:t>
      </w:r>
      <w:r w:rsidRPr="0016572A">
        <w:rPr>
          <w:rFonts w:ascii="Times New Roman" w:hAnsi="Times New Roman" w:cs="Times New Roman"/>
          <w:sz w:val="24"/>
          <w:szCs w:val="24"/>
        </w:rPr>
        <w:t>(1), 182–188.</w:t>
      </w:r>
    </w:p>
    <w:p w14:paraId="759DFA8B"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Firinci Orman, T. (2020). Adultization and blurring the boundaries of childhood in the late modern era. </w:t>
      </w:r>
      <w:r w:rsidRPr="0016572A">
        <w:rPr>
          <w:rFonts w:ascii="Times New Roman" w:hAnsi="Times New Roman" w:cs="Times New Roman"/>
          <w:i/>
          <w:iCs/>
          <w:sz w:val="24"/>
          <w:szCs w:val="24"/>
        </w:rPr>
        <w:t>Global Studies of Childhood</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10</w:t>
      </w:r>
      <w:r w:rsidRPr="0016572A">
        <w:rPr>
          <w:rFonts w:ascii="Times New Roman" w:hAnsi="Times New Roman" w:cs="Times New Roman"/>
          <w:sz w:val="24"/>
          <w:szCs w:val="24"/>
        </w:rPr>
        <w:t>(2), 106–119.</w:t>
      </w:r>
    </w:p>
    <w:p w14:paraId="48A18C40"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Foster, D. (2020). An Overview of Child Protection Legislation in England. Retrieved from https://researchbriefings.files.parliament.uk/documents/SN06787/SN06787.pdf</w:t>
      </w:r>
    </w:p>
    <w:p w14:paraId="788E407F"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hAnsi="Times New Roman" w:cs="Times New Roman"/>
          <w:sz w:val="24"/>
          <w:szCs w:val="24"/>
        </w:rPr>
        <w:t xml:space="preserve">Guan, Y., Wang, Z., Gong, Q., Cai, Z., Xu, S. L., Xiang, Q., … Tian, L. (2018). Parents’ Career Values, Adaptability, Career-Specific Parenting Behaviors, and Undergraduates’ Career Adaptability. </w:t>
      </w:r>
      <w:r w:rsidRPr="0016572A">
        <w:rPr>
          <w:rFonts w:ascii="Times New Roman" w:hAnsi="Times New Roman" w:cs="Times New Roman"/>
          <w:i/>
          <w:iCs/>
          <w:sz w:val="24"/>
          <w:szCs w:val="24"/>
        </w:rPr>
        <w:t>Counseling Psychologist</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46</w:t>
      </w:r>
      <w:r w:rsidRPr="0016572A">
        <w:rPr>
          <w:rFonts w:ascii="Times New Roman" w:hAnsi="Times New Roman" w:cs="Times New Roman"/>
          <w:sz w:val="24"/>
          <w:szCs w:val="24"/>
        </w:rPr>
        <w:t>(7), 922–946.</w:t>
      </w:r>
    </w:p>
    <w:p w14:paraId="044D52C2"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eastAsia="Arial Unicode MS" w:hAnsi="Times New Roman" w:cs="Times New Roman"/>
          <w:color w:val="000000"/>
          <w:sz w:val="24"/>
          <w:szCs w:val="24"/>
          <w:shd w:val="clear" w:color="auto" w:fill="FFFFFF"/>
        </w:rPr>
        <w:t>Hinds, T., &amp; Giardino, A. P. (2020). </w:t>
      </w:r>
      <w:r w:rsidRPr="0016572A">
        <w:rPr>
          <w:rFonts w:ascii="Times New Roman" w:eastAsia="Arial Unicode MS" w:hAnsi="Times New Roman" w:cs="Times New Roman"/>
          <w:i/>
          <w:iCs/>
          <w:color w:val="000000"/>
          <w:sz w:val="24"/>
          <w:szCs w:val="24"/>
          <w:shd w:val="clear" w:color="auto" w:fill="FFFFFF"/>
        </w:rPr>
        <w:t>Child sexual abuse: Current evidence, clinical practice, and policy directions</w:t>
      </w:r>
      <w:r w:rsidRPr="0016572A">
        <w:rPr>
          <w:rFonts w:ascii="Times New Roman" w:eastAsia="Arial Unicode MS" w:hAnsi="Times New Roman" w:cs="Times New Roman"/>
          <w:color w:val="000000"/>
          <w:sz w:val="24"/>
          <w:szCs w:val="24"/>
          <w:shd w:val="clear" w:color="auto" w:fill="FFFFFF"/>
        </w:rPr>
        <w:t>. Cham: Springer.</w:t>
      </w:r>
    </w:p>
    <w:p w14:paraId="256C9174" w14:textId="3B8227CE"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Holding, E., Fairbrother, H., Griffin, N., Wistow, J., Powell, K., &amp; Summerbell, C. (2021). Exploring the local policy context for reducing health inequalities in children and young people: an </w:t>
      </w:r>
      <w:r w:rsidR="005E4746" w:rsidRPr="0016572A">
        <w:rPr>
          <w:rFonts w:ascii="Times New Roman" w:hAnsi="Times New Roman" w:cs="Times New Roman"/>
          <w:sz w:val="24"/>
          <w:szCs w:val="24"/>
        </w:rPr>
        <w:t>in-depth</w:t>
      </w:r>
      <w:r w:rsidRPr="0016572A">
        <w:rPr>
          <w:rFonts w:ascii="Times New Roman" w:hAnsi="Times New Roman" w:cs="Times New Roman"/>
          <w:sz w:val="24"/>
          <w:szCs w:val="24"/>
        </w:rPr>
        <w:t xml:space="preserve"> qualitative case study of one local authority in the North of England, UK. </w:t>
      </w:r>
      <w:r w:rsidRPr="0016572A">
        <w:rPr>
          <w:rFonts w:ascii="Times New Roman" w:hAnsi="Times New Roman" w:cs="Times New Roman"/>
          <w:i/>
          <w:iCs/>
          <w:sz w:val="24"/>
          <w:szCs w:val="24"/>
        </w:rPr>
        <w:t>BMC Public Health</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21</w:t>
      </w:r>
      <w:r w:rsidRPr="0016572A">
        <w:rPr>
          <w:rFonts w:ascii="Times New Roman" w:hAnsi="Times New Roman" w:cs="Times New Roman"/>
          <w:sz w:val="24"/>
          <w:szCs w:val="24"/>
        </w:rPr>
        <w:t>(1).</w:t>
      </w:r>
    </w:p>
    <w:p w14:paraId="5114D2BA"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eastAsia="Arial Unicode MS" w:hAnsi="Times New Roman" w:cs="Times New Roman"/>
          <w:color w:val="000000"/>
          <w:sz w:val="24"/>
          <w:szCs w:val="24"/>
          <w:shd w:val="clear" w:color="auto" w:fill="FFFFFF"/>
        </w:rPr>
        <w:t>Jenks, C. (2015). </w:t>
      </w:r>
      <w:r w:rsidRPr="0016572A">
        <w:rPr>
          <w:rFonts w:ascii="Times New Roman" w:eastAsia="Arial Unicode MS" w:hAnsi="Times New Roman" w:cs="Times New Roman"/>
          <w:i/>
          <w:iCs/>
          <w:color w:val="000000"/>
          <w:sz w:val="24"/>
          <w:szCs w:val="24"/>
          <w:shd w:val="clear" w:color="auto" w:fill="FFFFFF"/>
        </w:rPr>
        <w:t>Childhood</w:t>
      </w:r>
      <w:r w:rsidRPr="0016572A">
        <w:rPr>
          <w:rFonts w:ascii="Times New Roman" w:eastAsia="Arial Unicode MS" w:hAnsi="Times New Roman" w:cs="Times New Roman"/>
          <w:color w:val="000000"/>
          <w:sz w:val="24"/>
          <w:szCs w:val="24"/>
          <w:shd w:val="clear" w:color="auto" w:fill="FFFFFF"/>
        </w:rPr>
        <w:t>. London: Routledge.</w:t>
      </w:r>
    </w:p>
    <w:p w14:paraId="26E4FD44"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Kruk, K. E. (2013). Parental income and the dynamics of health inequality in early childhood - Evidence from the UK. </w:t>
      </w:r>
      <w:r w:rsidRPr="0016572A">
        <w:rPr>
          <w:rFonts w:ascii="Times New Roman" w:hAnsi="Times New Roman" w:cs="Times New Roman"/>
          <w:i/>
          <w:iCs/>
          <w:sz w:val="24"/>
          <w:szCs w:val="24"/>
        </w:rPr>
        <w:t>Health Economics (United Kingdom)</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22</w:t>
      </w:r>
      <w:r w:rsidRPr="0016572A">
        <w:rPr>
          <w:rFonts w:ascii="Times New Roman" w:hAnsi="Times New Roman" w:cs="Times New Roman"/>
          <w:sz w:val="24"/>
          <w:szCs w:val="24"/>
        </w:rPr>
        <w:t>(10), 1199–1214.</w:t>
      </w:r>
    </w:p>
    <w:p w14:paraId="39D4EF6C"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Maree, J. G. (2021). The psychosocial development theory of Erik Erikson: critical overview. </w:t>
      </w:r>
      <w:r w:rsidRPr="0016572A">
        <w:rPr>
          <w:rFonts w:ascii="Times New Roman" w:hAnsi="Times New Roman" w:cs="Times New Roman"/>
          <w:i/>
          <w:iCs/>
          <w:sz w:val="24"/>
          <w:szCs w:val="24"/>
        </w:rPr>
        <w:t>Early Child Development and Care</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191</w:t>
      </w:r>
      <w:r w:rsidRPr="0016572A">
        <w:rPr>
          <w:rFonts w:ascii="Times New Roman" w:hAnsi="Times New Roman" w:cs="Times New Roman"/>
          <w:sz w:val="24"/>
          <w:szCs w:val="24"/>
        </w:rPr>
        <w:t>(7–8), 1107–1121.</w:t>
      </w:r>
    </w:p>
    <w:p w14:paraId="38F1D448"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lastRenderedPageBreak/>
        <w:t xml:space="preserve">Morrison, J., Pikhart, H., &amp; Goldblatt, P. (2017). Interventions to reduce inequalities in health and early child development in Europe from a qualitative perspective. </w:t>
      </w:r>
      <w:r w:rsidRPr="0016572A">
        <w:rPr>
          <w:rFonts w:ascii="Times New Roman" w:hAnsi="Times New Roman" w:cs="Times New Roman"/>
          <w:i/>
          <w:iCs/>
          <w:sz w:val="24"/>
          <w:szCs w:val="24"/>
        </w:rPr>
        <w:t>International Journal for Equity in Health</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16</w:t>
      </w:r>
      <w:r w:rsidRPr="0016572A">
        <w:rPr>
          <w:rFonts w:ascii="Times New Roman" w:hAnsi="Times New Roman" w:cs="Times New Roman"/>
          <w:sz w:val="24"/>
          <w:szCs w:val="24"/>
        </w:rPr>
        <w:t>(1).</w:t>
      </w:r>
    </w:p>
    <w:p w14:paraId="3069A406"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Nandrajog, M. (2021). Experiences of Childhood in the Victorian Cultural and Literary World of Carroll’s Alice in Through the Looking Glass. </w:t>
      </w:r>
      <w:r w:rsidRPr="0016572A">
        <w:rPr>
          <w:rFonts w:ascii="Times New Roman" w:hAnsi="Times New Roman" w:cs="Times New Roman"/>
          <w:i/>
          <w:iCs/>
          <w:sz w:val="24"/>
          <w:szCs w:val="24"/>
        </w:rPr>
        <w:t>New Literaria</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2</w:t>
      </w:r>
      <w:r w:rsidRPr="0016572A">
        <w:rPr>
          <w:rFonts w:ascii="Times New Roman" w:hAnsi="Times New Roman" w:cs="Times New Roman"/>
          <w:sz w:val="24"/>
          <w:szCs w:val="24"/>
        </w:rPr>
        <w:t>(1), 80–86.</w:t>
      </w:r>
    </w:p>
    <w:p w14:paraId="5FC65A29"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Power, K. (2022). The influence of changing discourses of childhood on 1860s educational policy. </w:t>
      </w:r>
      <w:r w:rsidRPr="0016572A">
        <w:rPr>
          <w:rFonts w:ascii="Times New Roman" w:hAnsi="Times New Roman" w:cs="Times New Roman"/>
          <w:i/>
          <w:iCs/>
          <w:sz w:val="24"/>
          <w:szCs w:val="24"/>
        </w:rPr>
        <w:t>History of Education</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51</w:t>
      </w:r>
      <w:r w:rsidRPr="0016572A">
        <w:rPr>
          <w:rFonts w:ascii="Times New Roman" w:hAnsi="Times New Roman" w:cs="Times New Roman"/>
          <w:sz w:val="24"/>
          <w:szCs w:val="24"/>
        </w:rPr>
        <w:t>(1), 1–21.</w:t>
      </w:r>
    </w:p>
    <w:p w14:paraId="577DCAE2"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eastAsia="Arial Unicode MS" w:hAnsi="Times New Roman" w:cs="Times New Roman"/>
          <w:color w:val="000000"/>
          <w:sz w:val="24"/>
          <w:szCs w:val="24"/>
          <w:shd w:val="clear" w:color="auto" w:fill="FFFFFF"/>
        </w:rPr>
        <w:t>Roberts, H. (2012). </w:t>
      </w:r>
      <w:r w:rsidRPr="0016572A">
        <w:rPr>
          <w:rFonts w:ascii="Times New Roman" w:eastAsia="Arial Unicode MS" w:hAnsi="Times New Roman" w:cs="Times New Roman"/>
          <w:i/>
          <w:iCs/>
          <w:color w:val="000000"/>
          <w:sz w:val="24"/>
          <w:szCs w:val="24"/>
          <w:shd w:val="clear" w:color="auto" w:fill="FFFFFF"/>
        </w:rPr>
        <w:t>What works in reducing inequalities in child health?</w:t>
      </w:r>
      <w:r w:rsidRPr="0016572A">
        <w:rPr>
          <w:rFonts w:ascii="Times New Roman" w:eastAsia="Arial Unicode MS" w:hAnsi="Times New Roman" w:cs="Times New Roman"/>
          <w:color w:val="000000"/>
          <w:sz w:val="24"/>
          <w:szCs w:val="24"/>
          <w:shd w:val="clear" w:color="auto" w:fill="FFFFFF"/>
        </w:rPr>
        <w:t>.</w:t>
      </w:r>
    </w:p>
    <w:p w14:paraId="0FDD20D6"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Robson, A. H. (2019). The Factory Act of 1833. In </w:t>
      </w:r>
      <w:r w:rsidRPr="0016572A">
        <w:rPr>
          <w:rFonts w:ascii="Times New Roman" w:hAnsi="Times New Roman" w:cs="Times New Roman"/>
          <w:i/>
          <w:iCs/>
          <w:sz w:val="24"/>
          <w:szCs w:val="24"/>
        </w:rPr>
        <w:t>The Education of Children Engaged in Industry in England 1833-1876</w:t>
      </w:r>
      <w:r w:rsidRPr="0016572A">
        <w:rPr>
          <w:rFonts w:ascii="Times New Roman" w:hAnsi="Times New Roman" w:cs="Times New Roman"/>
          <w:sz w:val="24"/>
          <w:szCs w:val="24"/>
        </w:rPr>
        <w:t xml:space="preserve"> (pp. 15–55). Routledge.</w:t>
      </w:r>
    </w:p>
    <w:p w14:paraId="31417853"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eastAsia="Arial Unicode MS" w:hAnsi="Times New Roman" w:cs="Times New Roman"/>
          <w:color w:val="000000"/>
          <w:sz w:val="24"/>
          <w:szCs w:val="24"/>
          <w:shd w:val="clear" w:color="auto" w:fill="FFFFFF"/>
        </w:rPr>
        <w:t>Scheck, S. (2014). </w:t>
      </w:r>
      <w:r w:rsidRPr="0016572A">
        <w:rPr>
          <w:rFonts w:ascii="Times New Roman" w:eastAsia="Arial Unicode MS" w:hAnsi="Times New Roman" w:cs="Times New Roman"/>
          <w:i/>
          <w:iCs/>
          <w:color w:val="000000"/>
          <w:sz w:val="24"/>
          <w:szCs w:val="24"/>
          <w:shd w:val="clear" w:color="auto" w:fill="FFFFFF"/>
        </w:rPr>
        <w:t>The Stages of Psychosocial Development According to Erik H. Erikson</w:t>
      </w:r>
      <w:r w:rsidRPr="0016572A">
        <w:rPr>
          <w:rFonts w:ascii="Times New Roman" w:eastAsia="Arial Unicode MS" w:hAnsi="Times New Roman" w:cs="Times New Roman"/>
          <w:color w:val="000000"/>
          <w:sz w:val="24"/>
          <w:szCs w:val="24"/>
          <w:shd w:val="clear" w:color="auto" w:fill="FFFFFF"/>
        </w:rPr>
        <w:t>.</w:t>
      </w:r>
    </w:p>
    <w:p w14:paraId="37B1E60A" w14:textId="77777777" w:rsidR="0016572A"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Schenk, K. D. (2009). Community interventions providing care and support to orphans and vulnerable children: A review of evaluation evidence. </w:t>
      </w:r>
      <w:r w:rsidRPr="0016572A">
        <w:rPr>
          <w:rFonts w:ascii="Times New Roman" w:hAnsi="Times New Roman" w:cs="Times New Roman"/>
          <w:i/>
          <w:iCs/>
          <w:sz w:val="24"/>
          <w:szCs w:val="24"/>
        </w:rPr>
        <w:t>AIDS Care - Psychological and Socio-Medical Aspects of AIDS/HIV</w:t>
      </w:r>
      <w:r w:rsidRPr="0016572A">
        <w:rPr>
          <w:rFonts w:ascii="Times New Roman" w:hAnsi="Times New Roman" w:cs="Times New Roman"/>
          <w:sz w:val="24"/>
          <w:szCs w:val="24"/>
        </w:rPr>
        <w:t xml:space="preserve">, </w:t>
      </w:r>
      <w:r w:rsidRPr="0016572A">
        <w:rPr>
          <w:rFonts w:ascii="Times New Roman" w:hAnsi="Times New Roman" w:cs="Times New Roman"/>
          <w:i/>
          <w:iCs/>
          <w:sz w:val="24"/>
          <w:szCs w:val="24"/>
        </w:rPr>
        <w:t>21</w:t>
      </w:r>
      <w:r w:rsidRPr="0016572A">
        <w:rPr>
          <w:rFonts w:ascii="Times New Roman" w:hAnsi="Times New Roman" w:cs="Times New Roman"/>
          <w:sz w:val="24"/>
          <w:szCs w:val="24"/>
        </w:rPr>
        <w:t>(7), 918–942.</w:t>
      </w:r>
    </w:p>
    <w:p w14:paraId="3ED2D7F6" w14:textId="77777777" w:rsidR="0016572A" w:rsidRPr="0016572A" w:rsidRDefault="0016572A" w:rsidP="0016572A">
      <w:pPr>
        <w:spacing w:line="480" w:lineRule="auto"/>
        <w:ind w:left="720" w:hanging="720"/>
        <w:rPr>
          <w:rFonts w:ascii="Times New Roman" w:eastAsia="Arial Unicode MS" w:hAnsi="Times New Roman" w:cs="Times New Roman"/>
          <w:color w:val="000000"/>
          <w:sz w:val="24"/>
          <w:szCs w:val="24"/>
          <w:shd w:val="clear" w:color="auto" w:fill="FFFFFF"/>
        </w:rPr>
      </w:pPr>
      <w:r w:rsidRPr="0016572A">
        <w:rPr>
          <w:rFonts w:ascii="Times New Roman" w:eastAsia="Arial Unicode MS" w:hAnsi="Times New Roman" w:cs="Times New Roman"/>
          <w:color w:val="000000"/>
          <w:sz w:val="24"/>
          <w:szCs w:val="24"/>
          <w:shd w:val="clear" w:color="auto" w:fill="FFFFFF"/>
        </w:rPr>
        <w:t>Subrahmanian, K., &amp; Swamy, P. (2018). </w:t>
      </w:r>
      <w:r w:rsidRPr="0016572A">
        <w:rPr>
          <w:rFonts w:ascii="Times New Roman" w:eastAsia="Arial Unicode MS" w:hAnsi="Times New Roman" w:cs="Times New Roman"/>
          <w:i/>
          <w:iCs/>
          <w:color w:val="000000"/>
          <w:sz w:val="24"/>
          <w:szCs w:val="24"/>
          <w:shd w:val="clear" w:color="auto" w:fill="FFFFFF"/>
        </w:rPr>
        <w:t>Global child health: A toolkit to address health disparities</w:t>
      </w:r>
      <w:r w:rsidRPr="0016572A">
        <w:rPr>
          <w:rFonts w:ascii="Times New Roman" w:eastAsia="Arial Unicode MS" w:hAnsi="Times New Roman" w:cs="Times New Roman"/>
          <w:color w:val="000000"/>
          <w:sz w:val="24"/>
          <w:szCs w:val="24"/>
          <w:shd w:val="clear" w:color="auto" w:fill="FFFFFF"/>
        </w:rPr>
        <w:t>.</w:t>
      </w:r>
    </w:p>
    <w:p w14:paraId="39B3D966" w14:textId="77777777" w:rsidR="007244B3" w:rsidRPr="0016572A" w:rsidRDefault="0016572A" w:rsidP="0016572A">
      <w:pPr>
        <w:spacing w:line="480" w:lineRule="auto"/>
        <w:ind w:left="720" w:hanging="720"/>
        <w:rPr>
          <w:rFonts w:ascii="Times New Roman" w:hAnsi="Times New Roman" w:cs="Times New Roman"/>
          <w:sz w:val="24"/>
          <w:szCs w:val="24"/>
        </w:rPr>
      </w:pPr>
      <w:r w:rsidRPr="0016572A">
        <w:rPr>
          <w:rFonts w:ascii="Times New Roman" w:hAnsi="Times New Roman" w:cs="Times New Roman"/>
          <w:sz w:val="24"/>
          <w:szCs w:val="24"/>
        </w:rPr>
        <w:t xml:space="preserve">Yuan, B., Målqvist, M., Trygg, N., Qian, X., Ng, N., &amp; Thomsen, S. (2014, June 21). What interventions are effective on reducing inequalities in maternal and child health in low- and middle-income settings? A systematic review. </w:t>
      </w:r>
      <w:r w:rsidRPr="0016572A">
        <w:rPr>
          <w:rFonts w:ascii="Times New Roman" w:hAnsi="Times New Roman" w:cs="Times New Roman"/>
          <w:i/>
          <w:iCs/>
          <w:sz w:val="24"/>
          <w:szCs w:val="24"/>
        </w:rPr>
        <w:t>BMC Public Health</w:t>
      </w:r>
      <w:r w:rsidRPr="0016572A">
        <w:rPr>
          <w:rFonts w:ascii="Times New Roman" w:hAnsi="Times New Roman" w:cs="Times New Roman"/>
          <w:sz w:val="24"/>
          <w:szCs w:val="24"/>
        </w:rPr>
        <w:t>. BioMed Central Ltd.</w:t>
      </w:r>
    </w:p>
    <w:sectPr w:rsidR="007244B3" w:rsidRPr="0016572A">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A0DB1" w14:textId="77777777" w:rsidR="00A17B5A" w:rsidRDefault="00A17B5A" w:rsidP="000A3A03">
      <w:pPr>
        <w:spacing w:after="0" w:line="240" w:lineRule="auto"/>
      </w:pPr>
      <w:r>
        <w:separator/>
      </w:r>
    </w:p>
  </w:endnote>
  <w:endnote w:type="continuationSeparator" w:id="0">
    <w:p w14:paraId="4A03B361" w14:textId="77777777" w:rsidR="00A17B5A" w:rsidRDefault="00A17B5A" w:rsidP="000A3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9171179"/>
      <w:docPartObj>
        <w:docPartGallery w:val="Page Numbers (Bottom of Page)"/>
        <w:docPartUnique/>
      </w:docPartObj>
    </w:sdtPr>
    <w:sdtEndPr>
      <w:rPr>
        <w:noProof/>
      </w:rPr>
    </w:sdtEndPr>
    <w:sdtContent>
      <w:p w14:paraId="191C5CC6" w14:textId="77777777" w:rsidR="000A3A03" w:rsidRDefault="000A3A03" w:rsidP="000A3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7CCA9" w14:textId="77777777" w:rsidR="00A17B5A" w:rsidRDefault="00A17B5A" w:rsidP="000A3A03">
      <w:pPr>
        <w:spacing w:after="0" w:line="240" w:lineRule="auto"/>
      </w:pPr>
      <w:r>
        <w:separator/>
      </w:r>
    </w:p>
  </w:footnote>
  <w:footnote w:type="continuationSeparator" w:id="0">
    <w:p w14:paraId="06299B20" w14:textId="77777777" w:rsidR="00A17B5A" w:rsidRDefault="00A17B5A" w:rsidP="000A3A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DC0"/>
    <w:rsid w:val="000050A7"/>
    <w:rsid w:val="00037087"/>
    <w:rsid w:val="00077673"/>
    <w:rsid w:val="000859E9"/>
    <w:rsid w:val="000A3A03"/>
    <w:rsid w:val="000C22E6"/>
    <w:rsid w:val="000F7C8E"/>
    <w:rsid w:val="00140348"/>
    <w:rsid w:val="0016572A"/>
    <w:rsid w:val="002111CF"/>
    <w:rsid w:val="00220821"/>
    <w:rsid w:val="00261C20"/>
    <w:rsid w:val="00270FB2"/>
    <w:rsid w:val="00283C05"/>
    <w:rsid w:val="002A1C2B"/>
    <w:rsid w:val="00314D3F"/>
    <w:rsid w:val="0037275A"/>
    <w:rsid w:val="00385AD8"/>
    <w:rsid w:val="00532F41"/>
    <w:rsid w:val="005E4746"/>
    <w:rsid w:val="005F2ACE"/>
    <w:rsid w:val="00610816"/>
    <w:rsid w:val="006C7873"/>
    <w:rsid w:val="006F62B8"/>
    <w:rsid w:val="006F7881"/>
    <w:rsid w:val="00710841"/>
    <w:rsid w:val="007244B3"/>
    <w:rsid w:val="00745D4A"/>
    <w:rsid w:val="007E49E2"/>
    <w:rsid w:val="00881FF3"/>
    <w:rsid w:val="008A4066"/>
    <w:rsid w:val="00933201"/>
    <w:rsid w:val="00942675"/>
    <w:rsid w:val="009762D8"/>
    <w:rsid w:val="00983989"/>
    <w:rsid w:val="009A5F74"/>
    <w:rsid w:val="009B150B"/>
    <w:rsid w:val="009D16E6"/>
    <w:rsid w:val="009D29BE"/>
    <w:rsid w:val="009F1B80"/>
    <w:rsid w:val="00A01112"/>
    <w:rsid w:val="00A0615F"/>
    <w:rsid w:val="00A17B5A"/>
    <w:rsid w:val="00A316BB"/>
    <w:rsid w:val="00A80709"/>
    <w:rsid w:val="00A9559F"/>
    <w:rsid w:val="00B66361"/>
    <w:rsid w:val="00B67063"/>
    <w:rsid w:val="00BB0C1A"/>
    <w:rsid w:val="00C126CB"/>
    <w:rsid w:val="00C2241A"/>
    <w:rsid w:val="00C7588C"/>
    <w:rsid w:val="00CD56DB"/>
    <w:rsid w:val="00CE283D"/>
    <w:rsid w:val="00CF796D"/>
    <w:rsid w:val="00DA5B96"/>
    <w:rsid w:val="00E011E4"/>
    <w:rsid w:val="00E22DC0"/>
    <w:rsid w:val="00E2304B"/>
    <w:rsid w:val="00F5725A"/>
    <w:rsid w:val="00F82928"/>
    <w:rsid w:val="00FC7A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87275"/>
  <w15:docId w15:val="{A76E83A8-65DB-4AEA-A737-F698868F3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A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A03"/>
  </w:style>
  <w:style w:type="paragraph" w:styleId="Footer">
    <w:name w:val="footer"/>
    <w:basedOn w:val="Normal"/>
    <w:link w:val="FooterChar"/>
    <w:uiPriority w:val="99"/>
    <w:unhideWhenUsed/>
    <w:rsid w:val="000A3A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dc:creator>
  <cp:lastModifiedBy>Harriet Akpojotor</cp:lastModifiedBy>
  <cp:revision>24</cp:revision>
  <dcterms:created xsi:type="dcterms:W3CDTF">2022-08-15T10:16:00Z</dcterms:created>
  <dcterms:modified xsi:type="dcterms:W3CDTF">2022-09-05T19:20:00Z</dcterms:modified>
</cp:coreProperties>
</file>