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2BBF1" w14:textId="77777777" w:rsidR="0019017C" w:rsidRDefault="00B21BA2" w:rsidP="00680684">
      <w:pPr>
        <w:spacing w:line="360" w:lineRule="auto"/>
      </w:pPr>
      <w:r>
        <w:t xml:space="preserve">Q. Review of the ‘Earlier Proclamation’ on the Boundary Stelae at El- Amarna. </w:t>
      </w:r>
    </w:p>
    <w:p w14:paraId="6EB0F3CD" w14:textId="4CE3E57F" w:rsidR="00BA4D3D" w:rsidRDefault="00607366" w:rsidP="00680684">
      <w:pPr>
        <w:spacing w:line="360" w:lineRule="auto"/>
      </w:pPr>
      <w:r>
        <w:t>Amenhotep IV/ Akhenaten was the 10</w:t>
      </w:r>
      <w:r w:rsidRPr="00607366">
        <w:rPr>
          <w:vertAlign w:val="superscript"/>
        </w:rPr>
        <w:t>th</w:t>
      </w:r>
      <w:r w:rsidR="00831965">
        <w:t xml:space="preserve"> Pharaoh of</w:t>
      </w:r>
      <w:r>
        <w:t xml:space="preserve"> </w:t>
      </w:r>
      <w:r w:rsidR="00535FDD">
        <w:t xml:space="preserve">the </w:t>
      </w:r>
      <w:r>
        <w:t>18</w:t>
      </w:r>
      <w:r w:rsidRPr="00607366">
        <w:rPr>
          <w:vertAlign w:val="superscript"/>
        </w:rPr>
        <w:t>th</w:t>
      </w:r>
      <w:r w:rsidR="00831965">
        <w:t xml:space="preserve"> Dynasty</w:t>
      </w:r>
      <w:r w:rsidR="00535FDD">
        <w:t xml:space="preserve"> in</w:t>
      </w:r>
      <w:r w:rsidR="00935B03">
        <w:t xml:space="preserve"> Egypt.  He was the second son of the previous Pharaoh Amenhotep III and his wife </w:t>
      </w:r>
      <w:r w:rsidR="008078CD">
        <w:t xml:space="preserve">Queen </w:t>
      </w:r>
      <w:r w:rsidR="00935B03">
        <w:t>Tiye</w:t>
      </w:r>
      <w:r w:rsidR="00255BF4">
        <w:t>;</w:t>
      </w:r>
      <w:r w:rsidR="00DA220B">
        <w:rPr>
          <w:rStyle w:val="FootnoteReference"/>
        </w:rPr>
        <w:footnoteReference w:id="1"/>
      </w:r>
      <w:r w:rsidR="00935B03">
        <w:t xml:space="preserve"> </w:t>
      </w:r>
      <w:r w:rsidR="008078CD">
        <w:t>however,</w:t>
      </w:r>
      <w:r w:rsidR="00935B03">
        <w:t xml:space="preserve"> he was not the intended heir to the throne, as he only came into power by the death of his older brother Thutmose</w:t>
      </w:r>
      <w:r w:rsidR="00255BF4">
        <w:t>.</w:t>
      </w:r>
      <w:r w:rsidR="00DA220B">
        <w:rPr>
          <w:rStyle w:val="FootnoteReference"/>
        </w:rPr>
        <w:footnoteReference w:id="2"/>
      </w:r>
      <w:r w:rsidR="00935B03">
        <w:t xml:space="preserve"> </w:t>
      </w:r>
      <w:r w:rsidR="00255BF4">
        <w:t>At his coronation</w:t>
      </w:r>
      <w:r w:rsidR="008078CD">
        <w:t xml:space="preserve"> he</w:t>
      </w:r>
      <w:r w:rsidR="00935B03">
        <w:t xml:space="preserve"> was given the name Amenhotep IV in honour of the continuation of his </w:t>
      </w:r>
      <w:r w:rsidR="008078CD">
        <w:t>father’s</w:t>
      </w:r>
      <w:r w:rsidR="00535FDD">
        <w:t xml:space="preserve"> legacy</w:t>
      </w:r>
      <w:r w:rsidR="00935B03">
        <w:t xml:space="preserve">. </w:t>
      </w:r>
      <w:r w:rsidR="00BA4D3D">
        <w:t>It is estimated that around his 5</w:t>
      </w:r>
      <w:r w:rsidR="00BA4D3D" w:rsidRPr="00BA4D3D">
        <w:rPr>
          <w:vertAlign w:val="superscript"/>
        </w:rPr>
        <w:t>th</w:t>
      </w:r>
      <w:r w:rsidR="00BA4D3D">
        <w:t xml:space="preserve"> regnal year</w:t>
      </w:r>
      <w:r w:rsidR="00535FDD">
        <w:t xml:space="preserve"> Amenhotep IV changed his birth</w:t>
      </w:r>
      <w:r w:rsidR="00BA4D3D">
        <w:t xml:space="preserve"> name to Akhenaten meaning ‘effective for Aten</w:t>
      </w:r>
      <w:r w:rsidR="00255BF4">
        <w:t>,</w:t>
      </w:r>
      <w:r w:rsidR="00BA4D3D">
        <w:t>’</w:t>
      </w:r>
      <w:r w:rsidR="00DA220B">
        <w:rPr>
          <w:rStyle w:val="FootnoteReference"/>
        </w:rPr>
        <w:footnoteReference w:id="3"/>
      </w:r>
      <w:r w:rsidR="00BA4D3D">
        <w:t xml:space="preserve"> as he wanted to move away from the dedication to the God Amun and ensure his principle </w:t>
      </w:r>
      <w:r w:rsidR="00930E4A">
        <w:t xml:space="preserve">god, </w:t>
      </w:r>
      <w:r w:rsidR="00BA4D3D">
        <w:t>Aten</w:t>
      </w:r>
      <w:r w:rsidR="00622650">
        <w:t>, held</w:t>
      </w:r>
      <w:r w:rsidR="00BA4D3D">
        <w:t xml:space="preserve"> the greatest significance. </w:t>
      </w:r>
      <w:r w:rsidR="00622650">
        <w:t xml:space="preserve">Therefore, </w:t>
      </w:r>
      <w:r w:rsidR="00935B03">
        <w:t>Akhenaten</w:t>
      </w:r>
      <w:r w:rsidR="00A85522">
        <w:t xml:space="preserve"> is known by</w:t>
      </w:r>
      <w:r w:rsidR="00083070">
        <w:t xml:space="preserve"> modern</w:t>
      </w:r>
      <w:r w:rsidR="00A85522">
        <w:t xml:space="preserve"> scholarship</w:t>
      </w:r>
      <w:r>
        <w:t xml:space="preserve"> as the ‘heretic’ king of the New Kingdom</w:t>
      </w:r>
      <w:r w:rsidR="00255BF4">
        <w:t>,</w:t>
      </w:r>
      <w:r w:rsidR="00A85522">
        <w:rPr>
          <w:rStyle w:val="FootnoteReference"/>
        </w:rPr>
        <w:footnoteReference w:id="4"/>
      </w:r>
      <w:r w:rsidR="008078CD">
        <w:t xml:space="preserve"> although it may be </w:t>
      </w:r>
      <w:r w:rsidR="00267DF0">
        <w:t>debated that he only followed in t</w:t>
      </w:r>
      <w:r w:rsidR="00083070">
        <w:t>he work that his father bega</w:t>
      </w:r>
      <w:r w:rsidR="008078CD">
        <w:t>n before his death</w:t>
      </w:r>
      <w:r>
        <w:t>.</w:t>
      </w:r>
    </w:p>
    <w:p w14:paraId="1585E4DB" w14:textId="77777777" w:rsidR="00C22506" w:rsidRDefault="006D0220" w:rsidP="00680684">
      <w:pPr>
        <w:spacing w:line="360" w:lineRule="auto"/>
      </w:pPr>
      <w:r>
        <w:t>This boundary stela</w:t>
      </w:r>
      <w:r w:rsidR="00255BF4">
        <w:t>,</w:t>
      </w:r>
      <w:r>
        <w:t xml:space="preserve"> found at El-Amarna</w:t>
      </w:r>
      <w:r w:rsidR="00255BF4">
        <w:t xml:space="preserve"> and</w:t>
      </w:r>
      <w:r>
        <w:t xml:space="preserve"> known as stela M</w:t>
      </w:r>
      <w:r w:rsidR="00255BF4">
        <w:t>,</w:t>
      </w:r>
      <w:r>
        <w:t xml:space="preserve"> is the </w:t>
      </w:r>
      <w:r w:rsidR="00255BF4">
        <w:t>original</w:t>
      </w:r>
      <w:r>
        <w:t xml:space="preserve"> example of the </w:t>
      </w:r>
      <w:r w:rsidR="00255BF4">
        <w:t>‘</w:t>
      </w:r>
      <w:r>
        <w:t>earlier proclamation</w:t>
      </w:r>
      <w:r w:rsidR="00255BF4">
        <w:t>’</w:t>
      </w:r>
      <w:r w:rsidR="00083070">
        <w:t xml:space="preserve"> which was erected in regnal year 5 at the boundaries out</w:t>
      </w:r>
      <w:r w:rsidR="00255BF4">
        <w:t>lin</w:t>
      </w:r>
      <w:r w:rsidR="00083070">
        <w:t>ing the territories in which Akhet- Aten would be built</w:t>
      </w:r>
      <w:r>
        <w:t xml:space="preserve">. The stela then appeared to deteriorate </w:t>
      </w:r>
      <w:r w:rsidR="00083070">
        <w:t>quite quickly, which resulted in</w:t>
      </w:r>
      <w:r>
        <w:t xml:space="preserve"> </w:t>
      </w:r>
      <w:r w:rsidR="00255BF4">
        <w:t>the creation of</w:t>
      </w:r>
      <w:r w:rsidR="00083070">
        <w:t xml:space="preserve"> a new copy,</w:t>
      </w:r>
      <w:r>
        <w:t xml:space="preserve"> which is known as stela K.</w:t>
      </w:r>
      <w:r w:rsidR="00C22506">
        <w:t xml:space="preserve"> The text that is discussed below is made up </w:t>
      </w:r>
      <w:r w:rsidR="00255BF4">
        <w:t xml:space="preserve">of </w:t>
      </w:r>
      <w:r w:rsidR="00C22506">
        <w:t>individual sections of both stela M and stela K</w:t>
      </w:r>
      <w:r w:rsidR="00255BF4">
        <w:t>,</w:t>
      </w:r>
      <w:r w:rsidR="00C22506">
        <w:t xml:space="preserve"> which allows us to read the </w:t>
      </w:r>
      <w:r w:rsidR="00083070">
        <w:t xml:space="preserve">nearly </w:t>
      </w:r>
      <w:r w:rsidR="00C22506">
        <w:t>full ‘earlier proclamation’ text.</w:t>
      </w:r>
      <w:r w:rsidR="00B9121B">
        <w:t xml:space="preserve"> This ‘earlier proclamation’</w:t>
      </w:r>
      <w:r w:rsidR="00255BF4">
        <w:t xml:space="preserve"> is split up into four sections:</w:t>
      </w:r>
      <w:r w:rsidR="00B9121B">
        <w:t xml:space="preserve"> the introduction, the initial appearance and speech by the king, the courtiers</w:t>
      </w:r>
      <w:r w:rsidR="006F1F38">
        <w:t>’</w:t>
      </w:r>
      <w:r w:rsidR="00B9121B">
        <w:t xml:space="preserve"> reply and the decree. </w:t>
      </w:r>
      <w:r w:rsidR="00083070">
        <w:t>Each section outlines Akhenaten’s intenti</w:t>
      </w:r>
      <w:r w:rsidR="006F1F38">
        <w:t xml:space="preserve">ons for the new capital city </w:t>
      </w:r>
      <w:r w:rsidR="00083070">
        <w:t xml:space="preserve">which his father the Aten had ordered him to build. </w:t>
      </w:r>
    </w:p>
    <w:p w14:paraId="4CA94FE5" w14:textId="2FFEC9F2" w:rsidR="002D5499" w:rsidRDefault="00083070" w:rsidP="00680684">
      <w:pPr>
        <w:spacing w:line="360" w:lineRule="auto"/>
      </w:pPr>
      <w:r>
        <w:t>T</w:t>
      </w:r>
      <w:r w:rsidR="00315182">
        <w:t>he introduction of this boundary s</w:t>
      </w:r>
      <w:r>
        <w:t>tela begins</w:t>
      </w:r>
      <w:r w:rsidR="00C85FC2">
        <w:t xml:space="preserve"> </w:t>
      </w:r>
      <w:r w:rsidR="003E3500">
        <w:t>by giving both Akhenaten and Nefertiti’s full throne name</w:t>
      </w:r>
      <w:r w:rsidR="0061586F">
        <w:t>, whic</w:t>
      </w:r>
      <w:r w:rsidR="00EE2997">
        <w:t>h is the first instance</w:t>
      </w:r>
      <w:r w:rsidR="0061586F">
        <w:t xml:space="preserve"> he moves completely away from any reference to </w:t>
      </w:r>
      <w:r w:rsidR="006F1F38">
        <w:t xml:space="preserve">the </w:t>
      </w:r>
      <w:r w:rsidR="0061586F">
        <w:t>god Amun</w:t>
      </w:r>
      <w:r w:rsidR="003E3500">
        <w:t>.</w:t>
      </w:r>
      <w:r w:rsidR="0061586F">
        <w:t xml:space="preserve"> This is arguably an </w:t>
      </w:r>
      <w:r w:rsidR="00EE2997">
        <w:t>inevitable</w:t>
      </w:r>
      <w:r w:rsidR="0061586F">
        <w:t xml:space="preserve"> aspect of Akhenaten</w:t>
      </w:r>
      <w:r w:rsidR="00EE2997">
        <w:t>’</w:t>
      </w:r>
      <w:r w:rsidR="0061586F">
        <w:t>s reign</w:t>
      </w:r>
      <w:r w:rsidR="00EE2997">
        <w:t>,</w:t>
      </w:r>
      <w:r w:rsidR="0061586F">
        <w:t xml:space="preserve"> as </w:t>
      </w:r>
      <w:r w:rsidR="00EE2997">
        <w:t>earlier literature such as the B</w:t>
      </w:r>
      <w:r w:rsidR="0061586F">
        <w:t>enb</w:t>
      </w:r>
      <w:r w:rsidR="00EE2997">
        <w:t>en inscription from Geleb el-Si</w:t>
      </w:r>
      <w:r w:rsidR="0061586F">
        <w:t>lsila</w:t>
      </w:r>
      <w:r w:rsidR="007613F6">
        <w:t xml:space="preserve"> -</w:t>
      </w:r>
      <w:r w:rsidR="0061586F">
        <w:t xml:space="preserve"> </w:t>
      </w:r>
      <w:r w:rsidR="00EE2997">
        <w:t>although</w:t>
      </w:r>
      <w:r w:rsidR="006F1F38">
        <w:t xml:space="preserve"> it</w:t>
      </w:r>
      <w:r w:rsidR="00EE2997">
        <w:t xml:space="preserve"> references Re- Horakhty</w:t>
      </w:r>
      <w:r w:rsidR="007613F6">
        <w:t xml:space="preserve"> -</w:t>
      </w:r>
      <w:r w:rsidR="00EE2997">
        <w:t xml:space="preserve"> still </w:t>
      </w:r>
      <w:r w:rsidR="006F1F38">
        <w:t xml:space="preserve">has </w:t>
      </w:r>
      <w:r w:rsidR="00EE2997">
        <w:t>a religious connection with Amun-Re</w:t>
      </w:r>
      <w:r w:rsidR="006F1F38">
        <w:t>,</w:t>
      </w:r>
      <w:r w:rsidR="003156C8">
        <w:rPr>
          <w:rStyle w:val="FootnoteReference"/>
        </w:rPr>
        <w:footnoteReference w:id="5"/>
      </w:r>
      <w:r w:rsidR="00EE2997">
        <w:t xml:space="preserve"> </w:t>
      </w:r>
      <w:r w:rsidR="0061586F">
        <w:t>suggest</w:t>
      </w:r>
      <w:r w:rsidR="00EE2997">
        <w:t>ing</w:t>
      </w:r>
      <w:r w:rsidR="0061586F">
        <w:t xml:space="preserve"> a</w:t>
      </w:r>
      <w:r w:rsidR="00EE2997">
        <w:t>n</w:t>
      </w:r>
      <w:r w:rsidR="0061586F">
        <w:t xml:space="preserve"> inconspicuous movement of beliefs before any radical change occurred. </w:t>
      </w:r>
      <w:r w:rsidR="00EE2997">
        <w:t>T</w:t>
      </w:r>
      <w:r w:rsidR="003E3500">
        <w:t xml:space="preserve">he text then continues to the initial </w:t>
      </w:r>
      <w:r w:rsidR="00AD0C03">
        <w:t>appearance and the speech by the king</w:t>
      </w:r>
      <w:r w:rsidR="001E6D06">
        <w:t xml:space="preserve">, which begins by </w:t>
      </w:r>
      <w:r w:rsidR="006F1F38">
        <w:t>describing</w:t>
      </w:r>
      <w:r w:rsidR="0066567F">
        <w:t xml:space="preserve"> Akhenaten</w:t>
      </w:r>
      <w:r w:rsidR="007613F6">
        <w:t>,</w:t>
      </w:r>
      <w:r w:rsidR="0066567F">
        <w:t xml:space="preserve"> who was traveling in the desert, </w:t>
      </w:r>
      <w:r w:rsidR="007613F6">
        <w:t>coming</w:t>
      </w:r>
      <w:r w:rsidR="0066567F">
        <w:t xml:space="preserve"> upon a </w:t>
      </w:r>
      <w:r w:rsidR="001E6D06">
        <w:t xml:space="preserve">place in which he later called Akhet- Aten. </w:t>
      </w:r>
      <w:r w:rsidR="007655CB">
        <w:t>The proclamati</w:t>
      </w:r>
      <w:r w:rsidR="001D5A99">
        <w:t>on then describes how the Aten appears to the Pharaoh on this desert plain, and near the Wadi in which Akhenaten both made an offering to the god and proclaimed himself to be st</w:t>
      </w:r>
      <w:r w:rsidR="006F1F38">
        <w:t>anding</w:t>
      </w:r>
      <w:r w:rsidR="001D5A99">
        <w:t xml:space="preserve"> in the life</w:t>
      </w:r>
      <w:r w:rsidR="006F1F38">
        <w:t>-</w:t>
      </w:r>
      <w:r w:rsidR="001D5A99">
        <w:t>giving rays of his father Hor-Aten</w:t>
      </w:r>
      <w:r w:rsidR="006F1F38">
        <w:t>.</w:t>
      </w:r>
      <w:r w:rsidR="001D5A99">
        <w:rPr>
          <w:rStyle w:val="FootnoteReference"/>
        </w:rPr>
        <w:footnoteReference w:id="6"/>
      </w:r>
      <w:r w:rsidR="001D5A99">
        <w:t xml:space="preserve"> Continuing</w:t>
      </w:r>
      <w:r w:rsidR="006F1F38">
        <w:t>,</w:t>
      </w:r>
      <w:r w:rsidR="001D5A99">
        <w:t xml:space="preserve"> the text states that the </w:t>
      </w:r>
      <w:r w:rsidR="00640850">
        <w:t>pharaoh</w:t>
      </w:r>
      <w:r w:rsidR="001D5A99">
        <w:t xml:space="preserve"> asked for his court to be brought to this newly found place, which connotes </w:t>
      </w:r>
      <w:r w:rsidR="001D5A99">
        <w:lastRenderedPageBreak/>
        <w:t>to the reader that it was this appearance that allowed Akhenaten to choose the new location for his capital city. Another point that is significantly interesting within this text is when Akhen</w:t>
      </w:r>
      <w:r w:rsidR="00DE4501">
        <w:t>aten states tha</w:t>
      </w:r>
      <w:r w:rsidR="00CC7EC5">
        <w:t xml:space="preserve">t no individual in the land had contributed to </w:t>
      </w:r>
      <w:r w:rsidR="001563BA">
        <w:t>his decision to erect his capital city in this place</w:t>
      </w:r>
      <w:r w:rsidR="006F1F38">
        <w:t>,</w:t>
      </w:r>
      <w:r w:rsidR="001563BA">
        <w:t xml:space="preserve"> </w:t>
      </w:r>
      <w:r w:rsidR="006F1F38">
        <w:t>indicating</w:t>
      </w:r>
      <w:r w:rsidR="001563BA">
        <w:t xml:space="preserve"> that only he </w:t>
      </w:r>
      <w:r w:rsidR="007613F6">
        <w:t xml:space="preserve">himself </w:t>
      </w:r>
      <w:r w:rsidR="001563BA">
        <w:t xml:space="preserve">could communicate with the Aten. </w:t>
      </w:r>
      <w:r w:rsidR="004876D7">
        <w:t>The next</w:t>
      </w:r>
      <w:r w:rsidR="007613F6">
        <w:t>,</w:t>
      </w:r>
      <w:r w:rsidR="004876D7">
        <w:t xml:space="preserve"> and possibl</w:t>
      </w:r>
      <w:r w:rsidR="007613F6">
        <w:t>y the</w:t>
      </w:r>
      <w:r w:rsidR="004876D7">
        <w:t xml:space="preserve"> most important aspect of this stela</w:t>
      </w:r>
      <w:r w:rsidR="007613F6">
        <w:t>,</w:t>
      </w:r>
      <w:r w:rsidR="004876D7">
        <w:t xml:space="preserve"> is the oath that Akhenaten makes. This oath</w:t>
      </w:r>
      <w:r w:rsidR="007613F6">
        <w:t>,</w:t>
      </w:r>
      <w:r w:rsidR="004876D7">
        <w:t xml:space="preserve"> which was given to the </w:t>
      </w:r>
      <w:r w:rsidR="007D2BE1">
        <w:t>individuals</w:t>
      </w:r>
      <w:r w:rsidR="004876D7">
        <w:t xml:space="preserve"> who travelled along with Akhenaten</w:t>
      </w:r>
      <w:r w:rsidR="007613F6">
        <w:t>,</w:t>
      </w:r>
      <w:r w:rsidR="00267DF0">
        <w:t xml:space="preserve"> was</w:t>
      </w:r>
      <w:r w:rsidR="004876D7">
        <w:t xml:space="preserve"> that he swore he </w:t>
      </w:r>
      <w:r w:rsidR="00A80F1C">
        <w:t>would create a great estate in dedicat</w:t>
      </w:r>
      <w:r w:rsidR="00267DF0">
        <w:t xml:space="preserve">ion to the Aten. Akhet- Aten would be </w:t>
      </w:r>
      <w:r w:rsidR="00A80F1C">
        <w:t xml:space="preserve">created as a memorial </w:t>
      </w:r>
      <w:r w:rsidR="00937F78">
        <w:t>estate</w:t>
      </w:r>
      <w:r w:rsidR="000914CA">
        <w:t xml:space="preserve">, </w:t>
      </w:r>
      <w:r w:rsidR="00A80F1C">
        <w:t xml:space="preserve">and he </w:t>
      </w:r>
      <w:r w:rsidR="00937F78">
        <w:t>insist</w:t>
      </w:r>
      <w:r w:rsidR="000914CA">
        <w:t xml:space="preserve">ed that </w:t>
      </w:r>
      <w:r w:rsidR="00A80F1C">
        <w:t>it not only belong</w:t>
      </w:r>
      <w:r w:rsidR="000914CA">
        <w:t>ed</w:t>
      </w:r>
      <w:r w:rsidR="00A80F1C">
        <w:t xml:space="preserve"> to him but also to h</w:t>
      </w:r>
      <w:r w:rsidR="00267DF0">
        <w:t>is wife Nefertiti</w:t>
      </w:r>
      <w:r w:rsidR="000914CA">
        <w:t xml:space="preserve">, </w:t>
      </w:r>
      <w:r w:rsidR="00267DF0">
        <w:t>which suggests that he wished to create a new period of Egyptian history</w:t>
      </w:r>
      <w:r w:rsidR="000914CA">
        <w:t xml:space="preserve"> </w:t>
      </w:r>
      <w:r w:rsidR="00A80F1C">
        <w:t>as the land on which Akhet- Aten was built</w:t>
      </w:r>
      <w:r w:rsidR="000914CA">
        <w:t>,</w:t>
      </w:r>
      <w:r w:rsidR="00A80F1C">
        <w:t xml:space="preserve"> untouched by other </w:t>
      </w:r>
      <w:r w:rsidR="000914CA">
        <w:t>g</w:t>
      </w:r>
      <w:r w:rsidR="00A80F1C">
        <w:t xml:space="preserve">ods. </w:t>
      </w:r>
      <w:r w:rsidR="00410DCB">
        <w:t>F</w:t>
      </w:r>
      <w:r w:rsidR="00937F78">
        <w:t>urthermore,</w:t>
      </w:r>
      <w:r w:rsidR="00A80F1C">
        <w:t xml:space="preserve"> the last sentence of this speech “belonging to his name forever and ever”</w:t>
      </w:r>
      <w:r w:rsidR="000914CA">
        <w:t>,</w:t>
      </w:r>
      <w:r w:rsidR="004907A6">
        <w:rPr>
          <w:rStyle w:val="FootnoteReference"/>
        </w:rPr>
        <w:footnoteReference w:id="7"/>
      </w:r>
      <w:r w:rsidR="00410DCB">
        <w:t xml:space="preserve"> suggest</w:t>
      </w:r>
      <w:r w:rsidR="000914CA">
        <w:t>s</w:t>
      </w:r>
      <w:r w:rsidR="00A80F1C">
        <w:t xml:space="preserve"> that Akhenaten had </w:t>
      </w:r>
      <w:r w:rsidR="00937F78">
        <w:t>planned</w:t>
      </w:r>
      <w:r w:rsidR="00A80F1C">
        <w:t xml:space="preserve"> this city to remain as the capital for the rest of Egyptian history, </w:t>
      </w:r>
      <w:r w:rsidR="000914CA">
        <w:t xml:space="preserve"> as </w:t>
      </w:r>
      <w:r w:rsidR="00A80F1C">
        <w:t xml:space="preserve">he </w:t>
      </w:r>
      <w:r w:rsidR="00937F78">
        <w:t>believed</w:t>
      </w:r>
      <w:r w:rsidR="00A80F1C">
        <w:t xml:space="preserve"> </w:t>
      </w:r>
      <w:r w:rsidR="000914CA">
        <w:t>wholeheartedly that</w:t>
      </w:r>
      <w:r w:rsidR="00A80F1C">
        <w:t xml:space="preserve"> his changes to the religion would last. </w:t>
      </w:r>
    </w:p>
    <w:p w14:paraId="166ACFB9" w14:textId="061C3F29" w:rsidR="00A80F1C" w:rsidRDefault="00A80F1C" w:rsidP="00680684">
      <w:pPr>
        <w:spacing w:line="360" w:lineRule="auto"/>
      </w:pPr>
      <w:r>
        <w:t>The courtiers</w:t>
      </w:r>
      <w:r w:rsidR="000914CA">
        <w:t>’</w:t>
      </w:r>
      <w:r>
        <w:t xml:space="preserve"> reply</w:t>
      </w:r>
      <w:r w:rsidR="000914CA">
        <w:t>,</w:t>
      </w:r>
      <w:r>
        <w:t xml:space="preserve"> although brief</w:t>
      </w:r>
      <w:r w:rsidR="000914CA">
        <w:t>,</w:t>
      </w:r>
      <w:r>
        <w:t xml:space="preserve"> allows the reader </w:t>
      </w:r>
      <w:r w:rsidR="000914CA">
        <w:t xml:space="preserve">to </w:t>
      </w:r>
      <w:r>
        <w:t xml:space="preserve">see that even </w:t>
      </w:r>
      <w:r w:rsidR="000914CA">
        <w:t xml:space="preserve">though </w:t>
      </w:r>
      <w:r>
        <w:t xml:space="preserve">it </w:t>
      </w:r>
      <w:r w:rsidR="000914CA">
        <w:t xml:space="preserve">is </w:t>
      </w:r>
      <w:r w:rsidR="00937F78">
        <w:t>perceived</w:t>
      </w:r>
      <w:r>
        <w:t xml:space="preserve"> in modern scholarship </w:t>
      </w:r>
      <w:r w:rsidR="000914CA">
        <w:t xml:space="preserve">that </w:t>
      </w:r>
      <w:r>
        <w:t>the people of Egypt were against this significant change, it was possible that Akhenaten h</w:t>
      </w:r>
      <w:r w:rsidR="000914CA">
        <w:t>a</w:t>
      </w:r>
      <w:r>
        <w:t>d many f</w:t>
      </w:r>
      <w:r w:rsidR="004907A6">
        <w:t>ollowers that followed his change</w:t>
      </w:r>
      <w:r>
        <w:t>. In this section of the text the courtiers praise Akhenaten as the lord of Akhet-At</w:t>
      </w:r>
      <w:r w:rsidR="004907A6">
        <w:t>en</w:t>
      </w:r>
      <w:r w:rsidR="000914CA">
        <w:t>,</w:t>
      </w:r>
      <w:r w:rsidR="004907A6">
        <w:t xml:space="preserve"> and by doing so</w:t>
      </w:r>
      <w:r>
        <w:t xml:space="preserve"> they confirm that they to</w:t>
      </w:r>
      <w:r w:rsidR="000914CA">
        <w:t>o</w:t>
      </w:r>
      <w:r>
        <w:t xml:space="preserve"> share his beliefs and will follow him on this new endeavour. </w:t>
      </w:r>
    </w:p>
    <w:p w14:paraId="1AAFA348" w14:textId="75B2613B" w:rsidR="00A80F1C" w:rsidRDefault="00A80F1C" w:rsidP="00680684">
      <w:pPr>
        <w:spacing w:line="360" w:lineRule="auto"/>
      </w:pPr>
      <w:r>
        <w:t>The last</w:t>
      </w:r>
      <w:r w:rsidR="000914CA">
        <w:t>,</w:t>
      </w:r>
      <w:r>
        <w:t xml:space="preserve"> and possibly most extensive part of this boundary stela is the decree, in which Akhenaten lays out his wishes and his intentions for his new capital city to his followers. </w:t>
      </w:r>
      <w:r w:rsidR="00363480">
        <w:t>He state</w:t>
      </w:r>
      <w:r w:rsidR="000914CA">
        <w:t>s</w:t>
      </w:r>
      <w:r w:rsidR="00363480">
        <w:t xml:space="preserve"> that he would buil</w:t>
      </w:r>
      <w:r w:rsidR="000914CA">
        <w:t>d</w:t>
      </w:r>
      <w:r w:rsidR="00363480">
        <w:t xml:space="preserve">: </w:t>
      </w:r>
      <w:r w:rsidR="00937F78">
        <w:t>A</w:t>
      </w:r>
      <w:r w:rsidR="00363480">
        <w:t xml:space="preserve"> House of Aten, a Mansion of Aten, a House of Rejoicing, a Residenc</w:t>
      </w:r>
      <w:r w:rsidR="00410DCB">
        <w:t xml:space="preserve">e of the Pharaoh and </w:t>
      </w:r>
      <w:r w:rsidR="00363480">
        <w:t>of the Kings Chef Wife</w:t>
      </w:r>
      <w:r w:rsidR="000914CA">
        <w:t>.</w:t>
      </w:r>
      <w:r w:rsidR="00C056C2">
        <w:rPr>
          <w:rStyle w:val="FootnoteReference"/>
        </w:rPr>
        <w:footnoteReference w:id="8"/>
      </w:r>
      <w:r w:rsidR="00C056C2">
        <w:t xml:space="preserve"> This suggests</w:t>
      </w:r>
      <w:r w:rsidR="00363480">
        <w:t xml:space="preserve"> that not only did he wis</w:t>
      </w:r>
      <w:r w:rsidR="004907A6">
        <w:t>h to build a great</w:t>
      </w:r>
      <w:r w:rsidR="00363480">
        <w:t xml:space="preserve"> capital city here</w:t>
      </w:r>
      <w:r w:rsidR="000914CA">
        <w:t>,</w:t>
      </w:r>
      <w:r w:rsidR="00363480">
        <w:t xml:space="preserve"> he would ensure that every element was dedicated to the Aten.</w:t>
      </w:r>
      <w:r w:rsidR="00410DCB">
        <w:t xml:space="preserve"> Another significant</w:t>
      </w:r>
      <w:r w:rsidR="00C056C2">
        <w:t xml:space="preserve"> aspect of this </w:t>
      </w:r>
      <w:r w:rsidR="00363480">
        <w:t xml:space="preserve">text </w:t>
      </w:r>
      <w:r w:rsidR="000914CA">
        <w:t xml:space="preserve">is that </w:t>
      </w:r>
      <w:r w:rsidR="00363480">
        <w:t xml:space="preserve">in which Akhenaten mentions his tomb </w:t>
      </w:r>
      <w:r w:rsidR="00410DCB">
        <w:t>and w</w:t>
      </w:r>
      <w:r w:rsidR="000914CA">
        <w:t>h</w:t>
      </w:r>
      <w:r w:rsidR="00410DCB">
        <w:t>ere he wishes to be buried. H</w:t>
      </w:r>
      <w:r w:rsidR="00363480">
        <w:t xml:space="preserve">e </w:t>
      </w:r>
      <w:r w:rsidR="00410DCB">
        <w:t>decrees that if he d</w:t>
      </w:r>
      <w:r w:rsidR="00363480">
        <w:t>ie</w:t>
      </w:r>
      <w:r w:rsidR="00410DCB">
        <w:t>d in any other place but</w:t>
      </w:r>
      <w:r w:rsidR="00363480">
        <w:t xml:space="preserve"> Akhet-Aten that he would want to be brought back to be buried with the </w:t>
      </w:r>
      <w:r w:rsidR="00937F78">
        <w:t>Aten</w:t>
      </w:r>
      <w:r w:rsidR="00410DCB">
        <w:t xml:space="preserve"> for millions of years.</w:t>
      </w:r>
      <w:r w:rsidR="004907A6">
        <w:t xml:space="preserve"> </w:t>
      </w:r>
      <w:r w:rsidR="00410DCB">
        <w:t>B</w:t>
      </w:r>
      <w:r w:rsidR="004907A6">
        <w:t>y stating this</w:t>
      </w:r>
      <w:r w:rsidR="000914CA">
        <w:t>,</w:t>
      </w:r>
      <w:r w:rsidR="004907A6">
        <w:t xml:space="preserve"> Akhenaten believed that he would live forever under the Aten and that his memory would remain for all eternity.</w:t>
      </w:r>
    </w:p>
    <w:p w14:paraId="5F17C809" w14:textId="59FFF57E" w:rsidR="00363480" w:rsidRDefault="004907A6" w:rsidP="00680684">
      <w:pPr>
        <w:spacing w:line="360" w:lineRule="auto"/>
      </w:pPr>
      <w:r>
        <w:t>T</w:t>
      </w:r>
      <w:r w:rsidR="00363480">
        <w:t xml:space="preserve">his </w:t>
      </w:r>
      <w:r>
        <w:t>text allows significant insight</w:t>
      </w:r>
      <w:r w:rsidR="00363480">
        <w:t xml:space="preserve"> into the personal intentions of Akhenaten and the hopes he possessed for his great c</w:t>
      </w:r>
      <w:r w:rsidR="00937F78">
        <w:t xml:space="preserve">ity, </w:t>
      </w:r>
      <w:r w:rsidR="000914CA">
        <w:t>however</w:t>
      </w:r>
      <w:r>
        <w:t xml:space="preserve"> it</w:t>
      </w:r>
      <w:r w:rsidR="00937F78">
        <w:t xml:space="preserve"> also describes a</w:t>
      </w:r>
      <w:r>
        <w:t xml:space="preserve"> great </w:t>
      </w:r>
      <w:r w:rsidR="00C056C2">
        <w:t>tragedy</w:t>
      </w:r>
      <w:r>
        <w:t xml:space="preserve"> that occurred. Although it is not possible </w:t>
      </w:r>
      <w:r w:rsidR="00C056C2">
        <w:t>to decipher what this event was, it is for certain that there was an attack on both Akhenaten and the Aten. The text also gives the throne names of three previous Pharaohs</w:t>
      </w:r>
      <w:r w:rsidR="00BE13FB">
        <w:t>,</w:t>
      </w:r>
      <w:r w:rsidR="00C056C2">
        <w:t xml:space="preserve"> </w:t>
      </w:r>
      <w:r w:rsidR="00C056C2">
        <w:lastRenderedPageBreak/>
        <w:t>Amenhotep III, Amenhotep II and Thutmose III, which suggests this was not the first incidence of the solar deities being attacked</w:t>
      </w:r>
      <w:r w:rsidR="000914CA">
        <w:t>.</w:t>
      </w:r>
      <w:r w:rsidR="00C056C2">
        <w:rPr>
          <w:rStyle w:val="FootnoteReference"/>
        </w:rPr>
        <w:footnoteReference w:id="9"/>
      </w:r>
      <w:r w:rsidR="00C056C2">
        <w:t xml:space="preserve"> </w:t>
      </w:r>
    </w:p>
    <w:p w14:paraId="2E61FB08" w14:textId="4B79B738" w:rsidR="00083070" w:rsidRDefault="002D5499" w:rsidP="00680684">
      <w:pPr>
        <w:spacing w:line="360" w:lineRule="auto"/>
      </w:pPr>
      <w:r>
        <w:t xml:space="preserve">To conclude, the ‘Earlier </w:t>
      </w:r>
      <w:r w:rsidR="001D5A99">
        <w:t>Proclamation</w:t>
      </w:r>
      <w:r>
        <w:t>’ found on the boundary stela at Amarna was one of the most important points of text within the reign of Akhenaten</w:t>
      </w:r>
      <w:r w:rsidR="00FC00B6">
        <w:t>,</w:t>
      </w:r>
      <w:r>
        <w:t xml:space="preserve"> for many reasons. This stela is the promise</w:t>
      </w:r>
      <w:r w:rsidR="00BE13FB">
        <w:t xml:space="preserve"> </w:t>
      </w:r>
      <w:r>
        <w:t xml:space="preserve">which Akhenaten makes to both the Aten and his people that he would build a great capital </w:t>
      </w:r>
      <w:r w:rsidR="001D5A99">
        <w:t xml:space="preserve">city and </w:t>
      </w:r>
      <w:r w:rsidR="00FC00B6">
        <w:t>his reasons for</w:t>
      </w:r>
      <w:r>
        <w:t xml:space="preserve"> doing this. </w:t>
      </w:r>
      <w:r w:rsidR="001E6D06">
        <w:t xml:space="preserve"> </w:t>
      </w:r>
    </w:p>
    <w:p w14:paraId="7FE81BBF" w14:textId="77777777" w:rsidR="00E922E8" w:rsidRDefault="00E922E8" w:rsidP="00680684">
      <w:pPr>
        <w:spacing w:line="360" w:lineRule="auto"/>
      </w:pPr>
      <w:bookmarkStart w:id="0" w:name="_GoBack"/>
      <w:bookmarkEnd w:id="0"/>
    </w:p>
    <w:p w14:paraId="067D7749" w14:textId="77777777" w:rsidR="00E922E8" w:rsidRDefault="00E922E8" w:rsidP="00680684">
      <w:pPr>
        <w:spacing w:line="360" w:lineRule="auto"/>
      </w:pPr>
    </w:p>
    <w:p w14:paraId="1655D99A" w14:textId="77777777" w:rsidR="00E922E8" w:rsidRDefault="00E922E8" w:rsidP="00680684">
      <w:pPr>
        <w:spacing w:line="360" w:lineRule="auto"/>
      </w:pPr>
    </w:p>
    <w:p w14:paraId="7689B79E" w14:textId="77777777" w:rsidR="00E922E8" w:rsidRDefault="00E922E8" w:rsidP="00680684">
      <w:pPr>
        <w:spacing w:line="360" w:lineRule="auto"/>
      </w:pPr>
    </w:p>
    <w:p w14:paraId="1C561DF7" w14:textId="77777777" w:rsidR="00E922E8" w:rsidRDefault="00E922E8" w:rsidP="00680684">
      <w:pPr>
        <w:spacing w:line="360" w:lineRule="auto"/>
      </w:pPr>
    </w:p>
    <w:p w14:paraId="2EC8400F" w14:textId="77777777" w:rsidR="00E922E8" w:rsidRDefault="00E922E8" w:rsidP="00680684">
      <w:pPr>
        <w:spacing w:line="360" w:lineRule="auto"/>
      </w:pPr>
    </w:p>
    <w:p w14:paraId="534E432F" w14:textId="77777777" w:rsidR="00E922E8" w:rsidRDefault="00E922E8" w:rsidP="00680684">
      <w:pPr>
        <w:spacing w:line="360" w:lineRule="auto"/>
      </w:pPr>
    </w:p>
    <w:p w14:paraId="7C7443B4" w14:textId="77777777" w:rsidR="00E922E8" w:rsidRDefault="00E922E8" w:rsidP="00680684">
      <w:pPr>
        <w:spacing w:line="360" w:lineRule="auto"/>
      </w:pPr>
    </w:p>
    <w:p w14:paraId="1356443C" w14:textId="77777777" w:rsidR="00E922E8" w:rsidRDefault="00E922E8" w:rsidP="00680684">
      <w:pPr>
        <w:spacing w:line="360" w:lineRule="auto"/>
      </w:pPr>
    </w:p>
    <w:p w14:paraId="6F845E60" w14:textId="77777777" w:rsidR="00E922E8" w:rsidRDefault="00E922E8" w:rsidP="00680684">
      <w:pPr>
        <w:spacing w:line="360" w:lineRule="auto"/>
      </w:pPr>
    </w:p>
    <w:p w14:paraId="44258C00" w14:textId="77777777" w:rsidR="00E922E8" w:rsidRDefault="00E922E8" w:rsidP="00680684">
      <w:pPr>
        <w:spacing w:line="360" w:lineRule="auto"/>
      </w:pPr>
    </w:p>
    <w:p w14:paraId="6F78B10B" w14:textId="77777777" w:rsidR="00E922E8" w:rsidRDefault="00E922E8" w:rsidP="00680684">
      <w:pPr>
        <w:spacing w:line="360" w:lineRule="auto"/>
      </w:pPr>
    </w:p>
    <w:p w14:paraId="042CD30F" w14:textId="77777777" w:rsidR="00E922E8" w:rsidRDefault="00E922E8" w:rsidP="00680684">
      <w:pPr>
        <w:spacing w:line="360" w:lineRule="auto"/>
      </w:pPr>
    </w:p>
    <w:p w14:paraId="46A994D4" w14:textId="77777777" w:rsidR="00E922E8" w:rsidRDefault="00E922E8" w:rsidP="00680684">
      <w:pPr>
        <w:spacing w:line="360" w:lineRule="auto"/>
      </w:pPr>
    </w:p>
    <w:p w14:paraId="72BF7390" w14:textId="77777777" w:rsidR="00E922E8" w:rsidRDefault="00E922E8" w:rsidP="00680684">
      <w:pPr>
        <w:spacing w:line="360" w:lineRule="auto"/>
      </w:pPr>
    </w:p>
    <w:p w14:paraId="35C14064" w14:textId="77777777" w:rsidR="00E922E8" w:rsidRDefault="00E922E8" w:rsidP="00680684">
      <w:pPr>
        <w:spacing w:line="360" w:lineRule="auto"/>
      </w:pPr>
    </w:p>
    <w:p w14:paraId="51D01784" w14:textId="77777777" w:rsidR="00E922E8" w:rsidRDefault="00E922E8" w:rsidP="00680684">
      <w:pPr>
        <w:spacing w:line="360" w:lineRule="auto"/>
      </w:pPr>
    </w:p>
    <w:p w14:paraId="3722FEF7" w14:textId="77777777" w:rsidR="00E922E8" w:rsidRDefault="00E922E8" w:rsidP="00680684">
      <w:pPr>
        <w:spacing w:line="360" w:lineRule="auto"/>
      </w:pPr>
    </w:p>
    <w:p w14:paraId="549C25AB" w14:textId="77777777" w:rsidR="00E922E8" w:rsidRDefault="00E922E8" w:rsidP="00680684">
      <w:pPr>
        <w:spacing w:line="360" w:lineRule="auto"/>
      </w:pPr>
    </w:p>
    <w:p w14:paraId="055DE618" w14:textId="77777777" w:rsidR="00E922E8" w:rsidRDefault="00E922E8" w:rsidP="00E922E8">
      <w:pPr>
        <w:spacing w:line="360" w:lineRule="auto"/>
        <w:jc w:val="center"/>
        <w:rPr>
          <w:u w:val="single"/>
        </w:rPr>
      </w:pPr>
      <w:r w:rsidRPr="00E922E8">
        <w:rPr>
          <w:u w:val="single"/>
        </w:rPr>
        <w:lastRenderedPageBreak/>
        <w:t>Bibliography</w:t>
      </w:r>
    </w:p>
    <w:p w14:paraId="7E50D971" w14:textId="77777777" w:rsidR="00E922E8" w:rsidRPr="00525BA7"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 xml:space="preserve">Hornung, E. (2001) </w:t>
      </w:r>
      <w:r w:rsidRPr="00525BA7">
        <w:rPr>
          <w:rFonts w:cstheme="minorHAnsi"/>
          <w:iCs/>
          <w:sz w:val="20"/>
          <w:szCs w:val="20"/>
          <w:shd w:val="clear" w:color="auto" w:fill="FFFFFF"/>
        </w:rPr>
        <w:t>Akhenaten and the Religion of Light</w:t>
      </w:r>
      <w:r w:rsidRPr="00525BA7">
        <w:rPr>
          <w:rFonts w:cstheme="minorHAnsi"/>
          <w:sz w:val="20"/>
          <w:szCs w:val="20"/>
          <w:shd w:val="clear" w:color="auto" w:fill="FFFFFF"/>
        </w:rPr>
        <w:t>. Cornell University Press.</w:t>
      </w:r>
    </w:p>
    <w:p w14:paraId="7EB2C320" w14:textId="77777777" w:rsidR="00E922E8"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 xml:space="preserve">Kemp, B. (2012) The City of Akhenaten and Nefertiti: Amarna and its people. Thames&amp; Hudson. </w:t>
      </w:r>
    </w:p>
    <w:p w14:paraId="2AF4A53A" w14:textId="77777777" w:rsidR="00E922E8"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 xml:space="preserve">Murnane, J, W. (1995) Texts from the Amarna Period in Egypt. Scholars Press. </w:t>
      </w:r>
    </w:p>
    <w:p w14:paraId="06736CA1" w14:textId="77777777" w:rsidR="00E922E8"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Singer, I. (2006)</w:t>
      </w:r>
      <w:r w:rsidRPr="00525BA7">
        <w:rPr>
          <w:rFonts w:cstheme="minorHAnsi"/>
          <w:sz w:val="20"/>
          <w:szCs w:val="20"/>
          <w:shd w:val="clear" w:color="auto" w:fill="FFFFFF"/>
        </w:rPr>
        <w:t xml:space="preserve"> The failed refo</w:t>
      </w:r>
      <w:r>
        <w:rPr>
          <w:rFonts w:cstheme="minorHAnsi"/>
          <w:sz w:val="20"/>
          <w:szCs w:val="20"/>
          <w:shd w:val="clear" w:color="auto" w:fill="FFFFFF"/>
        </w:rPr>
        <w:t xml:space="preserve">rms of Akhenaten and Muwatalli, </w:t>
      </w:r>
      <w:r w:rsidRPr="00525BA7">
        <w:rPr>
          <w:rFonts w:cstheme="minorHAnsi"/>
          <w:i/>
          <w:iCs/>
          <w:sz w:val="20"/>
          <w:szCs w:val="20"/>
          <w:shd w:val="clear" w:color="auto" w:fill="FFFFFF"/>
        </w:rPr>
        <w:t xml:space="preserve">British Museum Studies in </w:t>
      </w:r>
      <w:r>
        <w:rPr>
          <w:rFonts w:cstheme="minorHAnsi"/>
          <w:i/>
          <w:iCs/>
          <w:sz w:val="20"/>
          <w:szCs w:val="20"/>
          <w:shd w:val="clear" w:color="auto" w:fill="FFFFFF"/>
        </w:rPr>
        <w:t>Ancient Egypt and Sudan</w:t>
      </w:r>
      <w:r w:rsidRPr="00525BA7">
        <w:rPr>
          <w:rFonts w:cstheme="minorHAnsi"/>
          <w:sz w:val="20"/>
          <w:szCs w:val="20"/>
          <w:shd w:val="clear" w:color="auto" w:fill="FFFFFF"/>
        </w:rPr>
        <w:t>, </w:t>
      </w:r>
      <w:r w:rsidRPr="00525BA7">
        <w:rPr>
          <w:rFonts w:cstheme="minorHAnsi"/>
          <w:i/>
          <w:iCs/>
          <w:sz w:val="20"/>
          <w:szCs w:val="20"/>
          <w:shd w:val="clear" w:color="auto" w:fill="FFFFFF"/>
        </w:rPr>
        <w:t>6</w:t>
      </w:r>
      <w:r w:rsidRPr="00525BA7">
        <w:rPr>
          <w:rFonts w:cstheme="minorHAnsi"/>
          <w:sz w:val="20"/>
          <w:szCs w:val="20"/>
          <w:shd w:val="clear" w:color="auto" w:fill="FFFFFF"/>
        </w:rPr>
        <w:t>, pp.37-58.</w:t>
      </w:r>
    </w:p>
    <w:p w14:paraId="151B05B4" w14:textId="77777777" w:rsidR="00E922E8"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 xml:space="preserve">Stevens, A. (2016) Tell El- Amarna. UCLA Encyclopaedia of Egyptology. Available at URL: </w:t>
      </w:r>
      <w:r w:rsidRPr="00525BA7">
        <w:t>https://e</w:t>
      </w:r>
      <w:r>
        <w:t xml:space="preserve">scholarship.org/uc/item/1k66566f, [Accessed on 14/05/2019] </w:t>
      </w:r>
    </w:p>
    <w:p w14:paraId="48B67A1F" w14:textId="77777777" w:rsidR="00E922E8" w:rsidRDefault="00E922E8" w:rsidP="00E922E8">
      <w:pPr>
        <w:spacing w:line="360" w:lineRule="auto"/>
        <w:rPr>
          <w:rFonts w:cstheme="minorHAnsi"/>
          <w:sz w:val="20"/>
          <w:szCs w:val="20"/>
          <w:shd w:val="clear" w:color="auto" w:fill="FFFFFF"/>
        </w:rPr>
      </w:pPr>
      <w:r>
        <w:rPr>
          <w:rFonts w:cstheme="minorHAnsi"/>
          <w:sz w:val="20"/>
          <w:szCs w:val="20"/>
          <w:shd w:val="clear" w:color="auto" w:fill="FFFFFF"/>
        </w:rPr>
        <w:t xml:space="preserve">Williamson, J. (2015) Amarna Period. UCLA Encyclopaedia of Egyptology. Available at URL: </w:t>
      </w:r>
      <w:r w:rsidRPr="001D3847">
        <w:t>http://digital2.library.ucla.edu/viewFile.do?contentFileId=2397268</w:t>
      </w:r>
      <w:r>
        <w:rPr>
          <w:rFonts w:cstheme="minorHAnsi"/>
          <w:sz w:val="20"/>
          <w:szCs w:val="20"/>
          <w:shd w:val="clear" w:color="auto" w:fill="FFFFFF"/>
        </w:rPr>
        <w:t xml:space="preserve">, [Accessed on 13/05/2019] </w:t>
      </w:r>
    </w:p>
    <w:p w14:paraId="1B77C5CA" w14:textId="77777777" w:rsidR="00E922E8" w:rsidRPr="00E922E8" w:rsidRDefault="00E922E8" w:rsidP="00E922E8">
      <w:pPr>
        <w:spacing w:line="360" w:lineRule="auto"/>
        <w:rPr>
          <w:u w:val="single"/>
        </w:rPr>
      </w:pPr>
    </w:p>
    <w:p w14:paraId="5CEB97A5" w14:textId="77777777" w:rsidR="00210BED" w:rsidRDefault="00210BED"/>
    <w:p w14:paraId="552576CC" w14:textId="77777777" w:rsidR="00210BED" w:rsidRDefault="00210BED"/>
    <w:sectPr w:rsidR="00210BED">
      <w:head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DE3C2E" w16cid:durableId="208BD9BA"/>
  <w16cid:commentId w16cid:paraId="40E0EA4A" w16cid:durableId="208BD9E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D9E4E" w14:textId="77777777" w:rsidR="00856FB0" w:rsidRDefault="00856FB0" w:rsidP="00E65FE8">
      <w:pPr>
        <w:spacing w:after="0" w:line="240" w:lineRule="auto"/>
      </w:pPr>
      <w:r>
        <w:separator/>
      </w:r>
    </w:p>
  </w:endnote>
  <w:endnote w:type="continuationSeparator" w:id="0">
    <w:p w14:paraId="1436CA8E" w14:textId="77777777" w:rsidR="00856FB0" w:rsidRDefault="00856FB0" w:rsidP="00E6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E368F" w14:textId="77777777" w:rsidR="00856FB0" w:rsidRDefault="00856FB0" w:rsidP="00E65FE8">
      <w:pPr>
        <w:spacing w:after="0" w:line="240" w:lineRule="auto"/>
      </w:pPr>
      <w:r>
        <w:separator/>
      </w:r>
    </w:p>
  </w:footnote>
  <w:footnote w:type="continuationSeparator" w:id="0">
    <w:p w14:paraId="46D88354" w14:textId="77777777" w:rsidR="00856FB0" w:rsidRDefault="00856FB0" w:rsidP="00E65FE8">
      <w:pPr>
        <w:spacing w:after="0" w:line="240" w:lineRule="auto"/>
      </w:pPr>
      <w:r>
        <w:continuationSeparator/>
      </w:r>
    </w:p>
  </w:footnote>
  <w:footnote w:id="1">
    <w:p w14:paraId="2F6178E6" w14:textId="77777777" w:rsidR="00DA220B" w:rsidRDefault="00DA220B">
      <w:pPr>
        <w:pStyle w:val="FootnoteText"/>
      </w:pPr>
      <w:r>
        <w:rPr>
          <w:rStyle w:val="FootnoteReference"/>
        </w:rPr>
        <w:footnoteRef/>
      </w:r>
      <w:r>
        <w:t xml:space="preserve"> B. Kemp, (2012) 14 </w:t>
      </w:r>
    </w:p>
  </w:footnote>
  <w:footnote w:id="2">
    <w:p w14:paraId="4967DAEF" w14:textId="77777777" w:rsidR="00DA220B" w:rsidRDefault="00DA220B">
      <w:pPr>
        <w:pStyle w:val="FootnoteText"/>
      </w:pPr>
      <w:r>
        <w:rPr>
          <w:rStyle w:val="FootnoteReference"/>
        </w:rPr>
        <w:footnoteRef/>
      </w:r>
      <w:r>
        <w:t xml:space="preserve"> J. Williamson, (2015) 4 </w:t>
      </w:r>
    </w:p>
  </w:footnote>
  <w:footnote w:id="3">
    <w:p w14:paraId="3046D253" w14:textId="77777777" w:rsidR="00DA220B" w:rsidRDefault="00DA220B">
      <w:pPr>
        <w:pStyle w:val="FootnoteText"/>
      </w:pPr>
      <w:r>
        <w:rPr>
          <w:rStyle w:val="FootnoteReference"/>
        </w:rPr>
        <w:footnoteRef/>
      </w:r>
      <w:r>
        <w:t xml:space="preserve"> A. Stevens, (2016) 6 </w:t>
      </w:r>
    </w:p>
  </w:footnote>
  <w:footnote w:id="4">
    <w:p w14:paraId="27FF8947" w14:textId="77777777" w:rsidR="00A85522" w:rsidRDefault="00A85522">
      <w:pPr>
        <w:pStyle w:val="FootnoteText"/>
      </w:pPr>
      <w:r>
        <w:rPr>
          <w:rStyle w:val="FootnoteReference"/>
        </w:rPr>
        <w:footnoteRef/>
      </w:r>
      <w:r>
        <w:t xml:space="preserve"> E. Hornung, (2001) 5 &amp; I. Singer, (2006) 37 </w:t>
      </w:r>
    </w:p>
  </w:footnote>
  <w:footnote w:id="5">
    <w:p w14:paraId="11423B71" w14:textId="77777777" w:rsidR="003156C8" w:rsidRDefault="003156C8">
      <w:pPr>
        <w:pStyle w:val="FootnoteText"/>
      </w:pPr>
      <w:r>
        <w:rPr>
          <w:rStyle w:val="FootnoteReference"/>
        </w:rPr>
        <w:footnoteRef/>
      </w:r>
      <w:r>
        <w:t xml:space="preserve"> E. Hornung, (2001) 33 </w:t>
      </w:r>
    </w:p>
  </w:footnote>
  <w:footnote w:id="6">
    <w:p w14:paraId="34EF1EF1" w14:textId="77777777" w:rsidR="001D5A99" w:rsidRDefault="001D5A99">
      <w:pPr>
        <w:pStyle w:val="FootnoteText"/>
      </w:pPr>
      <w:r>
        <w:rPr>
          <w:rStyle w:val="FootnoteReference"/>
        </w:rPr>
        <w:footnoteRef/>
      </w:r>
      <w:r>
        <w:t xml:space="preserve"> W. J. Murnane, (1995) 74 </w:t>
      </w:r>
    </w:p>
  </w:footnote>
  <w:footnote w:id="7">
    <w:p w14:paraId="5482C291" w14:textId="77777777" w:rsidR="004907A6" w:rsidRDefault="004907A6" w:rsidP="004907A6">
      <w:pPr>
        <w:pStyle w:val="FootnoteText"/>
      </w:pPr>
      <w:r>
        <w:rPr>
          <w:rStyle w:val="FootnoteReference"/>
        </w:rPr>
        <w:footnoteRef/>
      </w:r>
      <w:r>
        <w:t xml:space="preserve"> W. J. Murnane, (1995) 75</w:t>
      </w:r>
    </w:p>
  </w:footnote>
  <w:footnote w:id="8">
    <w:p w14:paraId="376F054D" w14:textId="77777777" w:rsidR="00C056C2" w:rsidRDefault="00C056C2">
      <w:pPr>
        <w:pStyle w:val="FootnoteText"/>
      </w:pPr>
      <w:r>
        <w:rPr>
          <w:rStyle w:val="FootnoteReference"/>
        </w:rPr>
        <w:footnoteRef/>
      </w:r>
      <w:r>
        <w:t xml:space="preserve"> W. J. Murnane, (1995) 77</w:t>
      </w:r>
    </w:p>
  </w:footnote>
  <w:footnote w:id="9">
    <w:p w14:paraId="392B1F88" w14:textId="77777777" w:rsidR="00C056C2" w:rsidRDefault="00C056C2">
      <w:pPr>
        <w:pStyle w:val="FootnoteText"/>
      </w:pPr>
      <w:r>
        <w:rPr>
          <w:rStyle w:val="FootnoteReference"/>
        </w:rPr>
        <w:footnoteRef/>
      </w:r>
      <w:r>
        <w:t xml:space="preserve"> B. Kemp, (2012) 28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18684" w14:textId="77777777" w:rsidR="00E65FE8" w:rsidRDefault="00E65FE8">
    <w:pPr>
      <w:pStyle w:val="Header"/>
    </w:pPr>
    <w:r>
      <w:t>HPAH6014</w:t>
    </w:r>
    <w:r>
      <w:ptab w:relativeTo="margin" w:alignment="center" w:leader="none"/>
    </w:r>
    <w:r>
      <w:t>Assessment 1</w:t>
    </w:r>
    <w:r>
      <w:ptab w:relativeTo="margin" w:alignment="right" w:leader="none"/>
    </w:r>
    <w:r>
      <w:t>1600196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BA2"/>
    <w:rsid w:val="00083070"/>
    <w:rsid w:val="000914CA"/>
    <w:rsid w:val="00127F59"/>
    <w:rsid w:val="001563BA"/>
    <w:rsid w:val="0019017C"/>
    <w:rsid w:val="001D5A99"/>
    <w:rsid w:val="001E6D06"/>
    <w:rsid w:val="00210BED"/>
    <w:rsid w:val="00255BF4"/>
    <w:rsid w:val="00267DF0"/>
    <w:rsid w:val="002A0CC4"/>
    <w:rsid w:val="002D5499"/>
    <w:rsid w:val="00315182"/>
    <w:rsid w:val="003156C8"/>
    <w:rsid w:val="00363480"/>
    <w:rsid w:val="003847FB"/>
    <w:rsid w:val="003E3500"/>
    <w:rsid w:val="00410DCB"/>
    <w:rsid w:val="0044114D"/>
    <w:rsid w:val="004876D7"/>
    <w:rsid w:val="004907A6"/>
    <w:rsid w:val="0050213E"/>
    <w:rsid w:val="00535FDD"/>
    <w:rsid w:val="005D7868"/>
    <w:rsid w:val="00607366"/>
    <w:rsid w:val="0061586F"/>
    <w:rsid w:val="00622650"/>
    <w:rsid w:val="00640850"/>
    <w:rsid w:val="0066567F"/>
    <w:rsid w:val="00680684"/>
    <w:rsid w:val="006D0220"/>
    <w:rsid w:val="006F1F38"/>
    <w:rsid w:val="007613F6"/>
    <w:rsid w:val="007655CB"/>
    <w:rsid w:val="007D2BE1"/>
    <w:rsid w:val="008078CD"/>
    <w:rsid w:val="00831965"/>
    <w:rsid w:val="00856FB0"/>
    <w:rsid w:val="00930E4A"/>
    <w:rsid w:val="00935B03"/>
    <w:rsid w:val="00937F78"/>
    <w:rsid w:val="00986D36"/>
    <w:rsid w:val="009A0C3F"/>
    <w:rsid w:val="00A80F1C"/>
    <w:rsid w:val="00A85522"/>
    <w:rsid w:val="00AD0C03"/>
    <w:rsid w:val="00B003D1"/>
    <w:rsid w:val="00B21BA2"/>
    <w:rsid w:val="00B9121B"/>
    <w:rsid w:val="00BA4D3D"/>
    <w:rsid w:val="00BE13FB"/>
    <w:rsid w:val="00C056C2"/>
    <w:rsid w:val="00C22506"/>
    <w:rsid w:val="00C2662B"/>
    <w:rsid w:val="00C85FC2"/>
    <w:rsid w:val="00CC7EC5"/>
    <w:rsid w:val="00D26046"/>
    <w:rsid w:val="00D378C3"/>
    <w:rsid w:val="00DA220B"/>
    <w:rsid w:val="00DE4501"/>
    <w:rsid w:val="00E65FE8"/>
    <w:rsid w:val="00E922E8"/>
    <w:rsid w:val="00EE2997"/>
    <w:rsid w:val="00F5678D"/>
    <w:rsid w:val="00F74E40"/>
    <w:rsid w:val="00F94883"/>
    <w:rsid w:val="00FC00B6"/>
    <w:rsid w:val="00FE5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ECA13"/>
  <w15:chartTrackingRefBased/>
  <w15:docId w15:val="{1A44883D-4056-4358-AB8E-E8E2FE4D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FE8"/>
  </w:style>
  <w:style w:type="paragraph" w:styleId="Footer">
    <w:name w:val="footer"/>
    <w:basedOn w:val="Normal"/>
    <w:link w:val="FooterChar"/>
    <w:uiPriority w:val="99"/>
    <w:unhideWhenUsed/>
    <w:rsid w:val="00E65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FE8"/>
  </w:style>
  <w:style w:type="paragraph" w:styleId="FootnoteText">
    <w:name w:val="footnote text"/>
    <w:basedOn w:val="Normal"/>
    <w:link w:val="FootnoteTextChar"/>
    <w:uiPriority w:val="99"/>
    <w:semiHidden/>
    <w:unhideWhenUsed/>
    <w:rsid w:val="00DA22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220B"/>
    <w:rPr>
      <w:sz w:val="20"/>
      <w:szCs w:val="20"/>
    </w:rPr>
  </w:style>
  <w:style w:type="character" w:styleId="FootnoteReference">
    <w:name w:val="footnote reference"/>
    <w:basedOn w:val="DefaultParagraphFont"/>
    <w:uiPriority w:val="99"/>
    <w:semiHidden/>
    <w:unhideWhenUsed/>
    <w:rsid w:val="00DA220B"/>
    <w:rPr>
      <w:vertAlign w:val="superscript"/>
    </w:rPr>
  </w:style>
  <w:style w:type="paragraph" w:styleId="BalloonText">
    <w:name w:val="Balloon Text"/>
    <w:basedOn w:val="Normal"/>
    <w:link w:val="BalloonTextChar"/>
    <w:uiPriority w:val="99"/>
    <w:semiHidden/>
    <w:unhideWhenUsed/>
    <w:rsid w:val="00930E4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30E4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930E4A"/>
    <w:rPr>
      <w:sz w:val="16"/>
      <w:szCs w:val="16"/>
    </w:rPr>
  </w:style>
  <w:style w:type="paragraph" w:styleId="CommentText">
    <w:name w:val="annotation text"/>
    <w:basedOn w:val="Normal"/>
    <w:link w:val="CommentTextChar"/>
    <w:uiPriority w:val="99"/>
    <w:semiHidden/>
    <w:unhideWhenUsed/>
    <w:rsid w:val="00930E4A"/>
    <w:pPr>
      <w:spacing w:line="240" w:lineRule="auto"/>
    </w:pPr>
    <w:rPr>
      <w:sz w:val="20"/>
      <w:szCs w:val="20"/>
    </w:rPr>
  </w:style>
  <w:style w:type="character" w:customStyle="1" w:styleId="CommentTextChar">
    <w:name w:val="Comment Text Char"/>
    <w:basedOn w:val="DefaultParagraphFont"/>
    <w:link w:val="CommentText"/>
    <w:uiPriority w:val="99"/>
    <w:semiHidden/>
    <w:rsid w:val="00930E4A"/>
    <w:rPr>
      <w:sz w:val="20"/>
      <w:szCs w:val="20"/>
    </w:rPr>
  </w:style>
  <w:style w:type="paragraph" w:styleId="CommentSubject">
    <w:name w:val="annotation subject"/>
    <w:basedOn w:val="CommentText"/>
    <w:next w:val="CommentText"/>
    <w:link w:val="CommentSubjectChar"/>
    <w:uiPriority w:val="99"/>
    <w:semiHidden/>
    <w:unhideWhenUsed/>
    <w:rsid w:val="00930E4A"/>
    <w:rPr>
      <w:b/>
      <w:bCs/>
    </w:rPr>
  </w:style>
  <w:style w:type="character" w:customStyle="1" w:styleId="CommentSubjectChar">
    <w:name w:val="Comment Subject Char"/>
    <w:basedOn w:val="CommentTextChar"/>
    <w:link w:val="CommentSubject"/>
    <w:uiPriority w:val="99"/>
    <w:semiHidden/>
    <w:rsid w:val="00930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36385-BC61-4523-8BF3-E247EE4D1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farnon</dc:creator>
  <cp:keywords/>
  <dc:description/>
  <cp:lastModifiedBy>shannon farnon</cp:lastModifiedBy>
  <cp:revision>3</cp:revision>
  <dcterms:created xsi:type="dcterms:W3CDTF">2019-05-19T13:08:00Z</dcterms:created>
  <dcterms:modified xsi:type="dcterms:W3CDTF">2019-05-19T14:24:00Z</dcterms:modified>
</cp:coreProperties>
</file>