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07428B" w14:textId="77777777" w:rsidR="00937900" w:rsidRDefault="00000000">
      <w:pPr>
        <w:pBdr>
          <w:top w:val="nil"/>
          <w:left w:val="nil"/>
          <w:bottom w:val="nil"/>
          <w:right w:val="nil"/>
          <w:between w:val="nil"/>
        </w:pBdr>
        <w:spacing w:before="200" w:after="200"/>
        <w:jc w:val="center"/>
        <w:rPr>
          <w:b/>
          <w:bCs/>
          <w:sz w:val="28"/>
          <w:szCs w:val="28"/>
        </w:rPr>
      </w:pPr>
      <w:r>
        <w:rPr>
          <w:b/>
          <w:bCs/>
          <w:sz w:val="28"/>
          <w:szCs w:val="28"/>
        </w:rPr>
        <w:t>Course: BSc (Hons.) Health and Social Care</w:t>
      </w:r>
    </w:p>
    <w:p w14:paraId="52909AFF" w14:textId="77777777" w:rsidR="00937900" w:rsidRDefault="00000000">
      <w:pPr>
        <w:pBdr>
          <w:top w:val="nil"/>
          <w:left w:val="nil"/>
          <w:bottom w:val="nil"/>
          <w:right w:val="nil"/>
          <w:between w:val="nil"/>
        </w:pBdr>
        <w:spacing w:before="200" w:after="200"/>
        <w:jc w:val="center"/>
        <w:rPr>
          <w:b/>
          <w:bCs/>
          <w:sz w:val="28"/>
          <w:szCs w:val="28"/>
        </w:rPr>
      </w:pPr>
      <w:r>
        <w:rPr>
          <w:b/>
          <w:bCs/>
          <w:sz w:val="28"/>
          <w:szCs w:val="28"/>
        </w:rPr>
        <w:t xml:space="preserve"> </w:t>
      </w:r>
    </w:p>
    <w:p w14:paraId="109713F0" w14:textId="77777777" w:rsidR="00937900" w:rsidRDefault="00000000">
      <w:pPr>
        <w:pBdr>
          <w:top w:val="nil"/>
          <w:left w:val="nil"/>
          <w:bottom w:val="nil"/>
          <w:right w:val="nil"/>
          <w:between w:val="nil"/>
        </w:pBdr>
        <w:spacing w:before="200" w:after="200"/>
        <w:jc w:val="center"/>
        <w:rPr>
          <w:b/>
          <w:bCs/>
          <w:sz w:val="28"/>
          <w:szCs w:val="28"/>
        </w:rPr>
      </w:pPr>
      <w:r>
        <w:rPr>
          <w:b/>
          <w:bCs/>
          <w:sz w:val="28"/>
          <w:szCs w:val="28"/>
        </w:rPr>
        <w:t>Module: Independent Project (BMHP6020_BIRM)</w:t>
      </w:r>
    </w:p>
    <w:p w14:paraId="0EE495DD" w14:textId="77777777" w:rsidR="00937900" w:rsidRDefault="00000000">
      <w:pPr>
        <w:pBdr>
          <w:top w:val="nil"/>
          <w:left w:val="nil"/>
          <w:bottom w:val="nil"/>
          <w:right w:val="nil"/>
          <w:between w:val="nil"/>
        </w:pBdr>
        <w:spacing w:before="200" w:after="200"/>
        <w:jc w:val="center"/>
        <w:rPr>
          <w:b/>
          <w:bCs/>
          <w:sz w:val="28"/>
          <w:szCs w:val="28"/>
        </w:rPr>
      </w:pPr>
      <w:r>
        <w:rPr>
          <w:b/>
          <w:bCs/>
          <w:sz w:val="28"/>
          <w:szCs w:val="28"/>
        </w:rPr>
        <w:t xml:space="preserve"> </w:t>
      </w:r>
    </w:p>
    <w:p w14:paraId="7255F12F" w14:textId="77777777" w:rsidR="00937900" w:rsidRDefault="00000000">
      <w:pPr>
        <w:pBdr>
          <w:top w:val="nil"/>
          <w:left w:val="nil"/>
          <w:bottom w:val="nil"/>
          <w:right w:val="nil"/>
          <w:between w:val="nil"/>
        </w:pBdr>
        <w:spacing w:before="200" w:after="200"/>
        <w:jc w:val="center"/>
        <w:rPr>
          <w:b/>
          <w:bCs/>
          <w:sz w:val="28"/>
          <w:szCs w:val="28"/>
        </w:rPr>
      </w:pPr>
      <w:r>
        <w:rPr>
          <w:b/>
          <w:bCs/>
          <w:sz w:val="28"/>
          <w:szCs w:val="28"/>
        </w:rPr>
        <w:t xml:space="preserve">Element 3  </w:t>
      </w:r>
    </w:p>
    <w:p w14:paraId="6612973A" w14:textId="77777777" w:rsidR="00937900" w:rsidRDefault="00937900">
      <w:pPr>
        <w:pBdr>
          <w:top w:val="nil"/>
          <w:left w:val="nil"/>
          <w:bottom w:val="nil"/>
          <w:right w:val="nil"/>
          <w:between w:val="nil"/>
        </w:pBdr>
        <w:spacing w:before="200" w:after="200"/>
        <w:jc w:val="center"/>
        <w:rPr>
          <w:b/>
          <w:bCs/>
          <w:sz w:val="28"/>
          <w:szCs w:val="28"/>
        </w:rPr>
      </w:pPr>
    </w:p>
    <w:p w14:paraId="72406F59" w14:textId="77777777" w:rsidR="00937900" w:rsidRDefault="00000000">
      <w:pPr>
        <w:pBdr>
          <w:top w:val="nil"/>
          <w:left w:val="nil"/>
          <w:bottom w:val="nil"/>
          <w:right w:val="nil"/>
          <w:between w:val="nil"/>
        </w:pBdr>
        <w:spacing w:before="200" w:after="200"/>
        <w:jc w:val="center"/>
        <w:rPr>
          <w:b/>
          <w:bCs/>
          <w:i/>
          <w:iCs/>
          <w:sz w:val="28"/>
          <w:szCs w:val="28"/>
        </w:rPr>
      </w:pPr>
      <w:r>
        <w:rPr>
          <w:b/>
          <w:bCs/>
          <w:sz w:val="28"/>
          <w:szCs w:val="28"/>
        </w:rPr>
        <w:t>Project Title:</w:t>
      </w:r>
      <w:r>
        <w:rPr>
          <w:b/>
          <w:bCs/>
          <w:i/>
          <w:iCs/>
          <w:sz w:val="28"/>
          <w:szCs w:val="28"/>
        </w:rPr>
        <w:t xml:space="preserve"> ‘Barriers to Access to Health and Social Care Services’</w:t>
      </w:r>
    </w:p>
    <w:p w14:paraId="2CFC9D06" w14:textId="77777777" w:rsidR="00937900" w:rsidRDefault="00000000">
      <w:pPr>
        <w:pBdr>
          <w:top w:val="nil"/>
          <w:left w:val="nil"/>
          <w:bottom w:val="nil"/>
          <w:right w:val="nil"/>
          <w:between w:val="nil"/>
        </w:pBdr>
        <w:spacing w:before="200" w:after="200"/>
        <w:jc w:val="center"/>
        <w:rPr>
          <w:b/>
          <w:bCs/>
          <w:i/>
          <w:iCs/>
        </w:rPr>
      </w:pPr>
      <w:r>
        <w:rPr>
          <w:b/>
          <w:bCs/>
          <w:i/>
          <w:iCs/>
        </w:rPr>
        <w:t xml:space="preserve"> </w:t>
      </w:r>
    </w:p>
    <w:p w14:paraId="12BC3449" w14:textId="77777777" w:rsidR="00C00D15" w:rsidRDefault="00C00D15">
      <w:pPr>
        <w:pBdr>
          <w:top w:val="nil"/>
          <w:left w:val="nil"/>
          <w:bottom w:val="nil"/>
          <w:right w:val="nil"/>
          <w:between w:val="nil"/>
        </w:pBdr>
        <w:spacing w:before="200" w:after="200"/>
        <w:jc w:val="center"/>
        <w:rPr>
          <w:b/>
          <w:bCs/>
        </w:rPr>
      </w:pPr>
      <w:r>
        <w:rPr>
          <w:b/>
          <w:bCs/>
        </w:rPr>
        <w:t>Name: Dorothy Tweneboah</w:t>
      </w:r>
    </w:p>
    <w:p w14:paraId="55E4C7D6" w14:textId="77777777" w:rsidR="00C00D15" w:rsidRDefault="00C00D15">
      <w:pPr>
        <w:pBdr>
          <w:top w:val="nil"/>
          <w:left w:val="nil"/>
          <w:bottom w:val="nil"/>
          <w:right w:val="nil"/>
          <w:between w:val="nil"/>
        </w:pBdr>
        <w:spacing w:before="200" w:after="200"/>
        <w:jc w:val="center"/>
        <w:rPr>
          <w:b/>
          <w:bCs/>
        </w:rPr>
      </w:pPr>
    </w:p>
    <w:p w14:paraId="79B8D791" w14:textId="4ECD6465" w:rsidR="00C00D15" w:rsidRDefault="00C00D15">
      <w:pPr>
        <w:pBdr>
          <w:top w:val="nil"/>
          <w:left w:val="nil"/>
          <w:bottom w:val="nil"/>
          <w:right w:val="nil"/>
          <w:between w:val="nil"/>
        </w:pBdr>
        <w:spacing w:before="200" w:after="200"/>
        <w:jc w:val="center"/>
        <w:rPr>
          <w:b/>
          <w:bCs/>
        </w:rPr>
      </w:pPr>
      <w:r>
        <w:rPr>
          <w:b/>
          <w:bCs/>
        </w:rPr>
        <w:t>Student Number: 2314173</w:t>
      </w:r>
    </w:p>
    <w:p w14:paraId="7220B409" w14:textId="0E4848D2" w:rsidR="00937900" w:rsidRDefault="00C00D15">
      <w:pPr>
        <w:pBdr>
          <w:top w:val="nil"/>
          <w:left w:val="nil"/>
          <w:bottom w:val="nil"/>
          <w:right w:val="nil"/>
          <w:between w:val="nil"/>
        </w:pBdr>
        <w:spacing w:before="200" w:after="200"/>
        <w:jc w:val="center"/>
        <w:rPr>
          <w:b/>
          <w:bCs/>
        </w:rPr>
      </w:pPr>
      <w:r>
        <w:rPr>
          <w:b/>
          <w:bCs/>
        </w:rPr>
        <w:t>Lecture Name:  Chole Harries</w:t>
      </w:r>
      <w:r w:rsidR="00000000">
        <w:rPr>
          <w:b/>
          <w:bCs/>
        </w:rPr>
        <w:t xml:space="preserve"> </w:t>
      </w:r>
    </w:p>
    <w:p w14:paraId="6BA7BAB2" w14:textId="77777777" w:rsidR="00937900" w:rsidRDefault="00937900">
      <w:pPr>
        <w:pBdr>
          <w:top w:val="nil"/>
          <w:left w:val="nil"/>
          <w:bottom w:val="nil"/>
          <w:right w:val="nil"/>
          <w:between w:val="nil"/>
        </w:pBdr>
      </w:pPr>
    </w:p>
    <w:p w14:paraId="1CB24191" w14:textId="77777777" w:rsidR="00937900" w:rsidRDefault="00000000">
      <w:pPr>
        <w:pBdr>
          <w:top w:val="nil"/>
          <w:left w:val="nil"/>
          <w:bottom w:val="nil"/>
          <w:right w:val="nil"/>
          <w:between w:val="nil"/>
        </w:pBdr>
      </w:pPr>
      <w:r>
        <w:br w:type="page"/>
      </w:r>
    </w:p>
    <w:p w14:paraId="7D8A17BC" w14:textId="77777777" w:rsidR="00937900" w:rsidRDefault="00000000">
      <w:pPr>
        <w:pBdr>
          <w:top w:val="nil"/>
          <w:left w:val="nil"/>
          <w:bottom w:val="nil"/>
          <w:right w:val="nil"/>
          <w:between w:val="nil"/>
        </w:pBdr>
        <w:jc w:val="center"/>
        <w:rPr>
          <w:b/>
          <w:bCs/>
        </w:rPr>
      </w:pPr>
      <w:r>
        <w:rPr>
          <w:b/>
          <w:bCs/>
        </w:rPr>
        <w:lastRenderedPageBreak/>
        <w:t xml:space="preserve">ABSTRACT </w:t>
      </w:r>
    </w:p>
    <w:p w14:paraId="35BD931D" w14:textId="77777777" w:rsidR="00937900" w:rsidRDefault="00000000">
      <w:r>
        <w:t xml:space="preserve">The main topic of the dissertation was to investigate the barriers to accessing health and social care services across the UK. It emphasised on how financial, physical, cultural, and systemic elements operated as drivers of developing inequalities in delivery of service. The aim of the dissertation was to comprehend the way these barriers had an impact towards accessibility to care, mainly among the vulnerable demographics, including low-income households, older individuals, and ethnic minority groups. The research relied on a qualitative approach, where the thematic analysis technique was used to evaluate secondary sources, which includes peer-reviewed articles, journals, government websites, and policy documents. The analysis helped in identifying four major themes concerning the barriers to accessibility, the implications on vulnerable groups, the policies developed, and strategies that helped in promoting accessibility in the health and social care system across the UK. The findings have presented that even though the NHS uses the universal healthcare model and its principles, discrimination still persists within the system. As it is supported by several statistical findings, limitations in terms of transport, financial problems, difficulties in communication, and services that are culturally insensitive were very evident and consistent to be major barriers. Such challenges resulted in delayed care, lowering the use of healthcare services across the UK and poorer outcomes of health, particularly among the marginalised demographics. While policy models, including the Equality Act 2010, the NHS Long Term Plan, and the Care Act 2014, were placed to address such inequalities, inconsistencies in incorporation resulted in affecting the efficiency of such frameworks. The study has also outlined several limitations associated with the utility of secondary insights and possible differences in terms of the quality of the chosen sources. Suggestions include promoting access to transport, lowering indirect expenses, reinforcing communication assistance, and offering more culturally apt healthcare. </w:t>
      </w:r>
      <w:r>
        <w:br w:type="page"/>
      </w:r>
    </w:p>
    <w:p w14:paraId="44C19747" w14:textId="77777777" w:rsidR="00937900" w:rsidRDefault="00000000">
      <w:pPr>
        <w:pBdr>
          <w:top w:val="nil"/>
          <w:left w:val="nil"/>
          <w:bottom w:val="nil"/>
          <w:right w:val="nil"/>
          <w:between w:val="nil"/>
        </w:pBdr>
        <w:jc w:val="center"/>
        <w:rPr>
          <w:b/>
          <w:bCs/>
        </w:rPr>
      </w:pPr>
      <w:r>
        <w:rPr>
          <w:b/>
          <w:bCs/>
        </w:rPr>
        <w:lastRenderedPageBreak/>
        <w:t xml:space="preserve">DECLARATION </w:t>
      </w:r>
    </w:p>
    <w:p w14:paraId="51D54D2B" w14:textId="77777777" w:rsidR="00937900" w:rsidRDefault="00000000">
      <w:pPr>
        <w:pBdr>
          <w:top w:val="nil"/>
          <w:left w:val="nil"/>
          <w:bottom w:val="nil"/>
          <w:right w:val="nil"/>
          <w:between w:val="nil"/>
        </w:pBdr>
        <w:rPr>
          <w:b/>
          <w:bCs/>
        </w:rPr>
      </w:pPr>
      <w:r>
        <w:t xml:space="preserve">I hereby declare that the project was conducted by myself and has not been submitted for any kind of academic reward. Every source that I have incorporated within the research has been properly referenced. I also confirm that the work aligns with the guidelines of academic integrity and any kind of external assistance and support has been properly acknowledged within the dissertation. </w:t>
      </w:r>
      <w:r>
        <w:br w:type="page"/>
      </w:r>
    </w:p>
    <w:p w14:paraId="7EFE444F" w14:textId="77777777" w:rsidR="00937900" w:rsidRDefault="00000000">
      <w:pPr>
        <w:pBdr>
          <w:top w:val="nil"/>
          <w:left w:val="nil"/>
          <w:bottom w:val="nil"/>
          <w:right w:val="nil"/>
          <w:between w:val="nil"/>
        </w:pBdr>
        <w:jc w:val="center"/>
        <w:rPr>
          <w:b/>
          <w:bCs/>
        </w:rPr>
      </w:pPr>
      <w:r>
        <w:rPr>
          <w:b/>
          <w:bCs/>
        </w:rPr>
        <w:lastRenderedPageBreak/>
        <w:t xml:space="preserve">ACKNOWLEDGEMENT </w:t>
      </w:r>
    </w:p>
    <w:p w14:paraId="7B8F74CB" w14:textId="77777777" w:rsidR="00937900" w:rsidRDefault="00000000">
      <w:pPr>
        <w:pBdr>
          <w:top w:val="nil"/>
          <w:left w:val="nil"/>
          <w:bottom w:val="nil"/>
          <w:right w:val="nil"/>
          <w:between w:val="nil"/>
        </w:pBdr>
        <w:rPr>
          <w:b/>
          <w:bCs/>
        </w:rPr>
      </w:pPr>
      <w:r>
        <w:t>Firstly, I would like to extend my thanks to the supervisor of the dissertation who offered me assistance, guidance and proper feedback, which helped me complete the dissertation in a successful way. Their advice allowed me to maintain focus and also increase the quality of the project. Secondly, I am very grateful for my teachers and lecturers who have provided me with an ample amount of understanding and academic resources that were required to carry out the research. I also like to extend my warm thanks to my friends and families who offered me consistent encouragement and motivation while conducting this project. Their support kept me going during the times when I felt demotivated. Lastly, I appreciate and extend my thanks to every party who has directly or indirectly offered their contribution towards this project via feedback, discussion and encouragement throughout the journey of completing this project.</w:t>
      </w:r>
      <w:r>
        <w:br w:type="page"/>
      </w:r>
    </w:p>
    <w:p w14:paraId="498097BE" w14:textId="77777777" w:rsidR="00937900" w:rsidRDefault="00000000">
      <w:pPr>
        <w:pBdr>
          <w:top w:val="nil"/>
          <w:left w:val="nil"/>
          <w:bottom w:val="nil"/>
          <w:right w:val="nil"/>
          <w:between w:val="nil"/>
        </w:pBdr>
        <w:jc w:val="center"/>
        <w:rPr>
          <w:b/>
          <w:bCs/>
        </w:rPr>
      </w:pPr>
      <w:r>
        <w:rPr>
          <w:b/>
          <w:bCs/>
        </w:rPr>
        <w:lastRenderedPageBreak/>
        <w:t xml:space="preserve">Table of Contents </w:t>
      </w:r>
    </w:p>
    <w:sdt>
      <w:sdtPr>
        <w:id w:val="-622255148"/>
        <w:docPartObj>
          <w:docPartGallery w:val="Table of Contents"/>
          <w:docPartUnique/>
        </w:docPartObj>
      </w:sdtPr>
      <w:sdtContent>
        <w:p w14:paraId="654A2193" w14:textId="77777777" w:rsidR="00937900" w:rsidRDefault="00937900">
          <w:pPr>
            <w:widowControl w:val="0"/>
            <w:tabs>
              <w:tab w:val="right" w:pos="12000"/>
            </w:tabs>
            <w:spacing w:before="60"/>
            <w:jc w:val="left"/>
            <w:rPr>
              <w:b/>
              <w:bCs/>
              <w:color w:val="000000"/>
            </w:rPr>
          </w:pPr>
          <w:r>
            <w:fldChar w:fldCharType="begin"/>
          </w:r>
          <w:r w:rsidR="00000000">
            <w:instrText xml:space="preserve"> TOC \h \u \z \t "Heading 1,1,Heading 2,2,Heading 3,3,Heading 4,4,Heading 5,5,Heading 6,6,"</w:instrText>
          </w:r>
          <w:r>
            <w:fldChar w:fldCharType="separate"/>
          </w:r>
          <w:hyperlink w:anchor="_heading=h.t1qca1so7wst">
            <w:r>
              <w:rPr>
                <w:color w:val="000000"/>
              </w:rPr>
              <w:t>CHAPTER 1: Introduction</w:t>
            </w:r>
            <w:r>
              <w:rPr>
                <w:color w:val="000000"/>
              </w:rPr>
              <w:tab/>
              <w:t>8</w:t>
            </w:r>
          </w:hyperlink>
        </w:p>
        <w:p w14:paraId="67F6DE2A" w14:textId="77777777" w:rsidR="00937900" w:rsidRDefault="00937900">
          <w:pPr>
            <w:widowControl w:val="0"/>
            <w:tabs>
              <w:tab w:val="right" w:pos="12000"/>
            </w:tabs>
            <w:spacing w:before="60"/>
            <w:ind w:left="360"/>
            <w:jc w:val="left"/>
            <w:rPr>
              <w:color w:val="000000"/>
            </w:rPr>
          </w:pPr>
          <w:hyperlink w:anchor="_heading=h.f0nph8ombpxb">
            <w:r>
              <w:rPr>
                <w:color w:val="000000"/>
              </w:rPr>
              <w:t>1.1 Introduction</w:t>
            </w:r>
            <w:r>
              <w:rPr>
                <w:color w:val="000000"/>
              </w:rPr>
              <w:tab/>
              <w:t>8</w:t>
            </w:r>
          </w:hyperlink>
        </w:p>
        <w:p w14:paraId="04B5E254" w14:textId="77777777" w:rsidR="00937900" w:rsidRDefault="00937900">
          <w:pPr>
            <w:widowControl w:val="0"/>
            <w:tabs>
              <w:tab w:val="right" w:pos="12000"/>
            </w:tabs>
            <w:spacing w:before="60"/>
            <w:ind w:left="720"/>
            <w:jc w:val="left"/>
            <w:rPr>
              <w:color w:val="000000"/>
            </w:rPr>
          </w:pPr>
          <w:hyperlink w:anchor="_heading=h.i2dbpno44vl">
            <w:r>
              <w:rPr>
                <w:color w:val="000000"/>
              </w:rPr>
              <w:t>1.1.1 Overview of the Topic</w:t>
            </w:r>
            <w:r>
              <w:rPr>
                <w:color w:val="000000"/>
              </w:rPr>
              <w:tab/>
              <w:t>8</w:t>
            </w:r>
          </w:hyperlink>
        </w:p>
        <w:p w14:paraId="50B867AA" w14:textId="77777777" w:rsidR="00937900" w:rsidRDefault="00937900">
          <w:pPr>
            <w:widowControl w:val="0"/>
            <w:tabs>
              <w:tab w:val="right" w:pos="12000"/>
            </w:tabs>
            <w:spacing w:before="60"/>
            <w:ind w:left="720"/>
            <w:jc w:val="left"/>
            <w:rPr>
              <w:color w:val="000000"/>
            </w:rPr>
          </w:pPr>
          <w:hyperlink w:anchor="_heading=h.uc36s3yhty60">
            <w:r>
              <w:rPr>
                <w:color w:val="000000"/>
              </w:rPr>
              <w:t>1.1.2 Aim of the Dissertation</w:t>
            </w:r>
            <w:r>
              <w:rPr>
                <w:color w:val="000000"/>
              </w:rPr>
              <w:tab/>
              <w:t>8</w:t>
            </w:r>
          </w:hyperlink>
        </w:p>
        <w:p w14:paraId="4D6DB29C" w14:textId="77777777" w:rsidR="00937900" w:rsidRDefault="00937900">
          <w:pPr>
            <w:widowControl w:val="0"/>
            <w:tabs>
              <w:tab w:val="right" w:pos="12000"/>
            </w:tabs>
            <w:spacing w:before="60"/>
            <w:ind w:left="360"/>
            <w:jc w:val="left"/>
            <w:rPr>
              <w:color w:val="000000"/>
            </w:rPr>
          </w:pPr>
          <w:hyperlink w:anchor="_heading=h.tdr2ti4pe5vr">
            <w:r>
              <w:rPr>
                <w:color w:val="000000"/>
              </w:rPr>
              <w:t>1.2 Definitions and Terminology</w:t>
            </w:r>
            <w:r>
              <w:rPr>
                <w:color w:val="000000"/>
              </w:rPr>
              <w:tab/>
              <w:t>8</w:t>
            </w:r>
          </w:hyperlink>
        </w:p>
        <w:p w14:paraId="0469D9F3" w14:textId="77777777" w:rsidR="00937900" w:rsidRDefault="00937900">
          <w:pPr>
            <w:widowControl w:val="0"/>
            <w:tabs>
              <w:tab w:val="right" w:pos="12000"/>
            </w:tabs>
            <w:spacing w:before="60"/>
            <w:ind w:left="720"/>
            <w:jc w:val="left"/>
            <w:rPr>
              <w:color w:val="000000"/>
            </w:rPr>
          </w:pPr>
          <w:hyperlink w:anchor="_heading=h.j4wr6jq104px">
            <w:r>
              <w:rPr>
                <w:color w:val="000000"/>
              </w:rPr>
              <w:t>1.2.1 Key Definitions</w:t>
            </w:r>
            <w:r>
              <w:rPr>
                <w:color w:val="000000"/>
              </w:rPr>
              <w:tab/>
              <w:t>8</w:t>
            </w:r>
          </w:hyperlink>
        </w:p>
        <w:p w14:paraId="6BDAF97F" w14:textId="77777777" w:rsidR="00937900" w:rsidRDefault="00937900">
          <w:pPr>
            <w:widowControl w:val="0"/>
            <w:tabs>
              <w:tab w:val="right" w:pos="12000"/>
            </w:tabs>
            <w:spacing w:before="60"/>
            <w:ind w:left="720"/>
            <w:jc w:val="left"/>
            <w:rPr>
              <w:color w:val="000000"/>
            </w:rPr>
          </w:pPr>
          <w:hyperlink w:anchor="_heading=h.3pc78h8o9ths">
            <w:r>
              <w:rPr>
                <w:color w:val="000000"/>
              </w:rPr>
              <w:t>1.2.2 Acronyms and Abbreviations</w:t>
            </w:r>
            <w:r>
              <w:rPr>
                <w:color w:val="000000"/>
              </w:rPr>
              <w:tab/>
              <w:t>9</w:t>
            </w:r>
          </w:hyperlink>
        </w:p>
        <w:p w14:paraId="4AA25C25" w14:textId="77777777" w:rsidR="00937900" w:rsidRDefault="00937900">
          <w:pPr>
            <w:widowControl w:val="0"/>
            <w:tabs>
              <w:tab w:val="right" w:pos="12000"/>
            </w:tabs>
            <w:spacing w:before="60"/>
            <w:ind w:left="360"/>
            <w:jc w:val="left"/>
            <w:rPr>
              <w:color w:val="000000"/>
            </w:rPr>
          </w:pPr>
          <w:hyperlink w:anchor="_heading=h.iqrgb86k79hb">
            <w:r>
              <w:rPr>
                <w:color w:val="000000"/>
              </w:rPr>
              <w:t>1.3 Rationale for Research</w:t>
            </w:r>
            <w:r>
              <w:rPr>
                <w:color w:val="000000"/>
              </w:rPr>
              <w:tab/>
              <w:t>9</w:t>
            </w:r>
          </w:hyperlink>
        </w:p>
        <w:p w14:paraId="51B5DD91" w14:textId="77777777" w:rsidR="00937900" w:rsidRDefault="00937900">
          <w:pPr>
            <w:widowControl w:val="0"/>
            <w:tabs>
              <w:tab w:val="right" w:pos="12000"/>
            </w:tabs>
            <w:spacing w:before="60"/>
            <w:ind w:left="720"/>
            <w:jc w:val="left"/>
            <w:rPr>
              <w:color w:val="000000"/>
            </w:rPr>
          </w:pPr>
          <w:hyperlink w:anchor="_heading=h.ua3nyxla023s">
            <w:r>
              <w:rPr>
                <w:color w:val="000000"/>
              </w:rPr>
              <w:t>1.3.1 Purpose of the Research</w:t>
            </w:r>
            <w:r>
              <w:rPr>
                <w:color w:val="000000"/>
              </w:rPr>
              <w:tab/>
              <w:t>9</w:t>
            </w:r>
          </w:hyperlink>
        </w:p>
        <w:p w14:paraId="4901F39E" w14:textId="77777777" w:rsidR="00937900" w:rsidRDefault="00937900">
          <w:pPr>
            <w:widowControl w:val="0"/>
            <w:tabs>
              <w:tab w:val="right" w:pos="12000"/>
            </w:tabs>
            <w:spacing w:before="60"/>
            <w:ind w:left="720"/>
            <w:jc w:val="left"/>
            <w:rPr>
              <w:color w:val="000000"/>
            </w:rPr>
          </w:pPr>
          <w:hyperlink w:anchor="_heading=h.el2naq21tcmd">
            <w:r>
              <w:rPr>
                <w:color w:val="000000"/>
              </w:rPr>
              <w:t>1.3.2 Identified Problems and Research Gaps</w:t>
            </w:r>
            <w:r>
              <w:rPr>
                <w:color w:val="000000"/>
              </w:rPr>
              <w:tab/>
              <w:t>10</w:t>
            </w:r>
          </w:hyperlink>
        </w:p>
        <w:p w14:paraId="6AEBDC79" w14:textId="77777777" w:rsidR="00937900" w:rsidRDefault="00937900">
          <w:pPr>
            <w:widowControl w:val="0"/>
            <w:tabs>
              <w:tab w:val="right" w:pos="12000"/>
            </w:tabs>
            <w:spacing w:before="60"/>
            <w:ind w:left="360"/>
            <w:jc w:val="left"/>
            <w:rPr>
              <w:color w:val="000000"/>
            </w:rPr>
          </w:pPr>
          <w:hyperlink w:anchor="_heading=h.sy2kv8mqcnz7">
            <w:r>
              <w:rPr>
                <w:color w:val="000000"/>
              </w:rPr>
              <w:t>1.4 Aim(s) and Objectives</w:t>
            </w:r>
            <w:r>
              <w:rPr>
                <w:color w:val="000000"/>
              </w:rPr>
              <w:tab/>
              <w:t>11</w:t>
            </w:r>
          </w:hyperlink>
        </w:p>
        <w:p w14:paraId="7575F342" w14:textId="77777777" w:rsidR="00937900" w:rsidRDefault="00937900">
          <w:pPr>
            <w:widowControl w:val="0"/>
            <w:tabs>
              <w:tab w:val="right" w:pos="12000"/>
            </w:tabs>
            <w:spacing w:before="60"/>
            <w:ind w:left="720"/>
            <w:jc w:val="left"/>
            <w:rPr>
              <w:color w:val="000000"/>
            </w:rPr>
          </w:pPr>
          <w:hyperlink w:anchor="_heading=h.sywly8ujlaal">
            <w:r>
              <w:rPr>
                <w:color w:val="000000"/>
              </w:rPr>
              <w:t>1.4.1 Research Aim</w:t>
            </w:r>
            <w:r>
              <w:rPr>
                <w:color w:val="000000"/>
              </w:rPr>
              <w:tab/>
              <w:t>11</w:t>
            </w:r>
          </w:hyperlink>
        </w:p>
        <w:p w14:paraId="49021AFE" w14:textId="77777777" w:rsidR="00937900" w:rsidRDefault="00937900">
          <w:pPr>
            <w:widowControl w:val="0"/>
            <w:tabs>
              <w:tab w:val="right" w:pos="12000"/>
            </w:tabs>
            <w:spacing w:before="60"/>
            <w:ind w:left="720"/>
            <w:jc w:val="left"/>
            <w:rPr>
              <w:color w:val="000000"/>
            </w:rPr>
          </w:pPr>
          <w:hyperlink w:anchor="_heading=h.hz1sastvhgcm">
            <w:r>
              <w:rPr>
                <w:color w:val="000000"/>
              </w:rPr>
              <w:t>1.4.2 Research Objectives</w:t>
            </w:r>
            <w:r>
              <w:rPr>
                <w:color w:val="000000"/>
              </w:rPr>
              <w:tab/>
              <w:t>11</w:t>
            </w:r>
          </w:hyperlink>
        </w:p>
        <w:p w14:paraId="70D27164" w14:textId="77777777" w:rsidR="00937900" w:rsidRDefault="00937900">
          <w:pPr>
            <w:widowControl w:val="0"/>
            <w:tabs>
              <w:tab w:val="right" w:pos="12000"/>
            </w:tabs>
            <w:spacing w:before="60"/>
            <w:ind w:left="360"/>
            <w:jc w:val="left"/>
            <w:rPr>
              <w:color w:val="000000"/>
            </w:rPr>
          </w:pPr>
          <w:hyperlink w:anchor="_heading=h.ohxoj7oaizal">
            <w:r>
              <w:rPr>
                <w:color w:val="000000"/>
              </w:rPr>
              <w:t>1.5 Conclusion</w:t>
            </w:r>
            <w:r>
              <w:rPr>
                <w:color w:val="000000"/>
              </w:rPr>
              <w:tab/>
              <w:t>11</w:t>
            </w:r>
          </w:hyperlink>
        </w:p>
        <w:p w14:paraId="5454F17A" w14:textId="77777777" w:rsidR="00937900" w:rsidRDefault="00937900">
          <w:pPr>
            <w:widowControl w:val="0"/>
            <w:tabs>
              <w:tab w:val="right" w:pos="12000"/>
            </w:tabs>
            <w:spacing w:before="60"/>
            <w:jc w:val="left"/>
            <w:rPr>
              <w:b/>
              <w:bCs/>
              <w:color w:val="000000"/>
            </w:rPr>
          </w:pPr>
          <w:hyperlink w:anchor="_heading=h.8d3zzaxleepc">
            <w:r>
              <w:rPr>
                <w:color w:val="000000"/>
              </w:rPr>
              <w:t>CHAPTER 2: Background Information and Analysis</w:t>
            </w:r>
            <w:r>
              <w:rPr>
                <w:color w:val="000000"/>
              </w:rPr>
              <w:tab/>
              <w:t>12</w:t>
            </w:r>
          </w:hyperlink>
        </w:p>
        <w:p w14:paraId="59C0C1BE" w14:textId="77777777" w:rsidR="00937900" w:rsidRDefault="00937900">
          <w:pPr>
            <w:widowControl w:val="0"/>
            <w:tabs>
              <w:tab w:val="right" w:pos="12000"/>
            </w:tabs>
            <w:spacing w:before="60"/>
            <w:ind w:left="360"/>
            <w:jc w:val="left"/>
            <w:rPr>
              <w:color w:val="000000"/>
            </w:rPr>
          </w:pPr>
          <w:hyperlink w:anchor="_heading=h.wyx5f0qpm1np">
            <w:r>
              <w:rPr>
                <w:color w:val="000000"/>
              </w:rPr>
              <w:t>2.1 Introduction</w:t>
            </w:r>
            <w:r>
              <w:rPr>
                <w:color w:val="000000"/>
              </w:rPr>
              <w:tab/>
              <w:t>12</w:t>
            </w:r>
          </w:hyperlink>
        </w:p>
        <w:p w14:paraId="52D5697E" w14:textId="77777777" w:rsidR="00937900" w:rsidRDefault="00937900">
          <w:pPr>
            <w:widowControl w:val="0"/>
            <w:tabs>
              <w:tab w:val="right" w:pos="12000"/>
            </w:tabs>
            <w:spacing w:before="60"/>
            <w:ind w:left="360"/>
            <w:jc w:val="left"/>
            <w:rPr>
              <w:color w:val="000000"/>
            </w:rPr>
          </w:pPr>
          <w:hyperlink w:anchor="_heading=h.pefd9sorhiai">
            <w:r>
              <w:rPr>
                <w:color w:val="000000"/>
              </w:rPr>
              <w:t>2.2 Historical Background</w:t>
            </w:r>
            <w:r>
              <w:rPr>
                <w:color w:val="000000"/>
              </w:rPr>
              <w:tab/>
              <w:t>12</w:t>
            </w:r>
          </w:hyperlink>
        </w:p>
        <w:p w14:paraId="603CEDF3" w14:textId="77777777" w:rsidR="00937900" w:rsidRDefault="00937900">
          <w:pPr>
            <w:widowControl w:val="0"/>
            <w:tabs>
              <w:tab w:val="right" w:pos="12000"/>
            </w:tabs>
            <w:spacing w:before="60"/>
            <w:ind w:left="360"/>
            <w:jc w:val="left"/>
            <w:rPr>
              <w:color w:val="000000"/>
            </w:rPr>
          </w:pPr>
          <w:hyperlink w:anchor="_heading=h.36yd0y13ucm7">
            <w:r>
              <w:rPr>
                <w:color w:val="000000"/>
              </w:rPr>
              <w:t>2.3 Theoretical Background</w:t>
            </w:r>
            <w:r>
              <w:rPr>
                <w:color w:val="000000"/>
              </w:rPr>
              <w:tab/>
              <w:t>13</w:t>
            </w:r>
          </w:hyperlink>
        </w:p>
        <w:p w14:paraId="1C8161B1" w14:textId="77777777" w:rsidR="00937900" w:rsidRDefault="00937900">
          <w:pPr>
            <w:widowControl w:val="0"/>
            <w:tabs>
              <w:tab w:val="right" w:pos="12000"/>
            </w:tabs>
            <w:spacing w:before="60"/>
            <w:ind w:left="720"/>
            <w:jc w:val="left"/>
            <w:rPr>
              <w:color w:val="000000"/>
            </w:rPr>
          </w:pPr>
          <w:hyperlink w:anchor="_heading=h.uxqqiiwjyhzo">
            <w:r>
              <w:rPr>
                <w:color w:val="000000"/>
              </w:rPr>
              <w:t>2.3.1 Social Determinants of Health Theory (SDOH)</w:t>
            </w:r>
            <w:r>
              <w:rPr>
                <w:color w:val="000000"/>
              </w:rPr>
              <w:tab/>
              <w:t>14</w:t>
            </w:r>
          </w:hyperlink>
        </w:p>
        <w:p w14:paraId="2A8D71AF" w14:textId="77777777" w:rsidR="00937900" w:rsidRDefault="00937900">
          <w:pPr>
            <w:widowControl w:val="0"/>
            <w:tabs>
              <w:tab w:val="right" w:pos="12000"/>
            </w:tabs>
            <w:spacing w:before="60"/>
            <w:ind w:left="720"/>
            <w:jc w:val="left"/>
            <w:rPr>
              <w:color w:val="000000"/>
            </w:rPr>
          </w:pPr>
          <w:hyperlink w:anchor="_heading=h.5d0uny8lt0tp">
            <w:r>
              <w:rPr>
                <w:color w:val="000000"/>
              </w:rPr>
              <w:t>2.3.2 Andersen’s Healthcare Utilisation Model</w:t>
            </w:r>
            <w:r>
              <w:rPr>
                <w:color w:val="000000"/>
              </w:rPr>
              <w:tab/>
              <w:t>15</w:t>
            </w:r>
          </w:hyperlink>
        </w:p>
        <w:p w14:paraId="0F4F0AC3" w14:textId="77777777" w:rsidR="00937900" w:rsidRDefault="00937900">
          <w:pPr>
            <w:widowControl w:val="0"/>
            <w:tabs>
              <w:tab w:val="right" w:pos="12000"/>
            </w:tabs>
            <w:spacing w:before="60"/>
            <w:ind w:left="720"/>
            <w:jc w:val="left"/>
            <w:rPr>
              <w:color w:val="000000"/>
            </w:rPr>
          </w:pPr>
          <w:hyperlink w:anchor="_heading=h.ej01kuj93fki">
            <w:r>
              <w:rPr>
                <w:color w:val="000000"/>
              </w:rPr>
              <w:t>2.3.3 Health Inequality Theory</w:t>
            </w:r>
            <w:r>
              <w:rPr>
                <w:color w:val="000000"/>
              </w:rPr>
              <w:tab/>
              <w:t>16</w:t>
            </w:r>
          </w:hyperlink>
        </w:p>
        <w:p w14:paraId="665C998E" w14:textId="77777777" w:rsidR="00937900" w:rsidRDefault="00937900">
          <w:pPr>
            <w:widowControl w:val="0"/>
            <w:tabs>
              <w:tab w:val="right" w:pos="12000"/>
            </w:tabs>
            <w:spacing w:before="60"/>
            <w:ind w:left="360"/>
            <w:jc w:val="left"/>
            <w:rPr>
              <w:color w:val="000000"/>
            </w:rPr>
          </w:pPr>
          <w:hyperlink w:anchor="_heading=h.xq57ubbdmcvc">
            <w:r>
              <w:rPr>
                <w:color w:val="000000"/>
              </w:rPr>
              <w:t>2.4 International Context</w:t>
            </w:r>
            <w:r>
              <w:rPr>
                <w:color w:val="000000"/>
              </w:rPr>
              <w:tab/>
              <w:t>16</w:t>
            </w:r>
          </w:hyperlink>
        </w:p>
        <w:p w14:paraId="097BB7B4" w14:textId="77777777" w:rsidR="00937900" w:rsidRDefault="00937900">
          <w:pPr>
            <w:widowControl w:val="0"/>
            <w:tabs>
              <w:tab w:val="right" w:pos="12000"/>
            </w:tabs>
            <w:spacing w:before="60"/>
            <w:ind w:left="360"/>
            <w:jc w:val="left"/>
            <w:rPr>
              <w:color w:val="000000"/>
            </w:rPr>
          </w:pPr>
          <w:hyperlink w:anchor="_heading=h.l0m81cskfa9">
            <w:r>
              <w:rPr>
                <w:color w:val="000000"/>
              </w:rPr>
              <w:t>2.5 National/Local UK Context</w:t>
            </w:r>
            <w:r>
              <w:rPr>
                <w:color w:val="000000"/>
              </w:rPr>
              <w:tab/>
              <w:t>17</w:t>
            </w:r>
          </w:hyperlink>
        </w:p>
        <w:p w14:paraId="6A432312" w14:textId="77777777" w:rsidR="00937900" w:rsidRDefault="00937900">
          <w:pPr>
            <w:widowControl w:val="0"/>
            <w:tabs>
              <w:tab w:val="right" w:pos="12000"/>
            </w:tabs>
            <w:spacing w:before="60"/>
            <w:ind w:left="360"/>
            <w:jc w:val="left"/>
            <w:rPr>
              <w:color w:val="000000"/>
            </w:rPr>
          </w:pPr>
          <w:hyperlink w:anchor="_heading=h.bjkqnmpf4gp2">
            <w:r>
              <w:rPr>
                <w:color w:val="000000"/>
              </w:rPr>
              <w:t>2.6 Conclusion</w:t>
            </w:r>
            <w:r>
              <w:rPr>
                <w:color w:val="000000"/>
              </w:rPr>
              <w:tab/>
              <w:t>18</w:t>
            </w:r>
          </w:hyperlink>
        </w:p>
        <w:p w14:paraId="2CA54999" w14:textId="77777777" w:rsidR="00937900" w:rsidRDefault="00937900">
          <w:pPr>
            <w:widowControl w:val="0"/>
            <w:tabs>
              <w:tab w:val="right" w:pos="12000"/>
            </w:tabs>
            <w:spacing w:before="60"/>
            <w:jc w:val="left"/>
            <w:rPr>
              <w:b/>
              <w:bCs/>
              <w:color w:val="000000"/>
            </w:rPr>
          </w:pPr>
          <w:hyperlink w:anchor="_heading=h.t4qve0dqsyjz">
            <w:r>
              <w:rPr>
                <w:color w:val="000000"/>
              </w:rPr>
              <w:t>CHAPTER 3: Methods</w:t>
            </w:r>
            <w:r>
              <w:rPr>
                <w:color w:val="000000"/>
              </w:rPr>
              <w:tab/>
              <w:t>19</w:t>
            </w:r>
          </w:hyperlink>
        </w:p>
        <w:p w14:paraId="5C05472D" w14:textId="77777777" w:rsidR="00937900" w:rsidRDefault="00937900">
          <w:pPr>
            <w:widowControl w:val="0"/>
            <w:tabs>
              <w:tab w:val="right" w:pos="12000"/>
            </w:tabs>
            <w:spacing w:before="60"/>
            <w:ind w:left="360"/>
            <w:jc w:val="left"/>
            <w:rPr>
              <w:color w:val="000000"/>
            </w:rPr>
          </w:pPr>
          <w:hyperlink w:anchor="_heading=h.a1mv7u5ujbu6">
            <w:r>
              <w:rPr>
                <w:color w:val="000000"/>
              </w:rPr>
              <w:t>3.1 Introduction</w:t>
            </w:r>
            <w:r>
              <w:rPr>
                <w:color w:val="000000"/>
              </w:rPr>
              <w:tab/>
              <w:t>19</w:t>
            </w:r>
          </w:hyperlink>
        </w:p>
        <w:p w14:paraId="518865F5" w14:textId="77777777" w:rsidR="00937900" w:rsidRDefault="00937900">
          <w:pPr>
            <w:widowControl w:val="0"/>
            <w:tabs>
              <w:tab w:val="right" w:pos="12000"/>
            </w:tabs>
            <w:spacing w:before="60"/>
            <w:ind w:left="360"/>
            <w:jc w:val="left"/>
            <w:rPr>
              <w:color w:val="000000"/>
            </w:rPr>
          </w:pPr>
          <w:hyperlink w:anchor="_heading=h.uuiaauxeiuo8">
            <w:r>
              <w:rPr>
                <w:color w:val="000000"/>
              </w:rPr>
              <w:t>3.2 Search Strategy</w:t>
            </w:r>
            <w:r>
              <w:rPr>
                <w:color w:val="000000"/>
              </w:rPr>
              <w:tab/>
              <w:t>19</w:t>
            </w:r>
          </w:hyperlink>
        </w:p>
        <w:p w14:paraId="78BC5552" w14:textId="77777777" w:rsidR="00937900" w:rsidRDefault="00937900">
          <w:pPr>
            <w:widowControl w:val="0"/>
            <w:tabs>
              <w:tab w:val="right" w:pos="12000"/>
            </w:tabs>
            <w:spacing w:before="60"/>
            <w:ind w:left="360"/>
            <w:jc w:val="left"/>
            <w:rPr>
              <w:color w:val="000000"/>
            </w:rPr>
          </w:pPr>
          <w:hyperlink w:anchor="_heading=h.qb0ij1p81ga9">
            <w:r>
              <w:rPr>
                <w:color w:val="000000"/>
              </w:rPr>
              <w:t>3.3 Searching for Information</w:t>
            </w:r>
            <w:r>
              <w:rPr>
                <w:color w:val="000000"/>
              </w:rPr>
              <w:tab/>
              <w:t>19</w:t>
            </w:r>
          </w:hyperlink>
        </w:p>
        <w:p w14:paraId="6C222B83" w14:textId="77777777" w:rsidR="00937900" w:rsidRDefault="00937900">
          <w:pPr>
            <w:widowControl w:val="0"/>
            <w:tabs>
              <w:tab w:val="right" w:pos="12000"/>
            </w:tabs>
            <w:spacing w:before="60"/>
            <w:ind w:left="360"/>
            <w:jc w:val="left"/>
            <w:rPr>
              <w:color w:val="000000"/>
            </w:rPr>
          </w:pPr>
          <w:hyperlink w:anchor="_heading=h.xur8et1s3nqe">
            <w:r>
              <w:rPr>
                <w:color w:val="000000"/>
              </w:rPr>
              <w:t>3.4 Research Validation</w:t>
            </w:r>
            <w:r>
              <w:rPr>
                <w:color w:val="000000"/>
              </w:rPr>
              <w:tab/>
              <w:t>20</w:t>
            </w:r>
          </w:hyperlink>
        </w:p>
        <w:p w14:paraId="75EC4330" w14:textId="77777777" w:rsidR="00937900" w:rsidRDefault="00937900">
          <w:pPr>
            <w:widowControl w:val="0"/>
            <w:tabs>
              <w:tab w:val="right" w:pos="12000"/>
            </w:tabs>
            <w:spacing w:before="60"/>
            <w:ind w:left="360"/>
            <w:jc w:val="left"/>
            <w:rPr>
              <w:color w:val="000000"/>
            </w:rPr>
          </w:pPr>
          <w:hyperlink w:anchor="_heading=h.j3og9fnvaxni">
            <w:r>
              <w:rPr>
                <w:color w:val="000000"/>
              </w:rPr>
              <w:t>3.5 Inclusion and Exclusion Criteria</w:t>
            </w:r>
            <w:r>
              <w:rPr>
                <w:color w:val="000000"/>
              </w:rPr>
              <w:tab/>
              <w:t>20</w:t>
            </w:r>
          </w:hyperlink>
        </w:p>
        <w:p w14:paraId="03DA795C" w14:textId="77777777" w:rsidR="00937900" w:rsidRDefault="00937900">
          <w:pPr>
            <w:widowControl w:val="0"/>
            <w:tabs>
              <w:tab w:val="right" w:pos="12000"/>
            </w:tabs>
            <w:spacing w:before="60"/>
            <w:ind w:left="360"/>
            <w:jc w:val="left"/>
            <w:rPr>
              <w:color w:val="000000"/>
            </w:rPr>
          </w:pPr>
          <w:hyperlink w:anchor="_heading=h.1siixexrfy9w">
            <w:r>
              <w:rPr>
                <w:color w:val="000000"/>
              </w:rPr>
              <w:t>3.6 Analysing Research</w:t>
            </w:r>
            <w:r>
              <w:rPr>
                <w:color w:val="000000"/>
              </w:rPr>
              <w:tab/>
              <w:t>21</w:t>
            </w:r>
          </w:hyperlink>
        </w:p>
        <w:p w14:paraId="6F6E67B4" w14:textId="77777777" w:rsidR="00937900" w:rsidRDefault="00937900">
          <w:pPr>
            <w:widowControl w:val="0"/>
            <w:tabs>
              <w:tab w:val="right" w:pos="12000"/>
            </w:tabs>
            <w:spacing w:before="60"/>
            <w:ind w:left="720"/>
            <w:jc w:val="left"/>
            <w:rPr>
              <w:color w:val="000000"/>
            </w:rPr>
          </w:pPr>
          <w:hyperlink w:anchor="_heading=h.f8qfxuqz8qcy">
            <w:r>
              <w:rPr>
                <w:color w:val="000000"/>
              </w:rPr>
              <w:t>3.6.1 Thematic Coding Approach</w:t>
            </w:r>
            <w:r>
              <w:rPr>
                <w:color w:val="000000"/>
              </w:rPr>
              <w:tab/>
              <w:t>21</w:t>
            </w:r>
          </w:hyperlink>
        </w:p>
        <w:p w14:paraId="798D67D0" w14:textId="77777777" w:rsidR="00937900" w:rsidRDefault="00937900">
          <w:pPr>
            <w:widowControl w:val="0"/>
            <w:tabs>
              <w:tab w:val="right" w:pos="12000"/>
            </w:tabs>
            <w:spacing w:before="60"/>
            <w:ind w:left="720"/>
            <w:jc w:val="left"/>
            <w:rPr>
              <w:color w:val="000000"/>
            </w:rPr>
          </w:pPr>
          <w:hyperlink w:anchor="_heading=h.ozov9g06ol5">
            <w:r>
              <w:rPr>
                <w:color w:val="000000"/>
              </w:rPr>
              <w:t>3.6.2 Developing Themes</w:t>
            </w:r>
            <w:r>
              <w:rPr>
                <w:color w:val="000000"/>
              </w:rPr>
              <w:tab/>
              <w:t>21</w:t>
            </w:r>
          </w:hyperlink>
        </w:p>
        <w:p w14:paraId="40D4877B" w14:textId="77777777" w:rsidR="00937900" w:rsidRDefault="00937900">
          <w:pPr>
            <w:widowControl w:val="0"/>
            <w:tabs>
              <w:tab w:val="right" w:pos="12000"/>
            </w:tabs>
            <w:spacing w:before="60"/>
            <w:ind w:left="360"/>
            <w:jc w:val="left"/>
            <w:rPr>
              <w:color w:val="000000"/>
            </w:rPr>
          </w:pPr>
          <w:hyperlink w:anchor="_heading=h.pruscqrxf32q">
            <w:r>
              <w:rPr>
                <w:color w:val="000000"/>
              </w:rPr>
              <w:t>3.7 Ethical Consideration</w:t>
            </w:r>
            <w:r>
              <w:rPr>
                <w:color w:val="000000"/>
              </w:rPr>
              <w:tab/>
              <w:t>22</w:t>
            </w:r>
          </w:hyperlink>
        </w:p>
        <w:p w14:paraId="345E4955" w14:textId="77777777" w:rsidR="00937900" w:rsidRDefault="00937900">
          <w:pPr>
            <w:widowControl w:val="0"/>
            <w:tabs>
              <w:tab w:val="right" w:pos="12000"/>
            </w:tabs>
            <w:spacing w:before="60"/>
            <w:ind w:left="360"/>
            <w:jc w:val="left"/>
            <w:rPr>
              <w:color w:val="000000"/>
            </w:rPr>
          </w:pPr>
          <w:hyperlink w:anchor="_heading=h.yhcvrdhxiscu">
            <w:r>
              <w:rPr>
                <w:color w:val="000000"/>
              </w:rPr>
              <w:t>3.8 Chapter Conclusion</w:t>
            </w:r>
            <w:r>
              <w:rPr>
                <w:color w:val="000000"/>
              </w:rPr>
              <w:tab/>
              <w:t>22</w:t>
            </w:r>
          </w:hyperlink>
        </w:p>
        <w:p w14:paraId="20301EF1" w14:textId="77777777" w:rsidR="00937900" w:rsidRDefault="00937900">
          <w:pPr>
            <w:widowControl w:val="0"/>
            <w:tabs>
              <w:tab w:val="right" w:pos="12000"/>
            </w:tabs>
            <w:spacing w:before="60"/>
            <w:jc w:val="left"/>
            <w:rPr>
              <w:b/>
              <w:bCs/>
              <w:color w:val="000000"/>
            </w:rPr>
          </w:pPr>
          <w:hyperlink w:anchor="_heading=h.3b553quyc8q6">
            <w:r>
              <w:rPr>
                <w:color w:val="000000"/>
              </w:rPr>
              <w:t>CHAPTER 4: Results and Discussion</w:t>
            </w:r>
            <w:r>
              <w:rPr>
                <w:color w:val="000000"/>
              </w:rPr>
              <w:tab/>
              <w:t>23</w:t>
            </w:r>
          </w:hyperlink>
        </w:p>
        <w:p w14:paraId="711FCDF4" w14:textId="77777777" w:rsidR="00937900" w:rsidRDefault="00937900">
          <w:pPr>
            <w:widowControl w:val="0"/>
            <w:tabs>
              <w:tab w:val="right" w:pos="12000"/>
            </w:tabs>
            <w:spacing w:before="60"/>
            <w:ind w:left="360"/>
            <w:jc w:val="left"/>
            <w:rPr>
              <w:color w:val="000000"/>
            </w:rPr>
          </w:pPr>
          <w:hyperlink w:anchor="_heading=h.vng06xd3wjrx">
            <w:r>
              <w:rPr>
                <w:color w:val="000000"/>
              </w:rPr>
              <w:t>4.1 Introduction</w:t>
            </w:r>
            <w:r>
              <w:rPr>
                <w:color w:val="000000"/>
              </w:rPr>
              <w:tab/>
              <w:t>23</w:t>
            </w:r>
          </w:hyperlink>
        </w:p>
        <w:p w14:paraId="6C2CF1A4" w14:textId="77777777" w:rsidR="00937900" w:rsidRDefault="00937900">
          <w:pPr>
            <w:widowControl w:val="0"/>
            <w:tabs>
              <w:tab w:val="right" w:pos="12000"/>
            </w:tabs>
            <w:spacing w:before="60"/>
            <w:ind w:left="360"/>
            <w:jc w:val="left"/>
            <w:rPr>
              <w:color w:val="000000"/>
            </w:rPr>
          </w:pPr>
          <w:hyperlink w:anchor="_heading=h.rib6zqpfapn2">
            <w:r>
              <w:rPr>
                <w:color w:val="000000"/>
              </w:rPr>
              <w:t>4.2 Thematic Analysis</w:t>
            </w:r>
            <w:r>
              <w:rPr>
                <w:color w:val="000000"/>
              </w:rPr>
              <w:tab/>
              <w:t>23</w:t>
            </w:r>
          </w:hyperlink>
        </w:p>
        <w:p w14:paraId="133EFEEA" w14:textId="77777777" w:rsidR="00937900" w:rsidRDefault="00937900">
          <w:pPr>
            <w:widowControl w:val="0"/>
            <w:tabs>
              <w:tab w:val="right" w:pos="12000"/>
            </w:tabs>
            <w:spacing w:before="60"/>
            <w:ind w:left="360"/>
            <w:jc w:val="left"/>
            <w:rPr>
              <w:color w:val="000000"/>
            </w:rPr>
          </w:pPr>
          <w:hyperlink w:anchor="_heading=h.oqazn75ppwst">
            <w:r>
              <w:rPr>
                <w:color w:val="000000"/>
              </w:rPr>
              <w:t>4.3 Theme 1: Physical, Financial, Cultural and Systemic barriers to health and social care access</w:t>
            </w:r>
            <w:r>
              <w:rPr>
                <w:color w:val="000000"/>
              </w:rPr>
              <w:tab/>
              <w:t>23</w:t>
            </w:r>
          </w:hyperlink>
        </w:p>
        <w:p w14:paraId="72C624DB" w14:textId="77777777" w:rsidR="00937900" w:rsidRDefault="00937900">
          <w:pPr>
            <w:widowControl w:val="0"/>
            <w:tabs>
              <w:tab w:val="right" w:pos="12000"/>
            </w:tabs>
            <w:spacing w:before="60"/>
            <w:ind w:left="720"/>
            <w:jc w:val="left"/>
            <w:rPr>
              <w:color w:val="000000"/>
            </w:rPr>
          </w:pPr>
          <w:hyperlink w:anchor="_heading=h.5sxqux2dwz1v">
            <w:r>
              <w:rPr>
                <w:color w:val="000000"/>
              </w:rPr>
              <w:t>4.3.1 Definition and Background</w:t>
            </w:r>
            <w:r>
              <w:rPr>
                <w:color w:val="000000"/>
              </w:rPr>
              <w:tab/>
              <w:t>23</w:t>
            </w:r>
          </w:hyperlink>
        </w:p>
        <w:p w14:paraId="3680DB32" w14:textId="77777777" w:rsidR="00937900" w:rsidRDefault="00937900">
          <w:pPr>
            <w:widowControl w:val="0"/>
            <w:tabs>
              <w:tab w:val="right" w:pos="12000"/>
            </w:tabs>
            <w:spacing w:before="60"/>
            <w:ind w:left="720"/>
            <w:jc w:val="left"/>
            <w:rPr>
              <w:color w:val="000000"/>
            </w:rPr>
          </w:pPr>
          <w:hyperlink w:anchor="_heading=h.uziarupx6pwz">
            <w:r>
              <w:rPr>
                <w:color w:val="000000"/>
              </w:rPr>
              <w:t>4.3.2 Impact on Research Objective</w:t>
            </w:r>
            <w:r>
              <w:rPr>
                <w:color w:val="000000"/>
              </w:rPr>
              <w:tab/>
              <w:t>24</w:t>
            </w:r>
          </w:hyperlink>
        </w:p>
        <w:p w14:paraId="0865EDE6" w14:textId="77777777" w:rsidR="00937900" w:rsidRDefault="00937900">
          <w:pPr>
            <w:widowControl w:val="0"/>
            <w:tabs>
              <w:tab w:val="right" w:pos="12000"/>
            </w:tabs>
            <w:spacing w:before="60"/>
            <w:ind w:left="720"/>
            <w:jc w:val="left"/>
            <w:rPr>
              <w:color w:val="000000"/>
            </w:rPr>
          </w:pPr>
          <w:hyperlink w:anchor="_heading=h.7xblaclgqv9a">
            <w:r>
              <w:rPr>
                <w:color w:val="000000"/>
              </w:rPr>
              <w:t>4.3.3 Statistical Information</w:t>
            </w:r>
            <w:r>
              <w:rPr>
                <w:color w:val="000000"/>
              </w:rPr>
              <w:tab/>
              <w:t>24</w:t>
            </w:r>
          </w:hyperlink>
        </w:p>
        <w:p w14:paraId="49645723" w14:textId="77777777" w:rsidR="00937900" w:rsidRDefault="00937900">
          <w:pPr>
            <w:widowControl w:val="0"/>
            <w:tabs>
              <w:tab w:val="right" w:pos="12000"/>
            </w:tabs>
            <w:spacing w:before="60"/>
            <w:ind w:left="720"/>
            <w:jc w:val="left"/>
            <w:rPr>
              <w:color w:val="000000"/>
            </w:rPr>
          </w:pPr>
          <w:hyperlink w:anchor="_heading=h.991u6iiv5op3">
            <w:r>
              <w:rPr>
                <w:color w:val="000000"/>
              </w:rPr>
              <w:t>4.3.4 Theories, Policies and Legislations</w:t>
            </w:r>
            <w:r>
              <w:rPr>
                <w:color w:val="000000"/>
              </w:rPr>
              <w:tab/>
              <w:t>24</w:t>
            </w:r>
          </w:hyperlink>
        </w:p>
        <w:p w14:paraId="296FB79A" w14:textId="77777777" w:rsidR="00937900" w:rsidRDefault="00937900">
          <w:pPr>
            <w:widowControl w:val="0"/>
            <w:tabs>
              <w:tab w:val="right" w:pos="12000"/>
            </w:tabs>
            <w:spacing w:before="60"/>
            <w:ind w:left="720"/>
            <w:jc w:val="left"/>
            <w:rPr>
              <w:color w:val="000000"/>
            </w:rPr>
          </w:pPr>
          <w:hyperlink w:anchor="_heading=h.pkc8ahb77p49">
            <w:r>
              <w:rPr>
                <w:color w:val="000000"/>
              </w:rPr>
              <w:t>4.3.5 Implications</w:t>
            </w:r>
            <w:r>
              <w:rPr>
                <w:color w:val="000000"/>
              </w:rPr>
              <w:tab/>
              <w:t>25</w:t>
            </w:r>
          </w:hyperlink>
        </w:p>
        <w:p w14:paraId="3DE35946" w14:textId="77777777" w:rsidR="00937900" w:rsidRDefault="00937900">
          <w:pPr>
            <w:widowControl w:val="0"/>
            <w:tabs>
              <w:tab w:val="right" w:pos="12000"/>
            </w:tabs>
            <w:spacing w:before="60"/>
            <w:ind w:left="720"/>
            <w:jc w:val="left"/>
            <w:rPr>
              <w:color w:val="000000"/>
            </w:rPr>
          </w:pPr>
          <w:hyperlink w:anchor="_heading=h.c4fke5ygdunl">
            <w:r>
              <w:rPr>
                <w:color w:val="000000"/>
              </w:rPr>
              <w:t>4.3.6 Examples from Articles</w:t>
            </w:r>
            <w:r>
              <w:rPr>
                <w:color w:val="000000"/>
              </w:rPr>
              <w:tab/>
              <w:t>25</w:t>
            </w:r>
          </w:hyperlink>
        </w:p>
        <w:p w14:paraId="55E4B376" w14:textId="77777777" w:rsidR="00937900" w:rsidRDefault="00937900">
          <w:pPr>
            <w:widowControl w:val="0"/>
            <w:tabs>
              <w:tab w:val="right" w:pos="12000"/>
            </w:tabs>
            <w:spacing w:before="60"/>
            <w:ind w:left="720"/>
            <w:jc w:val="left"/>
            <w:rPr>
              <w:color w:val="000000"/>
            </w:rPr>
          </w:pPr>
          <w:hyperlink w:anchor="_heading=h.lwn8iyb2cn18">
            <w:r>
              <w:rPr>
                <w:color w:val="000000"/>
              </w:rPr>
              <w:t>4.3.7 Connection to Other Themes</w:t>
            </w:r>
            <w:r>
              <w:rPr>
                <w:color w:val="000000"/>
              </w:rPr>
              <w:tab/>
              <w:t>26</w:t>
            </w:r>
          </w:hyperlink>
        </w:p>
        <w:p w14:paraId="41C59853" w14:textId="77777777" w:rsidR="00937900" w:rsidRDefault="00937900">
          <w:pPr>
            <w:widowControl w:val="0"/>
            <w:tabs>
              <w:tab w:val="right" w:pos="12000"/>
            </w:tabs>
            <w:spacing w:before="60"/>
            <w:ind w:left="360"/>
            <w:jc w:val="left"/>
            <w:rPr>
              <w:color w:val="000000"/>
            </w:rPr>
          </w:pPr>
          <w:hyperlink w:anchor="_heading=h.kvcsuzgzish8">
            <w:r>
              <w:rPr>
                <w:color w:val="000000"/>
              </w:rPr>
              <w:t>4.4 Theme 2: Impact of health and social care barriers on vulnerable groups like older adults, low-income earners and ethnic minorities</w:t>
            </w:r>
            <w:r>
              <w:rPr>
                <w:color w:val="000000"/>
              </w:rPr>
              <w:tab/>
              <w:t>26</w:t>
            </w:r>
          </w:hyperlink>
        </w:p>
        <w:p w14:paraId="5471758D" w14:textId="77777777" w:rsidR="00937900" w:rsidRDefault="00937900">
          <w:pPr>
            <w:widowControl w:val="0"/>
            <w:tabs>
              <w:tab w:val="right" w:pos="12000"/>
            </w:tabs>
            <w:spacing w:before="60"/>
            <w:ind w:left="720"/>
            <w:jc w:val="left"/>
            <w:rPr>
              <w:color w:val="000000"/>
            </w:rPr>
          </w:pPr>
          <w:hyperlink w:anchor="_heading=h.9fmexg18fl3">
            <w:r>
              <w:rPr>
                <w:color w:val="000000"/>
              </w:rPr>
              <w:t>4.4.1 Definition and Background</w:t>
            </w:r>
            <w:r>
              <w:rPr>
                <w:color w:val="000000"/>
              </w:rPr>
              <w:tab/>
              <w:t>26</w:t>
            </w:r>
          </w:hyperlink>
        </w:p>
        <w:p w14:paraId="1FB7946A" w14:textId="77777777" w:rsidR="00937900" w:rsidRDefault="00937900">
          <w:pPr>
            <w:widowControl w:val="0"/>
            <w:tabs>
              <w:tab w:val="right" w:pos="12000"/>
            </w:tabs>
            <w:spacing w:before="60"/>
            <w:ind w:left="720"/>
            <w:jc w:val="left"/>
            <w:rPr>
              <w:color w:val="000000"/>
            </w:rPr>
          </w:pPr>
          <w:hyperlink w:anchor="_heading=h.2612hp8ssrmn">
            <w:r>
              <w:rPr>
                <w:color w:val="000000"/>
              </w:rPr>
              <w:t>4.4.2 Impact on Research Objective</w:t>
            </w:r>
            <w:r>
              <w:rPr>
                <w:color w:val="000000"/>
              </w:rPr>
              <w:tab/>
              <w:t>26</w:t>
            </w:r>
          </w:hyperlink>
        </w:p>
        <w:p w14:paraId="60C57974" w14:textId="77777777" w:rsidR="00937900" w:rsidRDefault="00937900">
          <w:pPr>
            <w:widowControl w:val="0"/>
            <w:tabs>
              <w:tab w:val="right" w:pos="12000"/>
            </w:tabs>
            <w:spacing w:before="60"/>
            <w:ind w:left="720"/>
            <w:jc w:val="left"/>
            <w:rPr>
              <w:color w:val="000000"/>
            </w:rPr>
          </w:pPr>
          <w:hyperlink w:anchor="_heading=h.7s3w5vggsxo5">
            <w:r>
              <w:rPr>
                <w:color w:val="000000"/>
              </w:rPr>
              <w:t>4.4.3 Statistical Information</w:t>
            </w:r>
            <w:r>
              <w:rPr>
                <w:color w:val="000000"/>
              </w:rPr>
              <w:tab/>
              <w:t>27</w:t>
            </w:r>
          </w:hyperlink>
        </w:p>
        <w:p w14:paraId="12D133E8" w14:textId="77777777" w:rsidR="00937900" w:rsidRDefault="00937900">
          <w:pPr>
            <w:widowControl w:val="0"/>
            <w:tabs>
              <w:tab w:val="right" w:pos="12000"/>
            </w:tabs>
            <w:spacing w:before="60"/>
            <w:ind w:left="720"/>
            <w:jc w:val="left"/>
            <w:rPr>
              <w:color w:val="000000"/>
            </w:rPr>
          </w:pPr>
          <w:hyperlink w:anchor="_heading=h.g64qmkkidh57">
            <w:r>
              <w:rPr>
                <w:color w:val="000000"/>
              </w:rPr>
              <w:t>4.4.4 Theories, Policies and Legislations</w:t>
            </w:r>
            <w:r>
              <w:rPr>
                <w:color w:val="000000"/>
              </w:rPr>
              <w:tab/>
              <w:t>27</w:t>
            </w:r>
          </w:hyperlink>
        </w:p>
        <w:p w14:paraId="7EC0F9CF" w14:textId="77777777" w:rsidR="00937900" w:rsidRDefault="00937900">
          <w:pPr>
            <w:widowControl w:val="0"/>
            <w:tabs>
              <w:tab w:val="right" w:pos="12000"/>
            </w:tabs>
            <w:spacing w:before="60"/>
            <w:ind w:left="720"/>
            <w:jc w:val="left"/>
            <w:rPr>
              <w:color w:val="000000"/>
            </w:rPr>
          </w:pPr>
          <w:hyperlink w:anchor="_heading=h.l1hgsvv3zxfa">
            <w:r>
              <w:rPr>
                <w:color w:val="000000"/>
              </w:rPr>
              <w:t>4.4.5 Implications</w:t>
            </w:r>
            <w:r>
              <w:rPr>
                <w:color w:val="000000"/>
              </w:rPr>
              <w:tab/>
              <w:t>27</w:t>
            </w:r>
          </w:hyperlink>
        </w:p>
        <w:p w14:paraId="4C3C72AF" w14:textId="77777777" w:rsidR="00937900" w:rsidRDefault="00937900">
          <w:pPr>
            <w:widowControl w:val="0"/>
            <w:tabs>
              <w:tab w:val="right" w:pos="12000"/>
            </w:tabs>
            <w:spacing w:before="60"/>
            <w:ind w:left="720"/>
            <w:jc w:val="left"/>
            <w:rPr>
              <w:color w:val="000000"/>
            </w:rPr>
          </w:pPr>
          <w:hyperlink w:anchor="_heading=h.7jsd5ovfuxoo">
            <w:r>
              <w:rPr>
                <w:color w:val="000000"/>
              </w:rPr>
              <w:t>4.4.6 Examples from Articles</w:t>
            </w:r>
            <w:r>
              <w:rPr>
                <w:color w:val="000000"/>
              </w:rPr>
              <w:tab/>
              <w:t>28</w:t>
            </w:r>
          </w:hyperlink>
        </w:p>
        <w:p w14:paraId="46088069" w14:textId="77777777" w:rsidR="00937900" w:rsidRDefault="00937900">
          <w:pPr>
            <w:widowControl w:val="0"/>
            <w:tabs>
              <w:tab w:val="right" w:pos="12000"/>
            </w:tabs>
            <w:spacing w:before="60"/>
            <w:ind w:left="720"/>
            <w:jc w:val="left"/>
            <w:rPr>
              <w:color w:val="000000"/>
            </w:rPr>
          </w:pPr>
          <w:hyperlink w:anchor="_heading=h.w1r30xfsbwzp">
            <w:r>
              <w:rPr>
                <w:color w:val="000000"/>
              </w:rPr>
              <w:t>4.4.7 Connection to Other Themes</w:t>
            </w:r>
            <w:r>
              <w:rPr>
                <w:color w:val="000000"/>
              </w:rPr>
              <w:tab/>
              <w:t>28</w:t>
            </w:r>
          </w:hyperlink>
        </w:p>
        <w:p w14:paraId="4F331802" w14:textId="77777777" w:rsidR="00937900" w:rsidRDefault="00937900">
          <w:pPr>
            <w:widowControl w:val="0"/>
            <w:tabs>
              <w:tab w:val="right" w:pos="12000"/>
            </w:tabs>
            <w:spacing w:before="60"/>
            <w:ind w:left="360"/>
            <w:jc w:val="left"/>
            <w:rPr>
              <w:color w:val="000000"/>
            </w:rPr>
          </w:pPr>
          <w:hyperlink w:anchor="_heading=h.63o4ml10s32v">
            <w:r>
              <w:rPr>
                <w:color w:val="000000"/>
              </w:rPr>
              <w:t>4.5 Theme 3 Current policies and interventions to address inequalities in health and social care access</w:t>
            </w:r>
            <w:r>
              <w:rPr>
                <w:color w:val="000000"/>
              </w:rPr>
              <w:tab/>
              <w:t>28</w:t>
            </w:r>
          </w:hyperlink>
        </w:p>
        <w:p w14:paraId="762CD2B9" w14:textId="77777777" w:rsidR="00937900" w:rsidRDefault="00937900">
          <w:pPr>
            <w:widowControl w:val="0"/>
            <w:tabs>
              <w:tab w:val="right" w:pos="12000"/>
            </w:tabs>
            <w:spacing w:before="60"/>
            <w:ind w:left="720"/>
            <w:jc w:val="left"/>
            <w:rPr>
              <w:color w:val="000000"/>
            </w:rPr>
          </w:pPr>
          <w:hyperlink w:anchor="_heading=h.7zk0kfjwjwjt">
            <w:r>
              <w:rPr>
                <w:color w:val="000000"/>
              </w:rPr>
              <w:t>4.5.1 Definition and Background</w:t>
            </w:r>
            <w:r>
              <w:rPr>
                <w:color w:val="000000"/>
              </w:rPr>
              <w:tab/>
              <w:t>28</w:t>
            </w:r>
          </w:hyperlink>
        </w:p>
        <w:p w14:paraId="309D06C8" w14:textId="77777777" w:rsidR="00937900" w:rsidRDefault="00937900">
          <w:pPr>
            <w:widowControl w:val="0"/>
            <w:tabs>
              <w:tab w:val="right" w:pos="12000"/>
            </w:tabs>
            <w:spacing w:before="60"/>
            <w:ind w:left="720"/>
            <w:jc w:val="left"/>
            <w:rPr>
              <w:color w:val="000000"/>
            </w:rPr>
          </w:pPr>
          <w:hyperlink w:anchor="_heading=h.fyeaclolhlcc">
            <w:r>
              <w:rPr>
                <w:color w:val="000000"/>
              </w:rPr>
              <w:t>4.5.2 Impact on Research Objective</w:t>
            </w:r>
            <w:r>
              <w:rPr>
                <w:color w:val="000000"/>
              </w:rPr>
              <w:tab/>
              <w:t>28</w:t>
            </w:r>
          </w:hyperlink>
        </w:p>
        <w:p w14:paraId="1319FF00" w14:textId="77777777" w:rsidR="00937900" w:rsidRDefault="00937900">
          <w:pPr>
            <w:widowControl w:val="0"/>
            <w:tabs>
              <w:tab w:val="right" w:pos="12000"/>
            </w:tabs>
            <w:spacing w:before="60"/>
            <w:ind w:left="720"/>
            <w:jc w:val="left"/>
            <w:rPr>
              <w:color w:val="000000"/>
            </w:rPr>
          </w:pPr>
          <w:hyperlink w:anchor="_heading=h.brcta4401cfh">
            <w:r>
              <w:rPr>
                <w:color w:val="000000"/>
              </w:rPr>
              <w:t>4.5.3 Statistical Information</w:t>
            </w:r>
            <w:r>
              <w:rPr>
                <w:color w:val="000000"/>
              </w:rPr>
              <w:tab/>
              <w:t>29</w:t>
            </w:r>
          </w:hyperlink>
        </w:p>
        <w:p w14:paraId="67585C65" w14:textId="77777777" w:rsidR="00937900" w:rsidRDefault="00937900">
          <w:pPr>
            <w:widowControl w:val="0"/>
            <w:tabs>
              <w:tab w:val="right" w:pos="12000"/>
            </w:tabs>
            <w:spacing w:before="60"/>
            <w:ind w:left="720"/>
            <w:jc w:val="left"/>
            <w:rPr>
              <w:color w:val="000000"/>
            </w:rPr>
          </w:pPr>
          <w:hyperlink w:anchor="_heading=h.vsjt2pgsf2vj">
            <w:r>
              <w:rPr>
                <w:color w:val="000000"/>
              </w:rPr>
              <w:t>4.5.4 Theories, Policies and Legislations</w:t>
            </w:r>
            <w:r>
              <w:rPr>
                <w:color w:val="000000"/>
              </w:rPr>
              <w:tab/>
              <w:t>29</w:t>
            </w:r>
          </w:hyperlink>
        </w:p>
        <w:p w14:paraId="43DD6DC7" w14:textId="77777777" w:rsidR="00937900" w:rsidRDefault="00937900">
          <w:pPr>
            <w:widowControl w:val="0"/>
            <w:tabs>
              <w:tab w:val="right" w:pos="12000"/>
            </w:tabs>
            <w:spacing w:before="60"/>
            <w:ind w:left="720"/>
            <w:jc w:val="left"/>
            <w:rPr>
              <w:color w:val="000000"/>
            </w:rPr>
          </w:pPr>
          <w:hyperlink w:anchor="_heading=h.6hr5eqmlo8hm">
            <w:r>
              <w:rPr>
                <w:color w:val="000000"/>
              </w:rPr>
              <w:t>4.5.5 Implications</w:t>
            </w:r>
            <w:r>
              <w:rPr>
                <w:color w:val="000000"/>
              </w:rPr>
              <w:tab/>
              <w:t>29</w:t>
            </w:r>
          </w:hyperlink>
        </w:p>
        <w:p w14:paraId="20C93207" w14:textId="77777777" w:rsidR="00937900" w:rsidRDefault="00937900">
          <w:pPr>
            <w:widowControl w:val="0"/>
            <w:tabs>
              <w:tab w:val="right" w:pos="12000"/>
            </w:tabs>
            <w:spacing w:before="60"/>
            <w:ind w:left="720"/>
            <w:jc w:val="left"/>
            <w:rPr>
              <w:color w:val="000000"/>
            </w:rPr>
          </w:pPr>
          <w:hyperlink w:anchor="_heading=h.ilc84ahs2dqh">
            <w:r>
              <w:rPr>
                <w:color w:val="000000"/>
              </w:rPr>
              <w:t>4.5.6 Examples from Articles</w:t>
            </w:r>
            <w:r>
              <w:rPr>
                <w:color w:val="000000"/>
              </w:rPr>
              <w:tab/>
              <w:t>29</w:t>
            </w:r>
          </w:hyperlink>
        </w:p>
        <w:p w14:paraId="6190FC00" w14:textId="77777777" w:rsidR="00937900" w:rsidRDefault="00937900">
          <w:pPr>
            <w:widowControl w:val="0"/>
            <w:tabs>
              <w:tab w:val="right" w:pos="12000"/>
            </w:tabs>
            <w:spacing w:before="60"/>
            <w:ind w:left="720"/>
            <w:jc w:val="left"/>
            <w:rPr>
              <w:color w:val="000000"/>
            </w:rPr>
          </w:pPr>
          <w:hyperlink w:anchor="_heading=h.sf1peqjcmdij">
            <w:r>
              <w:rPr>
                <w:color w:val="000000"/>
              </w:rPr>
              <w:t>4.5.7 Connection to Other Themes</w:t>
            </w:r>
            <w:r>
              <w:rPr>
                <w:color w:val="000000"/>
              </w:rPr>
              <w:tab/>
              <w:t>30</w:t>
            </w:r>
          </w:hyperlink>
        </w:p>
        <w:p w14:paraId="12207474" w14:textId="77777777" w:rsidR="00937900" w:rsidRDefault="00937900">
          <w:pPr>
            <w:widowControl w:val="0"/>
            <w:tabs>
              <w:tab w:val="right" w:pos="12000"/>
            </w:tabs>
            <w:spacing w:before="60"/>
            <w:ind w:left="360"/>
            <w:jc w:val="left"/>
            <w:rPr>
              <w:color w:val="000000"/>
            </w:rPr>
          </w:pPr>
          <w:hyperlink w:anchor="_heading=h.raj8ah5pvx9c">
            <w:r>
              <w:rPr>
                <w:color w:val="000000"/>
              </w:rPr>
              <w:t>4.6 Theme 4: Improving accessibility to Health and Social Care</w:t>
            </w:r>
            <w:r>
              <w:rPr>
                <w:color w:val="000000"/>
              </w:rPr>
              <w:tab/>
              <w:t>31</w:t>
            </w:r>
          </w:hyperlink>
        </w:p>
        <w:p w14:paraId="02204190" w14:textId="77777777" w:rsidR="00937900" w:rsidRDefault="00937900">
          <w:pPr>
            <w:widowControl w:val="0"/>
            <w:tabs>
              <w:tab w:val="right" w:pos="12000"/>
            </w:tabs>
            <w:spacing w:before="60"/>
            <w:ind w:left="720"/>
            <w:jc w:val="left"/>
            <w:rPr>
              <w:color w:val="000000"/>
            </w:rPr>
          </w:pPr>
          <w:hyperlink w:anchor="_heading=h.1rab6wrgoved">
            <w:r>
              <w:rPr>
                <w:color w:val="000000"/>
              </w:rPr>
              <w:t>4.6.1 Definition and Background</w:t>
            </w:r>
            <w:r>
              <w:rPr>
                <w:color w:val="000000"/>
              </w:rPr>
              <w:tab/>
              <w:t>31</w:t>
            </w:r>
          </w:hyperlink>
        </w:p>
        <w:p w14:paraId="2A7FE65D" w14:textId="77777777" w:rsidR="00937900" w:rsidRDefault="00937900">
          <w:pPr>
            <w:widowControl w:val="0"/>
            <w:tabs>
              <w:tab w:val="right" w:pos="12000"/>
            </w:tabs>
            <w:spacing w:before="60"/>
            <w:ind w:left="720"/>
            <w:jc w:val="left"/>
            <w:rPr>
              <w:color w:val="000000"/>
            </w:rPr>
          </w:pPr>
          <w:hyperlink w:anchor="_heading=h.a7a1ew6isv4g">
            <w:r>
              <w:rPr>
                <w:color w:val="000000"/>
              </w:rPr>
              <w:t>4.6.2 Impact on Research Questions</w:t>
            </w:r>
            <w:r>
              <w:rPr>
                <w:color w:val="000000"/>
              </w:rPr>
              <w:tab/>
              <w:t>31</w:t>
            </w:r>
          </w:hyperlink>
        </w:p>
        <w:p w14:paraId="07B54858" w14:textId="77777777" w:rsidR="00937900" w:rsidRDefault="00937900">
          <w:pPr>
            <w:widowControl w:val="0"/>
            <w:tabs>
              <w:tab w:val="right" w:pos="12000"/>
            </w:tabs>
            <w:spacing w:before="60"/>
            <w:ind w:left="720"/>
            <w:jc w:val="left"/>
            <w:rPr>
              <w:color w:val="000000"/>
            </w:rPr>
          </w:pPr>
          <w:hyperlink w:anchor="_heading=h.c5nr5636s83v">
            <w:r>
              <w:rPr>
                <w:color w:val="000000"/>
              </w:rPr>
              <w:t>4.6.3 Statistical Information</w:t>
            </w:r>
            <w:r>
              <w:rPr>
                <w:color w:val="000000"/>
              </w:rPr>
              <w:tab/>
              <w:t>31</w:t>
            </w:r>
          </w:hyperlink>
        </w:p>
        <w:p w14:paraId="50A5182E" w14:textId="77777777" w:rsidR="00937900" w:rsidRDefault="00937900">
          <w:pPr>
            <w:widowControl w:val="0"/>
            <w:tabs>
              <w:tab w:val="right" w:pos="12000"/>
            </w:tabs>
            <w:spacing w:before="60"/>
            <w:ind w:left="720"/>
            <w:jc w:val="left"/>
            <w:rPr>
              <w:color w:val="000000"/>
            </w:rPr>
          </w:pPr>
          <w:hyperlink w:anchor="_heading=h.akifbv7jzpmn">
            <w:r>
              <w:rPr>
                <w:color w:val="000000"/>
              </w:rPr>
              <w:t>4.6.4 Theories, Policies and Legislations</w:t>
            </w:r>
            <w:r>
              <w:rPr>
                <w:color w:val="000000"/>
              </w:rPr>
              <w:tab/>
              <w:t>31</w:t>
            </w:r>
          </w:hyperlink>
        </w:p>
        <w:p w14:paraId="689D9019" w14:textId="77777777" w:rsidR="00937900" w:rsidRDefault="00937900">
          <w:pPr>
            <w:widowControl w:val="0"/>
            <w:tabs>
              <w:tab w:val="right" w:pos="12000"/>
            </w:tabs>
            <w:spacing w:before="60"/>
            <w:ind w:left="720"/>
            <w:jc w:val="left"/>
            <w:rPr>
              <w:color w:val="000000"/>
            </w:rPr>
          </w:pPr>
          <w:hyperlink w:anchor="_heading=h.kqu3rzy4escc">
            <w:r>
              <w:rPr>
                <w:color w:val="000000"/>
              </w:rPr>
              <w:t>4.6.5 Implications</w:t>
            </w:r>
            <w:r>
              <w:rPr>
                <w:color w:val="000000"/>
              </w:rPr>
              <w:tab/>
              <w:t>32</w:t>
            </w:r>
          </w:hyperlink>
        </w:p>
        <w:p w14:paraId="7FAE04CA" w14:textId="77777777" w:rsidR="00937900" w:rsidRDefault="00937900">
          <w:pPr>
            <w:widowControl w:val="0"/>
            <w:tabs>
              <w:tab w:val="right" w:pos="12000"/>
            </w:tabs>
            <w:spacing w:before="60"/>
            <w:ind w:left="720"/>
            <w:jc w:val="left"/>
            <w:rPr>
              <w:color w:val="000000"/>
            </w:rPr>
          </w:pPr>
          <w:hyperlink w:anchor="_heading=h.44pzz4c0miv">
            <w:r>
              <w:rPr>
                <w:color w:val="000000"/>
              </w:rPr>
              <w:t>4.6.6 Examples from Articles</w:t>
            </w:r>
            <w:r>
              <w:rPr>
                <w:color w:val="000000"/>
              </w:rPr>
              <w:tab/>
              <w:t>32</w:t>
            </w:r>
          </w:hyperlink>
        </w:p>
        <w:p w14:paraId="51FAC74C" w14:textId="77777777" w:rsidR="00937900" w:rsidRDefault="00937900">
          <w:pPr>
            <w:widowControl w:val="0"/>
            <w:tabs>
              <w:tab w:val="right" w:pos="12000"/>
            </w:tabs>
            <w:spacing w:before="60"/>
            <w:ind w:left="720"/>
            <w:jc w:val="left"/>
            <w:rPr>
              <w:color w:val="000000"/>
            </w:rPr>
          </w:pPr>
          <w:hyperlink w:anchor="_heading=h.ydhpo95vijz9">
            <w:r>
              <w:rPr>
                <w:color w:val="000000"/>
              </w:rPr>
              <w:t>4.6.7 Connection to Other Themes</w:t>
            </w:r>
            <w:r>
              <w:rPr>
                <w:color w:val="000000"/>
              </w:rPr>
              <w:tab/>
              <w:t>32</w:t>
            </w:r>
          </w:hyperlink>
        </w:p>
        <w:p w14:paraId="1CBC89A6" w14:textId="77777777" w:rsidR="00937900" w:rsidRDefault="00937900">
          <w:pPr>
            <w:widowControl w:val="0"/>
            <w:tabs>
              <w:tab w:val="right" w:pos="12000"/>
            </w:tabs>
            <w:spacing w:before="60"/>
            <w:ind w:left="360"/>
            <w:jc w:val="left"/>
            <w:rPr>
              <w:color w:val="000000"/>
            </w:rPr>
          </w:pPr>
          <w:hyperlink w:anchor="_heading=h.n022m2w4u1yp">
            <w:r>
              <w:rPr>
                <w:color w:val="000000"/>
              </w:rPr>
              <w:t>4.7 Conclusion</w:t>
            </w:r>
            <w:r>
              <w:rPr>
                <w:color w:val="000000"/>
              </w:rPr>
              <w:tab/>
              <w:t>32</w:t>
            </w:r>
          </w:hyperlink>
        </w:p>
        <w:p w14:paraId="07F97362" w14:textId="77777777" w:rsidR="00937900" w:rsidRDefault="00937900">
          <w:pPr>
            <w:widowControl w:val="0"/>
            <w:tabs>
              <w:tab w:val="right" w:pos="12000"/>
            </w:tabs>
            <w:spacing w:before="60"/>
            <w:jc w:val="left"/>
            <w:rPr>
              <w:b/>
              <w:bCs/>
              <w:color w:val="000000"/>
            </w:rPr>
          </w:pPr>
          <w:hyperlink w:anchor="_heading=h.d10chid9xb8g">
            <w:r>
              <w:rPr>
                <w:color w:val="000000"/>
              </w:rPr>
              <w:t>CHAPTER 5: Conclusions and Recommendations</w:t>
            </w:r>
            <w:r>
              <w:rPr>
                <w:color w:val="000000"/>
              </w:rPr>
              <w:tab/>
              <w:t>34</w:t>
            </w:r>
          </w:hyperlink>
        </w:p>
        <w:p w14:paraId="07CC346C" w14:textId="77777777" w:rsidR="00937900" w:rsidRDefault="00937900">
          <w:pPr>
            <w:widowControl w:val="0"/>
            <w:tabs>
              <w:tab w:val="right" w:pos="12000"/>
            </w:tabs>
            <w:spacing w:before="60"/>
            <w:ind w:left="360"/>
            <w:jc w:val="left"/>
            <w:rPr>
              <w:color w:val="000000"/>
            </w:rPr>
          </w:pPr>
          <w:hyperlink w:anchor="_heading=h.24f1pngr4oy9">
            <w:r>
              <w:rPr>
                <w:color w:val="000000"/>
              </w:rPr>
              <w:t>5.1 Overall Conclusions</w:t>
            </w:r>
            <w:r>
              <w:rPr>
                <w:color w:val="000000"/>
              </w:rPr>
              <w:tab/>
              <w:t>34</w:t>
            </w:r>
          </w:hyperlink>
        </w:p>
        <w:p w14:paraId="4003C117" w14:textId="77777777" w:rsidR="00937900" w:rsidRDefault="00937900">
          <w:pPr>
            <w:widowControl w:val="0"/>
            <w:tabs>
              <w:tab w:val="right" w:pos="12000"/>
            </w:tabs>
            <w:spacing w:before="60"/>
            <w:ind w:left="360"/>
            <w:jc w:val="left"/>
            <w:rPr>
              <w:color w:val="000000"/>
            </w:rPr>
          </w:pPr>
          <w:hyperlink w:anchor="_heading=h.5becjegk517m">
            <w:r>
              <w:rPr>
                <w:color w:val="000000"/>
              </w:rPr>
              <w:t>5.2 Recommendations</w:t>
            </w:r>
            <w:r>
              <w:rPr>
                <w:color w:val="000000"/>
              </w:rPr>
              <w:tab/>
              <w:t>35</w:t>
            </w:r>
          </w:hyperlink>
        </w:p>
        <w:p w14:paraId="6B136F7C" w14:textId="77777777" w:rsidR="00937900" w:rsidRDefault="00937900">
          <w:pPr>
            <w:widowControl w:val="0"/>
            <w:tabs>
              <w:tab w:val="right" w:pos="12000"/>
            </w:tabs>
            <w:spacing w:before="60"/>
            <w:ind w:left="720"/>
            <w:jc w:val="left"/>
            <w:rPr>
              <w:color w:val="000000"/>
            </w:rPr>
          </w:pPr>
          <w:hyperlink w:anchor="_heading=h.rt1pthp39lwi">
            <w:r>
              <w:rPr>
                <w:color w:val="000000"/>
              </w:rPr>
              <w:t>5.2.1 Promoting Transportation and Geographic Access</w:t>
            </w:r>
            <w:r>
              <w:rPr>
                <w:color w:val="000000"/>
              </w:rPr>
              <w:tab/>
              <w:t>35</w:t>
            </w:r>
          </w:hyperlink>
        </w:p>
        <w:p w14:paraId="63A8E9F8" w14:textId="77777777" w:rsidR="00937900" w:rsidRDefault="00937900">
          <w:pPr>
            <w:widowControl w:val="0"/>
            <w:tabs>
              <w:tab w:val="right" w:pos="12000"/>
            </w:tabs>
            <w:spacing w:before="60"/>
            <w:ind w:left="720"/>
            <w:jc w:val="left"/>
            <w:rPr>
              <w:color w:val="000000"/>
            </w:rPr>
          </w:pPr>
          <w:hyperlink w:anchor="_heading=h.7m7a6x9sg9h5">
            <w:r>
              <w:rPr>
                <w:color w:val="000000"/>
              </w:rPr>
              <w:t>5.2.2 Lowering Financial Barriers</w:t>
            </w:r>
            <w:r>
              <w:rPr>
                <w:color w:val="000000"/>
              </w:rPr>
              <w:tab/>
              <w:t>35</w:t>
            </w:r>
          </w:hyperlink>
        </w:p>
        <w:p w14:paraId="6224CE18" w14:textId="77777777" w:rsidR="00937900" w:rsidRDefault="00937900">
          <w:pPr>
            <w:widowControl w:val="0"/>
            <w:tabs>
              <w:tab w:val="right" w:pos="12000"/>
            </w:tabs>
            <w:spacing w:before="60"/>
            <w:ind w:left="720"/>
            <w:jc w:val="left"/>
            <w:rPr>
              <w:color w:val="000000"/>
            </w:rPr>
          </w:pPr>
          <w:hyperlink w:anchor="_heading=h.9estnu1obnvb">
            <w:r>
              <w:rPr>
                <w:color w:val="000000"/>
              </w:rPr>
              <w:t>5.2.3 Improving Communication and Health Literacy</w:t>
            </w:r>
            <w:r>
              <w:rPr>
                <w:color w:val="000000"/>
              </w:rPr>
              <w:tab/>
              <w:t>35</w:t>
            </w:r>
          </w:hyperlink>
        </w:p>
        <w:p w14:paraId="39036A5A" w14:textId="77777777" w:rsidR="00937900" w:rsidRDefault="00937900">
          <w:pPr>
            <w:widowControl w:val="0"/>
            <w:tabs>
              <w:tab w:val="right" w:pos="12000"/>
            </w:tabs>
            <w:spacing w:before="60"/>
            <w:ind w:left="720"/>
            <w:jc w:val="left"/>
            <w:rPr>
              <w:color w:val="000000"/>
            </w:rPr>
          </w:pPr>
          <w:hyperlink w:anchor="_heading=h.wk5li667gq7n">
            <w:r>
              <w:rPr>
                <w:color w:val="000000"/>
              </w:rPr>
              <w:t>5.2.4 Promoting Culturally Sensitive Care</w:t>
            </w:r>
            <w:r>
              <w:rPr>
                <w:color w:val="000000"/>
              </w:rPr>
              <w:tab/>
              <w:t>36</w:t>
            </w:r>
          </w:hyperlink>
        </w:p>
        <w:p w14:paraId="5313CD4B" w14:textId="77777777" w:rsidR="00937900" w:rsidRDefault="00937900">
          <w:pPr>
            <w:widowControl w:val="0"/>
            <w:tabs>
              <w:tab w:val="right" w:pos="12000"/>
            </w:tabs>
            <w:spacing w:before="60"/>
            <w:jc w:val="left"/>
            <w:rPr>
              <w:b/>
              <w:bCs/>
              <w:color w:val="000000"/>
            </w:rPr>
          </w:pPr>
          <w:hyperlink w:anchor="_heading=h.m9z6rak331vk">
            <w:r>
              <w:rPr>
                <w:color w:val="000000"/>
              </w:rPr>
              <w:t>References</w:t>
            </w:r>
            <w:r>
              <w:rPr>
                <w:color w:val="000000"/>
              </w:rPr>
              <w:tab/>
              <w:t>37</w:t>
            </w:r>
          </w:hyperlink>
        </w:p>
        <w:p w14:paraId="39B7A4D7" w14:textId="77777777" w:rsidR="00937900" w:rsidRDefault="00937900">
          <w:pPr>
            <w:widowControl w:val="0"/>
            <w:tabs>
              <w:tab w:val="right" w:pos="12000"/>
            </w:tabs>
            <w:spacing w:before="60"/>
            <w:jc w:val="left"/>
            <w:rPr>
              <w:b/>
              <w:bCs/>
              <w:color w:val="000000"/>
            </w:rPr>
          </w:pPr>
          <w:hyperlink w:anchor="_heading=h.cmk7hkpeuxeh">
            <w:r>
              <w:rPr>
                <w:color w:val="000000"/>
              </w:rPr>
              <w:t>Appendices</w:t>
            </w:r>
            <w:r>
              <w:rPr>
                <w:color w:val="000000"/>
              </w:rPr>
              <w:tab/>
              <w:t>43</w:t>
            </w:r>
          </w:hyperlink>
        </w:p>
        <w:p w14:paraId="553BA9D7" w14:textId="77777777" w:rsidR="00937900" w:rsidRDefault="00937900">
          <w:pPr>
            <w:widowControl w:val="0"/>
            <w:tabs>
              <w:tab w:val="right" w:pos="12000"/>
            </w:tabs>
            <w:spacing w:before="60"/>
            <w:ind w:left="360"/>
            <w:jc w:val="left"/>
            <w:rPr>
              <w:color w:val="000000"/>
            </w:rPr>
          </w:pPr>
          <w:hyperlink w:anchor="_heading=h.h0nrcknxk0ub">
            <w:r>
              <w:rPr>
                <w:color w:val="000000"/>
              </w:rPr>
              <w:t>Appendix 1: Source Tracking Table</w:t>
            </w:r>
            <w:r>
              <w:rPr>
                <w:color w:val="000000"/>
              </w:rPr>
              <w:tab/>
              <w:t>43</w:t>
            </w:r>
          </w:hyperlink>
        </w:p>
        <w:p w14:paraId="6CEF7FDC" w14:textId="77777777" w:rsidR="00937900" w:rsidRDefault="00937900">
          <w:pPr>
            <w:widowControl w:val="0"/>
            <w:tabs>
              <w:tab w:val="right" w:pos="12000"/>
            </w:tabs>
            <w:spacing w:before="60"/>
            <w:ind w:left="360"/>
            <w:jc w:val="left"/>
            <w:rPr>
              <w:color w:val="000000"/>
            </w:rPr>
          </w:pPr>
          <w:hyperlink w:anchor="_heading=h.61enkq3mfxc9">
            <w:r>
              <w:rPr>
                <w:color w:val="000000"/>
              </w:rPr>
              <w:t>Appendix 2: Result Summary Table</w:t>
            </w:r>
            <w:r>
              <w:rPr>
                <w:color w:val="000000"/>
              </w:rPr>
              <w:tab/>
              <w:t>53</w:t>
            </w:r>
          </w:hyperlink>
          <w:r>
            <w:fldChar w:fldCharType="end"/>
          </w:r>
        </w:p>
      </w:sdtContent>
    </w:sdt>
    <w:p w14:paraId="3B090432" w14:textId="77777777" w:rsidR="00937900" w:rsidRDefault="00000000">
      <w:pPr>
        <w:pStyle w:val="Heading1"/>
        <w:rPr>
          <w:sz w:val="22"/>
          <w:szCs w:val="22"/>
        </w:rPr>
      </w:pPr>
      <w:bookmarkStart w:id="0" w:name="_heading=h.9ojhscx3vvwe" w:colFirst="0" w:colLast="0"/>
      <w:bookmarkEnd w:id="0"/>
      <w:r>
        <w:br w:type="page"/>
      </w:r>
    </w:p>
    <w:p w14:paraId="63F2D3F2" w14:textId="77777777" w:rsidR="00937900" w:rsidRDefault="00000000">
      <w:pPr>
        <w:pStyle w:val="Heading1"/>
        <w:rPr>
          <w:sz w:val="22"/>
          <w:szCs w:val="22"/>
        </w:rPr>
      </w:pPr>
      <w:bookmarkStart w:id="1" w:name="_heading=h.t1qca1so7wst" w:colFirst="0" w:colLast="0"/>
      <w:bookmarkEnd w:id="1"/>
      <w:r>
        <w:rPr>
          <w:sz w:val="22"/>
          <w:szCs w:val="22"/>
        </w:rPr>
        <w:lastRenderedPageBreak/>
        <w:t xml:space="preserve">CHAPTER 1: Introduction </w:t>
      </w:r>
    </w:p>
    <w:p w14:paraId="75B9C653" w14:textId="77777777" w:rsidR="00937900" w:rsidRDefault="00000000">
      <w:pPr>
        <w:pStyle w:val="Heading2"/>
        <w:rPr>
          <w:sz w:val="22"/>
          <w:szCs w:val="22"/>
        </w:rPr>
      </w:pPr>
      <w:bookmarkStart w:id="2" w:name="_heading=h.f0nph8ombpxb" w:colFirst="0" w:colLast="0"/>
      <w:bookmarkEnd w:id="2"/>
      <w:r>
        <w:rPr>
          <w:sz w:val="22"/>
          <w:szCs w:val="22"/>
        </w:rPr>
        <w:t>1.1 Introduction</w:t>
      </w:r>
    </w:p>
    <w:p w14:paraId="72FA4F11" w14:textId="77777777" w:rsidR="00937900" w:rsidRDefault="00000000">
      <w:pPr>
        <w:pStyle w:val="Heading3"/>
        <w:rPr>
          <w:sz w:val="22"/>
          <w:szCs w:val="22"/>
        </w:rPr>
      </w:pPr>
      <w:bookmarkStart w:id="3" w:name="_heading=h.i2dbpno44vl" w:colFirst="0" w:colLast="0"/>
      <w:bookmarkEnd w:id="3"/>
      <w:r>
        <w:rPr>
          <w:sz w:val="22"/>
          <w:szCs w:val="22"/>
        </w:rPr>
        <w:t>1.1.1 Overview of the Topic</w:t>
      </w:r>
    </w:p>
    <w:p w14:paraId="07B83531" w14:textId="77777777" w:rsidR="00937900" w:rsidRDefault="00000000">
      <w:r>
        <w:t>The research topic is relevant as it focuses on analysing the core barriers to health and social care services within the UK. Given the current landscape of the UK health and social care, inequality has become the prior concern. This growing issue has been influenced majorly by the structural, fragmented and the socio-economic inequalities (</w:t>
      </w:r>
      <w:proofErr w:type="spellStart"/>
      <w:r>
        <w:t>Alderwick</w:t>
      </w:r>
      <w:proofErr w:type="spellEnd"/>
      <w:r>
        <w:t xml:space="preserve">, Hutchings and Mays, 2024). As per </w:t>
      </w:r>
      <w:proofErr w:type="spellStart"/>
      <w:r>
        <w:t>Ngondwe</w:t>
      </w:r>
      <w:proofErr w:type="spellEnd"/>
      <w:r>
        <w:t xml:space="preserve"> and Tefera (2025), some of the key hindrances which are prevalent within the UK include language barrier, higher cost, discrimination and more. Due to this, it is important to understand the extent to which such barriers can leave a long-lasting impact on promoting better health and wellbeing for the UK public. Hence, this research delivers valuable insights into such existing barriers and provides effective recommendations for mitigating it</w:t>
      </w:r>
      <w:r w:rsidRPr="00DD2E75">
        <w:t xml:space="preserve">. The dissertation is structured into the following chapter 1 which includes the background and scope of the research involving aim, objectives and questions. Following this, the second chapter of Background information and analysis involves the analysis of existing literature on barriers to access health and social service. In chapter 3, the details and outline of research methodologies are included and in Chapter 4, the findings and analysis gained from thematic analysis is included. Lastly in chapter 5, conclusion and recommendations for further improvement is provided. </w:t>
      </w:r>
    </w:p>
    <w:p w14:paraId="40DD4F93" w14:textId="77777777" w:rsidR="00937900" w:rsidRDefault="00000000">
      <w:pPr>
        <w:pStyle w:val="Heading3"/>
        <w:rPr>
          <w:sz w:val="22"/>
          <w:szCs w:val="22"/>
        </w:rPr>
      </w:pPr>
      <w:bookmarkStart w:id="4" w:name="_heading=h.uc36s3yhty60" w:colFirst="0" w:colLast="0"/>
      <w:bookmarkEnd w:id="4"/>
      <w:r>
        <w:rPr>
          <w:sz w:val="22"/>
          <w:szCs w:val="22"/>
        </w:rPr>
        <w:t xml:space="preserve">1.1.2 Aim of the Dissertation </w:t>
      </w:r>
    </w:p>
    <w:p w14:paraId="05428BC7" w14:textId="77777777" w:rsidR="00937900" w:rsidRDefault="00000000">
      <w:pPr>
        <w:pBdr>
          <w:top w:val="nil"/>
          <w:left w:val="nil"/>
          <w:bottom w:val="nil"/>
          <w:right w:val="nil"/>
          <w:between w:val="nil"/>
        </w:pBdr>
      </w:pPr>
      <w:r>
        <w:t xml:space="preserve">The overall aim of the dissertation is to identify the barriers which are present within the UK health and social care. It covers the area of financial, physical, social and systemic barriers and its influence on the vulnerable groups like older adults, ethnic minority and </w:t>
      </w:r>
      <w:proofErr w:type="gramStart"/>
      <w:r>
        <w:t>low income</w:t>
      </w:r>
      <w:proofErr w:type="gramEnd"/>
      <w:r>
        <w:t xml:space="preserve"> groups. Further the study explores the effectiveness of current interventions which are put into place to recommend effective strategies for improving equal health and social care access. </w:t>
      </w:r>
    </w:p>
    <w:p w14:paraId="64F90ECF" w14:textId="77777777" w:rsidR="00937900" w:rsidRDefault="00000000">
      <w:pPr>
        <w:pStyle w:val="Heading2"/>
        <w:rPr>
          <w:sz w:val="22"/>
          <w:szCs w:val="22"/>
        </w:rPr>
      </w:pPr>
      <w:bookmarkStart w:id="5" w:name="_heading=h.tdr2ti4pe5vr" w:colFirst="0" w:colLast="0"/>
      <w:bookmarkEnd w:id="5"/>
      <w:r>
        <w:rPr>
          <w:sz w:val="22"/>
          <w:szCs w:val="22"/>
        </w:rPr>
        <w:t xml:space="preserve">1.2 Definitions and Terminology </w:t>
      </w:r>
    </w:p>
    <w:p w14:paraId="41B9F9E9" w14:textId="77777777" w:rsidR="00937900" w:rsidRDefault="00000000">
      <w:pPr>
        <w:pStyle w:val="Heading3"/>
      </w:pPr>
      <w:bookmarkStart w:id="6" w:name="_heading=h.j4wr6jq104px" w:colFirst="0" w:colLast="0"/>
      <w:bookmarkEnd w:id="6"/>
      <w:r>
        <w:rPr>
          <w:sz w:val="22"/>
          <w:szCs w:val="22"/>
        </w:rPr>
        <w:t xml:space="preserve">1.2.1 Key Definitions </w:t>
      </w:r>
    </w:p>
    <w:p w14:paraId="16B529E7" w14:textId="77777777" w:rsidR="00937900" w:rsidRDefault="00000000">
      <w:r>
        <w:rPr>
          <w:b/>
          <w:bCs/>
        </w:rPr>
        <w:t xml:space="preserve">Health and social care services </w:t>
      </w:r>
      <w:r>
        <w:t>include the various health and social care services which are provided to manage physical, mental and social wellbeing of individuals (</w:t>
      </w:r>
      <w:proofErr w:type="spellStart"/>
      <w:r>
        <w:t>Alderwick</w:t>
      </w:r>
      <w:proofErr w:type="spellEnd"/>
      <w:r>
        <w:t xml:space="preserve">, Hutchings and Mays, 2024). This is important as in the UK, NHS, local community services and voluntary organisations are involved in delivering such care which is accessible to everyone. </w:t>
      </w:r>
    </w:p>
    <w:p w14:paraId="3F15369E" w14:textId="77777777" w:rsidR="00937900" w:rsidRDefault="00000000">
      <w:r>
        <w:rPr>
          <w:b/>
          <w:bCs/>
        </w:rPr>
        <w:t>Barriers to access</w:t>
      </w:r>
      <w:r>
        <w:t xml:space="preserve"> </w:t>
      </w:r>
      <w:r w:rsidRPr="00DD2E75">
        <w:t xml:space="preserve">refer to the </w:t>
      </w:r>
      <w:r>
        <w:t xml:space="preserve">financial, structural, social and </w:t>
      </w:r>
      <w:r w:rsidRPr="00DD2E75">
        <w:t>economic factors which hinders the individuals to gain access to fair and equal health and social care services (</w:t>
      </w:r>
      <w:proofErr w:type="spellStart"/>
      <w:r w:rsidRPr="00DD2E75">
        <w:t>Cabañero</w:t>
      </w:r>
      <w:proofErr w:type="spellEnd"/>
      <w:r w:rsidRPr="00DD2E75">
        <w:t xml:space="preserve">-Garcia </w:t>
      </w:r>
      <w:r w:rsidRPr="00DD2E75">
        <w:rPr>
          <w:i/>
          <w:iCs/>
        </w:rPr>
        <w:t xml:space="preserve">et al., </w:t>
      </w:r>
      <w:r w:rsidRPr="00DD2E75">
        <w:t xml:space="preserve">2025). This can include the affordability issues, transportation challenges, limited mobility, discrimination, longer wait lines and others. This is important as it will help to interpret the major challenges which develop health and social care inequalities in the UK. </w:t>
      </w:r>
    </w:p>
    <w:p w14:paraId="2BDD31FA" w14:textId="77777777" w:rsidR="00937900" w:rsidRPr="00DD2E75" w:rsidRDefault="00000000">
      <w:r w:rsidRPr="00DD2E75">
        <w:rPr>
          <w:b/>
          <w:bCs/>
        </w:rPr>
        <w:lastRenderedPageBreak/>
        <w:t>Health inequalities</w:t>
      </w:r>
      <w:r w:rsidRPr="00DD2E75">
        <w:t xml:space="preserve"> are known as the avoidable, systematic and unfair difference in the health outcomes which are present among individuals and wider social groups (</w:t>
      </w:r>
      <w:proofErr w:type="spellStart"/>
      <w:r w:rsidRPr="00DD2E75">
        <w:t>Alderwick</w:t>
      </w:r>
      <w:proofErr w:type="spellEnd"/>
      <w:r w:rsidRPr="00DD2E75">
        <w:t xml:space="preserve">, Hutchings and Mays, 2024). This kind of inequality is often influenced by social and economic status, physical health conditions, ethnicity, age, fragmented services, unfairness in health care services and others. It is important to understand as it helps to explore which groups are more vulnerable to such issues. </w:t>
      </w:r>
    </w:p>
    <w:p w14:paraId="5FD310D8" w14:textId="77777777" w:rsidR="00937900" w:rsidRPr="00DD2E75" w:rsidRDefault="00000000">
      <w:r w:rsidRPr="00DD2E75">
        <w:rPr>
          <w:b/>
          <w:bCs/>
        </w:rPr>
        <w:t xml:space="preserve">Health care accessibility </w:t>
      </w:r>
      <w:r w:rsidRPr="00DD2E75">
        <w:t>refers to the fair and equal distribution of health and social care services in a timely manner which is free from the factors that cause barriers to access (</w:t>
      </w:r>
      <w:proofErr w:type="spellStart"/>
      <w:r w:rsidRPr="00DD2E75">
        <w:t>Cabañero</w:t>
      </w:r>
      <w:proofErr w:type="spellEnd"/>
      <w:r w:rsidRPr="00DD2E75">
        <w:t>-Garcia</w:t>
      </w:r>
      <w:r w:rsidRPr="00DD2E75">
        <w:rPr>
          <w:i/>
          <w:iCs/>
        </w:rPr>
        <w:t xml:space="preserve"> et al.,</w:t>
      </w:r>
      <w:r w:rsidRPr="00DD2E75">
        <w:t xml:space="preserve"> 2025). This is important as it helps to understand the various dimensions like availability, affordability, fairness, equal access and others which can help in developing accessible care services.  </w:t>
      </w:r>
    </w:p>
    <w:p w14:paraId="3F3A242E" w14:textId="77777777" w:rsidR="00937900" w:rsidRPr="00DD2E75" w:rsidRDefault="00000000">
      <w:pPr>
        <w:pBdr>
          <w:top w:val="nil"/>
          <w:left w:val="nil"/>
          <w:bottom w:val="nil"/>
          <w:right w:val="nil"/>
          <w:between w:val="nil"/>
        </w:pBdr>
      </w:pPr>
      <w:r w:rsidRPr="00DD2E75">
        <w:rPr>
          <w:b/>
          <w:bCs/>
        </w:rPr>
        <w:t>Vulnerable groups</w:t>
      </w:r>
      <w:r w:rsidRPr="00DD2E75">
        <w:t xml:space="preserve"> are the individuals or groups who are at the risk of poor health and social exclusions (Boardman, </w:t>
      </w:r>
      <w:proofErr w:type="spellStart"/>
      <w:r w:rsidRPr="00DD2E75">
        <w:t>Killaspy</w:t>
      </w:r>
      <w:proofErr w:type="spellEnd"/>
      <w:r w:rsidRPr="00DD2E75">
        <w:t xml:space="preserve"> and Mezey, 2022). It is important to understand the inequalities in health/social care and inform better strategies for increasing fairness and equality of such services. </w:t>
      </w:r>
    </w:p>
    <w:p w14:paraId="348AE043" w14:textId="77777777" w:rsidR="00937900" w:rsidRDefault="00000000">
      <w:pPr>
        <w:pBdr>
          <w:top w:val="nil"/>
          <w:left w:val="nil"/>
          <w:bottom w:val="nil"/>
          <w:right w:val="nil"/>
          <w:between w:val="nil"/>
        </w:pBdr>
      </w:pPr>
      <w:r>
        <w:rPr>
          <w:b/>
          <w:bCs/>
        </w:rPr>
        <w:t xml:space="preserve">Older individuals </w:t>
      </w:r>
      <w:r>
        <w:t xml:space="preserve">are the people who are above the age of 65 years-old who are vulnerable to immobility, chronic illness, financial limitation and others (Khan, Addo and Findlay, 2024). Including them is significant as they are the key users of UK health and social care. </w:t>
      </w:r>
    </w:p>
    <w:p w14:paraId="4ECA453A" w14:textId="77777777" w:rsidR="00937900" w:rsidRDefault="00000000">
      <w:pPr>
        <w:pBdr>
          <w:top w:val="nil"/>
          <w:left w:val="nil"/>
          <w:bottom w:val="nil"/>
          <w:right w:val="nil"/>
          <w:between w:val="nil"/>
        </w:pBdr>
      </w:pPr>
      <w:r>
        <w:rPr>
          <w:b/>
          <w:bCs/>
        </w:rPr>
        <w:t>Ethnic minorities</w:t>
      </w:r>
      <w:r>
        <w:t xml:space="preserve"> include individuals and communities who face the challenges of language barriers, discrimination, systemic and cultural barriers (Boardman, </w:t>
      </w:r>
      <w:proofErr w:type="spellStart"/>
      <w:r>
        <w:t>Killaspy</w:t>
      </w:r>
      <w:proofErr w:type="spellEnd"/>
      <w:r>
        <w:t xml:space="preserve"> and Mezey, 2022). Involving such groups is pivotal to promote fair and accessible UK health and social care services. </w:t>
      </w:r>
    </w:p>
    <w:p w14:paraId="40CEA893" w14:textId="77777777" w:rsidR="00937900" w:rsidRDefault="00000000">
      <w:pPr>
        <w:pStyle w:val="Heading3"/>
        <w:rPr>
          <w:sz w:val="22"/>
          <w:szCs w:val="22"/>
        </w:rPr>
      </w:pPr>
      <w:bookmarkStart w:id="7" w:name="_heading=h.3pc78h8o9ths" w:colFirst="0" w:colLast="0"/>
      <w:bookmarkEnd w:id="7"/>
      <w:r>
        <w:rPr>
          <w:sz w:val="22"/>
          <w:szCs w:val="22"/>
        </w:rPr>
        <w:t xml:space="preserve">1.2.2 Acronyms and Abbreviations </w:t>
      </w:r>
    </w:p>
    <w:p w14:paraId="5325D576" w14:textId="77777777" w:rsidR="00937900" w:rsidRDefault="00000000">
      <w:pPr>
        <w:pBdr>
          <w:top w:val="nil"/>
          <w:left w:val="nil"/>
          <w:bottom w:val="nil"/>
          <w:right w:val="nil"/>
          <w:between w:val="nil"/>
        </w:pBdr>
      </w:pPr>
      <w:r>
        <w:rPr>
          <w:b/>
          <w:bCs/>
        </w:rPr>
        <w:t>NHS:</w:t>
      </w:r>
      <w:r>
        <w:t xml:space="preserve"> National Health Service, public funded health and social care system of the UK. </w:t>
      </w:r>
    </w:p>
    <w:p w14:paraId="6D7AE356" w14:textId="77777777" w:rsidR="00937900" w:rsidRDefault="00000000">
      <w:pPr>
        <w:pBdr>
          <w:top w:val="nil"/>
          <w:left w:val="nil"/>
          <w:bottom w:val="nil"/>
          <w:right w:val="nil"/>
          <w:between w:val="nil"/>
        </w:pBdr>
      </w:pPr>
      <w:r>
        <w:rPr>
          <w:b/>
          <w:bCs/>
        </w:rPr>
        <w:t xml:space="preserve">HSC: </w:t>
      </w:r>
      <w:r>
        <w:t xml:space="preserve">Health and social care, an integrated healthcare and support service provider in the UK. </w:t>
      </w:r>
    </w:p>
    <w:p w14:paraId="1E70416C" w14:textId="77777777" w:rsidR="00937900" w:rsidRDefault="00000000">
      <w:pPr>
        <w:pBdr>
          <w:top w:val="nil"/>
          <w:left w:val="nil"/>
          <w:bottom w:val="nil"/>
          <w:right w:val="nil"/>
          <w:between w:val="nil"/>
        </w:pBdr>
      </w:pPr>
      <w:r>
        <w:rPr>
          <w:b/>
          <w:bCs/>
        </w:rPr>
        <w:t xml:space="preserve">NICE: </w:t>
      </w:r>
      <w:r>
        <w:t xml:space="preserve">National Institute of Health and Care Excellence delivers evidence-based reforms and strategies. </w:t>
      </w:r>
    </w:p>
    <w:p w14:paraId="538A845B" w14:textId="77777777" w:rsidR="00937900" w:rsidRDefault="00000000">
      <w:pPr>
        <w:pStyle w:val="Heading2"/>
      </w:pPr>
      <w:bookmarkStart w:id="8" w:name="_heading=h.iqrgb86k79hb" w:colFirst="0" w:colLast="0"/>
      <w:bookmarkEnd w:id="8"/>
      <w:r>
        <w:t xml:space="preserve">1.3 Rationale for Research  </w:t>
      </w:r>
    </w:p>
    <w:p w14:paraId="040472C6" w14:textId="77777777" w:rsidR="00937900" w:rsidRDefault="00000000">
      <w:pPr>
        <w:pStyle w:val="Heading3"/>
      </w:pPr>
      <w:bookmarkStart w:id="9" w:name="_heading=h.ua3nyxla023s" w:colFirst="0" w:colLast="0"/>
      <w:bookmarkEnd w:id="9"/>
      <w:r>
        <w:t xml:space="preserve">1.3.1 Purpose of the Research </w:t>
      </w:r>
    </w:p>
    <w:p w14:paraId="39B3D5FE" w14:textId="77777777" w:rsidR="00937900" w:rsidRDefault="00000000">
      <w:pPr>
        <w:pBdr>
          <w:top w:val="nil"/>
          <w:left w:val="nil"/>
          <w:bottom w:val="nil"/>
          <w:right w:val="nil"/>
          <w:between w:val="nil"/>
        </w:pBdr>
      </w:pPr>
      <w:r>
        <w:t xml:space="preserve">The purpose of conducting research on this area lies with the growing problem of unequal health and social care services across the UK. Current literature shows that UK health and social care is witnessing systemic barriers to staff shortages (Long </w:t>
      </w:r>
      <w:r>
        <w:rPr>
          <w:i/>
          <w:iCs/>
        </w:rPr>
        <w:t xml:space="preserve">et al., </w:t>
      </w:r>
      <w:r>
        <w:t xml:space="preserve">2023). This is evident in ONS study which revealed that in 2025, the vacancy level in the UK hospital and community service was around 100,000 (involving 25,000 nursing team and 7250 doctors) which is shown in figure 1 below: </w:t>
      </w:r>
    </w:p>
    <w:p w14:paraId="432556BA" w14:textId="77777777" w:rsidR="00937900" w:rsidRDefault="00000000">
      <w:pPr>
        <w:pBdr>
          <w:top w:val="nil"/>
          <w:left w:val="nil"/>
          <w:bottom w:val="nil"/>
          <w:right w:val="nil"/>
          <w:between w:val="nil"/>
        </w:pBdr>
        <w:jc w:val="center"/>
      </w:pPr>
      <w:r>
        <w:rPr>
          <w:noProof/>
        </w:rPr>
        <w:lastRenderedPageBreak/>
        <w:drawing>
          <wp:inline distT="114300" distB="114300" distL="114300" distR="114300" wp14:anchorId="0578E08D" wp14:editId="094B31A1">
            <wp:extent cx="4186238" cy="2802415"/>
            <wp:effectExtent l="12700" t="12700" r="12700" b="127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4186238" cy="2802415"/>
                    </a:xfrm>
                    <a:prstGeom prst="rect">
                      <a:avLst/>
                    </a:prstGeom>
                    <a:ln w="12700">
                      <a:solidFill>
                        <a:srgbClr val="000000"/>
                      </a:solidFill>
                      <a:prstDash val="solid"/>
                    </a:ln>
                  </pic:spPr>
                </pic:pic>
              </a:graphicData>
            </a:graphic>
          </wp:inline>
        </w:drawing>
      </w:r>
    </w:p>
    <w:p w14:paraId="0A7CF52A" w14:textId="77777777" w:rsidR="00937900" w:rsidRDefault="00000000">
      <w:pPr>
        <w:pBdr>
          <w:top w:val="nil"/>
          <w:left w:val="nil"/>
          <w:bottom w:val="nil"/>
          <w:right w:val="nil"/>
          <w:between w:val="nil"/>
        </w:pBdr>
        <w:jc w:val="center"/>
        <w:rPr>
          <w:b/>
          <w:bCs/>
        </w:rPr>
      </w:pPr>
      <w:r>
        <w:rPr>
          <w:b/>
          <w:bCs/>
        </w:rPr>
        <w:t>Figure 1: “Workforce gaps in UK hospital and community service”</w:t>
      </w:r>
    </w:p>
    <w:p w14:paraId="76D60CB1" w14:textId="77777777" w:rsidR="00937900" w:rsidRDefault="00000000">
      <w:pPr>
        <w:pBdr>
          <w:top w:val="nil"/>
          <w:left w:val="nil"/>
          <w:bottom w:val="nil"/>
          <w:right w:val="nil"/>
          <w:between w:val="nil"/>
        </w:pBdr>
        <w:jc w:val="center"/>
      </w:pPr>
      <w:r>
        <w:t xml:space="preserve">Source (ONS, 2026) </w:t>
      </w:r>
    </w:p>
    <w:p w14:paraId="0CB1EA99" w14:textId="77777777" w:rsidR="00937900" w:rsidRDefault="00000000">
      <w:pPr>
        <w:pBdr>
          <w:top w:val="nil"/>
          <w:left w:val="nil"/>
          <w:bottom w:val="nil"/>
          <w:right w:val="nil"/>
          <w:between w:val="nil"/>
        </w:pBdr>
      </w:pPr>
      <w:r w:rsidRPr="00DD2E75">
        <w:t xml:space="preserve">Figure 1, represents the major shortfall of workforce within the UK HSC services which has been estimated to 100,000 individuals. This higher number of vacancies has led to issues like longer waiting lines, reduction in service availability which has been influencing barriers to healthcare access across the UK community. Such can make the vulnerable population from ethnic backgrounds, older adults and </w:t>
      </w:r>
      <w:proofErr w:type="gramStart"/>
      <w:r w:rsidRPr="00DD2E75">
        <w:t>low income</w:t>
      </w:r>
      <w:proofErr w:type="gramEnd"/>
      <w:r w:rsidRPr="00DD2E75">
        <w:t xml:space="preserve"> groups to face the issue of limited timely intervention and inadequate service access. As supported by </w:t>
      </w:r>
      <w:proofErr w:type="spellStart"/>
      <w:r w:rsidRPr="00DD2E75">
        <w:t>Shemtob</w:t>
      </w:r>
      <w:proofErr w:type="spellEnd"/>
      <w:r w:rsidRPr="00DD2E75">
        <w:t xml:space="preserve"> </w:t>
      </w:r>
      <w:r w:rsidRPr="00DD2E75">
        <w:rPr>
          <w:i/>
          <w:iCs/>
        </w:rPr>
        <w:t xml:space="preserve">et al. </w:t>
      </w:r>
      <w:r w:rsidRPr="00DD2E75">
        <w:t xml:space="preserve">(2023), labour shortage in the UK is contributing to longer waiting lines and major delays in care service delivery. While </w:t>
      </w:r>
      <w:proofErr w:type="spellStart"/>
      <w:r w:rsidRPr="00DD2E75">
        <w:t>Shemtob</w:t>
      </w:r>
      <w:proofErr w:type="spellEnd"/>
      <w:r w:rsidRPr="00DD2E75">
        <w:t xml:space="preserve"> </w:t>
      </w:r>
      <w:r w:rsidRPr="00DD2E75">
        <w:rPr>
          <w:i/>
          <w:iCs/>
        </w:rPr>
        <w:t xml:space="preserve">et al. </w:t>
      </w:r>
      <w:r w:rsidRPr="00DD2E75">
        <w:t xml:space="preserve">(2023), mentions the risk of financial pressure, language barriers </w:t>
      </w:r>
      <w:r>
        <w:t xml:space="preserve">and Rami, Thompson and Solis-Cortes (2023), argues that the marginalised communities and older people are more vulnerable to unfair and unequal care services within the UK. </w:t>
      </w:r>
    </w:p>
    <w:p w14:paraId="2081B2A5" w14:textId="77777777" w:rsidR="00937900" w:rsidRDefault="00000000">
      <w:pPr>
        <w:pBdr>
          <w:top w:val="nil"/>
          <w:left w:val="nil"/>
          <w:bottom w:val="nil"/>
          <w:right w:val="nil"/>
          <w:between w:val="nil"/>
        </w:pBdr>
        <w:rPr>
          <w:color w:val="FF0000"/>
        </w:rPr>
      </w:pPr>
      <w:r>
        <w:t xml:space="preserve">Evidence includes reports from The King’s Fund which provided that 42% of </w:t>
      </w:r>
      <w:proofErr w:type="gramStart"/>
      <w:r>
        <w:t>low income</w:t>
      </w:r>
      <w:proofErr w:type="gramEnd"/>
      <w:r>
        <w:t xml:space="preserve"> groups face challenges when accessing health care services as compared to 21% of the groups who have stable income (The King’s Fund, 2024). Based on this, the significance of the research is that it will inform vital strategies and policies which can be integrated in UK HSC to enhance equal and accessible care services. </w:t>
      </w:r>
    </w:p>
    <w:p w14:paraId="2AAF2D39" w14:textId="77777777" w:rsidR="00937900" w:rsidRDefault="00000000">
      <w:pPr>
        <w:pStyle w:val="Heading3"/>
      </w:pPr>
      <w:bookmarkStart w:id="10" w:name="_heading=h.el2naq21tcmd" w:colFirst="0" w:colLast="0"/>
      <w:bookmarkEnd w:id="10"/>
      <w:r>
        <w:t xml:space="preserve">1.3.2 Identified Problems and Research Gaps </w:t>
      </w:r>
    </w:p>
    <w:p w14:paraId="1D66AFE9" w14:textId="77777777" w:rsidR="00937900" w:rsidRPr="00DD2E75" w:rsidRDefault="00000000">
      <w:pPr>
        <w:pBdr>
          <w:top w:val="nil"/>
          <w:left w:val="nil"/>
          <w:bottom w:val="nil"/>
          <w:right w:val="nil"/>
          <w:between w:val="nil"/>
        </w:pBdr>
      </w:pPr>
      <w:r>
        <w:t>Current literature on barriers to health/social care access is focused more on general UK populations with limited emphasis on older individuals and ethnic minorities (</w:t>
      </w:r>
      <w:proofErr w:type="spellStart"/>
      <w:r>
        <w:t>Shemtob</w:t>
      </w:r>
      <w:proofErr w:type="spellEnd"/>
      <w:r>
        <w:t xml:space="preserve"> </w:t>
      </w:r>
      <w:r>
        <w:rPr>
          <w:i/>
          <w:iCs/>
        </w:rPr>
        <w:t xml:space="preserve">et al., </w:t>
      </w:r>
      <w:r>
        <w:t xml:space="preserve">2023; Rami, Thompson and Solis-Cortes, 2023). Also, studies explore the issue with workforce shortage, financial limitations, but there is limited research on the wider issues like physical, cultural and social barriers (Long </w:t>
      </w:r>
      <w:r>
        <w:rPr>
          <w:i/>
          <w:iCs/>
        </w:rPr>
        <w:t xml:space="preserve">et al., </w:t>
      </w:r>
      <w:r>
        <w:t xml:space="preserve">2023; The King’s Fund, 2024; Boardman, </w:t>
      </w:r>
      <w:proofErr w:type="spellStart"/>
      <w:r>
        <w:lastRenderedPageBreak/>
        <w:t>Killaspy</w:t>
      </w:r>
      <w:proofErr w:type="spellEnd"/>
      <w:r>
        <w:t xml:space="preserve"> and Mezey, 2022). Therefore, the justification is that this study focuses on addressing this problem and gap by conducting secondary research specific to UK HSC barriers, older populations and ethnic minorities</w:t>
      </w:r>
      <w:r w:rsidRPr="00DD2E75">
        <w:t xml:space="preserve">. Despite this previous research, many of the existing studies have focused mainly on the UK general population with limited insights into the specific groups of older population, ethnic minority and </w:t>
      </w:r>
      <w:proofErr w:type="gramStart"/>
      <w:r w:rsidRPr="00DD2E75">
        <w:t>low income</w:t>
      </w:r>
      <w:proofErr w:type="gramEnd"/>
      <w:r w:rsidRPr="00DD2E75">
        <w:t xml:space="preserve"> groups (Long </w:t>
      </w:r>
      <w:r w:rsidRPr="00DD2E75">
        <w:rPr>
          <w:i/>
          <w:iCs/>
        </w:rPr>
        <w:t xml:space="preserve">et al., </w:t>
      </w:r>
      <w:r w:rsidRPr="00DD2E75">
        <w:t xml:space="preserve">2023; The King’s Fund, 2024; Boardman, </w:t>
      </w:r>
      <w:proofErr w:type="spellStart"/>
      <w:r w:rsidRPr="00DD2E75">
        <w:t>Killaspy</w:t>
      </w:r>
      <w:proofErr w:type="spellEnd"/>
      <w:r w:rsidRPr="00DD2E75">
        <w:t xml:space="preserve"> and Mezey, 2022). It is important to address this gap as it will help to interpret the key barriers which are faced by such groups when accessing health and social care services. Based on this, the research aims to evaluate the major challenges faced by such groups and recommend the practical strategies for developing accessible HSC.</w:t>
      </w:r>
    </w:p>
    <w:p w14:paraId="07774D13" w14:textId="77777777" w:rsidR="00937900" w:rsidRPr="00DD2E75" w:rsidRDefault="00000000">
      <w:pPr>
        <w:pStyle w:val="Heading2"/>
        <w:rPr>
          <w:sz w:val="22"/>
          <w:szCs w:val="22"/>
        </w:rPr>
      </w:pPr>
      <w:bookmarkStart w:id="11" w:name="_heading=h.sy2kv8mqcnz7" w:colFirst="0" w:colLast="0"/>
      <w:bookmarkEnd w:id="11"/>
      <w:r w:rsidRPr="00DD2E75">
        <w:rPr>
          <w:sz w:val="22"/>
          <w:szCs w:val="22"/>
        </w:rPr>
        <w:t xml:space="preserve">1.4 Aim(s) and Objectives </w:t>
      </w:r>
    </w:p>
    <w:p w14:paraId="06D473B3" w14:textId="77777777" w:rsidR="00937900" w:rsidRPr="00DD2E75" w:rsidRDefault="00000000">
      <w:pPr>
        <w:pStyle w:val="Heading3"/>
        <w:rPr>
          <w:sz w:val="22"/>
          <w:szCs w:val="22"/>
        </w:rPr>
      </w:pPr>
      <w:bookmarkStart w:id="12" w:name="_heading=h.sywly8ujlaal" w:colFirst="0" w:colLast="0"/>
      <w:bookmarkEnd w:id="12"/>
      <w:r w:rsidRPr="00DD2E75">
        <w:rPr>
          <w:sz w:val="22"/>
          <w:szCs w:val="22"/>
        </w:rPr>
        <w:t xml:space="preserve">1.4.1 Research Aim </w:t>
      </w:r>
    </w:p>
    <w:p w14:paraId="1F674A6F" w14:textId="77777777" w:rsidR="00937900" w:rsidRPr="00DD2E75" w:rsidRDefault="00000000">
      <w:pPr>
        <w:pBdr>
          <w:top w:val="nil"/>
          <w:left w:val="nil"/>
          <w:bottom w:val="nil"/>
          <w:right w:val="nil"/>
          <w:between w:val="nil"/>
        </w:pBdr>
      </w:pPr>
      <w:r w:rsidRPr="00DD2E75">
        <w:t xml:space="preserve">The aim of the research is to ‘critically analyse barriers to health and social care services among older adults, ethnic minorities populations in the UK’. </w:t>
      </w:r>
    </w:p>
    <w:p w14:paraId="589F44D6" w14:textId="77777777" w:rsidR="00937900" w:rsidRPr="00DD2E75" w:rsidRDefault="00000000">
      <w:pPr>
        <w:pStyle w:val="Heading3"/>
        <w:rPr>
          <w:sz w:val="22"/>
          <w:szCs w:val="22"/>
        </w:rPr>
      </w:pPr>
      <w:bookmarkStart w:id="13" w:name="_heading=h.hz1sastvhgcm" w:colFirst="0" w:colLast="0"/>
      <w:bookmarkEnd w:id="13"/>
      <w:r w:rsidRPr="00DD2E75">
        <w:rPr>
          <w:sz w:val="22"/>
          <w:szCs w:val="22"/>
        </w:rPr>
        <w:t xml:space="preserve">1.4.2 Research Objectives </w:t>
      </w:r>
    </w:p>
    <w:p w14:paraId="7120AEA4" w14:textId="77777777" w:rsidR="00937900" w:rsidRPr="00DD2E75" w:rsidRDefault="00000000">
      <w:pPr>
        <w:numPr>
          <w:ilvl w:val="0"/>
          <w:numId w:val="1"/>
        </w:numPr>
        <w:pBdr>
          <w:top w:val="nil"/>
          <w:left w:val="nil"/>
          <w:bottom w:val="nil"/>
          <w:right w:val="nil"/>
          <w:between w:val="nil"/>
        </w:pBdr>
      </w:pPr>
      <w:r w:rsidRPr="00DD2E75">
        <w:rPr>
          <w:b/>
          <w:bCs/>
        </w:rPr>
        <w:t>Objective 1:</w:t>
      </w:r>
      <w:r w:rsidRPr="00DD2E75">
        <w:t xml:space="preserve"> To define the physical, financial, cultural and systemic obstacles that affect access to health and social care services.</w:t>
      </w:r>
    </w:p>
    <w:p w14:paraId="0DD8AECF" w14:textId="77777777" w:rsidR="00937900" w:rsidRPr="00DD2E75" w:rsidRDefault="00000000" w:rsidP="00DD2E75">
      <w:r w:rsidRPr="00DD2E75">
        <w:rPr>
          <w:b/>
          <w:bCs/>
        </w:rPr>
        <w:t>Objective 2</w:t>
      </w:r>
      <w:r w:rsidRPr="00DD2E75">
        <w:t>: To analyse existing literature review on the impact of barriers to health and social care services on vulnerable groups like older adults, low-income earners and ethnic minorities.</w:t>
      </w:r>
    </w:p>
    <w:p w14:paraId="4CB6FDF6" w14:textId="77777777" w:rsidR="00937900" w:rsidRPr="00DD2E75" w:rsidRDefault="00000000">
      <w:pPr>
        <w:numPr>
          <w:ilvl w:val="0"/>
          <w:numId w:val="1"/>
        </w:numPr>
        <w:pBdr>
          <w:top w:val="nil"/>
          <w:left w:val="nil"/>
          <w:bottom w:val="nil"/>
          <w:right w:val="nil"/>
          <w:between w:val="nil"/>
        </w:pBdr>
      </w:pPr>
      <w:r w:rsidRPr="00DD2E75">
        <w:rPr>
          <w:b/>
          <w:bCs/>
        </w:rPr>
        <w:t xml:space="preserve">Objective 3: </w:t>
      </w:r>
      <w:r w:rsidRPr="00DD2E75">
        <w:t>To evaluate the findings through thematic analysis to identify barriers, impact and current policies and interventions designed to address the inequalities in access to health and social care.</w:t>
      </w:r>
    </w:p>
    <w:p w14:paraId="23399A24" w14:textId="77777777" w:rsidR="00937900" w:rsidRPr="00DD2E75" w:rsidRDefault="00000000">
      <w:pPr>
        <w:numPr>
          <w:ilvl w:val="0"/>
          <w:numId w:val="1"/>
        </w:numPr>
        <w:pBdr>
          <w:top w:val="nil"/>
          <w:left w:val="nil"/>
          <w:bottom w:val="nil"/>
          <w:right w:val="nil"/>
          <w:between w:val="nil"/>
        </w:pBdr>
      </w:pPr>
      <w:r w:rsidRPr="00DD2E75">
        <w:rPr>
          <w:b/>
          <w:bCs/>
        </w:rPr>
        <w:t xml:space="preserve">Objective 4: </w:t>
      </w:r>
      <w:r w:rsidRPr="00DD2E75">
        <w:t>To recommend evidence-based strategies for developing accessibility to the UK health and social care services, prioritising feasible solutions on transport, affordability, communication and culturally sensitive care.</w:t>
      </w:r>
    </w:p>
    <w:p w14:paraId="73DB0D66" w14:textId="77777777" w:rsidR="00937900" w:rsidRPr="00DD2E75" w:rsidRDefault="00000000">
      <w:pPr>
        <w:pStyle w:val="Heading2"/>
        <w:rPr>
          <w:sz w:val="22"/>
          <w:szCs w:val="22"/>
        </w:rPr>
      </w:pPr>
      <w:bookmarkStart w:id="14" w:name="_heading=h.ohxoj7oaizal" w:colFirst="0" w:colLast="0"/>
      <w:bookmarkEnd w:id="14"/>
      <w:r w:rsidRPr="00DD2E75">
        <w:rPr>
          <w:sz w:val="22"/>
          <w:szCs w:val="22"/>
        </w:rPr>
        <w:t xml:space="preserve">1.5 Conclusion  </w:t>
      </w:r>
    </w:p>
    <w:p w14:paraId="359DF658" w14:textId="77777777" w:rsidR="00937900" w:rsidRPr="00DD2E75" w:rsidRDefault="00000000">
      <w:pPr>
        <w:pBdr>
          <w:top w:val="nil"/>
          <w:left w:val="nil"/>
          <w:bottom w:val="nil"/>
          <w:right w:val="nil"/>
          <w:between w:val="nil"/>
        </w:pBdr>
      </w:pPr>
      <w:r w:rsidRPr="00DD2E75">
        <w:t xml:space="preserve">In conclusion, the introduction sector has covered the main scope of the study which is to explore barriers to HSC and inform evidence-based practices to improve its accessibility. This aims to address the identified study gaps by integrating </w:t>
      </w:r>
      <w:proofErr w:type="gramStart"/>
      <w:r w:rsidRPr="00DD2E75">
        <w:t>an effective secondary research</w:t>
      </w:r>
      <w:proofErr w:type="gramEnd"/>
      <w:r w:rsidRPr="00DD2E75">
        <w:t xml:space="preserve">. The next chapter 2: Background information and analysis will focus on delivering the detailed understanding of existing studies and evidence on barriers to HSC services within the UK. </w:t>
      </w:r>
      <w:r w:rsidRPr="00DD2E75">
        <w:br w:type="page"/>
      </w:r>
    </w:p>
    <w:p w14:paraId="08006437" w14:textId="77777777" w:rsidR="00937900" w:rsidRPr="00DD2E75" w:rsidRDefault="00000000">
      <w:pPr>
        <w:pStyle w:val="Heading1"/>
        <w:rPr>
          <w:sz w:val="22"/>
          <w:szCs w:val="22"/>
        </w:rPr>
      </w:pPr>
      <w:bookmarkStart w:id="15" w:name="_heading=h.8d3zzaxleepc" w:colFirst="0" w:colLast="0"/>
      <w:bookmarkEnd w:id="15"/>
      <w:r w:rsidRPr="00DD2E75">
        <w:rPr>
          <w:sz w:val="22"/>
          <w:szCs w:val="22"/>
        </w:rPr>
        <w:lastRenderedPageBreak/>
        <w:t>CHAPTER 2: Background Information and Analysis</w:t>
      </w:r>
    </w:p>
    <w:p w14:paraId="12114815" w14:textId="77777777" w:rsidR="00937900" w:rsidRPr="00DD2E75" w:rsidRDefault="00000000">
      <w:pPr>
        <w:pStyle w:val="Heading2"/>
        <w:rPr>
          <w:sz w:val="22"/>
          <w:szCs w:val="22"/>
        </w:rPr>
      </w:pPr>
      <w:bookmarkStart w:id="16" w:name="_heading=h.wyx5f0qpm1np" w:colFirst="0" w:colLast="0"/>
      <w:bookmarkEnd w:id="16"/>
      <w:r w:rsidRPr="00DD2E75">
        <w:rPr>
          <w:sz w:val="22"/>
          <w:szCs w:val="22"/>
        </w:rPr>
        <w:t>2.1 Introduction</w:t>
      </w:r>
    </w:p>
    <w:p w14:paraId="3C0706A6" w14:textId="77777777" w:rsidR="00937900" w:rsidRPr="00DD2E75" w:rsidRDefault="00000000">
      <w:r w:rsidRPr="00DD2E75">
        <w:t>Access to health and social care services is one of the fundamental aspects of enhancing the health, well-being and quality of life among the populations (</w:t>
      </w:r>
      <w:proofErr w:type="spellStart"/>
      <w:r w:rsidRPr="00DD2E75">
        <w:t>Borovika</w:t>
      </w:r>
      <w:proofErr w:type="spellEnd"/>
      <w:r w:rsidRPr="00DD2E75">
        <w:t xml:space="preserve">, Moors and Zolovs, 2025). However, inequality in accessibility remains an important concern as differences in affordability, availability and accessibility for services contributes towards health inequalities, particularly for the vulnerable populations. Moreover, NHS England (2024), indicates around 7.6 million people were waiting for treatment at the NHS in 2023, which implies the constant pressure within healthcare accessibility and delivery. Consequently, this chapter will provide the background foundation for the research by evaluating the historical development related with health and social care accessibility, appropriate theoretical viewpoints, </w:t>
      </w:r>
      <w:proofErr w:type="gramStart"/>
      <w:r w:rsidRPr="00DD2E75">
        <w:t>International</w:t>
      </w:r>
      <w:proofErr w:type="gramEnd"/>
      <w:r w:rsidRPr="00DD2E75">
        <w:t xml:space="preserve"> approaches and the policy context of the UK. This chapter also assists the research aim of understanding the factors that strongly restrict equal accessibility to health and social care services in the UK. </w:t>
      </w:r>
    </w:p>
    <w:p w14:paraId="7496F0E8" w14:textId="77777777" w:rsidR="00937900" w:rsidRPr="00DD2E75" w:rsidRDefault="00000000">
      <w:pPr>
        <w:pStyle w:val="Heading2"/>
        <w:rPr>
          <w:sz w:val="22"/>
          <w:szCs w:val="22"/>
        </w:rPr>
      </w:pPr>
      <w:bookmarkStart w:id="17" w:name="_heading=h.pefd9sorhiai" w:colFirst="0" w:colLast="0"/>
      <w:bookmarkEnd w:id="17"/>
      <w:r w:rsidRPr="00DD2E75">
        <w:rPr>
          <w:sz w:val="22"/>
          <w:szCs w:val="22"/>
        </w:rPr>
        <w:t>2.2 Historical Background</w:t>
      </w:r>
    </w:p>
    <w:p w14:paraId="5DA4F5FB" w14:textId="77777777" w:rsidR="00937900" w:rsidRPr="00DD2E75" w:rsidRDefault="00000000">
      <w:r w:rsidRPr="00DD2E75">
        <w:t>The development of access to health and social care services has significantly evolved over the past times, strongly influenced by factors like social changes, reforms of public health and elevating recognition of the inequalities in health. In the past or historically, access for healthcare was largely determined by factors like social class, income and individuals’ ability to pay (</w:t>
      </w:r>
      <w:r w:rsidRPr="00DD2E75">
        <w:rPr>
          <w:highlight w:val="white"/>
        </w:rPr>
        <w:t>Tzenios, 2019)</w:t>
      </w:r>
      <w:r w:rsidRPr="00DD2E75">
        <w:t>. Before the foundation of the publicly funded health care systems, communities who were at disadvantage frequently relied on the charitable organisations or limited local services, resulting in the unequal opportunities for healthcare. Industrialisation and urbanisation during the 19th and 20th centuries significantly elevated the awareness associated with poor living conditions, infectious diseases and the strong need for organised interventions for public health (</w:t>
      </w:r>
      <w:r w:rsidRPr="00DD2E75">
        <w:rPr>
          <w:highlight w:val="white"/>
        </w:rPr>
        <w:t xml:space="preserve">Das </w:t>
      </w:r>
      <w:r w:rsidRPr="00DD2E75">
        <w:rPr>
          <w:i/>
          <w:iCs/>
          <w:highlight w:val="white"/>
        </w:rPr>
        <w:t>et al.,</w:t>
      </w:r>
      <w:r w:rsidRPr="00DD2E75">
        <w:rPr>
          <w:highlight w:val="white"/>
        </w:rPr>
        <w:t xml:space="preserve"> 2024)</w:t>
      </w:r>
      <w:r w:rsidRPr="00DD2E75">
        <w:t xml:space="preserve">. </w:t>
      </w:r>
    </w:p>
    <w:p w14:paraId="1C7D8836" w14:textId="77777777" w:rsidR="00937900" w:rsidRDefault="00000000">
      <w:r w:rsidRPr="00DD2E75">
        <w:t>One of the major milestones in enhancing the accessibility for healthcare was the establishment of the National Health Service in the year 1948 (NHS, 2026). The NHS introduces the principle of providing healthcare particularly based on need instead of financial capacity, which creates a strong foundation for the universal healthcar</w:t>
      </w:r>
      <w:r>
        <w:t xml:space="preserve">e excess across the UK nation (NHS, 2026). Consequently, this development in healthcare significantly changed the relationship among general public and healthcare providers by making health services a public responsibility. </w:t>
      </w:r>
    </w:p>
    <w:p w14:paraId="16DF33EC" w14:textId="77777777" w:rsidR="00937900" w:rsidRDefault="00000000">
      <w:r>
        <w:t>The understanding of health inequalities was also expanded with the work of significant contributors like Michael Marmot, which demonstrate the influence of economic and social conditions on overall health outcomes (</w:t>
      </w:r>
      <w:proofErr w:type="spellStart"/>
      <w:r>
        <w:rPr>
          <w:highlight w:val="white"/>
        </w:rPr>
        <w:t>Vineis</w:t>
      </w:r>
      <w:proofErr w:type="spellEnd"/>
      <w:r>
        <w:rPr>
          <w:highlight w:val="white"/>
        </w:rPr>
        <w:t xml:space="preserve"> </w:t>
      </w:r>
      <w:r>
        <w:rPr>
          <w:i/>
          <w:iCs/>
          <w:highlight w:val="white"/>
        </w:rPr>
        <w:t>et al.,</w:t>
      </w:r>
      <w:r>
        <w:rPr>
          <w:highlight w:val="white"/>
        </w:rPr>
        <w:t xml:space="preserve"> 2020)</w:t>
      </w:r>
      <w:r>
        <w:t xml:space="preserve">. The Marmot Review emphasises the factors like education, income employment as well as living conditions significantly contributes towards unequal health experiences (Institute of Health Equity, 2026). Moreover, </w:t>
      </w:r>
      <w:r>
        <w:lastRenderedPageBreak/>
        <w:t xml:space="preserve">this review shifted the focus from the healthcare availability alone towards the wider social determinants that significantly affect the healthcare access in the UK. </w:t>
      </w:r>
    </w:p>
    <w:p w14:paraId="0BD78FF9" w14:textId="77777777" w:rsidR="00937900" w:rsidRDefault="00000000">
      <w:r>
        <w:t xml:space="preserve">Additionally, the World Health Organization (WHO) has also significantly contributed to the development of the health equity principles by strongly promoting the coverage of universal health and identifying healthcare excess as a fundamental part of human rights (World Health Organization (WHO), 2026). </w:t>
      </w:r>
    </w:p>
    <w:p w14:paraId="67BAEF83" w14:textId="77777777" w:rsidR="00937900" w:rsidRDefault="00000000">
      <w:r>
        <w:rPr>
          <w:noProof/>
        </w:rPr>
        <w:drawing>
          <wp:inline distT="114300" distB="114300" distL="114300" distR="114300" wp14:anchorId="24BBAE01" wp14:editId="4F0F1EE6">
            <wp:extent cx="5731200" cy="25781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2578100"/>
                    </a:xfrm>
                    <a:prstGeom prst="rect">
                      <a:avLst/>
                    </a:prstGeom>
                    <a:ln/>
                  </pic:spPr>
                </pic:pic>
              </a:graphicData>
            </a:graphic>
          </wp:inline>
        </w:drawing>
      </w:r>
    </w:p>
    <w:p w14:paraId="09836D4E" w14:textId="77777777" w:rsidR="00937900" w:rsidRDefault="00000000">
      <w:pPr>
        <w:jc w:val="center"/>
      </w:pPr>
      <w:r>
        <w:rPr>
          <w:b/>
          <w:bCs/>
        </w:rPr>
        <w:t>Fig 2: “Waiting List for Hospital Treatment (UK)”</w:t>
      </w:r>
      <w:r>
        <w:rPr>
          <w:b/>
          <w:bCs/>
        </w:rPr>
        <w:br/>
        <w:t>Source</w:t>
      </w:r>
      <w:r>
        <w:t xml:space="preserve"> (UK Parliament, 2026)</w:t>
      </w:r>
    </w:p>
    <w:p w14:paraId="1204EE5B" w14:textId="77777777" w:rsidR="00937900" w:rsidRDefault="00000000">
      <w:r>
        <w:t>Additionally, current evidence highlights that health accessibility remains a constant challenge. As an illustration, the UK recorded a 7.1 million waiting list for hospital treatment in March 2026 as shown in Fig 2 (UK Parliament, 2026), which strongly justify the ongoing pressure in achieving timely accessibility to healthcare. Therefore, historical development shows a strong transformation from limited and unequal healthcare provision towards a system focused on universal equality and access to healthcare. However, changing needs among populations, increased demand and inequalities in society continuously influences the access of health and social care services (</w:t>
      </w:r>
      <w:r>
        <w:rPr>
          <w:highlight w:val="white"/>
        </w:rPr>
        <w:t xml:space="preserve">McKee </w:t>
      </w:r>
      <w:r>
        <w:rPr>
          <w:i/>
          <w:iCs/>
          <w:highlight w:val="white"/>
        </w:rPr>
        <w:t>et al.,</w:t>
      </w:r>
      <w:r>
        <w:rPr>
          <w:highlight w:val="white"/>
        </w:rPr>
        <w:t xml:space="preserve"> 2021)</w:t>
      </w:r>
      <w:r>
        <w:t xml:space="preserve">. The contributions of policy makers, along with organisations and researchers have significantly shaped contemporary approaches that primarily aim to mitigate inequalities and strengthen fairness within the delivery of healthcare services. </w:t>
      </w:r>
    </w:p>
    <w:p w14:paraId="6238C231" w14:textId="77777777" w:rsidR="00937900" w:rsidRDefault="00000000">
      <w:pPr>
        <w:pStyle w:val="Heading2"/>
        <w:rPr>
          <w:sz w:val="22"/>
          <w:szCs w:val="22"/>
        </w:rPr>
      </w:pPr>
      <w:bookmarkStart w:id="18" w:name="_heading=h.36yd0y13ucm7" w:colFirst="0" w:colLast="0"/>
      <w:bookmarkEnd w:id="18"/>
      <w:r>
        <w:rPr>
          <w:sz w:val="22"/>
          <w:szCs w:val="22"/>
        </w:rPr>
        <w:t>2.3 Theoretical Background</w:t>
      </w:r>
    </w:p>
    <w:p w14:paraId="367EC74A" w14:textId="77777777" w:rsidR="00937900" w:rsidRDefault="00000000">
      <w:r>
        <w:t>The theoretical frameworks offer a significant foundation for understanding the crucial factors that significantly influence accessibility to health and social care services. Therefore, this research will apply three relevant theories i.e., Social Determinants of Health Theory, Andersen’s Healthcare Utilisation Model and Health Inequality Theory.</w:t>
      </w:r>
    </w:p>
    <w:p w14:paraId="38B03488" w14:textId="77777777" w:rsidR="00937900" w:rsidRDefault="00000000">
      <w:pPr>
        <w:pStyle w:val="Heading3"/>
        <w:rPr>
          <w:sz w:val="22"/>
          <w:szCs w:val="22"/>
        </w:rPr>
      </w:pPr>
      <w:bookmarkStart w:id="19" w:name="_heading=h.uxqqiiwjyhzo" w:colFirst="0" w:colLast="0"/>
      <w:bookmarkEnd w:id="19"/>
      <w:r>
        <w:rPr>
          <w:sz w:val="22"/>
          <w:szCs w:val="22"/>
        </w:rPr>
        <w:lastRenderedPageBreak/>
        <w:t>2.3.1 Social Determinants of Health Theory (SDOH)</w:t>
      </w:r>
    </w:p>
    <w:p w14:paraId="5ADC064B" w14:textId="77777777" w:rsidR="00937900" w:rsidRDefault="00000000">
      <w:pPr>
        <w:jc w:val="center"/>
      </w:pPr>
      <w:r>
        <w:rPr>
          <w:noProof/>
        </w:rPr>
        <w:drawing>
          <wp:inline distT="114300" distB="114300" distL="114300" distR="114300" wp14:anchorId="122142C9" wp14:editId="210BDBB5">
            <wp:extent cx="2509838" cy="2379456"/>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2509838" cy="2379456"/>
                    </a:xfrm>
                    <a:prstGeom prst="rect">
                      <a:avLst/>
                    </a:prstGeom>
                    <a:ln w="12700">
                      <a:solidFill>
                        <a:srgbClr val="000000"/>
                      </a:solidFill>
                      <a:prstDash val="solid"/>
                    </a:ln>
                  </pic:spPr>
                </pic:pic>
              </a:graphicData>
            </a:graphic>
          </wp:inline>
        </w:drawing>
      </w:r>
    </w:p>
    <w:p w14:paraId="45EA50A0" w14:textId="77777777" w:rsidR="00937900" w:rsidRDefault="00000000">
      <w:pPr>
        <w:jc w:val="center"/>
      </w:pPr>
      <w:r>
        <w:rPr>
          <w:b/>
          <w:bCs/>
        </w:rPr>
        <w:t>Fig 3: “Social Determinants of Health Theory (SDOH)”</w:t>
      </w:r>
      <w:r>
        <w:rPr>
          <w:b/>
          <w:bCs/>
        </w:rPr>
        <w:br/>
        <w:t>Source</w:t>
      </w:r>
      <w:r>
        <w:t xml:space="preserve"> (nln.org., 2026)</w:t>
      </w:r>
    </w:p>
    <w:p w14:paraId="4923DABF" w14:textId="77777777" w:rsidR="00937900" w:rsidRDefault="00000000">
      <w:r>
        <w:t xml:space="preserve">The Social Determinants of Health Theory (SDOH) emphasises that the health outcomes among individuals are strongly shaped by social and economic conditions instead of healthcare alone (Vo </w:t>
      </w:r>
      <w:r>
        <w:rPr>
          <w:i/>
          <w:iCs/>
        </w:rPr>
        <w:t>et al.,</w:t>
      </w:r>
      <w:r>
        <w:t xml:space="preserve"> 2023). Social factors such as education, income housing as well as employment and social assistance significantly impact the ability among individuals to achieve good health. In accordance with this study, the SDOH theory helps to explain how the </w:t>
      </w:r>
      <w:proofErr w:type="gramStart"/>
      <w:r>
        <w:t>low income</w:t>
      </w:r>
      <w:proofErr w:type="gramEnd"/>
      <w:r>
        <w:t xml:space="preserve"> individuals may experience high difficulties in accessing additional health support. While, poor transport and social exclusion can mitigate engagement with health and social care services. Past research on the context of healthcare inequalities have significantly applied this theory to understand why the disadvantaged groups face poor accessibility and outcomes in health (</w:t>
      </w:r>
      <w:proofErr w:type="spellStart"/>
      <w:r>
        <w:rPr>
          <w:highlight w:val="white"/>
        </w:rPr>
        <w:t>Kerschbaumer</w:t>
      </w:r>
      <w:proofErr w:type="spellEnd"/>
      <w:r>
        <w:rPr>
          <w:highlight w:val="white"/>
        </w:rPr>
        <w:t xml:space="preserve"> </w:t>
      </w:r>
      <w:r>
        <w:rPr>
          <w:i/>
          <w:iCs/>
          <w:highlight w:val="white"/>
        </w:rPr>
        <w:t>et al.,</w:t>
      </w:r>
      <w:r>
        <w:rPr>
          <w:highlight w:val="white"/>
        </w:rPr>
        <w:t xml:space="preserve"> 2024)</w:t>
      </w:r>
      <w:r>
        <w:t xml:space="preserve">. Moreover, this theory possesses one of the main strengths that it significantly considers wider causes of inequality in health beyond the medical conditions. </w:t>
      </w:r>
    </w:p>
    <w:p w14:paraId="7F8BBC4E" w14:textId="77777777" w:rsidR="00937900" w:rsidRDefault="00000000">
      <w:pPr>
        <w:pStyle w:val="Heading3"/>
        <w:rPr>
          <w:sz w:val="22"/>
          <w:szCs w:val="22"/>
        </w:rPr>
      </w:pPr>
      <w:bookmarkStart w:id="20" w:name="_heading=h.5d0uny8lt0tp" w:colFirst="0" w:colLast="0"/>
      <w:bookmarkEnd w:id="20"/>
      <w:r>
        <w:rPr>
          <w:sz w:val="22"/>
          <w:szCs w:val="22"/>
        </w:rPr>
        <w:t>2.3.2 Andersen’s Healthcare Utilisation Model</w:t>
      </w:r>
    </w:p>
    <w:p w14:paraId="2EC40442" w14:textId="77777777" w:rsidR="00937900" w:rsidRDefault="00000000">
      <w:pPr>
        <w:jc w:val="center"/>
      </w:pPr>
      <w:r>
        <w:rPr>
          <w:noProof/>
        </w:rPr>
        <w:drawing>
          <wp:inline distT="114300" distB="114300" distL="114300" distR="114300" wp14:anchorId="5EF87B8E" wp14:editId="7DA8D764">
            <wp:extent cx="4343463" cy="2460334"/>
            <wp:effectExtent l="12700" t="12700" r="12700" b="127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4343463" cy="2460334"/>
                    </a:xfrm>
                    <a:prstGeom prst="rect">
                      <a:avLst/>
                    </a:prstGeom>
                    <a:ln w="12700">
                      <a:solidFill>
                        <a:srgbClr val="000000"/>
                      </a:solidFill>
                      <a:prstDash val="solid"/>
                    </a:ln>
                  </pic:spPr>
                </pic:pic>
              </a:graphicData>
            </a:graphic>
          </wp:inline>
        </w:drawing>
      </w:r>
    </w:p>
    <w:p w14:paraId="30E41EA3" w14:textId="77777777" w:rsidR="00937900" w:rsidRDefault="00000000">
      <w:pPr>
        <w:jc w:val="center"/>
      </w:pPr>
      <w:r>
        <w:rPr>
          <w:b/>
          <w:bCs/>
        </w:rPr>
        <w:lastRenderedPageBreak/>
        <w:t>Fig 4: “Andersen’s Healthcare Utilisation Model”</w:t>
      </w:r>
      <w:r>
        <w:rPr>
          <w:b/>
          <w:bCs/>
        </w:rPr>
        <w:br/>
        <w:t>Source</w:t>
      </w:r>
      <w:r>
        <w:t xml:space="preserve"> (</w:t>
      </w:r>
      <w:proofErr w:type="spellStart"/>
      <w:r>
        <w:t>Moonesar</w:t>
      </w:r>
      <w:proofErr w:type="spellEnd"/>
      <w:r>
        <w:t>, 2026)</w:t>
      </w:r>
    </w:p>
    <w:p w14:paraId="3A7811B5" w14:textId="77777777" w:rsidR="00937900" w:rsidRDefault="00000000">
      <w:r>
        <w:t>The Healthcare Utilisation Model by Andersen helps to explain the accessibility in healthcare through three main categories such as predisposing characteristics, enabling resources and need factors (</w:t>
      </w:r>
      <w:proofErr w:type="spellStart"/>
      <w:r>
        <w:t>Moonesar</w:t>
      </w:r>
      <w:proofErr w:type="spellEnd"/>
      <w:r>
        <w:t>, 2026). Predisposing characteristics significantly involves age, ethnicity as well as cultural background, enabling resources include income, transportation and availability for services, lastly, need factors can be related to health conditions and perceived need for healthcare (</w:t>
      </w:r>
      <w:r>
        <w:rPr>
          <w:highlight w:val="white"/>
        </w:rPr>
        <w:t>Hajek, Kretzler and Koenig, 2021, October)</w:t>
      </w:r>
      <w:r>
        <w:t>. The model is significantly useful to analyse why some of the groups may underuse healthcare services despite the needed support. As an example, older adults may have health needs at a greater level but face some barriers because of mobility limitations or difficulties in reaching services. The model also gives a structured approach to understand the health care behaviour and has been applicable in various studies to explore the utilisation of healthcare services. However, critics argue that the model also oversimplifies the complicated social experiences among individuals by placing them into a fixed category (</w:t>
      </w:r>
      <w:proofErr w:type="spellStart"/>
      <w:r>
        <w:rPr>
          <w:highlight w:val="white"/>
        </w:rPr>
        <w:t>Hamiduzzaman</w:t>
      </w:r>
      <w:proofErr w:type="spellEnd"/>
      <w:r>
        <w:rPr>
          <w:highlight w:val="white"/>
        </w:rPr>
        <w:t xml:space="preserve"> </w:t>
      </w:r>
      <w:r>
        <w:rPr>
          <w:i/>
          <w:iCs/>
          <w:highlight w:val="white"/>
        </w:rPr>
        <w:t>et al.,</w:t>
      </w:r>
      <w:r>
        <w:rPr>
          <w:highlight w:val="white"/>
        </w:rPr>
        <w:t xml:space="preserve"> 2021)</w:t>
      </w:r>
      <w:r>
        <w:t>, which may not fully capture the discrimination or systemic challenges faced by people.</w:t>
      </w:r>
    </w:p>
    <w:p w14:paraId="2B4C12F7" w14:textId="77777777" w:rsidR="00937900" w:rsidRDefault="00000000">
      <w:pPr>
        <w:pStyle w:val="Heading3"/>
        <w:rPr>
          <w:sz w:val="22"/>
          <w:szCs w:val="22"/>
        </w:rPr>
      </w:pPr>
      <w:bookmarkStart w:id="21" w:name="_heading=h.ej01kuj93fki" w:colFirst="0" w:colLast="0"/>
      <w:bookmarkEnd w:id="21"/>
      <w:r>
        <w:rPr>
          <w:sz w:val="22"/>
          <w:szCs w:val="22"/>
        </w:rPr>
        <w:t>2.3.3 Health Inequality Theory</w:t>
      </w:r>
    </w:p>
    <w:p w14:paraId="208048C7" w14:textId="77777777" w:rsidR="00937900" w:rsidRDefault="00000000">
      <w:pPr>
        <w:jc w:val="center"/>
      </w:pPr>
      <w:r>
        <w:rPr>
          <w:noProof/>
        </w:rPr>
        <w:drawing>
          <wp:inline distT="114300" distB="114300" distL="114300" distR="114300" wp14:anchorId="515C0B3E" wp14:editId="5328235D">
            <wp:extent cx="3371214" cy="1993609"/>
            <wp:effectExtent l="12700" t="12700" r="12700" b="127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3371214" cy="1993609"/>
                    </a:xfrm>
                    <a:prstGeom prst="rect">
                      <a:avLst/>
                    </a:prstGeom>
                    <a:ln w="12700">
                      <a:solidFill>
                        <a:srgbClr val="000000"/>
                      </a:solidFill>
                      <a:prstDash val="solid"/>
                    </a:ln>
                  </pic:spPr>
                </pic:pic>
              </a:graphicData>
            </a:graphic>
          </wp:inline>
        </w:drawing>
      </w:r>
    </w:p>
    <w:p w14:paraId="7474B2DC" w14:textId="77777777" w:rsidR="00937900" w:rsidRDefault="00000000">
      <w:pPr>
        <w:jc w:val="center"/>
      </w:pPr>
      <w:r>
        <w:rPr>
          <w:b/>
          <w:bCs/>
        </w:rPr>
        <w:t>Fig 5: “Health Inequality Theory”</w:t>
      </w:r>
      <w:r>
        <w:rPr>
          <w:b/>
          <w:bCs/>
        </w:rPr>
        <w:br/>
        <w:t xml:space="preserve">Source </w:t>
      </w:r>
      <w:r>
        <w:t>(</w:t>
      </w:r>
      <w:proofErr w:type="spellStart"/>
      <w:r>
        <w:rPr>
          <w:highlight w:val="white"/>
        </w:rPr>
        <w:t>Wilderink</w:t>
      </w:r>
      <w:proofErr w:type="spellEnd"/>
      <w:r>
        <w:rPr>
          <w:i/>
          <w:iCs/>
          <w:highlight w:val="white"/>
        </w:rPr>
        <w:t xml:space="preserve"> et al., </w:t>
      </w:r>
      <w:r>
        <w:rPr>
          <w:highlight w:val="white"/>
        </w:rPr>
        <w:t>2022</w:t>
      </w:r>
      <w:r>
        <w:t>)</w:t>
      </w:r>
    </w:p>
    <w:p w14:paraId="3BFEA772" w14:textId="77777777" w:rsidR="00937900" w:rsidRDefault="00000000">
      <w:r>
        <w:t xml:space="preserve">Health Inequality Theory primarily focuses on the significant differences in the health results among population groups strongly caused by unequal social and economic opportunities. The theory is particularly relevant in this research context because vulnerable groups such as ethnic minorities, aged adults and </w:t>
      </w:r>
      <w:proofErr w:type="gramStart"/>
      <w:r>
        <w:t>low income</w:t>
      </w:r>
      <w:proofErr w:type="gramEnd"/>
      <w:r>
        <w:t xml:space="preserve"> communities often experience unequal accessibility to health and social care services (</w:t>
      </w:r>
      <w:proofErr w:type="spellStart"/>
      <w:r>
        <w:rPr>
          <w:highlight w:val="white"/>
        </w:rPr>
        <w:t>Wilderink</w:t>
      </w:r>
      <w:proofErr w:type="spellEnd"/>
      <w:r>
        <w:rPr>
          <w:highlight w:val="white"/>
        </w:rPr>
        <w:t xml:space="preserve"> </w:t>
      </w:r>
      <w:r>
        <w:rPr>
          <w:i/>
          <w:iCs/>
          <w:highlight w:val="white"/>
        </w:rPr>
        <w:t>et al.,</w:t>
      </w:r>
      <w:r>
        <w:rPr>
          <w:highlight w:val="white"/>
        </w:rPr>
        <w:t xml:space="preserve"> 2022)</w:t>
      </w:r>
      <w:r>
        <w:t xml:space="preserve">. Moreover, The King’s Fund (2024), highlights that people who experience poverty are more likely to encounter challenges in accessing NHS services, which demonstrates how the social disadvantages significantly contribute towards unequal healthcare experiences in the UK. In this note, 6 out of 10 people in the most deprived areas stated the negative impact of the </w:t>
      </w:r>
      <w:proofErr w:type="gramStart"/>
      <w:r>
        <w:t>cost of living</w:t>
      </w:r>
      <w:proofErr w:type="gramEnd"/>
      <w:r>
        <w:t xml:space="preserve"> crisis </w:t>
      </w:r>
      <w:r>
        <w:lastRenderedPageBreak/>
        <w:t>on their health (The King’s Fund, 2024), which shows increasing pressure on individuals and contribution towards the additional financial cost for the NHS. The theory of health in equality is highly relevant as it emphasizes the structural causes of health inequality and assists policies focused at enhancing fairness (</w:t>
      </w:r>
      <w:proofErr w:type="spellStart"/>
      <w:r>
        <w:rPr>
          <w:highlight w:val="white"/>
        </w:rPr>
        <w:t>Wilderink</w:t>
      </w:r>
      <w:proofErr w:type="spellEnd"/>
      <w:r>
        <w:rPr>
          <w:i/>
          <w:iCs/>
          <w:highlight w:val="white"/>
        </w:rPr>
        <w:t xml:space="preserve"> et al.,</w:t>
      </w:r>
      <w:r>
        <w:rPr>
          <w:highlight w:val="white"/>
        </w:rPr>
        <w:t xml:space="preserve"> 2022)</w:t>
      </w:r>
      <w:r>
        <w:t xml:space="preserve">. However, a limitation is that mitigating inequalities is quite complicated because the healthcare policies solely cannot remove the social disadvantages of a wider level. </w:t>
      </w:r>
    </w:p>
    <w:p w14:paraId="336A8E44" w14:textId="77777777" w:rsidR="00937900" w:rsidRDefault="00000000">
      <w:pPr>
        <w:pStyle w:val="Heading2"/>
        <w:rPr>
          <w:sz w:val="22"/>
          <w:szCs w:val="22"/>
        </w:rPr>
      </w:pPr>
      <w:bookmarkStart w:id="22" w:name="_heading=h.xq57ubbdmcvc" w:colFirst="0" w:colLast="0"/>
      <w:bookmarkEnd w:id="22"/>
      <w:r>
        <w:rPr>
          <w:sz w:val="22"/>
          <w:szCs w:val="22"/>
        </w:rPr>
        <w:t>2.4 International Context</w:t>
      </w:r>
    </w:p>
    <w:p w14:paraId="19E095FB" w14:textId="77777777" w:rsidR="00937900" w:rsidRDefault="00000000">
      <w:r>
        <w:t xml:space="preserve">Access to health and social care services is identified as an international health challenge due to the fact that several countries continuously experience inequalities particularly caused by geographical isolation, poverty, workforce shortages as well as discrimination. In terms of international context, healthcare systems are increasingly prioritising on obtaining “universal health coverage (UHC)”, which aims to guarantee that each person receives essential health services without facing any financial problems (World Health Organization, 2026). In this note, the World Health Organization strongly promotes UHC as a primary strategy for strengthening healthcare equity. Nevertheless, progress still remains uneven globally with the reporting of approx. 4.5 billion people across the world were not fully covered by the essential health services in 2021 (World Health Organization, 2023), which justify the significant gaps associated with healthcare accessibility. </w:t>
      </w:r>
    </w:p>
    <w:p w14:paraId="57E67867" w14:textId="77777777" w:rsidR="00937900" w:rsidRDefault="00000000">
      <w:r>
        <w:t>Different countries address healthcare accessibility utilising various models. The United States employs a mixed public and private healthcare system where the insurance coverage strongly impacts accessibility towards medical services. Programs like public insurance have significantly enhanced available healthcare, however, financial challenges remain critical with 8.2% of the American population which is around 27.2 million people uninsured in 2024 (</w:t>
      </w:r>
      <w:proofErr w:type="spellStart"/>
      <w:r>
        <w:t>Centers</w:t>
      </w:r>
      <w:proofErr w:type="spellEnd"/>
      <w:r>
        <w:t xml:space="preserve"> for Disease Control and Prevention, 2025). On the contrary, Sweden utilises a healthcare model based on welfare where the government responsibility, community care and equal access are given importance (</w:t>
      </w:r>
      <w:r>
        <w:rPr>
          <w:highlight w:val="white"/>
        </w:rPr>
        <w:t>Fredriksson, 2024)</w:t>
      </w:r>
      <w:r>
        <w:t xml:space="preserve">. This approach enhances the affordability factor and diminishes financial </w:t>
      </w:r>
      <w:proofErr w:type="gramStart"/>
      <w:r>
        <w:t>barriers,</w:t>
      </w:r>
      <w:proofErr w:type="gramEnd"/>
      <w:r>
        <w:t xml:space="preserve"> however, it also encounters challenges such as aging population, and pressure on healthcare resources.</w:t>
      </w:r>
    </w:p>
    <w:p w14:paraId="3FA5E66D" w14:textId="77777777" w:rsidR="00937900" w:rsidRDefault="00000000">
      <w:r>
        <w:t>Moreover, international examples significantly highlight the common issues in healthcare accessibility. Rural communities in several countries face limited healthcare professionals and longer distances for travelling, which eventually reduces the timely access to healthcare services. Simultaneously, ethnic minority populations additionally face challenges in languages and cultural barriers that significantly impact the communication and trust in the healthcare providers (</w:t>
      </w:r>
      <w:r>
        <w:rPr>
          <w:highlight w:val="white"/>
        </w:rPr>
        <w:t xml:space="preserve">Robinson </w:t>
      </w:r>
      <w:r>
        <w:rPr>
          <w:i/>
          <w:iCs/>
          <w:highlight w:val="white"/>
        </w:rPr>
        <w:t xml:space="preserve">et al., </w:t>
      </w:r>
      <w:r>
        <w:rPr>
          <w:highlight w:val="white"/>
        </w:rPr>
        <w:t>2022)</w:t>
      </w:r>
      <w:r>
        <w:t xml:space="preserve">. In general, </w:t>
      </w:r>
      <w:proofErr w:type="gramStart"/>
      <w:r>
        <w:t>International</w:t>
      </w:r>
      <w:proofErr w:type="gramEnd"/>
      <w:r>
        <w:t xml:space="preserve"> healthcare approaches highlight that a universal system can enhance accessibility. However effective healthcare access necessitates addressing the social, economic and structural inequalities of a wider representation. </w:t>
      </w:r>
    </w:p>
    <w:p w14:paraId="5A85C9B9" w14:textId="77777777" w:rsidR="00937900" w:rsidRDefault="00000000">
      <w:pPr>
        <w:pStyle w:val="Heading2"/>
        <w:rPr>
          <w:sz w:val="22"/>
          <w:szCs w:val="22"/>
        </w:rPr>
      </w:pPr>
      <w:bookmarkStart w:id="23" w:name="_heading=h.l0m81cskfa9" w:colFirst="0" w:colLast="0"/>
      <w:bookmarkEnd w:id="23"/>
      <w:r>
        <w:rPr>
          <w:sz w:val="22"/>
          <w:szCs w:val="22"/>
        </w:rPr>
        <w:lastRenderedPageBreak/>
        <w:t>2.5 National/Local UK Context</w:t>
      </w:r>
    </w:p>
    <w:p w14:paraId="5998AE26" w14:textId="77777777" w:rsidR="00937900" w:rsidRDefault="00000000">
      <w:r>
        <w:t>Within the UK context, access to health and social care is strongly supported through the National Health Service (NHS) (NHS, 2026). Primary care, secondary care, social care, and community services are strongly integrated in the UK healthcare system to enhance the continuity of support. General practitioners, hospitals along with local authorities and voluntary institutions work collaboratively to serve preventative care, treatment and support for the long term (</w:t>
      </w:r>
      <w:proofErr w:type="spellStart"/>
      <w:r>
        <w:rPr>
          <w:highlight w:val="white"/>
        </w:rPr>
        <w:t>Alderwick</w:t>
      </w:r>
      <w:proofErr w:type="spellEnd"/>
      <w:r>
        <w:rPr>
          <w:highlight w:val="white"/>
        </w:rPr>
        <w:t xml:space="preserve"> </w:t>
      </w:r>
      <w:r>
        <w:rPr>
          <w:i/>
          <w:iCs/>
          <w:highlight w:val="white"/>
        </w:rPr>
        <w:t>et al.,</w:t>
      </w:r>
      <w:r>
        <w:rPr>
          <w:highlight w:val="white"/>
        </w:rPr>
        <w:t xml:space="preserve"> 2021)</w:t>
      </w:r>
      <w:r>
        <w:t xml:space="preserve">. </w:t>
      </w:r>
    </w:p>
    <w:p w14:paraId="515DCFE1" w14:textId="77777777" w:rsidR="00937900" w:rsidRDefault="00000000">
      <w:r>
        <w:t xml:space="preserve">The NHS model fosters </w:t>
      </w:r>
      <w:proofErr w:type="gramStart"/>
      <w:r>
        <w:t>equality,</w:t>
      </w:r>
      <w:proofErr w:type="gramEnd"/>
      <w:r>
        <w:t xml:space="preserve"> however accessibility </w:t>
      </w:r>
      <w:proofErr w:type="gramStart"/>
      <w:r>
        <w:t>still remains</w:t>
      </w:r>
      <w:proofErr w:type="gramEnd"/>
      <w:r>
        <w:t xml:space="preserve"> challenging because of the increasing demand, aging populations and shortages in workforce (</w:t>
      </w:r>
      <w:r>
        <w:rPr>
          <w:highlight w:val="white"/>
        </w:rPr>
        <w:t xml:space="preserve">Anderson </w:t>
      </w:r>
      <w:r>
        <w:rPr>
          <w:i/>
          <w:iCs/>
          <w:highlight w:val="white"/>
        </w:rPr>
        <w:t>et al.,</w:t>
      </w:r>
      <w:r>
        <w:rPr>
          <w:highlight w:val="white"/>
        </w:rPr>
        <w:t xml:space="preserve"> 2021)</w:t>
      </w:r>
      <w:r>
        <w:t xml:space="preserve">. The nation has faced rising pressure particularly on healthcare delivery, as older adults frequently need long term support and various services. The report by the NHS highlights waiting lists for treatment reaching around 7.6 million treatment pathways in August 2024 (NHS England, 2024), which justify how the service pressure can impact the overall healthcare accessibility. This also implies that universal availability does not always result in immediate access. </w:t>
      </w:r>
    </w:p>
    <w:p w14:paraId="16FCD00B" w14:textId="77777777" w:rsidR="00937900" w:rsidRDefault="00000000">
      <w:r>
        <w:t xml:space="preserve">In the UK, several policies are introduced with an aim to mitigate inequalities and improve access to healthcare. The </w:t>
      </w:r>
      <w:r>
        <w:rPr>
          <w:b/>
          <w:bCs/>
        </w:rPr>
        <w:t>“Health and Social Care Act 2012”</w:t>
      </w:r>
      <w:r>
        <w:t xml:space="preserve"> strongly introduced core reforms by restructuring the commissioning in healthcare and increasing prioritisation on patient centred services (Glover-Thomas, 2026). Its strength is that it motivates greater involvement from local communities particularly in healthcare planning, however, its organisational changes also present complications in service coordination. </w:t>
      </w:r>
    </w:p>
    <w:p w14:paraId="7BC5FFA6" w14:textId="77777777" w:rsidR="00937900" w:rsidRDefault="00000000">
      <w:r>
        <w:t xml:space="preserve">In addition, the implementation of </w:t>
      </w:r>
      <w:r>
        <w:rPr>
          <w:b/>
          <w:bCs/>
        </w:rPr>
        <w:t xml:space="preserve">“Care Act 2014” </w:t>
      </w:r>
      <w:r>
        <w:t xml:space="preserve">helped to strengthen the role of local authorities in offering social care by the introduction of well-being principles (GOV.UK., 2026). The Care Act 2014 necessitated councils to consider the physical, emotional as well as social well-being of individuals while arranging healthcare support, especially for the vulnerable adults (GOV.UK., 2026). This approach assists to enhance person centred care, although financial pressures on the local authorities can impact the availability of service. </w:t>
      </w:r>
    </w:p>
    <w:p w14:paraId="75ED7258" w14:textId="77777777" w:rsidR="00937900" w:rsidRDefault="00000000">
      <w:r>
        <w:t xml:space="preserve">Moreover, </w:t>
      </w:r>
      <w:r>
        <w:rPr>
          <w:b/>
          <w:bCs/>
        </w:rPr>
        <w:t xml:space="preserve">“Equality Act 2010” </w:t>
      </w:r>
      <w:r>
        <w:t xml:space="preserve">assists to safeguard individuals from the factors like discrimination and promotes equal healthcare access regardless of one’s age, disability or ethnicity (GOV.UK., 2026). This legislation offers significant legal protection, however practical barriers involving difficulties in communication and inequality in resources can still impact the healthcare service experiences. </w:t>
      </w:r>
    </w:p>
    <w:p w14:paraId="3148A1AA" w14:textId="77777777" w:rsidR="00937900" w:rsidRDefault="00000000">
      <w:r>
        <w:t xml:space="preserve">Additionally, at a local level, community healthcare providers, as well as councils and voluntary organisations play a central role in diminishing barriers in healthcare accessibility. In the UK, local initiatives frequently involve community outreach, social prescribing along with integrated care programmes, particularly developed to connect the public with the appropriate healthcare support (Dadswell and Bungay, 2025). However, regional differences present some of the </w:t>
      </w:r>
      <w:r>
        <w:lastRenderedPageBreak/>
        <w:t>challenges. Urban areas often benefit from the greater availability of healthcare specialists and hospitals, whereas rural communities may encounter longer distances for travelling and limited healthcare expertise (</w:t>
      </w:r>
      <w:proofErr w:type="spellStart"/>
      <w:r>
        <w:t>Gobburi</w:t>
      </w:r>
      <w:proofErr w:type="spellEnd"/>
      <w:r>
        <w:t xml:space="preserve"> </w:t>
      </w:r>
      <w:r>
        <w:rPr>
          <w:i/>
          <w:iCs/>
        </w:rPr>
        <w:t>et al.,</w:t>
      </w:r>
      <w:r>
        <w:t xml:space="preserve"> 2025). Consequently, local approaches primarily concentrating on community support and integrated healthcare services are necessary to positively enhance accessibility. </w:t>
      </w:r>
    </w:p>
    <w:p w14:paraId="4A6ECECC" w14:textId="77777777" w:rsidR="00937900" w:rsidRDefault="00000000">
      <w:pPr>
        <w:pStyle w:val="Heading2"/>
        <w:rPr>
          <w:sz w:val="22"/>
          <w:szCs w:val="22"/>
        </w:rPr>
      </w:pPr>
      <w:bookmarkStart w:id="24" w:name="_heading=h.bjkqnmpf4gp2" w:colFirst="0" w:colLast="0"/>
      <w:bookmarkEnd w:id="24"/>
      <w:r>
        <w:rPr>
          <w:sz w:val="22"/>
          <w:szCs w:val="22"/>
        </w:rPr>
        <w:t>2.6 Conclusion</w:t>
      </w:r>
    </w:p>
    <w:p w14:paraId="1800525C" w14:textId="77777777" w:rsidR="00937900" w:rsidRDefault="00000000">
      <w:r>
        <w:t xml:space="preserve">In conclusion, this chapter has evaluated the barriers context for health and social care services accessibility by evaluating the historical developments, relevant theories, </w:t>
      </w:r>
      <w:proofErr w:type="gramStart"/>
      <w:r>
        <w:t>International</w:t>
      </w:r>
      <w:proofErr w:type="gramEnd"/>
      <w:r>
        <w:t xml:space="preserve"> approaches as well as the context of the UK. This section strongly highlights how the social economic conditions, healthcare systems and policies significantly influence inequalities and accessibility to healthcare. Theoretical insights offer a strong foundation for understanding these challenges in healthcare, while </w:t>
      </w:r>
      <w:proofErr w:type="gramStart"/>
      <w:r>
        <w:t>International</w:t>
      </w:r>
      <w:proofErr w:type="gramEnd"/>
      <w:r>
        <w:t xml:space="preserve"> examples </w:t>
      </w:r>
      <w:proofErr w:type="gramStart"/>
      <w:r>
        <w:t>implies</w:t>
      </w:r>
      <w:proofErr w:type="gramEnd"/>
      <w:r>
        <w:t xml:space="preserve"> the constant issues. </w:t>
      </w:r>
    </w:p>
    <w:p w14:paraId="5F645CA0" w14:textId="77777777" w:rsidR="00937900" w:rsidRDefault="00937900"/>
    <w:p w14:paraId="284251B9" w14:textId="77777777" w:rsidR="00937900" w:rsidRDefault="00000000">
      <w:r>
        <w:br w:type="page"/>
      </w:r>
    </w:p>
    <w:p w14:paraId="1345F9C1" w14:textId="77777777" w:rsidR="00937900" w:rsidRDefault="00000000">
      <w:pPr>
        <w:pStyle w:val="Heading1"/>
        <w:rPr>
          <w:sz w:val="22"/>
          <w:szCs w:val="22"/>
        </w:rPr>
      </w:pPr>
      <w:bookmarkStart w:id="25" w:name="_heading=h.t4qve0dqsyjz" w:colFirst="0" w:colLast="0"/>
      <w:bookmarkEnd w:id="25"/>
      <w:r>
        <w:rPr>
          <w:sz w:val="22"/>
          <w:szCs w:val="22"/>
        </w:rPr>
        <w:lastRenderedPageBreak/>
        <w:t xml:space="preserve">CHAPTER 3: Methods </w:t>
      </w:r>
    </w:p>
    <w:p w14:paraId="7E8B28E4" w14:textId="77777777" w:rsidR="00937900" w:rsidRDefault="00000000">
      <w:pPr>
        <w:pStyle w:val="Heading2"/>
        <w:rPr>
          <w:sz w:val="22"/>
          <w:szCs w:val="22"/>
        </w:rPr>
      </w:pPr>
      <w:bookmarkStart w:id="26" w:name="_heading=h.a1mv7u5ujbu6" w:colFirst="0" w:colLast="0"/>
      <w:bookmarkEnd w:id="26"/>
      <w:r>
        <w:rPr>
          <w:sz w:val="22"/>
          <w:szCs w:val="22"/>
        </w:rPr>
        <w:t xml:space="preserve">3.1 Introduction </w:t>
      </w:r>
    </w:p>
    <w:p w14:paraId="3BACB37B" w14:textId="77777777" w:rsidR="00937900" w:rsidRDefault="00000000">
      <w:pPr>
        <w:pBdr>
          <w:top w:val="nil"/>
          <w:left w:val="nil"/>
          <w:bottom w:val="nil"/>
          <w:right w:val="nil"/>
          <w:between w:val="nil"/>
        </w:pBdr>
      </w:pPr>
      <w:r>
        <w:t xml:space="preserve">The purpose of the chapter is to provide the interpretation of applying a desk based, literature-based approach to evaluate barriers to health and social care access within the UK. As per Chigbu, Atiku and Du Plessis (2023), literature-based approach is known as the process where the </w:t>
      </w:r>
      <w:proofErr w:type="gramStart"/>
      <w:r>
        <w:t>particular topic</w:t>
      </w:r>
      <w:proofErr w:type="gramEnd"/>
      <w:r>
        <w:t xml:space="preserve"> or subject area is analysed, synthesized and interpreted by using the previous studies such as ‘academic journals/articles, government publications and industry </w:t>
      </w:r>
      <w:proofErr w:type="gramStart"/>
      <w:r>
        <w:t>reports’</w:t>
      </w:r>
      <w:proofErr w:type="gramEnd"/>
      <w:r>
        <w:t xml:space="preserve">. It is the part of a secondary method where the existing data are accumulated other than gaining raw information. With this, the research has been conducted by using the available sources of scholarly literature, policy documents and official reports on health and social care. This has helped to gain access to the wider pool of existing information on healthcare access and inequality across the UK. A clear visual summary of the applied methods has been presented in the poster and this chapter extends each and every section of it. </w:t>
      </w:r>
    </w:p>
    <w:p w14:paraId="6B6E4AE0" w14:textId="77777777" w:rsidR="00937900" w:rsidRDefault="00000000">
      <w:pPr>
        <w:pStyle w:val="Heading2"/>
        <w:rPr>
          <w:sz w:val="22"/>
          <w:szCs w:val="22"/>
        </w:rPr>
      </w:pPr>
      <w:bookmarkStart w:id="27" w:name="_heading=h.uuiaauxeiuo8" w:colFirst="0" w:colLast="0"/>
      <w:bookmarkEnd w:id="27"/>
      <w:r>
        <w:rPr>
          <w:sz w:val="22"/>
          <w:szCs w:val="22"/>
        </w:rPr>
        <w:t xml:space="preserve">3.2 Search Strategy </w:t>
      </w:r>
    </w:p>
    <w:p w14:paraId="013B6160" w14:textId="77777777" w:rsidR="00937900" w:rsidRDefault="00000000">
      <w:r>
        <w:t xml:space="preserve">The following search strategy has been used during the research: </w:t>
      </w:r>
    </w:p>
    <w:p w14:paraId="5E1345DD" w14:textId="77777777" w:rsidR="00937900" w:rsidRDefault="00000000">
      <w:pPr>
        <w:pBdr>
          <w:top w:val="nil"/>
          <w:left w:val="nil"/>
          <w:bottom w:val="nil"/>
          <w:right w:val="nil"/>
          <w:between w:val="nil"/>
        </w:pBdr>
      </w:pPr>
      <w:r>
        <w:rPr>
          <w:b/>
          <w:bCs/>
        </w:rPr>
        <w:t>Keywords</w:t>
      </w:r>
      <w:r>
        <w:t xml:space="preserve">: The keywords which has been developed to locate the relevant existing literature sources include "health care access”, “social care access”, “digital exclusion”, “HSC”, “deprivation quintiles”, “older individuals”, “ethnic minorities”, “service utilisation", “equity” and “health system barriers". </w:t>
      </w:r>
    </w:p>
    <w:p w14:paraId="246C0CA6" w14:textId="77777777" w:rsidR="00937900" w:rsidRDefault="00000000">
      <w:pPr>
        <w:pBdr>
          <w:top w:val="nil"/>
          <w:left w:val="nil"/>
          <w:bottom w:val="nil"/>
          <w:right w:val="nil"/>
          <w:between w:val="nil"/>
        </w:pBdr>
      </w:pPr>
      <w:r>
        <w:rPr>
          <w:b/>
          <w:bCs/>
        </w:rPr>
        <w:t>Boolean Operators</w:t>
      </w:r>
      <w:r>
        <w:t xml:space="preserve">: The operators of “AND” have been used for combining keywords while “OR” was used for synonyms. Also, “NOT” was used for narrowing down the materials which were not relevant. For example, “Barriers OR Hindrances to health care access" has been integrated to find specific credible sources to find the information on major barriers hindering healthcare access in the UK. </w:t>
      </w:r>
    </w:p>
    <w:p w14:paraId="602E07AE" w14:textId="77777777" w:rsidR="00937900" w:rsidRDefault="00000000">
      <w:pPr>
        <w:pBdr>
          <w:top w:val="nil"/>
          <w:left w:val="nil"/>
          <w:bottom w:val="nil"/>
          <w:right w:val="nil"/>
          <w:between w:val="nil"/>
        </w:pBdr>
      </w:pPr>
      <w:r>
        <w:rPr>
          <w:b/>
          <w:bCs/>
        </w:rPr>
        <w:t>Structured Search Plan</w:t>
      </w:r>
      <w:r>
        <w:t xml:space="preserve">: The search plan has been structured by highlighting the research objectives and aim into the relevant keywords. After this search string by applying ‘Boolean Operator’ was adopted to combine and narrow the sources. Thirdly, the database has been targeted to apply the specific keywords for finding the most relevant source. </w:t>
      </w:r>
    </w:p>
    <w:p w14:paraId="60E99412" w14:textId="77777777" w:rsidR="00937900" w:rsidRDefault="00000000">
      <w:pPr>
        <w:pStyle w:val="Heading2"/>
        <w:rPr>
          <w:sz w:val="22"/>
          <w:szCs w:val="22"/>
        </w:rPr>
      </w:pPr>
      <w:bookmarkStart w:id="28" w:name="_heading=h.qb0ij1p81ga9" w:colFirst="0" w:colLast="0"/>
      <w:bookmarkEnd w:id="28"/>
      <w:r>
        <w:rPr>
          <w:sz w:val="22"/>
          <w:szCs w:val="22"/>
        </w:rPr>
        <w:t xml:space="preserve">3.3 Searching for Information </w:t>
      </w:r>
    </w:p>
    <w:p w14:paraId="7BE26C06" w14:textId="77777777" w:rsidR="00937900" w:rsidRDefault="00000000">
      <w:pPr>
        <w:pBdr>
          <w:top w:val="nil"/>
          <w:left w:val="nil"/>
          <w:bottom w:val="nil"/>
          <w:right w:val="nil"/>
          <w:between w:val="nil"/>
        </w:pBdr>
      </w:pPr>
      <w:r>
        <w:rPr>
          <w:b/>
          <w:bCs/>
        </w:rPr>
        <w:t>Database:</w:t>
      </w:r>
      <w:r>
        <w:t xml:space="preserve"> The databases of “Google scholar, PubMed and University of Wales Trinity Saint David (UWTSD) library system” have been incorporated in this research. This is justified as these provide access to credible sources like peer-reviewed articles/journals, government policy reports and academic publications. Such has helped in gathering and providing the reliable findings supported with multiple existing literature. </w:t>
      </w:r>
    </w:p>
    <w:p w14:paraId="38571B31" w14:textId="77777777" w:rsidR="00937900" w:rsidRDefault="00000000">
      <w:pPr>
        <w:pBdr>
          <w:top w:val="nil"/>
          <w:left w:val="nil"/>
          <w:bottom w:val="nil"/>
          <w:right w:val="nil"/>
          <w:between w:val="nil"/>
        </w:pBdr>
      </w:pPr>
      <w:r>
        <w:rPr>
          <w:b/>
          <w:bCs/>
        </w:rPr>
        <w:lastRenderedPageBreak/>
        <w:t>Filters</w:t>
      </w:r>
      <w:r>
        <w:t xml:space="preserve">: To ensure proper narrowing of sources, filter of publication year after 2020 and peer-review feature has been selected. </w:t>
      </w:r>
      <w:proofErr w:type="gramStart"/>
      <w:r>
        <w:t>Also</w:t>
      </w:r>
      <w:proofErr w:type="gramEnd"/>
      <w:r>
        <w:t xml:space="preserve"> the country of focus which is the UK has been selected to narrow down the results. </w:t>
      </w:r>
    </w:p>
    <w:p w14:paraId="00BAE7C5" w14:textId="77777777" w:rsidR="00937900" w:rsidRDefault="00000000">
      <w:pPr>
        <w:pBdr>
          <w:top w:val="nil"/>
          <w:left w:val="nil"/>
          <w:bottom w:val="nil"/>
          <w:right w:val="nil"/>
          <w:between w:val="nil"/>
        </w:pBdr>
      </w:pPr>
      <w:r>
        <w:rPr>
          <w:b/>
          <w:bCs/>
        </w:rPr>
        <w:t>Search Process</w:t>
      </w:r>
      <w:r>
        <w:t>: The method of source tracking table provided in ‘appendix 1’ is implemented to find appropriate literature. Using this has helped to note down and summarise the findings to reflect on the source appropriateness.</w:t>
      </w:r>
    </w:p>
    <w:p w14:paraId="1D5A1030" w14:textId="77777777" w:rsidR="00937900" w:rsidRDefault="00000000">
      <w:pPr>
        <w:pStyle w:val="Heading2"/>
        <w:rPr>
          <w:sz w:val="22"/>
          <w:szCs w:val="22"/>
        </w:rPr>
      </w:pPr>
      <w:bookmarkStart w:id="29" w:name="_heading=h.xur8et1s3nqe" w:colFirst="0" w:colLast="0"/>
      <w:bookmarkEnd w:id="29"/>
      <w:r>
        <w:rPr>
          <w:sz w:val="22"/>
          <w:szCs w:val="22"/>
        </w:rPr>
        <w:t xml:space="preserve">3.4 Research Validation </w:t>
      </w:r>
    </w:p>
    <w:p w14:paraId="232BCDF1" w14:textId="77777777" w:rsidR="00937900" w:rsidRDefault="00000000">
      <w:pPr>
        <w:pBdr>
          <w:top w:val="nil"/>
          <w:left w:val="nil"/>
          <w:bottom w:val="nil"/>
          <w:right w:val="nil"/>
          <w:between w:val="nil"/>
        </w:pBdr>
      </w:pPr>
      <w:r>
        <w:rPr>
          <w:b/>
          <w:bCs/>
        </w:rPr>
        <w:t>Skimming Techniques</w:t>
      </w:r>
      <w:r>
        <w:t xml:space="preserve">: The chosen articles after applying the search strategy has been skimmed to ensure its relevance in this research. The selected sources like articles and journals have been assessed by using the key features like title, abstract, introduction and conclusion. Such has guided us to evaluate, select and apply the relevant literature. </w:t>
      </w:r>
    </w:p>
    <w:p w14:paraId="628866FC" w14:textId="77777777" w:rsidR="00937900" w:rsidRDefault="00000000">
      <w:pPr>
        <w:pBdr>
          <w:top w:val="nil"/>
          <w:left w:val="nil"/>
          <w:bottom w:val="nil"/>
          <w:right w:val="nil"/>
          <w:between w:val="nil"/>
        </w:pBdr>
      </w:pPr>
      <w:r>
        <w:rPr>
          <w:b/>
          <w:bCs/>
        </w:rPr>
        <w:t>CRAAP Test Application</w:t>
      </w:r>
      <w:r>
        <w:t xml:space="preserve">: The CRAAP test delivered in ‘appendix one’ has been used to analyse the quality of selected sources. Applying this has helped to include the current and most relevant sources with higher scores to generate the credible findings in this research. </w:t>
      </w:r>
    </w:p>
    <w:p w14:paraId="25E3BE3B" w14:textId="77777777" w:rsidR="00937900" w:rsidRDefault="00000000">
      <w:pPr>
        <w:pStyle w:val="Heading2"/>
        <w:rPr>
          <w:sz w:val="22"/>
          <w:szCs w:val="22"/>
        </w:rPr>
      </w:pPr>
      <w:bookmarkStart w:id="30" w:name="_heading=h.j3og9fnvaxni" w:colFirst="0" w:colLast="0"/>
      <w:bookmarkEnd w:id="30"/>
      <w:r>
        <w:rPr>
          <w:sz w:val="22"/>
          <w:szCs w:val="22"/>
        </w:rPr>
        <w:t>3.5 Inclusion and Exclusion Criteria</w:t>
      </w:r>
    </w:p>
    <w:sdt>
      <w:sdtPr>
        <w:tag w:val="goog_rdk_0"/>
        <w:id w:val="-384858283"/>
        <w:lock w:val="contentLocked"/>
      </w:sdtPr>
      <w:sdtContent>
        <w:tbl>
          <w:tblPr>
            <w:tblStyle w:val="a"/>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00"/>
            <w:gridCol w:w="2910"/>
            <w:gridCol w:w="3690"/>
          </w:tblGrid>
          <w:tr w:rsidR="00937900" w14:paraId="53B1CCED" w14:textId="77777777">
            <w:tc>
              <w:tcPr>
                <w:tcW w:w="2400" w:type="dxa"/>
                <w:shd w:val="clear" w:color="auto" w:fill="EFEFEF"/>
                <w:tcMar>
                  <w:top w:w="100" w:type="dxa"/>
                  <w:left w:w="100" w:type="dxa"/>
                  <w:bottom w:w="100" w:type="dxa"/>
                  <w:right w:w="100" w:type="dxa"/>
                </w:tcMar>
              </w:tcPr>
              <w:p w14:paraId="2D05B626" w14:textId="77777777" w:rsidR="00937900" w:rsidRDefault="00000000">
                <w:pPr>
                  <w:widowControl w:val="0"/>
                  <w:pBdr>
                    <w:top w:val="nil"/>
                    <w:left w:val="nil"/>
                    <w:bottom w:val="nil"/>
                    <w:right w:val="nil"/>
                    <w:between w:val="nil"/>
                  </w:pBdr>
                  <w:jc w:val="center"/>
                  <w:rPr>
                    <w:b/>
                    <w:bCs/>
                    <w:u w:val="single"/>
                  </w:rPr>
                </w:pPr>
                <w:r>
                  <w:rPr>
                    <w:b/>
                    <w:bCs/>
                    <w:u w:val="single"/>
                  </w:rPr>
                  <w:t xml:space="preserve">Criteria </w:t>
                </w:r>
              </w:p>
            </w:tc>
            <w:tc>
              <w:tcPr>
                <w:tcW w:w="2910" w:type="dxa"/>
                <w:shd w:val="clear" w:color="auto" w:fill="EFEFEF"/>
                <w:tcMar>
                  <w:top w:w="100" w:type="dxa"/>
                  <w:left w:w="100" w:type="dxa"/>
                  <w:bottom w:w="100" w:type="dxa"/>
                  <w:right w:w="100" w:type="dxa"/>
                </w:tcMar>
              </w:tcPr>
              <w:p w14:paraId="4F29AC0A" w14:textId="77777777" w:rsidR="00937900" w:rsidRDefault="00000000">
                <w:pPr>
                  <w:widowControl w:val="0"/>
                  <w:pBdr>
                    <w:top w:val="nil"/>
                    <w:left w:val="nil"/>
                    <w:bottom w:val="nil"/>
                    <w:right w:val="nil"/>
                    <w:between w:val="nil"/>
                  </w:pBdr>
                  <w:jc w:val="center"/>
                  <w:rPr>
                    <w:b/>
                    <w:bCs/>
                    <w:u w:val="single"/>
                  </w:rPr>
                </w:pPr>
                <w:r>
                  <w:rPr>
                    <w:b/>
                    <w:bCs/>
                    <w:u w:val="single"/>
                  </w:rPr>
                  <w:t xml:space="preserve">Inclusion </w:t>
                </w:r>
              </w:p>
            </w:tc>
            <w:tc>
              <w:tcPr>
                <w:tcW w:w="3690" w:type="dxa"/>
                <w:shd w:val="clear" w:color="auto" w:fill="EFEFEF"/>
                <w:tcMar>
                  <w:top w:w="100" w:type="dxa"/>
                  <w:left w:w="100" w:type="dxa"/>
                  <w:bottom w:w="100" w:type="dxa"/>
                  <w:right w:w="100" w:type="dxa"/>
                </w:tcMar>
              </w:tcPr>
              <w:p w14:paraId="0CB9EC7A" w14:textId="77777777" w:rsidR="00937900" w:rsidRDefault="00000000">
                <w:pPr>
                  <w:widowControl w:val="0"/>
                  <w:pBdr>
                    <w:top w:val="nil"/>
                    <w:left w:val="nil"/>
                    <w:bottom w:val="nil"/>
                    <w:right w:val="nil"/>
                    <w:between w:val="nil"/>
                  </w:pBdr>
                  <w:jc w:val="center"/>
                  <w:rPr>
                    <w:b/>
                    <w:bCs/>
                    <w:u w:val="single"/>
                  </w:rPr>
                </w:pPr>
                <w:r>
                  <w:rPr>
                    <w:b/>
                    <w:bCs/>
                    <w:u w:val="single"/>
                  </w:rPr>
                  <w:t xml:space="preserve">Exclusion </w:t>
                </w:r>
              </w:p>
            </w:tc>
          </w:tr>
          <w:tr w:rsidR="00937900" w14:paraId="420BAE4D" w14:textId="77777777">
            <w:tc>
              <w:tcPr>
                <w:tcW w:w="2400" w:type="dxa"/>
                <w:tcMar>
                  <w:top w:w="100" w:type="dxa"/>
                  <w:left w:w="100" w:type="dxa"/>
                  <w:bottom w:w="100" w:type="dxa"/>
                  <w:right w:w="100" w:type="dxa"/>
                </w:tcMar>
              </w:tcPr>
              <w:p w14:paraId="670F7A4F" w14:textId="77777777" w:rsidR="00937900" w:rsidRDefault="00000000">
                <w:pPr>
                  <w:widowControl w:val="0"/>
                  <w:pBdr>
                    <w:top w:val="nil"/>
                    <w:left w:val="nil"/>
                    <w:bottom w:val="nil"/>
                    <w:right w:val="nil"/>
                    <w:between w:val="nil"/>
                  </w:pBdr>
                </w:pPr>
                <w:r>
                  <w:t xml:space="preserve">Source type </w:t>
                </w:r>
              </w:p>
            </w:tc>
            <w:tc>
              <w:tcPr>
                <w:tcW w:w="2910" w:type="dxa"/>
                <w:tcMar>
                  <w:top w:w="100" w:type="dxa"/>
                  <w:left w:w="100" w:type="dxa"/>
                  <w:bottom w:w="100" w:type="dxa"/>
                  <w:right w:w="100" w:type="dxa"/>
                </w:tcMar>
              </w:tcPr>
              <w:p w14:paraId="57D41D36" w14:textId="77777777" w:rsidR="00937900" w:rsidRDefault="00000000">
                <w:pPr>
                  <w:widowControl w:val="0"/>
                  <w:pBdr>
                    <w:top w:val="nil"/>
                    <w:left w:val="nil"/>
                    <w:bottom w:val="nil"/>
                    <w:right w:val="nil"/>
                    <w:between w:val="nil"/>
                  </w:pBdr>
                </w:pPr>
                <w:r>
                  <w:t>Peer-reviewed articles/journals, policy documents and official reports.</w:t>
                </w:r>
              </w:p>
            </w:tc>
            <w:tc>
              <w:tcPr>
                <w:tcW w:w="3690" w:type="dxa"/>
                <w:tcMar>
                  <w:top w:w="100" w:type="dxa"/>
                  <w:left w:w="100" w:type="dxa"/>
                  <w:bottom w:w="100" w:type="dxa"/>
                  <w:right w:w="100" w:type="dxa"/>
                </w:tcMar>
              </w:tcPr>
              <w:p w14:paraId="7F718BC3" w14:textId="77777777" w:rsidR="00937900" w:rsidRDefault="00000000">
                <w:pPr>
                  <w:widowControl w:val="0"/>
                  <w:pBdr>
                    <w:top w:val="nil"/>
                    <w:left w:val="nil"/>
                    <w:bottom w:val="nil"/>
                    <w:right w:val="nil"/>
                    <w:between w:val="nil"/>
                  </w:pBdr>
                </w:pPr>
                <w:r>
                  <w:t xml:space="preserve">Outdated research, journals and articles, blogs, commentaries, opinion blogs and magazines. </w:t>
                </w:r>
              </w:p>
            </w:tc>
          </w:tr>
          <w:tr w:rsidR="00937900" w14:paraId="7770EEE9" w14:textId="77777777">
            <w:tc>
              <w:tcPr>
                <w:tcW w:w="2400" w:type="dxa"/>
                <w:tcMar>
                  <w:top w:w="100" w:type="dxa"/>
                  <w:left w:w="100" w:type="dxa"/>
                  <w:bottom w:w="100" w:type="dxa"/>
                  <w:right w:w="100" w:type="dxa"/>
                </w:tcMar>
              </w:tcPr>
              <w:p w14:paraId="552AA08E" w14:textId="77777777" w:rsidR="00937900" w:rsidRDefault="00000000">
                <w:pPr>
                  <w:widowControl w:val="0"/>
                  <w:pBdr>
                    <w:top w:val="nil"/>
                    <w:left w:val="nil"/>
                    <w:bottom w:val="nil"/>
                    <w:right w:val="nil"/>
                    <w:between w:val="nil"/>
                  </w:pBdr>
                </w:pPr>
                <w:r>
                  <w:t xml:space="preserve">Publication year </w:t>
                </w:r>
              </w:p>
            </w:tc>
            <w:tc>
              <w:tcPr>
                <w:tcW w:w="2910" w:type="dxa"/>
                <w:tcMar>
                  <w:top w:w="100" w:type="dxa"/>
                  <w:left w:w="100" w:type="dxa"/>
                  <w:bottom w:w="100" w:type="dxa"/>
                  <w:right w:w="100" w:type="dxa"/>
                </w:tcMar>
              </w:tcPr>
              <w:p w14:paraId="5F5E4698" w14:textId="77777777" w:rsidR="00937900" w:rsidRDefault="00000000">
                <w:pPr>
                  <w:widowControl w:val="0"/>
                  <w:pBdr>
                    <w:top w:val="nil"/>
                    <w:left w:val="nil"/>
                    <w:bottom w:val="nil"/>
                    <w:right w:val="nil"/>
                    <w:between w:val="nil"/>
                  </w:pBdr>
                </w:pPr>
                <w:r>
                  <w:t>Above 2020.</w:t>
                </w:r>
              </w:p>
            </w:tc>
            <w:tc>
              <w:tcPr>
                <w:tcW w:w="3690" w:type="dxa"/>
                <w:tcMar>
                  <w:top w:w="100" w:type="dxa"/>
                  <w:left w:w="100" w:type="dxa"/>
                  <w:bottom w:w="100" w:type="dxa"/>
                  <w:right w:w="100" w:type="dxa"/>
                </w:tcMar>
              </w:tcPr>
              <w:p w14:paraId="3EC71B59" w14:textId="77777777" w:rsidR="00937900" w:rsidRDefault="00000000">
                <w:pPr>
                  <w:widowControl w:val="0"/>
                  <w:pBdr>
                    <w:top w:val="nil"/>
                    <w:left w:val="nil"/>
                    <w:bottom w:val="nil"/>
                    <w:right w:val="nil"/>
                    <w:between w:val="nil"/>
                  </w:pBdr>
                </w:pPr>
                <w:r>
                  <w:t xml:space="preserve">Below 2020. </w:t>
                </w:r>
              </w:p>
            </w:tc>
          </w:tr>
          <w:tr w:rsidR="00937900" w14:paraId="05AF3071" w14:textId="77777777">
            <w:tc>
              <w:tcPr>
                <w:tcW w:w="2400" w:type="dxa"/>
                <w:tcMar>
                  <w:top w:w="100" w:type="dxa"/>
                  <w:left w:w="100" w:type="dxa"/>
                  <w:bottom w:w="100" w:type="dxa"/>
                  <w:right w:w="100" w:type="dxa"/>
                </w:tcMar>
              </w:tcPr>
              <w:p w14:paraId="428A48B8" w14:textId="77777777" w:rsidR="00937900" w:rsidRDefault="00000000">
                <w:pPr>
                  <w:widowControl w:val="0"/>
                  <w:pBdr>
                    <w:top w:val="nil"/>
                    <w:left w:val="nil"/>
                    <w:bottom w:val="nil"/>
                    <w:right w:val="nil"/>
                    <w:between w:val="nil"/>
                  </w:pBdr>
                </w:pPr>
                <w:r>
                  <w:t xml:space="preserve">Location </w:t>
                </w:r>
              </w:p>
            </w:tc>
            <w:tc>
              <w:tcPr>
                <w:tcW w:w="2910" w:type="dxa"/>
                <w:tcMar>
                  <w:top w:w="100" w:type="dxa"/>
                  <w:left w:w="100" w:type="dxa"/>
                  <w:bottom w:w="100" w:type="dxa"/>
                  <w:right w:w="100" w:type="dxa"/>
                </w:tcMar>
              </w:tcPr>
              <w:p w14:paraId="4E14A039" w14:textId="77777777" w:rsidR="00937900" w:rsidRDefault="00000000">
                <w:pPr>
                  <w:widowControl w:val="0"/>
                  <w:pBdr>
                    <w:top w:val="nil"/>
                    <w:left w:val="nil"/>
                    <w:bottom w:val="nil"/>
                    <w:right w:val="nil"/>
                    <w:between w:val="nil"/>
                  </w:pBdr>
                </w:pPr>
                <w:r>
                  <w:t xml:space="preserve">UK. </w:t>
                </w:r>
              </w:p>
            </w:tc>
            <w:tc>
              <w:tcPr>
                <w:tcW w:w="3690" w:type="dxa"/>
                <w:tcMar>
                  <w:top w:w="100" w:type="dxa"/>
                  <w:left w:w="100" w:type="dxa"/>
                  <w:bottom w:w="100" w:type="dxa"/>
                  <w:right w:w="100" w:type="dxa"/>
                </w:tcMar>
              </w:tcPr>
              <w:p w14:paraId="08537B55" w14:textId="77777777" w:rsidR="00937900" w:rsidRDefault="00000000">
                <w:pPr>
                  <w:widowControl w:val="0"/>
                  <w:pBdr>
                    <w:top w:val="nil"/>
                    <w:left w:val="nil"/>
                    <w:bottom w:val="nil"/>
                    <w:right w:val="nil"/>
                    <w:between w:val="nil"/>
                  </w:pBdr>
                </w:pPr>
                <w:r>
                  <w:t xml:space="preserve">Apart from the UK. </w:t>
                </w:r>
              </w:p>
            </w:tc>
          </w:tr>
          <w:tr w:rsidR="00937900" w14:paraId="420A551F" w14:textId="77777777">
            <w:tc>
              <w:tcPr>
                <w:tcW w:w="2400" w:type="dxa"/>
                <w:tcMar>
                  <w:top w:w="100" w:type="dxa"/>
                  <w:left w:w="100" w:type="dxa"/>
                  <w:bottom w:w="100" w:type="dxa"/>
                  <w:right w:w="100" w:type="dxa"/>
                </w:tcMar>
              </w:tcPr>
              <w:p w14:paraId="2CE21A3F" w14:textId="77777777" w:rsidR="00937900" w:rsidRDefault="00000000">
                <w:pPr>
                  <w:widowControl w:val="0"/>
                  <w:pBdr>
                    <w:top w:val="nil"/>
                    <w:left w:val="nil"/>
                    <w:bottom w:val="nil"/>
                    <w:right w:val="nil"/>
                    <w:between w:val="nil"/>
                  </w:pBdr>
                </w:pPr>
                <w:r>
                  <w:t xml:space="preserve">Population </w:t>
                </w:r>
              </w:p>
            </w:tc>
            <w:tc>
              <w:tcPr>
                <w:tcW w:w="2910" w:type="dxa"/>
                <w:tcMar>
                  <w:top w:w="100" w:type="dxa"/>
                  <w:left w:w="100" w:type="dxa"/>
                  <w:bottom w:w="100" w:type="dxa"/>
                  <w:right w:w="100" w:type="dxa"/>
                </w:tcMar>
              </w:tcPr>
              <w:p w14:paraId="7915A964" w14:textId="77777777" w:rsidR="00937900" w:rsidRDefault="00000000">
                <w:pPr>
                  <w:widowControl w:val="0"/>
                  <w:pBdr>
                    <w:top w:val="nil"/>
                    <w:left w:val="nil"/>
                    <w:bottom w:val="nil"/>
                    <w:right w:val="nil"/>
                    <w:between w:val="nil"/>
                  </w:pBdr>
                </w:pPr>
                <w:r>
                  <w:t xml:space="preserve">Older individuals, low income groups and ethnic minorities. </w:t>
                </w:r>
              </w:p>
            </w:tc>
            <w:tc>
              <w:tcPr>
                <w:tcW w:w="3690" w:type="dxa"/>
                <w:tcMar>
                  <w:top w:w="100" w:type="dxa"/>
                  <w:left w:w="100" w:type="dxa"/>
                  <w:bottom w:w="100" w:type="dxa"/>
                  <w:right w:w="100" w:type="dxa"/>
                </w:tcMar>
              </w:tcPr>
              <w:p w14:paraId="4F105E9C" w14:textId="77777777" w:rsidR="00937900" w:rsidRDefault="00000000">
                <w:pPr>
                  <w:widowControl w:val="0"/>
                  <w:pBdr>
                    <w:top w:val="nil"/>
                    <w:left w:val="nil"/>
                    <w:bottom w:val="nil"/>
                    <w:right w:val="nil"/>
                    <w:between w:val="nil"/>
                  </w:pBdr>
                </w:pPr>
                <w:r>
                  <w:t>Population outside of the UK.</w:t>
                </w:r>
              </w:p>
            </w:tc>
          </w:tr>
          <w:tr w:rsidR="00937900" w14:paraId="6201EE8F" w14:textId="77777777">
            <w:tc>
              <w:tcPr>
                <w:tcW w:w="2400" w:type="dxa"/>
                <w:tcMar>
                  <w:top w:w="100" w:type="dxa"/>
                  <w:left w:w="100" w:type="dxa"/>
                  <w:bottom w:w="100" w:type="dxa"/>
                  <w:right w:w="100" w:type="dxa"/>
                </w:tcMar>
              </w:tcPr>
              <w:p w14:paraId="217066EC" w14:textId="77777777" w:rsidR="00937900" w:rsidRDefault="00000000">
                <w:pPr>
                  <w:widowControl w:val="0"/>
                  <w:pBdr>
                    <w:top w:val="nil"/>
                    <w:left w:val="nil"/>
                    <w:bottom w:val="nil"/>
                    <w:right w:val="nil"/>
                    <w:between w:val="nil"/>
                  </w:pBdr>
                </w:pPr>
                <w:r>
                  <w:t xml:space="preserve">Language </w:t>
                </w:r>
              </w:p>
            </w:tc>
            <w:tc>
              <w:tcPr>
                <w:tcW w:w="2910" w:type="dxa"/>
                <w:tcMar>
                  <w:top w:w="100" w:type="dxa"/>
                  <w:left w:w="100" w:type="dxa"/>
                  <w:bottom w:w="100" w:type="dxa"/>
                  <w:right w:w="100" w:type="dxa"/>
                </w:tcMar>
              </w:tcPr>
              <w:p w14:paraId="70292B59" w14:textId="77777777" w:rsidR="00937900" w:rsidRDefault="00000000">
                <w:pPr>
                  <w:widowControl w:val="0"/>
                  <w:pBdr>
                    <w:top w:val="nil"/>
                    <w:left w:val="nil"/>
                    <w:bottom w:val="nil"/>
                    <w:right w:val="nil"/>
                    <w:between w:val="nil"/>
                  </w:pBdr>
                </w:pPr>
                <w:r>
                  <w:t xml:space="preserve">English </w:t>
                </w:r>
              </w:p>
            </w:tc>
            <w:tc>
              <w:tcPr>
                <w:tcW w:w="3690" w:type="dxa"/>
                <w:tcMar>
                  <w:top w:w="100" w:type="dxa"/>
                  <w:left w:w="100" w:type="dxa"/>
                  <w:bottom w:w="100" w:type="dxa"/>
                  <w:right w:w="100" w:type="dxa"/>
                </w:tcMar>
              </w:tcPr>
              <w:p w14:paraId="7670D756" w14:textId="77777777" w:rsidR="00937900" w:rsidRDefault="00000000">
                <w:pPr>
                  <w:widowControl w:val="0"/>
                  <w:pBdr>
                    <w:top w:val="nil"/>
                    <w:left w:val="nil"/>
                    <w:bottom w:val="nil"/>
                    <w:right w:val="nil"/>
                    <w:between w:val="nil"/>
                  </w:pBdr>
                </w:pPr>
                <w:r>
                  <w:t xml:space="preserve">Sources not written in English. </w:t>
                </w:r>
              </w:p>
            </w:tc>
          </w:tr>
        </w:tbl>
      </w:sdtContent>
    </w:sdt>
    <w:p w14:paraId="7F29C893" w14:textId="77777777" w:rsidR="00937900" w:rsidRDefault="00000000">
      <w:pPr>
        <w:jc w:val="center"/>
        <w:rPr>
          <w:b/>
          <w:bCs/>
        </w:rPr>
      </w:pPr>
      <w:r>
        <w:rPr>
          <w:b/>
          <w:bCs/>
        </w:rPr>
        <w:t>Table 1: “Inclusion and Exclusion Criteria”</w:t>
      </w:r>
    </w:p>
    <w:p w14:paraId="0100AD70" w14:textId="77777777" w:rsidR="00937900" w:rsidRDefault="00000000">
      <w:pPr>
        <w:jc w:val="center"/>
      </w:pPr>
      <w:r>
        <w:t xml:space="preserve">source (Created by the learner) </w:t>
      </w:r>
    </w:p>
    <w:p w14:paraId="120A42E2" w14:textId="77777777" w:rsidR="00937900" w:rsidRDefault="00000000">
      <w:r>
        <w:rPr>
          <w:b/>
          <w:bCs/>
        </w:rPr>
        <w:t>Justification</w:t>
      </w:r>
      <w:r>
        <w:t xml:space="preserve">: The above ‘inclusion and exclusion criteria’ helped in maintaining the focus and quality of the research. By applying this, the suitable 10 current, updated and UK focused sources have been collected from which valuable information has been obtained to understand barriers and inequalities in health and social care. Also, it has benefited in </w:t>
      </w:r>
      <w:r>
        <w:lastRenderedPageBreak/>
        <w:t xml:space="preserve">informing feasible recommendations which can support the UK in building accessible HSC for the vulnerable, low income and minority groups. </w:t>
      </w:r>
    </w:p>
    <w:p w14:paraId="2EB49D7D" w14:textId="77777777" w:rsidR="00937900" w:rsidRDefault="00000000">
      <w:pPr>
        <w:pStyle w:val="Heading2"/>
        <w:rPr>
          <w:sz w:val="22"/>
          <w:szCs w:val="22"/>
        </w:rPr>
      </w:pPr>
      <w:bookmarkStart w:id="31" w:name="_heading=h.1siixexrfy9w" w:colFirst="0" w:colLast="0"/>
      <w:bookmarkEnd w:id="31"/>
      <w:r>
        <w:rPr>
          <w:sz w:val="22"/>
          <w:szCs w:val="22"/>
        </w:rPr>
        <w:t xml:space="preserve">3.6 Analysing Research </w:t>
      </w:r>
    </w:p>
    <w:p w14:paraId="620A8B07" w14:textId="77777777" w:rsidR="00937900" w:rsidRDefault="00000000">
      <w:pPr>
        <w:pBdr>
          <w:top w:val="nil"/>
          <w:left w:val="nil"/>
          <w:bottom w:val="nil"/>
          <w:right w:val="nil"/>
          <w:between w:val="nil"/>
        </w:pBdr>
      </w:pPr>
      <w:r>
        <w:t xml:space="preserve">The analysis process in this research is guided by thematic approach which has been used for generating code and developing the themes interconnected with the study aim, objectives and questions (Majumdar, 2022). Following process of this approach has been employed: </w:t>
      </w:r>
    </w:p>
    <w:p w14:paraId="49848018" w14:textId="77777777" w:rsidR="00937900" w:rsidRDefault="00000000">
      <w:pPr>
        <w:pStyle w:val="Heading3"/>
        <w:rPr>
          <w:sz w:val="22"/>
          <w:szCs w:val="22"/>
        </w:rPr>
      </w:pPr>
      <w:bookmarkStart w:id="32" w:name="_heading=h.f8qfxuqz8qcy" w:colFirst="0" w:colLast="0"/>
      <w:bookmarkEnd w:id="32"/>
      <w:r>
        <w:rPr>
          <w:sz w:val="22"/>
          <w:szCs w:val="22"/>
        </w:rPr>
        <w:t xml:space="preserve">3.6.1 Thematic Coding Approach </w:t>
      </w:r>
    </w:p>
    <w:sdt>
      <w:sdtPr>
        <w:tag w:val="goog_rdk_1"/>
        <w:id w:val="782414156"/>
        <w:lock w:val="contentLocked"/>
      </w:sdtPr>
      <w:sdtContent>
        <w:tbl>
          <w:tblPr>
            <w:tblStyle w:val="a0"/>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35"/>
            <w:gridCol w:w="3135"/>
            <w:gridCol w:w="4530"/>
          </w:tblGrid>
          <w:tr w:rsidR="00937900" w14:paraId="70CE2498" w14:textId="77777777">
            <w:tc>
              <w:tcPr>
                <w:tcW w:w="1335" w:type="dxa"/>
                <w:tcMar>
                  <w:top w:w="100" w:type="dxa"/>
                  <w:left w:w="100" w:type="dxa"/>
                  <w:bottom w:w="100" w:type="dxa"/>
                  <w:right w:w="100" w:type="dxa"/>
                </w:tcMar>
              </w:tcPr>
              <w:p w14:paraId="7B32F421" w14:textId="77777777" w:rsidR="00937900" w:rsidRDefault="00000000">
                <w:pPr>
                  <w:widowControl w:val="0"/>
                  <w:pBdr>
                    <w:top w:val="nil"/>
                    <w:left w:val="nil"/>
                    <w:bottom w:val="nil"/>
                    <w:right w:val="nil"/>
                    <w:between w:val="nil"/>
                  </w:pBdr>
                  <w:rPr>
                    <w:b/>
                    <w:bCs/>
                  </w:rPr>
                </w:pPr>
                <w:r>
                  <w:rPr>
                    <w:b/>
                    <w:bCs/>
                  </w:rPr>
                  <w:t xml:space="preserve">Objectives </w:t>
                </w:r>
              </w:p>
            </w:tc>
            <w:tc>
              <w:tcPr>
                <w:tcW w:w="3135" w:type="dxa"/>
                <w:tcMar>
                  <w:top w:w="100" w:type="dxa"/>
                  <w:left w:w="100" w:type="dxa"/>
                  <w:bottom w:w="100" w:type="dxa"/>
                  <w:right w:w="100" w:type="dxa"/>
                </w:tcMar>
              </w:tcPr>
              <w:p w14:paraId="6CCC86E7" w14:textId="77777777" w:rsidR="00937900" w:rsidRDefault="00000000">
                <w:pPr>
                  <w:widowControl w:val="0"/>
                  <w:pBdr>
                    <w:top w:val="nil"/>
                    <w:left w:val="nil"/>
                    <w:bottom w:val="nil"/>
                    <w:right w:val="nil"/>
                    <w:between w:val="nil"/>
                  </w:pBdr>
                  <w:rPr>
                    <w:b/>
                    <w:bCs/>
                  </w:rPr>
                </w:pPr>
                <w:r>
                  <w:rPr>
                    <w:b/>
                    <w:bCs/>
                  </w:rPr>
                  <w:t xml:space="preserve">Authors </w:t>
                </w:r>
              </w:p>
            </w:tc>
            <w:tc>
              <w:tcPr>
                <w:tcW w:w="4530" w:type="dxa"/>
                <w:tcMar>
                  <w:top w:w="100" w:type="dxa"/>
                  <w:left w:w="100" w:type="dxa"/>
                  <w:bottom w:w="100" w:type="dxa"/>
                  <w:right w:w="100" w:type="dxa"/>
                </w:tcMar>
              </w:tcPr>
              <w:p w14:paraId="7D6041ED" w14:textId="77777777" w:rsidR="00937900" w:rsidRDefault="00000000">
                <w:pPr>
                  <w:widowControl w:val="0"/>
                  <w:pBdr>
                    <w:top w:val="nil"/>
                    <w:left w:val="nil"/>
                    <w:bottom w:val="nil"/>
                    <w:right w:val="nil"/>
                    <w:between w:val="nil"/>
                  </w:pBdr>
                  <w:rPr>
                    <w:b/>
                    <w:bCs/>
                  </w:rPr>
                </w:pPr>
                <w:r>
                  <w:rPr>
                    <w:b/>
                    <w:bCs/>
                  </w:rPr>
                  <w:t xml:space="preserve">Coding </w:t>
                </w:r>
              </w:p>
            </w:tc>
          </w:tr>
          <w:tr w:rsidR="00937900" w14:paraId="148F08F7" w14:textId="77777777">
            <w:tc>
              <w:tcPr>
                <w:tcW w:w="1335" w:type="dxa"/>
                <w:tcMar>
                  <w:top w:w="100" w:type="dxa"/>
                  <w:left w:w="100" w:type="dxa"/>
                  <w:bottom w:w="100" w:type="dxa"/>
                  <w:right w:w="100" w:type="dxa"/>
                </w:tcMar>
              </w:tcPr>
              <w:p w14:paraId="2F5ED308" w14:textId="77777777" w:rsidR="00937900" w:rsidRDefault="00000000">
                <w:pPr>
                  <w:widowControl w:val="0"/>
                  <w:pBdr>
                    <w:top w:val="nil"/>
                    <w:left w:val="nil"/>
                    <w:bottom w:val="nil"/>
                    <w:right w:val="nil"/>
                    <w:between w:val="nil"/>
                  </w:pBdr>
                </w:pPr>
                <w:r>
                  <w:t>1</w:t>
                </w:r>
              </w:p>
            </w:tc>
            <w:tc>
              <w:tcPr>
                <w:tcW w:w="3135" w:type="dxa"/>
                <w:tcMar>
                  <w:top w:w="100" w:type="dxa"/>
                  <w:left w:w="100" w:type="dxa"/>
                  <w:bottom w:w="100" w:type="dxa"/>
                  <w:right w:w="100" w:type="dxa"/>
                </w:tcMar>
              </w:tcPr>
              <w:p w14:paraId="63D29E77" w14:textId="77777777" w:rsidR="00937900" w:rsidRDefault="00000000">
                <w:pPr>
                  <w:widowControl w:val="0"/>
                  <w:pBdr>
                    <w:top w:val="nil"/>
                    <w:left w:val="nil"/>
                    <w:bottom w:val="nil"/>
                    <w:right w:val="nil"/>
                    <w:between w:val="nil"/>
                  </w:pBdr>
                </w:pPr>
                <w:r>
                  <w:t>(Beaven and Marshman, 2024)</w:t>
                </w:r>
              </w:p>
              <w:p w14:paraId="22161CCA" w14:textId="77777777" w:rsidR="00937900" w:rsidRDefault="00000000">
                <w:pPr>
                  <w:widowControl w:val="0"/>
                  <w:pBdr>
                    <w:top w:val="nil"/>
                    <w:left w:val="nil"/>
                    <w:bottom w:val="nil"/>
                    <w:right w:val="nil"/>
                    <w:between w:val="nil"/>
                  </w:pBdr>
                </w:pPr>
                <w:r>
                  <w:t>(Edirisooriya, Silkens and Medisauskaite, 2025)</w:t>
                </w:r>
              </w:p>
              <w:p w14:paraId="455B37E4" w14:textId="77777777" w:rsidR="00937900" w:rsidRDefault="00000000">
                <w:pPr>
                  <w:widowControl w:val="0"/>
                  <w:pBdr>
                    <w:top w:val="nil"/>
                    <w:left w:val="nil"/>
                    <w:bottom w:val="nil"/>
                    <w:right w:val="nil"/>
                    <w:between w:val="nil"/>
                  </w:pBdr>
                </w:pPr>
                <w:r>
                  <w:t xml:space="preserve">(Ekezie </w:t>
                </w:r>
                <w:r>
                  <w:rPr>
                    <w:i/>
                    <w:iCs/>
                  </w:rPr>
                  <w:t xml:space="preserve">et al., </w:t>
                </w:r>
                <w:r>
                  <w:t>2023)</w:t>
                </w:r>
              </w:p>
            </w:tc>
            <w:tc>
              <w:tcPr>
                <w:tcW w:w="4530" w:type="dxa"/>
                <w:tcMar>
                  <w:top w:w="100" w:type="dxa"/>
                  <w:left w:w="100" w:type="dxa"/>
                  <w:bottom w:w="100" w:type="dxa"/>
                  <w:right w:w="100" w:type="dxa"/>
                </w:tcMar>
              </w:tcPr>
              <w:p w14:paraId="577BFCBE" w14:textId="77777777" w:rsidR="00937900" w:rsidRDefault="00000000">
                <w:pPr>
                  <w:widowControl w:val="0"/>
                  <w:pBdr>
                    <w:top w:val="nil"/>
                    <w:left w:val="nil"/>
                    <w:bottom w:val="nil"/>
                    <w:right w:val="nil"/>
                    <w:between w:val="nil"/>
                  </w:pBdr>
                </w:pPr>
                <w:r>
                  <w:t xml:space="preserve">Physical Barriers </w:t>
                </w:r>
              </w:p>
              <w:p w14:paraId="4A9BF9D6" w14:textId="77777777" w:rsidR="00937900" w:rsidRDefault="00000000">
                <w:pPr>
                  <w:widowControl w:val="0"/>
                  <w:pBdr>
                    <w:top w:val="nil"/>
                    <w:left w:val="nil"/>
                    <w:bottom w:val="nil"/>
                    <w:right w:val="nil"/>
                    <w:between w:val="nil"/>
                  </w:pBdr>
                </w:pPr>
                <w:r>
                  <w:t>Financial Barriers</w:t>
                </w:r>
              </w:p>
              <w:p w14:paraId="5CCC6766" w14:textId="77777777" w:rsidR="00937900" w:rsidRDefault="00000000">
                <w:pPr>
                  <w:widowControl w:val="0"/>
                  <w:pBdr>
                    <w:top w:val="nil"/>
                    <w:left w:val="nil"/>
                    <w:bottom w:val="nil"/>
                    <w:right w:val="nil"/>
                    <w:between w:val="nil"/>
                  </w:pBdr>
                </w:pPr>
                <w:r>
                  <w:t xml:space="preserve">Cultural Barriers </w:t>
                </w:r>
              </w:p>
              <w:p w14:paraId="28A79A09" w14:textId="77777777" w:rsidR="00937900" w:rsidRDefault="00000000">
                <w:pPr>
                  <w:widowControl w:val="0"/>
                  <w:pBdr>
                    <w:top w:val="nil"/>
                    <w:left w:val="nil"/>
                    <w:bottom w:val="nil"/>
                    <w:right w:val="nil"/>
                    <w:between w:val="nil"/>
                  </w:pBdr>
                </w:pPr>
                <w:r>
                  <w:t xml:space="preserve">Systemic Barriers. </w:t>
                </w:r>
              </w:p>
              <w:p w14:paraId="40CD06EA" w14:textId="77777777" w:rsidR="00937900" w:rsidRDefault="00937900">
                <w:pPr>
                  <w:widowControl w:val="0"/>
                  <w:pBdr>
                    <w:top w:val="nil"/>
                    <w:left w:val="nil"/>
                    <w:bottom w:val="nil"/>
                    <w:right w:val="nil"/>
                    <w:between w:val="nil"/>
                  </w:pBdr>
                </w:pPr>
              </w:p>
            </w:tc>
          </w:tr>
          <w:tr w:rsidR="00937900" w14:paraId="51A30472" w14:textId="77777777">
            <w:tc>
              <w:tcPr>
                <w:tcW w:w="1335" w:type="dxa"/>
                <w:tcMar>
                  <w:top w:w="100" w:type="dxa"/>
                  <w:left w:w="100" w:type="dxa"/>
                  <w:bottom w:w="100" w:type="dxa"/>
                  <w:right w:w="100" w:type="dxa"/>
                </w:tcMar>
              </w:tcPr>
              <w:p w14:paraId="4E57A9EC" w14:textId="77777777" w:rsidR="00937900" w:rsidRDefault="00000000">
                <w:pPr>
                  <w:widowControl w:val="0"/>
                  <w:pBdr>
                    <w:top w:val="nil"/>
                    <w:left w:val="nil"/>
                    <w:bottom w:val="nil"/>
                    <w:right w:val="nil"/>
                    <w:between w:val="nil"/>
                  </w:pBdr>
                </w:pPr>
                <w:r>
                  <w:t>2</w:t>
                </w:r>
              </w:p>
            </w:tc>
            <w:tc>
              <w:tcPr>
                <w:tcW w:w="3135" w:type="dxa"/>
                <w:tcMar>
                  <w:top w:w="100" w:type="dxa"/>
                  <w:left w:w="100" w:type="dxa"/>
                  <w:bottom w:w="100" w:type="dxa"/>
                  <w:right w:w="100" w:type="dxa"/>
                </w:tcMar>
              </w:tcPr>
              <w:p w14:paraId="141E936F" w14:textId="77777777" w:rsidR="00937900" w:rsidRDefault="00000000">
                <w:pPr>
                  <w:widowControl w:val="0"/>
                  <w:pBdr>
                    <w:top w:val="nil"/>
                    <w:left w:val="nil"/>
                    <w:bottom w:val="nil"/>
                    <w:right w:val="nil"/>
                    <w:between w:val="nil"/>
                  </w:pBdr>
                </w:pPr>
                <w:r>
                  <w:t xml:space="preserve">(Aujla </w:t>
                </w:r>
                <w:r>
                  <w:rPr>
                    <w:i/>
                    <w:iCs/>
                  </w:rPr>
                  <w:t xml:space="preserve">et al., </w:t>
                </w:r>
                <w:r>
                  <w:t>2023)</w:t>
                </w:r>
              </w:p>
              <w:p w14:paraId="740AD4D9" w14:textId="77777777" w:rsidR="00937900" w:rsidRDefault="00000000">
                <w:pPr>
                  <w:widowControl w:val="0"/>
                  <w:pBdr>
                    <w:top w:val="nil"/>
                    <w:left w:val="nil"/>
                    <w:bottom w:val="nil"/>
                    <w:right w:val="nil"/>
                    <w:between w:val="nil"/>
                  </w:pBdr>
                </w:pPr>
                <w:r>
                  <w:t>(Kanjilal and Arnull, 2025)</w:t>
                </w:r>
              </w:p>
            </w:tc>
            <w:tc>
              <w:tcPr>
                <w:tcW w:w="4530" w:type="dxa"/>
                <w:tcMar>
                  <w:top w:w="100" w:type="dxa"/>
                  <w:left w:w="100" w:type="dxa"/>
                  <w:bottom w:w="100" w:type="dxa"/>
                  <w:right w:w="100" w:type="dxa"/>
                </w:tcMar>
              </w:tcPr>
              <w:p w14:paraId="5E948CA1" w14:textId="77777777" w:rsidR="00937900" w:rsidRDefault="00000000">
                <w:pPr>
                  <w:widowControl w:val="0"/>
                  <w:pBdr>
                    <w:top w:val="nil"/>
                    <w:left w:val="nil"/>
                    <w:bottom w:val="nil"/>
                    <w:right w:val="nil"/>
                    <w:between w:val="nil"/>
                  </w:pBdr>
                </w:pPr>
                <w:r>
                  <w:t xml:space="preserve">Health and social impact </w:t>
                </w:r>
              </w:p>
              <w:p w14:paraId="03E3E9D0" w14:textId="77777777" w:rsidR="00937900" w:rsidRDefault="00000000">
                <w:pPr>
                  <w:widowControl w:val="0"/>
                  <w:pBdr>
                    <w:top w:val="nil"/>
                    <w:left w:val="nil"/>
                    <w:bottom w:val="nil"/>
                    <w:right w:val="nil"/>
                    <w:between w:val="nil"/>
                  </w:pBdr>
                </w:pPr>
                <w:r>
                  <w:t>Vulnerable groups</w:t>
                </w:r>
              </w:p>
              <w:p w14:paraId="598D8490" w14:textId="77777777" w:rsidR="00937900" w:rsidRDefault="00000000">
                <w:pPr>
                  <w:widowControl w:val="0"/>
                  <w:pBdr>
                    <w:top w:val="nil"/>
                    <w:left w:val="nil"/>
                    <w:bottom w:val="nil"/>
                    <w:right w:val="nil"/>
                    <w:between w:val="nil"/>
                  </w:pBdr>
                </w:pPr>
                <w:r>
                  <w:t xml:space="preserve">Older adults </w:t>
                </w:r>
              </w:p>
              <w:p w14:paraId="25236467" w14:textId="77777777" w:rsidR="00937900" w:rsidRDefault="00000000">
                <w:pPr>
                  <w:widowControl w:val="0"/>
                  <w:pBdr>
                    <w:top w:val="nil"/>
                    <w:left w:val="nil"/>
                    <w:bottom w:val="nil"/>
                    <w:right w:val="nil"/>
                    <w:between w:val="nil"/>
                  </w:pBdr>
                </w:pPr>
                <w:r>
                  <w:t xml:space="preserve">Ethnic minorities </w:t>
                </w:r>
              </w:p>
              <w:p w14:paraId="59CF7FF5" w14:textId="77777777" w:rsidR="00937900" w:rsidRDefault="00000000">
                <w:pPr>
                  <w:widowControl w:val="0"/>
                  <w:pBdr>
                    <w:top w:val="nil"/>
                    <w:left w:val="nil"/>
                    <w:bottom w:val="nil"/>
                    <w:right w:val="nil"/>
                    <w:between w:val="nil"/>
                  </w:pBdr>
                </w:pPr>
                <w:r>
                  <w:t xml:space="preserve">Low-income groups/earners </w:t>
                </w:r>
              </w:p>
              <w:p w14:paraId="086CD138" w14:textId="77777777" w:rsidR="00937900" w:rsidRDefault="00937900">
                <w:pPr>
                  <w:widowControl w:val="0"/>
                  <w:pBdr>
                    <w:top w:val="nil"/>
                    <w:left w:val="nil"/>
                    <w:bottom w:val="nil"/>
                    <w:right w:val="nil"/>
                    <w:between w:val="nil"/>
                  </w:pBdr>
                </w:pPr>
              </w:p>
            </w:tc>
          </w:tr>
          <w:tr w:rsidR="00937900" w14:paraId="6E80DFE3" w14:textId="77777777">
            <w:tc>
              <w:tcPr>
                <w:tcW w:w="1335" w:type="dxa"/>
                <w:tcMar>
                  <w:top w:w="100" w:type="dxa"/>
                  <w:left w:w="100" w:type="dxa"/>
                  <w:bottom w:w="100" w:type="dxa"/>
                  <w:right w:w="100" w:type="dxa"/>
                </w:tcMar>
              </w:tcPr>
              <w:p w14:paraId="75EE5E9B" w14:textId="77777777" w:rsidR="00937900" w:rsidRDefault="00000000">
                <w:pPr>
                  <w:widowControl w:val="0"/>
                  <w:pBdr>
                    <w:top w:val="nil"/>
                    <w:left w:val="nil"/>
                    <w:bottom w:val="nil"/>
                    <w:right w:val="nil"/>
                    <w:between w:val="nil"/>
                  </w:pBdr>
                </w:pPr>
                <w:r>
                  <w:t>3</w:t>
                </w:r>
              </w:p>
            </w:tc>
            <w:tc>
              <w:tcPr>
                <w:tcW w:w="3135" w:type="dxa"/>
                <w:tcMar>
                  <w:top w:w="100" w:type="dxa"/>
                  <w:left w:w="100" w:type="dxa"/>
                  <w:bottom w:w="100" w:type="dxa"/>
                  <w:right w:w="100" w:type="dxa"/>
                </w:tcMar>
              </w:tcPr>
              <w:p w14:paraId="54B04E4D" w14:textId="77777777" w:rsidR="00937900" w:rsidRDefault="00000000">
                <w:pPr>
                  <w:widowControl w:val="0"/>
                  <w:pBdr>
                    <w:top w:val="nil"/>
                    <w:left w:val="nil"/>
                    <w:bottom w:val="nil"/>
                    <w:right w:val="nil"/>
                    <w:between w:val="nil"/>
                  </w:pBdr>
                </w:pPr>
                <w:r>
                  <w:t xml:space="preserve">(Ayer </w:t>
                </w:r>
                <w:r>
                  <w:rPr>
                    <w:i/>
                    <w:iCs/>
                  </w:rPr>
                  <w:t xml:space="preserve">et al., </w:t>
                </w:r>
                <w:r>
                  <w:t>2024)</w:t>
                </w:r>
              </w:p>
              <w:p w14:paraId="0AB8D2B1" w14:textId="77777777" w:rsidR="00937900" w:rsidRDefault="00000000">
                <w:pPr>
                  <w:widowControl w:val="0"/>
                  <w:pBdr>
                    <w:top w:val="nil"/>
                    <w:left w:val="nil"/>
                    <w:bottom w:val="nil"/>
                    <w:right w:val="nil"/>
                    <w:between w:val="nil"/>
                  </w:pBdr>
                </w:pPr>
                <w:r>
                  <w:t>(NHS England, 2024)</w:t>
                </w:r>
              </w:p>
              <w:p w14:paraId="6F77874C" w14:textId="77777777" w:rsidR="00937900" w:rsidRDefault="00000000">
                <w:pPr>
                  <w:widowControl w:val="0"/>
                  <w:pBdr>
                    <w:top w:val="nil"/>
                    <w:left w:val="nil"/>
                    <w:bottom w:val="nil"/>
                    <w:right w:val="nil"/>
                    <w:between w:val="nil"/>
                  </w:pBdr>
                </w:pPr>
                <w:r>
                  <w:t>(GOV.UK, 2026)</w:t>
                </w:r>
              </w:p>
            </w:tc>
            <w:tc>
              <w:tcPr>
                <w:tcW w:w="4530" w:type="dxa"/>
                <w:tcMar>
                  <w:top w:w="100" w:type="dxa"/>
                  <w:left w:w="100" w:type="dxa"/>
                  <w:bottom w:w="100" w:type="dxa"/>
                  <w:right w:w="100" w:type="dxa"/>
                </w:tcMar>
              </w:tcPr>
              <w:p w14:paraId="578E54E3" w14:textId="77777777" w:rsidR="00937900" w:rsidRDefault="00000000">
                <w:pPr>
                  <w:widowControl w:val="0"/>
                  <w:pBdr>
                    <w:top w:val="nil"/>
                    <w:left w:val="nil"/>
                    <w:bottom w:val="nil"/>
                    <w:right w:val="nil"/>
                    <w:between w:val="nil"/>
                  </w:pBdr>
                </w:pPr>
                <w:r>
                  <w:t xml:space="preserve">Current policies </w:t>
                </w:r>
              </w:p>
              <w:p w14:paraId="0A5B600F" w14:textId="77777777" w:rsidR="00937900" w:rsidRDefault="00000000">
                <w:pPr>
                  <w:widowControl w:val="0"/>
                  <w:pBdr>
                    <w:top w:val="nil"/>
                    <w:left w:val="nil"/>
                    <w:bottom w:val="nil"/>
                    <w:right w:val="nil"/>
                    <w:between w:val="nil"/>
                  </w:pBdr>
                </w:pPr>
                <w:r>
                  <w:t xml:space="preserve">Current interventions. </w:t>
                </w:r>
              </w:p>
            </w:tc>
          </w:tr>
          <w:tr w:rsidR="00937900" w14:paraId="3578D0E8" w14:textId="77777777">
            <w:tc>
              <w:tcPr>
                <w:tcW w:w="1335" w:type="dxa"/>
                <w:tcMar>
                  <w:top w:w="100" w:type="dxa"/>
                  <w:left w:w="100" w:type="dxa"/>
                  <w:bottom w:w="100" w:type="dxa"/>
                  <w:right w:w="100" w:type="dxa"/>
                </w:tcMar>
              </w:tcPr>
              <w:p w14:paraId="6119E965" w14:textId="77777777" w:rsidR="00937900" w:rsidRDefault="00000000">
                <w:pPr>
                  <w:widowControl w:val="0"/>
                  <w:pBdr>
                    <w:top w:val="nil"/>
                    <w:left w:val="nil"/>
                    <w:bottom w:val="nil"/>
                    <w:right w:val="nil"/>
                    <w:between w:val="nil"/>
                  </w:pBdr>
                </w:pPr>
                <w:r>
                  <w:t>4</w:t>
                </w:r>
              </w:p>
            </w:tc>
            <w:tc>
              <w:tcPr>
                <w:tcW w:w="3135" w:type="dxa"/>
                <w:tcMar>
                  <w:top w:w="100" w:type="dxa"/>
                  <w:left w:w="100" w:type="dxa"/>
                  <w:bottom w:w="100" w:type="dxa"/>
                  <w:right w:w="100" w:type="dxa"/>
                </w:tcMar>
              </w:tcPr>
              <w:p w14:paraId="3A1BB11E" w14:textId="77777777" w:rsidR="00937900" w:rsidRDefault="00000000">
                <w:r>
                  <w:t>(NHS England, 2024)</w:t>
                </w:r>
              </w:p>
              <w:p w14:paraId="5366952D" w14:textId="77777777" w:rsidR="00937900" w:rsidRDefault="00000000">
                <w:r>
                  <w:rPr>
                    <w:highlight w:val="white"/>
                  </w:rPr>
                  <w:t xml:space="preserve">Sung </w:t>
                </w:r>
                <w:r>
                  <w:rPr>
                    <w:i/>
                    <w:iCs/>
                    <w:highlight w:val="white"/>
                  </w:rPr>
                  <w:t>et al</w:t>
                </w:r>
                <w:r>
                  <w:rPr>
                    <w:highlight w:val="white"/>
                  </w:rPr>
                  <w:t>. (2024</w:t>
                </w:r>
                <w:r>
                  <w:t>)</w:t>
                </w:r>
              </w:p>
              <w:p w14:paraId="2175D1EA" w14:textId="77777777" w:rsidR="00937900" w:rsidRDefault="00000000">
                <w:r>
                  <w:rPr>
                    <w:highlight w:val="white"/>
                  </w:rPr>
                  <w:t xml:space="preserve">Bidmead </w:t>
                </w:r>
                <w:r>
                  <w:rPr>
                    <w:i/>
                    <w:iCs/>
                    <w:highlight w:val="white"/>
                  </w:rPr>
                  <w:t>et al</w:t>
                </w:r>
                <w:r>
                  <w:rPr>
                    <w:highlight w:val="white"/>
                  </w:rPr>
                  <w:t>. (2024)</w:t>
                </w:r>
              </w:p>
            </w:tc>
            <w:tc>
              <w:tcPr>
                <w:tcW w:w="4530" w:type="dxa"/>
                <w:tcMar>
                  <w:top w:w="100" w:type="dxa"/>
                  <w:left w:w="100" w:type="dxa"/>
                  <w:bottom w:w="100" w:type="dxa"/>
                  <w:right w:w="100" w:type="dxa"/>
                </w:tcMar>
              </w:tcPr>
              <w:p w14:paraId="4002CD6F" w14:textId="77777777" w:rsidR="00937900" w:rsidRDefault="00000000">
                <w:pPr>
                  <w:widowControl w:val="0"/>
                  <w:pBdr>
                    <w:top w:val="nil"/>
                    <w:left w:val="nil"/>
                    <w:bottom w:val="nil"/>
                    <w:right w:val="nil"/>
                    <w:between w:val="nil"/>
                  </w:pBdr>
                </w:pPr>
                <w:r>
                  <w:t>Transport Assistance</w:t>
                </w:r>
              </w:p>
              <w:p w14:paraId="468FE37B" w14:textId="77777777" w:rsidR="00937900" w:rsidRDefault="00000000">
                <w:pPr>
                  <w:widowControl w:val="0"/>
                  <w:pBdr>
                    <w:top w:val="nil"/>
                    <w:left w:val="nil"/>
                    <w:bottom w:val="nil"/>
                    <w:right w:val="nil"/>
                    <w:between w:val="nil"/>
                  </w:pBdr>
                </w:pPr>
                <w:r>
                  <w:t>Financial Support</w:t>
                </w:r>
              </w:p>
              <w:p w14:paraId="1916BC74" w14:textId="77777777" w:rsidR="00937900" w:rsidRDefault="00000000">
                <w:pPr>
                  <w:widowControl w:val="0"/>
                  <w:pBdr>
                    <w:top w:val="nil"/>
                    <w:left w:val="nil"/>
                    <w:bottom w:val="nil"/>
                    <w:right w:val="nil"/>
                    <w:between w:val="nil"/>
                  </w:pBdr>
                </w:pPr>
                <w:r>
                  <w:t>Language Support</w:t>
                </w:r>
              </w:p>
              <w:p w14:paraId="18486EA8" w14:textId="77777777" w:rsidR="00937900" w:rsidRDefault="00000000">
                <w:pPr>
                  <w:widowControl w:val="0"/>
                  <w:pBdr>
                    <w:top w:val="nil"/>
                    <w:left w:val="nil"/>
                    <w:bottom w:val="nil"/>
                    <w:right w:val="nil"/>
                    <w:between w:val="nil"/>
                  </w:pBdr>
                </w:pPr>
                <w:r>
                  <w:t>Inclusive Healthcare Practice</w:t>
                </w:r>
              </w:p>
              <w:p w14:paraId="2DC9E592" w14:textId="77777777" w:rsidR="00937900" w:rsidRDefault="00000000">
                <w:pPr>
                  <w:widowControl w:val="0"/>
                  <w:pBdr>
                    <w:top w:val="nil"/>
                    <w:left w:val="nil"/>
                    <w:bottom w:val="nil"/>
                    <w:right w:val="nil"/>
                    <w:between w:val="nil"/>
                  </w:pBdr>
                </w:pPr>
                <w:r>
                  <w:t>Service Integration</w:t>
                </w:r>
              </w:p>
            </w:tc>
          </w:tr>
        </w:tbl>
      </w:sdtContent>
    </w:sdt>
    <w:p w14:paraId="76F316F7" w14:textId="77777777" w:rsidR="00937900" w:rsidRDefault="00000000">
      <w:pPr>
        <w:pBdr>
          <w:top w:val="nil"/>
          <w:left w:val="nil"/>
          <w:bottom w:val="nil"/>
          <w:right w:val="nil"/>
          <w:between w:val="nil"/>
        </w:pBdr>
        <w:jc w:val="center"/>
        <w:rPr>
          <w:b/>
          <w:bCs/>
        </w:rPr>
      </w:pPr>
      <w:r>
        <w:rPr>
          <w:b/>
          <w:bCs/>
        </w:rPr>
        <w:t>Table 2: “Thematic code”</w:t>
      </w:r>
    </w:p>
    <w:p w14:paraId="66C4F4E5" w14:textId="77777777" w:rsidR="00937900" w:rsidRDefault="00000000">
      <w:pPr>
        <w:pBdr>
          <w:top w:val="nil"/>
          <w:left w:val="nil"/>
          <w:bottom w:val="nil"/>
          <w:right w:val="nil"/>
          <w:between w:val="nil"/>
        </w:pBdr>
        <w:jc w:val="center"/>
      </w:pPr>
      <w:r>
        <w:t xml:space="preserve">Source (Created by the learner) </w:t>
      </w:r>
    </w:p>
    <w:p w14:paraId="2CF3D613" w14:textId="77777777" w:rsidR="00937900" w:rsidRDefault="00000000">
      <w:pPr>
        <w:pStyle w:val="Heading3"/>
        <w:rPr>
          <w:sz w:val="22"/>
          <w:szCs w:val="22"/>
        </w:rPr>
      </w:pPr>
      <w:bookmarkStart w:id="33" w:name="_heading=h.ozov9g06ol5" w:colFirst="0" w:colLast="0"/>
      <w:bookmarkEnd w:id="33"/>
      <w:r>
        <w:rPr>
          <w:sz w:val="22"/>
          <w:szCs w:val="22"/>
        </w:rPr>
        <w:t xml:space="preserve">3.6.2 Developing Themes </w:t>
      </w:r>
    </w:p>
    <w:sdt>
      <w:sdtPr>
        <w:tag w:val="goog_rdk_2"/>
        <w:id w:val="-421013187"/>
        <w:lock w:val="contentLocked"/>
      </w:sdtPr>
      <w:sdtContent>
        <w:tbl>
          <w:tblPr>
            <w:tblStyle w:val="a1"/>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55"/>
            <w:gridCol w:w="3750"/>
            <w:gridCol w:w="3495"/>
          </w:tblGrid>
          <w:tr w:rsidR="00937900" w14:paraId="7FBBA0E9" w14:textId="77777777">
            <w:tc>
              <w:tcPr>
                <w:tcW w:w="1755" w:type="dxa"/>
                <w:tcMar>
                  <w:top w:w="100" w:type="dxa"/>
                  <w:left w:w="100" w:type="dxa"/>
                  <w:bottom w:w="100" w:type="dxa"/>
                  <w:right w:w="100" w:type="dxa"/>
                </w:tcMar>
              </w:tcPr>
              <w:p w14:paraId="21686B6C" w14:textId="77777777" w:rsidR="00937900" w:rsidRDefault="00000000">
                <w:pPr>
                  <w:widowControl w:val="0"/>
                  <w:pBdr>
                    <w:top w:val="nil"/>
                    <w:left w:val="nil"/>
                    <w:bottom w:val="nil"/>
                    <w:right w:val="nil"/>
                    <w:between w:val="nil"/>
                  </w:pBdr>
                  <w:rPr>
                    <w:b/>
                    <w:bCs/>
                  </w:rPr>
                </w:pPr>
                <w:r>
                  <w:rPr>
                    <w:b/>
                    <w:bCs/>
                  </w:rPr>
                  <w:t xml:space="preserve">Objectives </w:t>
                </w:r>
              </w:p>
            </w:tc>
            <w:tc>
              <w:tcPr>
                <w:tcW w:w="3750" w:type="dxa"/>
                <w:tcMar>
                  <w:top w:w="100" w:type="dxa"/>
                  <w:left w:w="100" w:type="dxa"/>
                  <w:bottom w:w="100" w:type="dxa"/>
                  <w:right w:w="100" w:type="dxa"/>
                </w:tcMar>
              </w:tcPr>
              <w:p w14:paraId="3DEDE3E1" w14:textId="77777777" w:rsidR="00937900" w:rsidRDefault="00000000">
                <w:pPr>
                  <w:widowControl w:val="0"/>
                  <w:rPr>
                    <w:b/>
                    <w:bCs/>
                  </w:rPr>
                </w:pPr>
                <w:r>
                  <w:rPr>
                    <w:b/>
                    <w:bCs/>
                  </w:rPr>
                  <w:t xml:space="preserve">Broader themes </w:t>
                </w:r>
              </w:p>
            </w:tc>
            <w:tc>
              <w:tcPr>
                <w:tcW w:w="3495" w:type="dxa"/>
                <w:tcMar>
                  <w:top w:w="100" w:type="dxa"/>
                  <w:left w:w="100" w:type="dxa"/>
                  <w:bottom w:w="100" w:type="dxa"/>
                  <w:right w:w="100" w:type="dxa"/>
                </w:tcMar>
              </w:tcPr>
              <w:p w14:paraId="6A4BF9D0" w14:textId="77777777" w:rsidR="00937900" w:rsidRDefault="00000000">
                <w:pPr>
                  <w:widowControl w:val="0"/>
                  <w:pBdr>
                    <w:top w:val="nil"/>
                    <w:left w:val="nil"/>
                    <w:bottom w:val="nil"/>
                    <w:right w:val="nil"/>
                    <w:between w:val="nil"/>
                  </w:pBdr>
                  <w:rPr>
                    <w:b/>
                    <w:bCs/>
                  </w:rPr>
                </w:pPr>
                <w:r>
                  <w:rPr>
                    <w:b/>
                    <w:bCs/>
                  </w:rPr>
                  <w:t xml:space="preserve">Sub-Themes </w:t>
                </w:r>
              </w:p>
            </w:tc>
          </w:tr>
          <w:tr w:rsidR="00937900" w14:paraId="4DF31973" w14:textId="77777777">
            <w:tc>
              <w:tcPr>
                <w:tcW w:w="1755" w:type="dxa"/>
                <w:tcMar>
                  <w:top w:w="100" w:type="dxa"/>
                  <w:left w:w="100" w:type="dxa"/>
                  <w:bottom w:w="100" w:type="dxa"/>
                  <w:right w:w="100" w:type="dxa"/>
                </w:tcMar>
              </w:tcPr>
              <w:p w14:paraId="5C19109D" w14:textId="77777777" w:rsidR="00937900" w:rsidRDefault="00000000">
                <w:pPr>
                  <w:widowControl w:val="0"/>
                  <w:pBdr>
                    <w:top w:val="nil"/>
                    <w:left w:val="nil"/>
                    <w:bottom w:val="nil"/>
                    <w:right w:val="nil"/>
                    <w:between w:val="nil"/>
                  </w:pBdr>
                </w:pPr>
                <w:r>
                  <w:t>Objective 1</w:t>
                </w:r>
              </w:p>
            </w:tc>
            <w:tc>
              <w:tcPr>
                <w:tcW w:w="3750" w:type="dxa"/>
                <w:tcMar>
                  <w:top w:w="100" w:type="dxa"/>
                  <w:left w:w="100" w:type="dxa"/>
                  <w:bottom w:w="100" w:type="dxa"/>
                  <w:right w:w="100" w:type="dxa"/>
                </w:tcMar>
              </w:tcPr>
              <w:p w14:paraId="489F4E8C" w14:textId="77777777" w:rsidR="00937900" w:rsidRDefault="00000000">
                <w:pPr>
                  <w:widowControl w:val="0"/>
                  <w:pBdr>
                    <w:top w:val="nil"/>
                    <w:left w:val="nil"/>
                    <w:bottom w:val="nil"/>
                    <w:right w:val="nil"/>
                    <w:between w:val="nil"/>
                  </w:pBdr>
                </w:pPr>
                <w:r>
                  <w:t xml:space="preserve">Barriers to access health and Social </w:t>
                </w:r>
                <w:r>
                  <w:lastRenderedPageBreak/>
                  <w:t xml:space="preserve">care services </w:t>
                </w:r>
              </w:p>
            </w:tc>
            <w:tc>
              <w:tcPr>
                <w:tcW w:w="3495" w:type="dxa"/>
                <w:tcMar>
                  <w:top w:w="100" w:type="dxa"/>
                  <w:left w:w="100" w:type="dxa"/>
                  <w:bottom w:w="100" w:type="dxa"/>
                  <w:right w:w="100" w:type="dxa"/>
                </w:tcMar>
              </w:tcPr>
              <w:p w14:paraId="22951FD6" w14:textId="77777777" w:rsidR="00937900" w:rsidRDefault="00000000">
                <w:pPr>
                  <w:widowControl w:val="0"/>
                  <w:pBdr>
                    <w:top w:val="nil"/>
                    <w:left w:val="nil"/>
                    <w:bottom w:val="nil"/>
                    <w:right w:val="nil"/>
                    <w:between w:val="nil"/>
                  </w:pBdr>
                </w:pPr>
                <w:r>
                  <w:lastRenderedPageBreak/>
                  <w:t xml:space="preserve">Physical, Financial, Cultural and </w:t>
                </w:r>
                <w:r>
                  <w:lastRenderedPageBreak/>
                  <w:t xml:space="preserve">Systemic barriers to health and social care access. </w:t>
                </w:r>
              </w:p>
            </w:tc>
          </w:tr>
          <w:tr w:rsidR="00937900" w14:paraId="638E2249" w14:textId="77777777">
            <w:tc>
              <w:tcPr>
                <w:tcW w:w="1755" w:type="dxa"/>
                <w:tcMar>
                  <w:top w:w="100" w:type="dxa"/>
                  <w:left w:w="100" w:type="dxa"/>
                  <w:bottom w:w="100" w:type="dxa"/>
                  <w:right w:w="100" w:type="dxa"/>
                </w:tcMar>
              </w:tcPr>
              <w:p w14:paraId="02244046" w14:textId="77777777" w:rsidR="00937900" w:rsidRDefault="00000000">
                <w:pPr>
                  <w:widowControl w:val="0"/>
                </w:pPr>
                <w:r>
                  <w:lastRenderedPageBreak/>
                  <w:t>Objective 2</w:t>
                </w:r>
              </w:p>
            </w:tc>
            <w:tc>
              <w:tcPr>
                <w:tcW w:w="3750" w:type="dxa"/>
                <w:tcMar>
                  <w:top w:w="100" w:type="dxa"/>
                  <w:left w:w="100" w:type="dxa"/>
                  <w:bottom w:w="100" w:type="dxa"/>
                  <w:right w:w="100" w:type="dxa"/>
                </w:tcMar>
              </w:tcPr>
              <w:p w14:paraId="43C27BB2" w14:textId="77777777" w:rsidR="00937900" w:rsidRDefault="00000000">
                <w:pPr>
                  <w:widowControl w:val="0"/>
                  <w:pBdr>
                    <w:top w:val="nil"/>
                    <w:left w:val="nil"/>
                    <w:bottom w:val="nil"/>
                    <w:right w:val="nil"/>
                    <w:between w:val="nil"/>
                  </w:pBdr>
                </w:pPr>
                <w:r>
                  <w:t>Impact of barriers to health and social care access</w:t>
                </w:r>
              </w:p>
            </w:tc>
            <w:tc>
              <w:tcPr>
                <w:tcW w:w="3495" w:type="dxa"/>
                <w:tcMar>
                  <w:top w:w="100" w:type="dxa"/>
                  <w:left w:w="100" w:type="dxa"/>
                  <w:bottom w:w="100" w:type="dxa"/>
                  <w:right w:w="100" w:type="dxa"/>
                </w:tcMar>
              </w:tcPr>
              <w:p w14:paraId="17103356" w14:textId="77777777" w:rsidR="00937900" w:rsidRDefault="00000000">
                <w:pPr>
                  <w:widowControl w:val="0"/>
                  <w:pBdr>
                    <w:top w:val="nil"/>
                    <w:left w:val="nil"/>
                    <w:bottom w:val="nil"/>
                    <w:right w:val="nil"/>
                    <w:between w:val="nil"/>
                  </w:pBdr>
                </w:pPr>
                <w:r>
                  <w:t xml:space="preserve">Impact of health and social care barriers on vulnerable groups like older adults, low-income earners and ethnic minorities. </w:t>
                </w:r>
              </w:p>
            </w:tc>
          </w:tr>
          <w:tr w:rsidR="00937900" w14:paraId="7CA2EB7F" w14:textId="77777777">
            <w:trPr>
              <w:trHeight w:val="574"/>
            </w:trPr>
            <w:tc>
              <w:tcPr>
                <w:tcW w:w="1755" w:type="dxa"/>
                <w:tcMar>
                  <w:top w:w="100" w:type="dxa"/>
                  <w:left w:w="100" w:type="dxa"/>
                  <w:bottom w:w="100" w:type="dxa"/>
                  <w:right w:w="100" w:type="dxa"/>
                </w:tcMar>
              </w:tcPr>
              <w:p w14:paraId="5EC645A0" w14:textId="77777777" w:rsidR="00937900" w:rsidRDefault="00000000">
                <w:pPr>
                  <w:widowControl w:val="0"/>
                </w:pPr>
                <w:r>
                  <w:t>Objective 3</w:t>
                </w:r>
              </w:p>
            </w:tc>
            <w:tc>
              <w:tcPr>
                <w:tcW w:w="3750" w:type="dxa"/>
                <w:tcMar>
                  <w:top w:w="100" w:type="dxa"/>
                  <w:left w:w="100" w:type="dxa"/>
                  <w:bottom w:w="100" w:type="dxa"/>
                  <w:right w:w="100" w:type="dxa"/>
                </w:tcMar>
              </w:tcPr>
              <w:p w14:paraId="7769F5AC" w14:textId="77777777" w:rsidR="00937900" w:rsidRDefault="00000000">
                <w:pPr>
                  <w:widowControl w:val="0"/>
                  <w:pBdr>
                    <w:top w:val="nil"/>
                    <w:left w:val="nil"/>
                    <w:bottom w:val="nil"/>
                    <w:right w:val="nil"/>
                    <w:between w:val="nil"/>
                  </w:pBdr>
                </w:pPr>
                <w:r>
                  <w:t xml:space="preserve">Policy and intervention </w:t>
                </w:r>
              </w:p>
            </w:tc>
            <w:tc>
              <w:tcPr>
                <w:tcW w:w="3495" w:type="dxa"/>
                <w:tcMar>
                  <w:top w:w="100" w:type="dxa"/>
                  <w:left w:w="100" w:type="dxa"/>
                  <w:bottom w:w="100" w:type="dxa"/>
                  <w:right w:w="100" w:type="dxa"/>
                </w:tcMar>
              </w:tcPr>
              <w:p w14:paraId="3702AC90" w14:textId="77777777" w:rsidR="00937900" w:rsidRDefault="00000000">
                <w:pPr>
                  <w:widowControl w:val="0"/>
                  <w:pBdr>
                    <w:top w:val="nil"/>
                    <w:left w:val="nil"/>
                    <w:bottom w:val="nil"/>
                    <w:right w:val="nil"/>
                    <w:between w:val="nil"/>
                  </w:pBdr>
                </w:pPr>
                <w:r>
                  <w:t xml:space="preserve">Current policies and interventions to address inequalities in health and social care access. </w:t>
                </w:r>
              </w:p>
            </w:tc>
          </w:tr>
          <w:tr w:rsidR="00937900" w14:paraId="653A4E2D" w14:textId="77777777">
            <w:tc>
              <w:tcPr>
                <w:tcW w:w="1755" w:type="dxa"/>
                <w:tcMar>
                  <w:top w:w="100" w:type="dxa"/>
                  <w:left w:w="100" w:type="dxa"/>
                  <w:bottom w:w="100" w:type="dxa"/>
                  <w:right w:w="100" w:type="dxa"/>
                </w:tcMar>
              </w:tcPr>
              <w:p w14:paraId="11316984" w14:textId="77777777" w:rsidR="00937900" w:rsidRDefault="00000000">
                <w:pPr>
                  <w:widowControl w:val="0"/>
                </w:pPr>
                <w:r>
                  <w:t>Objective 4</w:t>
                </w:r>
              </w:p>
            </w:tc>
            <w:tc>
              <w:tcPr>
                <w:tcW w:w="3750" w:type="dxa"/>
                <w:tcMar>
                  <w:top w:w="100" w:type="dxa"/>
                  <w:left w:w="100" w:type="dxa"/>
                  <w:bottom w:w="100" w:type="dxa"/>
                  <w:right w:w="100" w:type="dxa"/>
                </w:tcMar>
              </w:tcPr>
              <w:p w14:paraId="2FA9A287" w14:textId="77777777" w:rsidR="00937900" w:rsidRDefault="00000000">
                <w:pPr>
                  <w:widowControl w:val="0"/>
                  <w:pBdr>
                    <w:top w:val="nil"/>
                    <w:left w:val="nil"/>
                    <w:bottom w:val="nil"/>
                    <w:right w:val="nil"/>
                    <w:between w:val="nil"/>
                  </w:pBdr>
                </w:pPr>
                <w:r>
                  <w:t xml:space="preserve">Recommendation to enhance health and social care access </w:t>
                </w:r>
              </w:p>
            </w:tc>
            <w:tc>
              <w:tcPr>
                <w:tcW w:w="3495" w:type="dxa"/>
                <w:tcMar>
                  <w:top w:w="100" w:type="dxa"/>
                  <w:left w:w="100" w:type="dxa"/>
                  <w:bottom w:w="100" w:type="dxa"/>
                  <w:right w:w="100" w:type="dxa"/>
                </w:tcMar>
              </w:tcPr>
              <w:p w14:paraId="19CCEA04" w14:textId="77777777" w:rsidR="00937900" w:rsidRDefault="00000000">
                <w:pPr>
                  <w:widowControl w:val="0"/>
                  <w:pBdr>
                    <w:top w:val="nil"/>
                    <w:left w:val="nil"/>
                    <w:bottom w:val="nil"/>
                    <w:right w:val="nil"/>
                    <w:between w:val="nil"/>
                  </w:pBdr>
                </w:pPr>
                <w:r>
                  <w:t xml:space="preserve">Improving accessibility and prioritising feasible solutions on transport, affordability, communication and culturally sensitive care. </w:t>
                </w:r>
              </w:p>
            </w:tc>
          </w:tr>
        </w:tbl>
      </w:sdtContent>
    </w:sdt>
    <w:p w14:paraId="08D6136E" w14:textId="77777777" w:rsidR="00937900" w:rsidRDefault="00000000">
      <w:pPr>
        <w:pBdr>
          <w:top w:val="nil"/>
          <w:left w:val="nil"/>
          <w:bottom w:val="nil"/>
          <w:right w:val="nil"/>
          <w:between w:val="nil"/>
        </w:pBdr>
        <w:jc w:val="center"/>
        <w:rPr>
          <w:b/>
          <w:bCs/>
        </w:rPr>
      </w:pPr>
      <w:r>
        <w:rPr>
          <w:b/>
          <w:bCs/>
        </w:rPr>
        <w:t>Table 3: “Theme Development”</w:t>
      </w:r>
    </w:p>
    <w:p w14:paraId="17B418D6" w14:textId="77777777" w:rsidR="00937900" w:rsidRDefault="00000000">
      <w:pPr>
        <w:pBdr>
          <w:top w:val="nil"/>
          <w:left w:val="nil"/>
          <w:bottom w:val="nil"/>
          <w:right w:val="nil"/>
          <w:between w:val="nil"/>
        </w:pBdr>
        <w:jc w:val="center"/>
      </w:pPr>
      <w:r>
        <w:t xml:space="preserve">Source (Learner) </w:t>
      </w:r>
    </w:p>
    <w:p w14:paraId="73299438" w14:textId="77777777" w:rsidR="00937900" w:rsidRDefault="00000000">
      <w:pPr>
        <w:pStyle w:val="Heading2"/>
        <w:rPr>
          <w:sz w:val="22"/>
          <w:szCs w:val="22"/>
        </w:rPr>
      </w:pPr>
      <w:bookmarkStart w:id="34" w:name="_heading=h.pruscqrxf32q" w:colFirst="0" w:colLast="0"/>
      <w:bookmarkEnd w:id="34"/>
      <w:r>
        <w:rPr>
          <w:sz w:val="22"/>
          <w:szCs w:val="22"/>
        </w:rPr>
        <w:t>3.7 Ethical Consideration</w:t>
      </w:r>
    </w:p>
    <w:p w14:paraId="1D281751" w14:textId="77777777" w:rsidR="00937900" w:rsidRDefault="00000000">
      <w:pPr>
        <w:pBdr>
          <w:top w:val="nil"/>
          <w:left w:val="nil"/>
          <w:bottom w:val="nil"/>
          <w:right w:val="nil"/>
          <w:between w:val="nil"/>
        </w:pBdr>
      </w:pPr>
      <w:r>
        <w:t xml:space="preserve">The entire research is based on publicly available sources which means that the no raw data collection method has been included. The academic integrity has been maintained by accurately citing the sources by using consistent Harvard Referencing style and any form of misinterpretation has been avoided. Academic and openly accessible sources have been used to find the authentic sources and to ensure that the selected and presented literature are fair and without any researcher’s personal biases. </w:t>
      </w:r>
    </w:p>
    <w:p w14:paraId="2613325A" w14:textId="77777777" w:rsidR="00937900" w:rsidRDefault="00000000">
      <w:pPr>
        <w:pStyle w:val="Heading2"/>
        <w:rPr>
          <w:sz w:val="22"/>
          <w:szCs w:val="22"/>
        </w:rPr>
      </w:pPr>
      <w:bookmarkStart w:id="35" w:name="_heading=h.yhcvrdhxiscu" w:colFirst="0" w:colLast="0"/>
      <w:bookmarkEnd w:id="35"/>
      <w:r>
        <w:rPr>
          <w:sz w:val="22"/>
          <w:szCs w:val="22"/>
        </w:rPr>
        <w:t xml:space="preserve">3.8 Chapter Conclusion </w:t>
      </w:r>
    </w:p>
    <w:p w14:paraId="497F7BD0" w14:textId="77777777" w:rsidR="00937900" w:rsidRDefault="00000000">
      <w:pPr>
        <w:pBdr>
          <w:top w:val="nil"/>
          <w:left w:val="nil"/>
          <w:bottom w:val="nil"/>
          <w:right w:val="nil"/>
          <w:between w:val="nil"/>
        </w:pBdr>
      </w:pPr>
      <w:r>
        <w:t xml:space="preserve">In summary, an effective search strategy supported with keywords, Boolean operators, inclusion/exclusion criteria alongside CRAAP </w:t>
      </w:r>
      <w:proofErr w:type="gramStart"/>
      <w:r>
        <w:t>has</w:t>
      </w:r>
      <w:proofErr w:type="gramEnd"/>
      <w:r>
        <w:t xml:space="preserve"> been used for locating, evaluating and analysing the research literature. Furthermore, thematic analysis has been integrated to develop main code and themes from the gathered datasets to provide a credible answer in meeting the research aim and objectives. In the next chapter 4, the findings will be analysed, organised and discussed in relation to the research objectives.  </w:t>
      </w:r>
    </w:p>
    <w:p w14:paraId="3ABDC197" w14:textId="77777777" w:rsidR="00937900" w:rsidRDefault="00937900">
      <w:pPr>
        <w:pBdr>
          <w:top w:val="nil"/>
          <w:left w:val="nil"/>
          <w:bottom w:val="nil"/>
          <w:right w:val="nil"/>
          <w:between w:val="nil"/>
        </w:pBdr>
      </w:pPr>
    </w:p>
    <w:p w14:paraId="1CB88E55" w14:textId="77777777" w:rsidR="00937900" w:rsidRDefault="00000000">
      <w:pPr>
        <w:pStyle w:val="Heading1"/>
        <w:rPr>
          <w:sz w:val="22"/>
          <w:szCs w:val="22"/>
        </w:rPr>
      </w:pPr>
      <w:bookmarkStart w:id="36" w:name="_heading=h.1dtnip94ttq" w:colFirst="0" w:colLast="0"/>
      <w:bookmarkEnd w:id="36"/>
      <w:r>
        <w:br w:type="page"/>
      </w:r>
    </w:p>
    <w:p w14:paraId="6F390980" w14:textId="77777777" w:rsidR="00937900" w:rsidRDefault="00000000">
      <w:pPr>
        <w:pStyle w:val="Heading1"/>
        <w:rPr>
          <w:sz w:val="22"/>
          <w:szCs w:val="22"/>
        </w:rPr>
      </w:pPr>
      <w:bookmarkStart w:id="37" w:name="_heading=h.3b553quyc8q6" w:colFirst="0" w:colLast="0"/>
      <w:bookmarkEnd w:id="37"/>
      <w:r>
        <w:rPr>
          <w:sz w:val="22"/>
          <w:szCs w:val="22"/>
        </w:rPr>
        <w:lastRenderedPageBreak/>
        <w:t xml:space="preserve">CHAPTER 4: Results and Discussion </w:t>
      </w:r>
    </w:p>
    <w:p w14:paraId="7A2E5D4C" w14:textId="77777777" w:rsidR="00937900" w:rsidRDefault="00000000">
      <w:pPr>
        <w:pStyle w:val="Heading2"/>
        <w:rPr>
          <w:sz w:val="22"/>
          <w:szCs w:val="22"/>
        </w:rPr>
      </w:pPr>
      <w:bookmarkStart w:id="38" w:name="_heading=h.vng06xd3wjrx" w:colFirst="0" w:colLast="0"/>
      <w:bookmarkEnd w:id="38"/>
      <w:r>
        <w:rPr>
          <w:sz w:val="22"/>
          <w:szCs w:val="22"/>
        </w:rPr>
        <w:t xml:space="preserve">4.1 Introduction </w:t>
      </w:r>
    </w:p>
    <w:p w14:paraId="5FBE18BB" w14:textId="77777777" w:rsidR="00937900" w:rsidRDefault="00000000">
      <w:pPr>
        <w:pBdr>
          <w:top w:val="nil"/>
          <w:left w:val="nil"/>
          <w:bottom w:val="nil"/>
          <w:right w:val="nil"/>
          <w:between w:val="nil"/>
        </w:pBdr>
      </w:pPr>
      <w:r>
        <w:t xml:space="preserve">This chapter delivers the findings gained from the thematic analysis of 10 secondary literature sources where its results summary is provided in appendix 2. The analysis has determined four major themes which focuses majorly on physical, financial, cultural and systemic barriers to health and social care access, impact of these barriers on vulnerable populations, current policies and intervention and strategies for improving equal and accessible health and social care services. </w:t>
      </w:r>
    </w:p>
    <w:p w14:paraId="1AC79BF9" w14:textId="77777777" w:rsidR="00937900" w:rsidRDefault="00000000">
      <w:pPr>
        <w:pStyle w:val="Heading2"/>
        <w:rPr>
          <w:sz w:val="22"/>
          <w:szCs w:val="22"/>
        </w:rPr>
      </w:pPr>
      <w:bookmarkStart w:id="39" w:name="_heading=h.rib6zqpfapn2" w:colFirst="0" w:colLast="0"/>
      <w:bookmarkEnd w:id="39"/>
      <w:r>
        <w:rPr>
          <w:sz w:val="22"/>
          <w:szCs w:val="22"/>
        </w:rPr>
        <w:t xml:space="preserve">4.2 Thematic Analysis </w:t>
      </w:r>
    </w:p>
    <w:p w14:paraId="76B7515B" w14:textId="77777777" w:rsidR="00937900" w:rsidRDefault="00000000">
      <w:pPr>
        <w:pBdr>
          <w:top w:val="nil"/>
          <w:left w:val="nil"/>
          <w:bottom w:val="nil"/>
          <w:right w:val="nil"/>
          <w:between w:val="nil"/>
        </w:pBdr>
      </w:pPr>
      <w:r>
        <w:t xml:space="preserve">Thematic analysis is one of the crucial research methods which is used to determine, evaluate and explain the patterns which are recurring within the accumulated information (Almeida, 2026). This has been integrated in this study to examine the vital evidence, detailed insights and proper understanding related to the barriers to the current health and social care services across the UK. The coding process included the review of reviewed articles and journals, government and policy documents relevant to health and social care access in the UK (Almeida, 2026). It has helped to find the relevant issues and concepts which have been grouped into wider themes. As per the coding table provided in chapter 3, the literature has been developed into the four major themes which have been connected directly with the research topic. </w:t>
      </w:r>
    </w:p>
    <w:p w14:paraId="71B90F36" w14:textId="77777777" w:rsidR="00937900" w:rsidRDefault="00000000">
      <w:pPr>
        <w:pStyle w:val="Heading2"/>
        <w:rPr>
          <w:sz w:val="22"/>
          <w:szCs w:val="22"/>
        </w:rPr>
      </w:pPr>
      <w:bookmarkStart w:id="40" w:name="_heading=h.oqazn75ppwst" w:colFirst="0" w:colLast="0"/>
      <w:bookmarkEnd w:id="40"/>
      <w:r>
        <w:rPr>
          <w:sz w:val="22"/>
          <w:szCs w:val="22"/>
        </w:rPr>
        <w:t>4.3 Theme 1: Physical, Financial, Cultural and Systemic barriers to health and social care access</w:t>
      </w:r>
    </w:p>
    <w:p w14:paraId="63896DE5" w14:textId="77777777" w:rsidR="00937900" w:rsidRDefault="00000000">
      <w:pPr>
        <w:pStyle w:val="Heading3"/>
        <w:rPr>
          <w:sz w:val="22"/>
          <w:szCs w:val="22"/>
        </w:rPr>
      </w:pPr>
      <w:bookmarkStart w:id="41" w:name="_heading=h.5sxqux2dwz1v" w:colFirst="0" w:colLast="0"/>
      <w:bookmarkEnd w:id="41"/>
      <w:r>
        <w:rPr>
          <w:sz w:val="22"/>
          <w:szCs w:val="22"/>
        </w:rPr>
        <w:t xml:space="preserve">4.3.1 Definition and Background </w:t>
      </w:r>
    </w:p>
    <w:p w14:paraId="2A49DDF5" w14:textId="77777777" w:rsidR="00937900" w:rsidRDefault="00000000">
      <w:r>
        <w:t>This theme evaluates the physical, financial, cultural and systemic barriers to fair and equal access to health and social care. While physical barriers relate to the bodily aspects like mobility, as well as transportation or service location issues, financial hindrances refer to the economic difficulties and cost concerns associated with health and social care services (</w:t>
      </w:r>
      <w:proofErr w:type="spellStart"/>
      <w:r>
        <w:t>Tzenios</w:t>
      </w:r>
      <w:proofErr w:type="spellEnd"/>
      <w:r>
        <w:t>, 2019). Further, cultural barriers are the factors like language, communication, reduction of trust and balance of cultural understanding whereas systemic refers to the barriers present at the organisational level like workforce shortage, service availability and others (</w:t>
      </w:r>
      <w:proofErr w:type="spellStart"/>
      <w:r>
        <w:rPr>
          <w:highlight w:val="white"/>
        </w:rPr>
        <w:t>Vineis</w:t>
      </w:r>
      <w:proofErr w:type="spellEnd"/>
      <w:r>
        <w:rPr>
          <w:highlight w:val="white"/>
        </w:rPr>
        <w:t xml:space="preserve"> </w:t>
      </w:r>
      <w:r>
        <w:rPr>
          <w:i/>
          <w:iCs/>
          <w:highlight w:val="white"/>
        </w:rPr>
        <w:t>et al.,</w:t>
      </w:r>
      <w:r>
        <w:rPr>
          <w:highlight w:val="white"/>
        </w:rPr>
        <w:t xml:space="preserve"> 2020</w:t>
      </w:r>
      <w:r>
        <w:t xml:space="preserve">). </w:t>
      </w:r>
    </w:p>
    <w:p w14:paraId="6ED4CBD4" w14:textId="77777777" w:rsidR="00937900" w:rsidRDefault="00000000">
      <w:r>
        <w:t xml:space="preserve">The study of Beaven and Marshman (2024), has highlighted the physical difficulties as the core influencing factors behind the unequal health and social care services. At the same time, </w:t>
      </w:r>
      <w:proofErr w:type="spellStart"/>
      <w:r>
        <w:t>Edirisooriya</w:t>
      </w:r>
      <w:proofErr w:type="spellEnd"/>
      <w:r>
        <w:t xml:space="preserve">, </w:t>
      </w:r>
      <w:proofErr w:type="spellStart"/>
      <w:r>
        <w:t>Silkens</w:t>
      </w:r>
      <w:proofErr w:type="spellEnd"/>
      <w:r>
        <w:t xml:space="preserve"> and </w:t>
      </w:r>
      <w:proofErr w:type="spellStart"/>
      <w:r>
        <w:t>Medisauskaite</w:t>
      </w:r>
      <w:proofErr w:type="spellEnd"/>
      <w:r>
        <w:t xml:space="preserve"> (2025) have investigated financial challenges as the root cause of shaping barriers to accessible health care services. Cultural and systemic barriers have been noted in the review of Ekezie </w:t>
      </w:r>
      <w:r>
        <w:rPr>
          <w:i/>
          <w:iCs/>
        </w:rPr>
        <w:t xml:space="preserve">et al. </w:t>
      </w:r>
      <w:r>
        <w:t xml:space="preserve">(2023), where the ethnic minorities in the regions of East Midlands, UK face the major barriers in communication, along with lack of cultural understanding and trust with the HSC services. </w:t>
      </w:r>
    </w:p>
    <w:p w14:paraId="749C7D52" w14:textId="77777777" w:rsidR="00937900" w:rsidRDefault="00000000">
      <w:pPr>
        <w:pStyle w:val="Heading3"/>
        <w:rPr>
          <w:sz w:val="22"/>
          <w:szCs w:val="22"/>
        </w:rPr>
      </w:pPr>
      <w:bookmarkStart w:id="42" w:name="_heading=h.uziarupx6pwz" w:colFirst="0" w:colLast="0"/>
      <w:bookmarkEnd w:id="42"/>
      <w:r>
        <w:rPr>
          <w:sz w:val="22"/>
          <w:szCs w:val="22"/>
        </w:rPr>
        <w:lastRenderedPageBreak/>
        <w:t>4.3.2 Impact on Research Objective</w:t>
      </w:r>
    </w:p>
    <w:p w14:paraId="3280B5FD" w14:textId="77777777" w:rsidR="00937900" w:rsidRDefault="00000000">
      <w:pPr>
        <w:pBdr>
          <w:top w:val="nil"/>
          <w:left w:val="nil"/>
          <w:bottom w:val="nil"/>
          <w:right w:val="nil"/>
          <w:between w:val="nil"/>
        </w:pBdr>
      </w:pPr>
      <w:r>
        <w:t xml:space="preserve">This theme is linked with the research question/topic as it has identified and evaluated the elements causing barriers in UK HSC. Beaven and Marshman (2024), clarifies this by mentioning the fact that older adults in the UK are more vulnerable to gain access to care services due to their immobility influenced by their ageing and the transportation issues. However, </w:t>
      </w:r>
      <w:proofErr w:type="spellStart"/>
      <w:r>
        <w:t>Edirisooriya</w:t>
      </w:r>
      <w:proofErr w:type="spellEnd"/>
      <w:r>
        <w:t xml:space="preserve">, </w:t>
      </w:r>
      <w:proofErr w:type="spellStart"/>
      <w:r>
        <w:t>Silkens</w:t>
      </w:r>
      <w:proofErr w:type="spellEnd"/>
      <w:r>
        <w:t xml:space="preserve"> and </w:t>
      </w:r>
      <w:proofErr w:type="spellStart"/>
      <w:r>
        <w:t>Medisauskaite</w:t>
      </w:r>
      <w:proofErr w:type="spellEnd"/>
      <w:r>
        <w:t xml:space="preserve"> (2025), stated that individuals in the UK are concerned about the higher cost linked with HSC. This also causes the limitation of seeking for the needed HSC services. In contrast, Ekezie </w:t>
      </w:r>
      <w:r>
        <w:rPr>
          <w:i/>
          <w:iCs/>
        </w:rPr>
        <w:t xml:space="preserve">et al. </w:t>
      </w:r>
      <w:r>
        <w:t xml:space="preserve">(2023), have asserted the major cultural barriers where the ethnic minorities face language barriers. Due to the lack of culturally sensitive HSC services, such groups have lower levels of trust. Moreover, similar findings have been provided by </w:t>
      </w:r>
      <w:proofErr w:type="spellStart"/>
      <w:r>
        <w:t>Edirisooriya</w:t>
      </w:r>
      <w:proofErr w:type="spellEnd"/>
      <w:r>
        <w:t xml:space="preserve">, </w:t>
      </w:r>
      <w:proofErr w:type="spellStart"/>
      <w:r>
        <w:t>Silkens</w:t>
      </w:r>
      <w:proofErr w:type="spellEnd"/>
      <w:r>
        <w:t xml:space="preserve"> and </w:t>
      </w:r>
      <w:proofErr w:type="spellStart"/>
      <w:r>
        <w:t>Medisauskaite</w:t>
      </w:r>
      <w:proofErr w:type="spellEnd"/>
      <w:r>
        <w:t xml:space="preserve"> (2025) and Ekezie </w:t>
      </w:r>
      <w:r>
        <w:rPr>
          <w:i/>
          <w:iCs/>
        </w:rPr>
        <w:t xml:space="preserve">et al. </w:t>
      </w:r>
      <w:r>
        <w:t xml:space="preserve">(2023), arguing that the HSC sector of the UK has significant systemic barriers. While </w:t>
      </w:r>
      <w:proofErr w:type="spellStart"/>
      <w:r>
        <w:t>Edirisooriya</w:t>
      </w:r>
      <w:proofErr w:type="spellEnd"/>
      <w:r>
        <w:t xml:space="preserve">, </w:t>
      </w:r>
      <w:proofErr w:type="spellStart"/>
      <w:r>
        <w:t>Silkens</w:t>
      </w:r>
      <w:proofErr w:type="spellEnd"/>
      <w:r>
        <w:t xml:space="preserve"> and </w:t>
      </w:r>
      <w:proofErr w:type="spellStart"/>
      <w:r>
        <w:t>Medisauskaite</w:t>
      </w:r>
      <w:proofErr w:type="spellEnd"/>
      <w:r>
        <w:t xml:space="preserve"> (2025), presents the issue of </w:t>
      </w:r>
      <w:proofErr w:type="gramStart"/>
      <w:r>
        <w:t>limited service</w:t>
      </w:r>
      <w:proofErr w:type="gramEnd"/>
      <w:r>
        <w:t xml:space="preserve"> presence, Ekezie </w:t>
      </w:r>
      <w:r>
        <w:rPr>
          <w:i/>
          <w:iCs/>
        </w:rPr>
        <w:t xml:space="preserve">et al. </w:t>
      </w:r>
      <w:r>
        <w:t xml:space="preserve">(2023), provided the challenges like staff shortage and absence of diverse cultural-sensitive services. Altogether, these studies have shown the diverse factors influencing barriers to access HSC services directing the development of service delivery which are more fair, equal and accessible.  </w:t>
      </w:r>
    </w:p>
    <w:p w14:paraId="0ED286DA" w14:textId="77777777" w:rsidR="00937900" w:rsidRDefault="00000000">
      <w:pPr>
        <w:pStyle w:val="Heading3"/>
        <w:rPr>
          <w:sz w:val="22"/>
          <w:szCs w:val="22"/>
        </w:rPr>
      </w:pPr>
      <w:bookmarkStart w:id="43" w:name="_heading=h.7xblaclgqv9a" w:colFirst="0" w:colLast="0"/>
      <w:bookmarkEnd w:id="43"/>
      <w:r>
        <w:rPr>
          <w:sz w:val="22"/>
          <w:szCs w:val="22"/>
        </w:rPr>
        <w:t xml:space="preserve">4.3.3 Statistical Information </w:t>
      </w:r>
    </w:p>
    <w:p w14:paraId="3D8C07CD" w14:textId="77777777" w:rsidR="00937900" w:rsidRDefault="00000000">
      <w:pPr>
        <w:pBdr>
          <w:top w:val="nil"/>
          <w:left w:val="nil"/>
          <w:bottom w:val="nil"/>
          <w:right w:val="nil"/>
          <w:between w:val="nil"/>
        </w:pBdr>
      </w:pPr>
      <w:r>
        <w:t xml:space="preserve">Beaven and Marshman (2024), have conducted a scoping review by focusing on the older adults present in England. It has reviewed 1272 literature papers from the year between 1973 to 2023 from which the chosen 27 studies demonstrated consistent patterns of physical barriers faced by the older individuals living within this region. </w:t>
      </w:r>
    </w:p>
    <w:p w14:paraId="40141C90" w14:textId="77777777" w:rsidR="00937900" w:rsidRDefault="00000000">
      <w:pPr>
        <w:pBdr>
          <w:top w:val="nil"/>
          <w:left w:val="nil"/>
          <w:bottom w:val="nil"/>
          <w:right w:val="nil"/>
          <w:between w:val="nil"/>
        </w:pBdr>
      </w:pPr>
      <w:r>
        <w:t xml:space="preserve">The quantitative study of </w:t>
      </w:r>
      <w:proofErr w:type="spellStart"/>
      <w:r>
        <w:t>Edirisooriya</w:t>
      </w:r>
      <w:proofErr w:type="spellEnd"/>
      <w:r>
        <w:t xml:space="preserve">, </w:t>
      </w:r>
      <w:proofErr w:type="spellStart"/>
      <w:r>
        <w:t>Silkens</w:t>
      </w:r>
      <w:proofErr w:type="spellEnd"/>
      <w:r>
        <w:t xml:space="preserve"> and </w:t>
      </w:r>
      <w:proofErr w:type="spellStart"/>
      <w:r>
        <w:t>Medisauskaite</w:t>
      </w:r>
      <w:proofErr w:type="spellEnd"/>
      <w:r>
        <w:t xml:space="preserve"> (2025), which involved 442 participants in the UK consistently mentioned that 33.5% of them have dealt with higher financial challenges. Due to this, such individuals have limited access to HSC in the UK due to the higher cost concerns. On the other hand, Ekezie </w:t>
      </w:r>
      <w:r>
        <w:rPr>
          <w:i/>
          <w:iCs/>
        </w:rPr>
        <w:t xml:space="preserve">et al. </w:t>
      </w:r>
      <w:r>
        <w:t xml:space="preserve">(2023), which involved 52 participants from ethnic minorities living in the East Midlands, provided substantial experience of language and communication barriers and due to the limited inclusive HSC, such groups have reported of discrimination, poor culture relevant services and delayed service delivery. </w:t>
      </w:r>
    </w:p>
    <w:p w14:paraId="5E989907" w14:textId="77777777" w:rsidR="00937900" w:rsidRDefault="00000000">
      <w:pPr>
        <w:pStyle w:val="Heading3"/>
        <w:rPr>
          <w:sz w:val="22"/>
          <w:szCs w:val="22"/>
        </w:rPr>
      </w:pPr>
      <w:bookmarkStart w:id="44" w:name="_heading=h.991u6iiv5op3" w:colFirst="0" w:colLast="0"/>
      <w:bookmarkEnd w:id="44"/>
      <w:r>
        <w:rPr>
          <w:sz w:val="22"/>
          <w:szCs w:val="22"/>
        </w:rPr>
        <w:t xml:space="preserve">4.3.4 Theories, Policies and Legislations </w:t>
      </w:r>
    </w:p>
    <w:p w14:paraId="1F337DC8" w14:textId="77777777" w:rsidR="00937900" w:rsidRDefault="00000000">
      <w:r>
        <w:t xml:space="preserve">The thematic findings align well with the </w:t>
      </w:r>
      <w:r>
        <w:rPr>
          <w:b/>
          <w:bCs/>
        </w:rPr>
        <w:t xml:space="preserve">theory </w:t>
      </w:r>
      <w:r>
        <w:t xml:space="preserve">of “Social determinants of health” which states that social and economic factors influence healthcare access (Vo </w:t>
      </w:r>
      <w:r>
        <w:rPr>
          <w:i/>
          <w:iCs/>
        </w:rPr>
        <w:t>et al.,</w:t>
      </w:r>
      <w:r>
        <w:t xml:space="preserve"> 2023). It is evident in the findings like financial barriers identified by </w:t>
      </w:r>
      <w:proofErr w:type="spellStart"/>
      <w:r>
        <w:t>Edirisooriya</w:t>
      </w:r>
      <w:proofErr w:type="spellEnd"/>
      <w:r>
        <w:t xml:space="preserve">, </w:t>
      </w:r>
      <w:proofErr w:type="spellStart"/>
      <w:r>
        <w:t>Silkens</w:t>
      </w:r>
      <w:proofErr w:type="spellEnd"/>
      <w:r>
        <w:t xml:space="preserve"> and </w:t>
      </w:r>
      <w:proofErr w:type="spellStart"/>
      <w:r>
        <w:t>Medisauskaite</w:t>
      </w:r>
      <w:proofErr w:type="spellEnd"/>
      <w:r>
        <w:t xml:space="preserve"> (2025), as well as transportation difficulties faced by older adults which is argued by (Beaven and Marshman, 2024). The findings also link with “Andersen’s Healthcare Utilisation Model” as the limitation in main facilitators like transportation, income and existing service level can result in inaccessible healthcare (</w:t>
      </w:r>
      <w:r>
        <w:rPr>
          <w:highlight w:val="white"/>
        </w:rPr>
        <w:t>Hajek, Kretzler and Koenig, 2021</w:t>
      </w:r>
      <w:r>
        <w:t xml:space="preserve">; Beaven and Marshman, 2024). </w:t>
      </w:r>
      <w:r>
        <w:lastRenderedPageBreak/>
        <w:t>Moreover, the findings represented the cultural and systemic barriers faced by ethnic minorities which is interconnected with the theory of “Health Inequality Model” as it signifies that disadvantaged groups face a higher level of unequal healthcare experiences (</w:t>
      </w:r>
      <w:proofErr w:type="spellStart"/>
      <w:r>
        <w:t>Wilderink</w:t>
      </w:r>
      <w:proofErr w:type="spellEnd"/>
      <w:r>
        <w:t xml:space="preserve"> </w:t>
      </w:r>
      <w:r>
        <w:rPr>
          <w:i/>
          <w:iCs/>
        </w:rPr>
        <w:t>et al.,</w:t>
      </w:r>
      <w:r>
        <w:t xml:space="preserve"> 2022). </w:t>
      </w:r>
    </w:p>
    <w:p w14:paraId="156D2C23" w14:textId="77777777" w:rsidR="00937900" w:rsidRDefault="00000000">
      <w:r>
        <w:t xml:space="preserve">Hence, policies and legislation of “Equality Act 2010” is related to these findings as it aids in reducing discriminative care services for the ethnic minorities and older individuals (GOV.UK., 2026). Also, it is related to “Care Act 2014”, as the development of targeted and person-centred care for </w:t>
      </w:r>
      <w:proofErr w:type="gramStart"/>
      <w:r>
        <w:t>low income</w:t>
      </w:r>
      <w:proofErr w:type="gramEnd"/>
      <w:r>
        <w:t xml:space="preserve"> communities, older populations and ethnic minorities are crucial for promoting accessible HSC services. </w:t>
      </w:r>
    </w:p>
    <w:p w14:paraId="18430353" w14:textId="77777777" w:rsidR="00937900" w:rsidRDefault="00000000">
      <w:pPr>
        <w:pStyle w:val="Heading3"/>
        <w:rPr>
          <w:sz w:val="22"/>
          <w:szCs w:val="22"/>
        </w:rPr>
      </w:pPr>
      <w:bookmarkStart w:id="45" w:name="_heading=h.pkc8ahb77p49" w:colFirst="0" w:colLast="0"/>
      <w:bookmarkEnd w:id="45"/>
      <w:r>
        <w:rPr>
          <w:sz w:val="22"/>
          <w:szCs w:val="22"/>
        </w:rPr>
        <w:t>4.3.5 Implications</w:t>
      </w:r>
    </w:p>
    <w:p w14:paraId="5DE33B00" w14:textId="77777777" w:rsidR="00937900" w:rsidRDefault="00000000">
      <w:pPr>
        <w:pBdr>
          <w:top w:val="nil"/>
          <w:left w:val="nil"/>
          <w:bottom w:val="nil"/>
          <w:right w:val="nil"/>
          <w:between w:val="nil"/>
        </w:pBdr>
      </w:pPr>
      <w:r>
        <w:t xml:space="preserve">The positive implication of the thematic findings is that it has helped to identify the key factors which have been influencing barriers to HSC across the UK. It has identified physical barriers among the older adults, financial difficulties, cultural and systematic barriers amongst the ethnic minorities which informs the practices for the policymakers and the healthcare organisations in the UK to develop targeted intervention. It also promotes the practices of developing culturally sensitive HSC services and improving access to transportation systems. </w:t>
      </w:r>
    </w:p>
    <w:p w14:paraId="715B6383" w14:textId="77777777" w:rsidR="00937900" w:rsidRDefault="00000000">
      <w:pPr>
        <w:pBdr>
          <w:top w:val="nil"/>
          <w:left w:val="nil"/>
          <w:bottom w:val="nil"/>
          <w:right w:val="nil"/>
          <w:between w:val="nil"/>
        </w:pBdr>
      </w:pPr>
      <w:r>
        <w:t xml:space="preserve">Hence the negative implications are that older adults can face physical barriers due to immobility. At the same time </w:t>
      </w:r>
      <w:proofErr w:type="gramStart"/>
      <w:r>
        <w:t>limited service</w:t>
      </w:r>
      <w:proofErr w:type="gramEnd"/>
      <w:r>
        <w:t xml:space="preserve"> availability across the UK can reduce access to proper care services (Beaven and Marshman, 2024). Moreover, economic hardship has limited people living in the UK to seek HSC support services (</w:t>
      </w:r>
      <w:proofErr w:type="spellStart"/>
      <w:r>
        <w:t>Edirisooriya</w:t>
      </w:r>
      <w:proofErr w:type="spellEnd"/>
      <w:r>
        <w:t xml:space="preserve">, </w:t>
      </w:r>
      <w:proofErr w:type="spellStart"/>
      <w:r>
        <w:t>Silkens</w:t>
      </w:r>
      <w:proofErr w:type="spellEnd"/>
      <w:r>
        <w:t xml:space="preserve"> and </w:t>
      </w:r>
      <w:proofErr w:type="spellStart"/>
      <w:r>
        <w:t>Medisauskaite</w:t>
      </w:r>
      <w:proofErr w:type="spellEnd"/>
      <w:r>
        <w:t xml:space="preserve">, 2025). On the other hand, ethnic minorities in the UK are more prone to discrimination, language and communication challenges due to which they have to deal with service delays as well as reduced trust with the HSC services. Such identified barriers can widen inequalities and significant barriers triggering negative health outcomes among the vulnerable groups such older groups and ethnic minorities. </w:t>
      </w:r>
      <w:r>
        <w:tab/>
      </w:r>
      <w:r>
        <w:tab/>
      </w:r>
    </w:p>
    <w:p w14:paraId="5A0583BC" w14:textId="77777777" w:rsidR="00937900" w:rsidRDefault="00000000">
      <w:pPr>
        <w:pStyle w:val="Heading3"/>
        <w:rPr>
          <w:sz w:val="22"/>
          <w:szCs w:val="22"/>
        </w:rPr>
      </w:pPr>
      <w:bookmarkStart w:id="46" w:name="_heading=h.c4fke5ygdunl" w:colFirst="0" w:colLast="0"/>
      <w:bookmarkEnd w:id="46"/>
      <w:r>
        <w:rPr>
          <w:sz w:val="22"/>
          <w:szCs w:val="22"/>
        </w:rPr>
        <w:t xml:space="preserve">4.3.6 Examples from Articles </w:t>
      </w:r>
    </w:p>
    <w:p w14:paraId="209BB9E9" w14:textId="77777777" w:rsidR="00937900" w:rsidRDefault="00000000">
      <w:pPr>
        <w:pBdr>
          <w:top w:val="nil"/>
          <w:left w:val="nil"/>
          <w:bottom w:val="nil"/>
          <w:right w:val="nil"/>
          <w:between w:val="nil"/>
        </w:pBdr>
      </w:pPr>
      <w:r>
        <w:t xml:space="preserve">The three chosen articles have presented main examples highlighting the barriers to HSC. The study of Beaven and Marshman (2024), mentions that older adults in the UK face mobility issues, transportation limitations and inadequate HSC services. On the contrary </w:t>
      </w:r>
      <w:proofErr w:type="spellStart"/>
      <w:r>
        <w:t>Edirisooriya</w:t>
      </w:r>
      <w:proofErr w:type="spellEnd"/>
      <w:r>
        <w:t xml:space="preserve">, </w:t>
      </w:r>
      <w:proofErr w:type="spellStart"/>
      <w:r>
        <w:t>Silkens</w:t>
      </w:r>
      <w:proofErr w:type="spellEnd"/>
      <w:r>
        <w:t xml:space="preserve"> and </w:t>
      </w:r>
      <w:proofErr w:type="spellStart"/>
      <w:r>
        <w:t>Medisauskaite</w:t>
      </w:r>
      <w:proofErr w:type="spellEnd"/>
      <w:r>
        <w:t xml:space="preserve"> (2025), stated that individuals with financial difficulties have lower help-seeking behaviours due to which they are unable to seek for the needed care services. Further, Ekezie </w:t>
      </w:r>
      <w:r>
        <w:rPr>
          <w:i/>
          <w:iCs/>
        </w:rPr>
        <w:t xml:space="preserve">et al. </w:t>
      </w:r>
      <w:r>
        <w:t xml:space="preserve">(2023), argued that ethnic minorities in England, UK face service delays because of communication problems and culturally insensitive HSC services. </w:t>
      </w:r>
    </w:p>
    <w:p w14:paraId="1137E7BB" w14:textId="77777777" w:rsidR="00937900" w:rsidRDefault="00000000">
      <w:pPr>
        <w:pStyle w:val="Heading3"/>
        <w:rPr>
          <w:sz w:val="22"/>
          <w:szCs w:val="22"/>
        </w:rPr>
      </w:pPr>
      <w:bookmarkStart w:id="47" w:name="_heading=h.lwn8iyb2cn18" w:colFirst="0" w:colLast="0"/>
      <w:bookmarkEnd w:id="47"/>
      <w:r>
        <w:rPr>
          <w:sz w:val="22"/>
          <w:szCs w:val="22"/>
        </w:rPr>
        <w:t>4.3.7 Connection to Other Themes</w:t>
      </w:r>
    </w:p>
    <w:p w14:paraId="28C19A5F" w14:textId="77777777" w:rsidR="00937900" w:rsidRDefault="00000000">
      <w:pPr>
        <w:pBdr>
          <w:top w:val="nil"/>
          <w:left w:val="nil"/>
          <w:bottom w:val="nil"/>
          <w:right w:val="nil"/>
          <w:between w:val="nil"/>
        </w:pBdr>
      </w:pPr>
      <w:r>
        <w:t xml:space="preserve">This first theme is closely related to the impact of barriers on vulnerable groups like older individuals, </w:t>
      </w:r>
      <w:proofErr w:type="gramStart"/>
      <w:r>
        <w:t>low income</w:t>
      </w:r>
      <w:proofErr w:type="gramEnd"/>
      <w:r>
        <w:t xml:space="preserve"> groups and ethnic minorities living within the UK. As physical, cultural/systemic and financial factors contribute to inequalities in the healthcare outcome and </w:t>
      </w:r>
      <w:r>
        <w:lastRenderedPageBreak/>
        <w:t xml:space="preserve">experiences, it is important to understand how such issues can influence health results of such vulnerable groups. This also further links with the examination of policies and interventions to understand the extent to which the UK HSC sector, government and policymakers are working towards building equal health and social care services for all. </w:t>
      </w:r>
    </w:p>
    <w:p w14:paraId="264BF326" w14:textId="77777777" w:rsidR="00937900" w:rsidRDefault="00000000">
      <w:pPr>
        <w:pStyle w:val="Heading2"/>
        <w:rPr>
          <w:sz w:val="22"/>
          <w:szCs w:val="22"/>
        </w:rPr>
      </w:pPr>
      <w:bookmarkStart w:id="48" w:name="_heading=h.kvcsuzgzish8" w:colFirst="0" w:colLast="0"/>
      <w:bookmarkEnd w:id="48"/>
      <w:r>
        <w:rPr>
          <w:sz w:val="22"/>
          <w:szCs w:val="22"/>
        </w:rPr>
        <w:t xml:space="preserve">4.4 Theme 2: Impact of health and social care barriers on vulnerable groups like older adults, low-income earners and ethnic minorities  </w:t>
      </w:r>
    </w:p>
    <w:p w14:paraId="4ABBBAF7" w14:textId="77777777" w:rsidR="00937900" w:rsidRDefault="00000000">
      <w:pPr>
        <w:pStyle w:val="Heading3"/>
        <w:rPr>
          <w:sz w:val="22"/>
          <w:szCs w:val="22"/>
        </w:rPr>
      </w:pPr>
      <w:bookmarkStart w:id="49" w:name="_heading=h.9fmexg18fl3" w:colFirst="0" w:colLast="0"/>
      <w:bookmarkEnd w:id="49"/>
      <w:r>
        <w:rPr>
          <w:sz w:val="22"/>
          <w:szCs w:val="22"/>
        </w:rPr>
        <w:t xml:space="preserve">4.4.1 Definition and Background </w:t>
      </w:r>
    </w:p>
    <w:p w14:paraId="1F007E7C" w14:textId="77777777" w:rsidR="00937900" w:rsidRDefault="00000000">
      <w:r>
        <w:t xml:space="preserve">The second theme explores the impact of barriers to HSC services on vulnerable individuals, specifically older adults, ethnic minorities and low-income groups in the UK. According to Aujla </w:t>
      </w:r>
      <w:r>
        <w:rPr>
          <w:i/>
          <w:iCs/>
        </w:rPr>
        <w:t xml:space="preserve">et al. </w:t>
      </w:r>
      <w:r>
        <w:t xml:space="preserve">(2023), the older population is growing increasingly in the UK due to which chronic health needs are rising, putting pressure on existing HSC service delivery. Such increases massive inequalities hinder the quality of living for older adults. In contrast, </w:t>
      </w:r>
      <w:proofErr w:type="spellStart"/>
      <w:r>
        <w:t>Kanjilal</w:t>
      </w:r>
      <w:proofErr w:type="spellEnd"/>
      <w:r>
        <w:t xml:space="preserve"> and </w:t>
      </w:r>
      <w:proofErr w:type="spellStart"/>
      <w:r>
        <w:t>Arnull</w:t>
      </w:r>
      <w:proofErr w:type="spellEnd"/>
      <w:r>
        <w:t xml:space="preserve"> (2025), asserted that ethnic minorities and older groups often faced with discrimination, cultural misunderstandings and absence of appropriate culture sensitive care services. It states that disadvantaged groups of elderly individuals in the UK have limited income levels which also contributes to limited HSC access. Hence such rising issues have an effective relation with poorer health outcomes. </w:t>
      </w:r>
    </w:p>
    <w:p w14:paraId="71010BF9" w14:textId="77777777" w:rsidR="00937900" w:rsidRDefault="00000000">
      <w:pPr>
        <w:pStyle w:val="Heading3"/>
        <w:rPr>
          <w:sz w:val="22"/>
          <w:szCs w:val="22"/>
        </w:rPr>
      </w:pPr>
      <w:bookmarkStart w:id="50" w:name="_heading=h.2612hp8ssrmn" w:colFirst="0" w:colLast="0"/>
      <w:bookmarkEnd w:id="50"/>
      <w:r>
        <w:rPr>
          <w:sz w:val="22"/>
          <w:szCs w:val="22"/>
        </w:rPr>
        <w:t>4.4.2 Impact on Research Objective</w:t>
      </w:r>
    </w:p>
    <w:p w14:paraId="503540BF" w14:textId="77777777" w:rsidR="00937900" w:rsidRDefault="00000000">
      <w:pPr>
        <w:pBdr>
          <w:top w:val="nil"/>
          <w:left w:val="nil"/>
          <w:bottom w:val="nil"/>
          <w:right w:val="nil"/>
          <w:between w:val="nil"/>
        </w:pBdr>
      </w:pPr>
      <w:r>
        <w:t xml:space="preserve">The theme is directly linked with the second objective as barriers to equal HSC services can bring major negative health implications. The findings note that vulnerable groups like elderly individuals, ethnic minorities and low-income earners are at greater risk of unmet health needs and poorer HSC experiences. This is supported by Aujla </w:t>
      </w:r>
      <w:r>
        <w:rPr>
          <w:i/>
          <w:iCs/>
        </w:rPr>
        <w:t xml:space="preserve">et al. </w:t>
      </w:r>
      <w:r>
        <w:t xml:space="preserve">(2023), which states that the older adults in the UK rely on integrated care due to their complicated healthcare requirements along with immobility. However, due to the fragmented UK HSC services, they struggled in gaining coordinated care. Thus, this contributes to declining health and worsened quality of living. While Aujla </w:t>
      </w:r>
      <w:r>
        <w:rPr>
          <w:i/>
          <w:iCs/>
        </w:rPr>
        <w:t xml:space="preserve">et al. </w:t>
      </w:r>
      <w:r>
        <w:t xml:space="preserve">(2023), mentions about the structural barriers like fragmented services and physical health condition of older adults, </w:t>
      </w:r>
      <w:proofErr w:type="spellStart"/>
      <w:r>
        <w:t>Kanjilal</w:t>
      </w:r>
      <w:proofErr w:type="spellEnd"/>
      <w:r>
        <w:t xml:space="preserve"> and </w:t>
      </w:r>
      <w:proofErr w:type="spellStart"/>
      <w:r>
        <w:t>Arnull</w:t>
      </w:r>
      <w:proofErr w:type="spellEnd"/>
      <w:r>
        <w:t xml:space="preserve"> (2025), argues that individuals with low income and elderly people from the UK ethnic minority communities often experience cultural misinterpretation, linguistic barriers and deep-rooted age and race biases and discrimination. This hinders them to gain the access to quality and personalised care services which leads to declining health conditions. Further, limited financial support exacerbates their challenges in receiving tailored care which adds to their worsening health and well-being. </w:t>
      </w:r>
    </w:p>
    <w:p w14:paraId="2601D1CE" w14:textId="77777777" w:rsidR="00937900" w:rsidRDefault="00000000">
      <w:pPr>
        <w:pStyle w:val="Heading3"/>
        <w:rPr>
          <w:sz w:val="22"/>
          <w:szCs w:val="22"/>
        </w:rPr>
      </w:pPr>
      <w:bookmarkStart w:id="51" w:name="_heading=h.7s3w5vggsxo5" w:colFirst="0" w:colLast="0"/>
      <w:bookmarkEnd w:id="51"/>
      <w:r>
        <w:rPr>
          <w:sz w:val="22"/>
          <w:szCs w:val="22"/>
        </w:rPr>
        <w:t xml:space="preserve">4.4.3 Statistical Information </w:t>
      </w:r>
    </w:p>
    <w:p w14:paraId="2EDA8D53" w14:textId="77777777" w:rsidR="00937900" w:rsidRDefault="00000000">
      <w:pPr>
        <w:pBdr>
          <w:top w:val="nil"/>
          <w:left w:val="nil"/>
          <w:bottom w:val="nil"/>
          <w:right w:val="nil"/>
          <w:between w:val="nil"/>
        </w:pBdr>
      </w:pPr>
      <w:r>
        <w:t xml:space="preserve">By looking into the statistical information, Aujla </w:t>
      </w:r>
      <w:r>
        <w:rPr>
          <w:i/>
          <w:iCs/>
        </w:rPr>
        <w:t xml:space="preserve">et al. </w:t>
      </w:r>
      <w:r>
        <w:t xml:space="preserve">(2023), have integrated a qualitative research method where it has reviewed health and social care documents of England (27 studies) and Scotland (28 studies). These studies have represented invariable insights into </w:t>
      </w:r>
      <w:r>
        <w:lastRenderedPageBreak/>
        <w:t xml:space="preserve">the poor health and wellbeing of elderly groups influenced by lack of coordinated services and presence of chronic health issues involving immobility among such groups. </w:t>
      </w:r>
    </w:p>
    <w:p w14:paraId="116C798E" w14:textId="77777777" w:rsidR="00937900" w:rsidRDefault="00000000">
      <w:pPr>
        <w:pBdr>
          <w:top w:val="nil"/>
          <w:left w:val="nil"/>
          <w:bottom w:val="nil"/>
          <w:right w:val="nil"/>
          <w:between w:val="nil"/>
        </w:pBdr>
      </w:pPr>
      <w:r>
        <w:t xml:space="preserve">However, </w:t>
      </w:r>
      <w:proofErr w:type="spellStart"/>
      <w:r>
        <w:t>Kanjilal</w:t>
      </w:r>
      <w:proofErr w:type="spellEnd"/>
      <w:r>
        <w:t xml:space="preserve"> and </w:t>
      </w:r>
      <w:proofErr w:type="spellStart"/>
      <w:r>
        <w:t>Arnull</w:t>
      </w:r>
      <w:proofErr w:type="spellEnd"/>
      <w:r>
        <w:t xml:space="preserve"> (2025), have integrated a qualitative and survey quantitative approach which has found that 29% of the ethnic minority from BAME communities of the UK belong to the </w:t>
      </w:r>
      <w:proofErr w:type="gramStart"/>
      <w:r>
        <w:t>low income</w:t>
      </w:r>
      <w:proofErr w:type="gramEnd"/>
      <w:r>
        <w:t xml:space="preserve"> group where 33% of the population are from the age of 75 years and above. Due to the absence of culture appropriate HSC services in the UK and the growing age and race-related discrimination, such vulnerable groups are deprived from maintaining better health and quality living.   </w:t>
      </w:r>
    </w:p>
    <w:p w14:paraId="097FEC3E" w14:textId="77777777" w:rsidR="00937900" w:rsidRDefault="00000000">
      <w:pPr>
        <w:pStyle w:val="Heading3"/>
        <w:rPr>
          <w:sz w:val="22"/>
          <w:szCs w:val="22"/>
        </w:rPr>
      </w:pPr>
      <w:bookmarkStart w:id="52" w:name="_heading=h.g64qmkkidh57" w:colFirst="0" w:colLast="0"/>
      <w:bookmarkEnd w:id="52"/>
      <w:r>
        <w:rPr>
          <w:sz w:val="22"/>
          <w:szCs w:val="22"/>
        </w:rPr>
        <w:t xml:space="preserve">4.4.4 Theories, Policies and Legislations </w:t>
      </w:r>
    </w:p>
    <w:p w14:paraId="0B96CE15" w14:textId="77777777" w:rsidR="00937900" w:rsidRDefault="00000000">
      <w:pPr>
        <w:pBdr>
          <w:top w:val="nil"/>
          <w:left w:val="nil"/>
          <w:bottom w:val="nil"/>
          <w:right w:val="nil"/>
          <w:between w:val="nil"/>
        </w:pBdr>
      </w:pPr>
      <w:r>
        <w:t xml:space="preserve">The finding has an effective connection with </w:t>
      </w:r>
      <w:r>
        <w:rPr>
          <w:b/>
          <w:bCs/>
        </w:rPr>
        <w:t xml:space="preserve">theories </w:t>
      </w:r>
      <w:r>
        <w:t xml:space="preserve">like “Social Determinants of Health” as economic and social factors like low income, culture, age discrimination influences adverse health outcomes by increasing HSC inequalities (Vo </w:t>
      </w:r>
      <w:r>
        <w:rPr>
          <w:i/>
          <w:iCs/>
        </w:rPr>
        <w:t>et al.,</w:t>
      </w:r>
      <w:r>
        <w:t xml:space="preserve"> 2023). The thematic result is associated with “Health inequality theory” as it has explained why certain groups like older adults, ethnic minorities and low-income groups deal with unequal HSC service access by demonstrating discrimination and lack of personalised and uncoordinated care (</w:t>
      </w:r>
      <w:proofErr w:type="spellStart"/>
      <w:r>
        <w:rPr>
          <w:highlight w:val="white"/>
        </w:rPr>
        <w:t>Wilderink</w:t>
      </w:r>
      <w:proofErr w:type="spellEnd"/>
      <w:r>
        <w:rPr>
          <w:i/>
          <w:iCs/>
          <w:highlight w:val="white"/>
        </w:rPr>
        <w:t xml:space="preserve"> et al.,</w:t>
      </w:r>
      <w:r>
        <w:rPr>
          <w:highlight w:val="white"/>
        </w:rPr>
        <w:t xml:space="preserve"> 2022</w:t>
      </w:r>
      <w:r>
        <w:t xml:space="preserve">). </w:t>
      </w:r>
    </w:p>
    <w:p w14:paraId="336CC103" w14:textId="77777777" w:rsidR="00937900" w:rsidRDefault="00000000">
      <w:pPr>
        <w:pBdr>
          <w:top w:val="nil"/>
          <w:left w:val="nil"/>
          <w:bottom w:val="nil"/>
          <w:right w:val="nil"/>
          <w:between w:val="nil"/>
        </w:pBdr>
      </w:pPr>
      <w:r>
        <w:t xml:space="preserve">Further it relates with the “Care Act 2014” as the findings have provided the need of developing integrated care for elderly individuals (GOV.UK, 2026). At the same time, Glover-Thomas (2026) states that “Health and Social Care Act 2012” aims to enhance service quality and patient outcome due to which the development of responsible policy is imperative to improve health and social care access for older individuals from ethnic minorities and low income. </w:t>
      </w:r>
    </w:p>
    <w:p w14:paraId="6E357192" w14:textId="77777777" w:rsidR="00937900" w:rsidRDefault="00000000">
      <w:pPr>
        <w:pStyle w:val="Heading3"/>
        <w:rPr>
          <w:sz w:val="22"/>
          <w:szCs w:val="22"/>
        </w:rPr>
      </w:pPr>
      <w:bookmarkStart w:id="53" w:name="_heading=h.l1hgsvv3zxfa" w:colFirst="0" w:colLast="0"/>
      <w:bookmarkEnd w:id="53"/>
      <w:r>
        <w:rPr>
          <w:sz w:val="22"/>
          <w:szCs w:val="22"/>
        </w:rPr>
        <w:t>4.4.5 Implications</w:t>
      </w:r>
    </w:p>
    <w:p w14:paraId="1352D3F2" w14:textId="77777777" w:rsidR="00937900" w:rsidRDefault="00000000">
      <w:pPr>
        <w:pBdr>
          <w:top w:val="nil"/>
          <w:left w:val="nil"/>
          <w:bottom w:val="nil"/>
          <w:right w:val="nil"/>
          <w:between w:val="nil"/>
        </w:pBdr>
      </w:pPr>
      <w:r>
        <w:t xml:space="preserve">The findings have illustrated negative implications like unmet needs, lack of integrated care, poorer health outcomes and deteriorating quality of living among the elderly groups, ethnic minorities and financially deprived older adults (Aujla </w:t>
      </w:r>
      <w:r>
        <w:rPr>
          <w:i/>
          <w:iCs/>
        </w:rPr>
        <w:t xml:space="preserve">et al., </w:t>
      </w:r>
      <w:r>
        <w:t xml:space="preserve">2023; </w:t>
      </w:r>
      <w:proofErr w:type="spellStart"/>
      <w:r>
        <w:t>Kanjilal</w:t>
      </w:r>
      <w:proofErr w:type="spellEnd"/>
      <w:r>
        <w:t xml:space="preserve"> and </w:t>
      </w:r>
      <w:proofErr w:type="spellStart"/>
      <w:r>
        <w:t>Arnull</w:t>
      </w:r>
      <w:proofErr w:type="spellEnd"/>
      <w:r>
        <w:t xml:space="preserve">, 2025). Hence, the positive implication is that the findings have delivered the importance of developing responsible policies and targeted interventions for promoting better healthcare access and support for such groups (Aujla </w:t>
      </w:r>
      <w:r>
        <w:rPr>
          <w:i/>
          <w:iCs/>
        </w:rPr>
        <w:t xml:space="preserve">et al., </w:t>
      </w:r>
      <w:r>
        <w:t xml:space="preserve">2023). Therefore, a strong policy framework and fair healthcare practices is needed to reduce barriers to health and social care.   </w:t>
      </w:r>
    </w:p>
    <w:p w14:paraId="6B999F96" w14:textId="77777777" w:rsidR="00937900" w:rsidRDefault="00000000">
      <w:pPr>
        <w:pStyle w:val="Heading3"/>
        <w:rPr>
          <w:sz w:val="22"/>
          <w:szCs w:val="22"/>
        </w:rPr>
      </w:pPr>
      <w:bookmarkStart w:id="54" w:name="_heading=h.7jsd5ovfuxoo" w:colFirst="0" w:colLast="0"/>
      <w:bookmarkEnd w:id="54"/>
      <w:r>
        <w:rPr>
          <w:sz w:val="22"/>
          <w:szCs w:val="22"/>
        </w:rPr>
        <w:t xml:space="preserve">4.4.6 Examples from Articles </w:t>
      </w:r>
    </w:p>
    <w:p w14:paraId="7F8C31ED" w14:textId="77777777" w:rsidR="00937900" w:rsidRDefault="00000000">
      <w:r>
        <w:t xml:space="preserve">The studies have provided effective examples where Aujla </w:t>
      </w:r>
      <w:r>
        <w:rPr>
          <w:i/>
          <w:iCs/>
        </w:rPr>
        <w:t xml:space="preserve">et al. </w:t>
      </w:r>
      <w:r>
        <w:t xml:space="preserve">(2023), identified the uncoordinated care services experienced by older adults while </w:t>
      </w:r>
      <w:proofErr w:type="spellStart"/>
      <w:r>
        <w:t>Kanjilal</w:t>
      </w:r>
      <w:proofErr w:type="spellEnd"/>
      <w:r>
        <w:t xml:space="preserve"> and </w:t>
      </w:r>
      <w:proofErr w:type="spellStart"/>
      <w:r>
        <w:t>Arnull</w:t>
      </w:r>
      <w:proofErr w:type="spellEnd"/>
      <w:r>
        <w:t xml:space="preserve"> (2025), showed the evidence of discrimination and insensitive care services for older adults from ethnic minorities. Also, financial constraints have been linked with adverse health outcomes among such groups. </w:t>
      </w:r>
    </w:p>
    <w:p w14:paraId="40645BCA" w14:textId="77777777" w:rsidR="00937900" w:rsidRDefault="00000000">
      <w:pPr>
        <w:pStyle w:val="Heading3"/>
        <w:rPr>
          <w:sz w:val="22"/>
          <w:szCs w:val="22"/>
        </w:rPr>
      </w:pPr>
      <w:bookmarkStart w:id="55" w:name="_heading=h.w1r30xfsbwzp" w:colFirst="0" w:colLast="0"/>
      <w:bookmarkEnd w:id="55"/>
      <w:r>
        <w:rPr>
          <w:sz w:val="22"/>
          <w:szCs w:val="22"/>
        </w:rPr>
        <w:lastRenderedPageBreak/>
        <w:t>4.4.7 Connection to Other Themes</w:t>
      </w:r>
    </w:p>
    <w:p w14:paraId="6522369D" w14:textId="77777777" w:rsidR="00937900" w:rsidRDefault="00000000">
      <w:pPr>
        <w:pBdr>
          <w:top w:val="nil"/>
          <w:left w:val="nil"/>
          <w:bottom w:val="nil"/>
          <w:right w:val="nil"/>
          <w:between w:val="nil"/>
        </w:pBdr>
      </w:pPr>
      <w:r>
        <w:t xml:space="preserve">This finding is connected with the first theme as it has examined the influence of barriers to health and social care access on among vulnerable groups in the UK. It has found a strong relation of integrated care and fair HSC delivery and the declining health condition and living quality. </w:t>
      </w:r>
    </w:p>
    <w:p w14:paraId="6C9603E4" w14:textId="77777777" w:rsidR="00937900" w:rsidRDefault="00000000">
      <w:pPr>
        <w:pStyle w:val="Heading2"/>
        <w:rPr>
          <w:sz w:val="22"/>
          <w:szCs w:val="22"/>
        </w:rPr>
      </w:pPr>
      <w:bookmarkStart w:id="56" w:name="_heading=h.63o4ml10s32v" w:colFirst="0" w:colLast="0"/>
      <w:bookmarkEnd w:id="56"/>
      <w:r>
        <w:rPr>
          <w:sz w:val="22"/>
          <w:szCs w:val="22"/>
        </w:rPr>
        <w:t xml:space="preserve">4.5 Theme 3 Current policies and interventions to address inequalities in health and social care access  </w:t>
      </w:r>
    </w:p>
    <w:p w14:paraId="52204062" w14:textId="77777777" w:rsidR="00937900" w:rsidRDefault="00000000">
      <w:pPr>
        <w:pStyle w:val="Heading3"/>
        <w:rPr>
          <w:sz w:val="22"/>
          <w:szCs w:val="22"/>
        </w:rPr>
      </w:pPr>
      <w:bookmarkStart w:id="57" w:name="_heading=h.7zk0kfjwjwjt" w:colFirst="0" w:colLast="0"/>
      <w:bookmarkEnd w:id="57"/>
      <w:r>
        <w:rPr>
          <w:sz w:val="22"/>
          <w:szCs w:val="22"/>
        </w:rPr>
        <w:t xml:space="preserve">4.5.1 Definition and Background </w:t>
      </w:r>
    </w:p>
    <w:p w14:paraId="3A52C180" w14:textId="77777777" w:rsidR="00937900" w:rsidRDefault="00000000">
      <w:r>
        <w:t xml:space="preserve">This theme evaluates the current policies and interventions which are integrated within the UK for addressing inequalities in HSC. Health inequalities have grown drastically over the years and tackling this issue has remained the core focus of the UK HSC. Although there are many policies adopted by the NHS, the anticipated outcomes are much slower (Ayers </w:t>
      </w:r>
      <w:r>
        <w:rPr>
          <w:i/>
          <w:iCs/>
        </w:rPr>
        <w:t xml:space="preserve">et al., </w:t>
      </w:r>
      <w:r>
        <w:t xml:space="preserve">2024; NHS England, 2024). Despite this, the existing reforms emphasises on prevention and targeted support to build accessible HSC for older groups, ethnic minorities and low-income individuals in the UK.  </w:t>
      </w:r>
    </w:p>
    <w:p w14:paraId="13D6136F" w14:textId="77777777" w:rsidR="00937900" w:rsidRDefault="00000000">
      <w:pPr>
        <w:pStyle w:val="Heading3"/>
        <w:rPr>
          <w:sz w:val="22"/>
          <w:szCs w:val="22"/>
        </w:rPr>
      </w:pPr>
      <w:bookmarkStart w:id="58" w:name="_heading=h.fyeaclolhlcc" w:colFirst="0" w:colLast="0"/>
      <w:bookmarkEnd w:id="58"/>
      <w:r>
        <w:rPr>
          <w:sz w:val="22"/>
          <w:szCs w:val="22"/>
        </w:rPr>
        <w:t>4.5.2 Impact on Research Objective</w:t>
      </w:r>
    </w:p>
    <w:p w14:paraId="16B44B30" w14:textId="77777777" w:rsidR="00937900" w:rsidRDefault="00000000">
      <w:r>
        <w:t xml:space="preserve">The thematic findings of Ayres </w:t>
      </w:r>
      <w:r>
        <w:rPr>
          <w:i/>
          <w:iCs/>
        </w:rPr>
        <w:t xml:space="preserve">et al. </w:t>
      </w:r>
      <w:r>
        <w:t xml:space="preserve">(2024), impacts the third research objective by showcasing the effectiveness of the health policy to address inequalities. The UK government has implemented the policy to address social issues to reduce health inequalities by promoting housing programs, improving urban areas by strengthening transportation and working closely with the NHS to increase HSC access. However, Ayres </w:t>
      </w:r>
      <w:r>
        <w:rPr>
          <w:i/>
          <w:iCs/>
        </w:rPr>
        <w:t xml:space="preserve">et al. </w:t>
      </w:r>
      <w:r>
        <w:t xml:space="preserve">(2024), argued that the implementation rate of such policies are slower due to which the recent progress level of improving accessible HSC has become limited for vulnerable groups like older adults, low income and ethnic minorities. </w:t>
      </w:r>
    </w:p>
    <w:p w14:paraId="1DB53D51" w14:textId="77777777" w:rsidR="00937900" w:rsidRDefault="00000000">
      <w:r>
        <w:t xml:space="preserve">On the contrary, the policy document of NHS England (2024), has provided the initiative of “Core20PLUS” which is embedded across the NHS operation to help deprived ethnic minorities, older adults and financially unstable individuals by delivering accessible, integrated and fair care services. Further it reveals that NICE is assisting the NHS to reduce inequalities by providing available quality standards and evidence-based guidance to overcome this problem. Although this is effectively helping the HSC sector of the UK in reducing inequalities by increasing accessible care, improvement in transportation, the cases of age and racial discrimination, lower access to quality food and ineffective integrated care are still prevalent in the UK. </w:t>
      </w:r>
    </w:p>
    <w:p w14:paraId="4CFE0DD6" w14:textId="77777777" w:rsidR="00937900" w:rsidRDefault="00000000">
      <w:pPr>
        <w:pStyle w:val="Heading3"/>
        <w:rPr>
          <w:sz w:val="22"/>
          <w:szCs w:val="22"/>
        </w:rPr>
      </w:pPr>
      <w:bookmarkStart w:id="59" w:name="_heading=h.brcta4401cfh" w:colFirst="0" w:colLast="0"/>
      <w:bookmarkEnd w:id="59"/>
      <w:r>
        <w:rPr>
          <w:sz w:val="22"/>
          <w:szCs w:val="22"/>
        </w:rPr>
        <w:t xml:space="preserve">4.5.3 Statistical Information </w:t>
      </w:r>
    </w:p>
    <w:p w14:paraId="4965BA89" w14:textId="77777777" w:rsidR="00937900" w:rsidRDefault="00000000">
      <w:proofErr w:type="gramStart"/>
      <w:r>
        <w:t xml:space="preserve">The review of Ayers </w:t>
      </w:r>
      <w:r>
        <w:rPr>
          <w:i/>
          <w:iCs/>
        </w:rPr>
        <w:t xml:space="preserve">et al. </w:t>
      </w:r>
      <w:r>
        <w:t>(2024),</w:t>
      </w:r>
      <w:proofErr w:type="gramEnd"/>
      <w:r>
        <w:t xml:space="preserve"> has integrated qualitative and quantitative methods where it found that 89% of the deaths are common among the deprived communities and the life expectancy level of older individuals from </w:t>
      </w:r>
      <w:proofErr w:type="gramStart"/>
      <w:r>
        <w:t>low income</w:t>
      </w:r>
      <w:proofErr w:type="gramEnd"/>
      <w:r>
        <w:t xml:space="preserve"> state and disadvantaged communities </w:t>
      </w:r>
      <w:proofErr w:type="gramStart"/>
      <w:r>
        <w:lastRenderedPageBreak/>
        <w:t>has</w:t>
      </w:r>
      <w:proofErr w:type="gramEnd"/>
      <w:r>
        <w:t xml:space="preserve"> decreased over the last 10 years. Such indicates the ineffective implications of targeted intervention and health policy in the UK. </w:t>
      </w:r>
      <w:proofErr w:type="gramStart"/>
      <w:r>
        <w:t>In spite of</w:t>
      </w:r>
      <w:proofErr w:type="gramEnd"/>
      <w:r>
        <w:t xml:space="preserve"> this, “Core20PLUS” has targeted 20% of the deprived communities in the UK involving ethnic minorities, elderly people and </w:t>
      </w:r>
      <w:proofErr w:type="gramStart"/>
      <w:r>
        <w:t>low income</w:t>
      </w:r>
      <w:proofErr w:type="gramEnd"/>
      <w:r>
        <w:t xml:space="preserve"> groups (NHS England, 2024). However, this initiative may not have significant influence on the wider UK communities. </w:t>
      </w:r>
    </w:p>
    <w:p w14:paraId="5EB1F3E8" w14:textId="77777777" w:rsidR="00937900" w:rsidRDefault="00000000">
      <w:pPr>
        <w:pStyle w:val="Heading3"/>
        <w:rPr>
          <w:sz w:val="22"/>
          <w:szCs w:val="22"/>
        </w:rPr>
      </w:pPr>
      <w:bookmarkStart w:id="60" w:name="_heading=h.vsjt2pgsf2vj" w:colFirst="0" w:colLast="0"/>
      <w:bookmarkEnd w:id="60"/>
      <w:r>
        <w:rPr>
          <w:sz w:val="22"/>
          <w:szCs w:val="22"/>
        </w:rPr>
        <w:t>4.5.4 Theories, Policies and Legislations</w:t>
      </w:r>
    </w:p>
    <w:p w14:paraId="6BE6F8D3" w14:textId="77777777" w:rsidR="00937900" w:rsidRDefault="00000000">
      <w:r>
        <w:t xml:space="preserve">The findings associate well with the theories of “Social determinants of health” as it has shown the relevance of poverty education housing as the factor contributing to HSC barriers and poor health outcomes. Although the NHS has worked to reduce such inequalities, the wider application of its targeted intervention is still ineffective. Consequently, the findings also interconnect with “Health inequality theory” as it has provided the experiences and challenges which are faced by ethnic minorities and elderly individuals like poor food quality and discriminative HSC services. This signifies the failure of policymakers, governments and the NHS in mitigating any inequalities in health and social care. </w:t>
      </w:r>
    </w:p>
    <w:p w14:paraId="16E4A5EC" w14:textId="77777777" w:rsidR="00937900" w:rsidRDefault="00000000">
      <w:r>
        <w:t xml:space="preserve">The results have given importance in embedding “Equality Act 2010” to overcome the challenges of age and race discrimination faced by elderly adults from ethnic minorities. Further, it links with “Care Act 2014” as there is a need for strengthening the integrated care services to promote proper health and living conditions for vulnerable individuals and groups within the UK.  </w:t>
      </w:r>
    </w:p>
    <w:p w14:paraId="5CBE1E88" w14:textId="77777777" w:rsidR="00937900" w:rsidRDefault="00000000">
      <w:pPr>
        <w:pStyle w:val="Heading3"/>
        <w:rPr>
          <w:sz w:val="22"/>
          <w:szCs w:val="22"/>
        </w:rPr>
      </w:pPr>
      <w:bookmarkStart w:id="61" w:name="_heading=h.6hr5eqmlo8hm" w:colFirst="0" w:colLast="0"/>
      <w:bookmarkEnd w:id="61"/>
      <w:r>
        <w:rPr>
          <w:sz w:val="22"/>
          <w:szCs w:val="22"/>
        </w:rPr>
        <w:t>4.5.5 Implications</w:t>
      </w:r>
    </w:p>
    <w:p w14:paraId="04A63268" w14:textId="77777777" w:rsidR="00937900" w:rsidRDefault="00000000">
      <w:r>
        <w:t xml:space="preserve">On the positive note the findings suggest that the current policies have increased the awareness of health inequalities and has introduced a specialised intervention for disadvantaged groups in the UK. However, the negative implications include the gap between adoption and actual results of such intervention and policies. Due to this, the issue of HSC accessibility for elderly, ethnic minorities and </w:t>
      </w:r>
      <w:proofErr w:type="gramStart"/>
      <w:r>
        <w:t>low income</w:t>
      </w:r>
      <w:proofErr w:type="gramEnd"/>
      <w:r>
        <w:t xml:space="preserve"> groups still </w:t>
      </w:r>
      <w:proofErr w:type="gramStart"/>
      <w:r>
        <w:t>needs</w:t>
      </w:r>
      <w:proofErr w:type="gramEnd"/>
      <w:r>
        <w:t xml:space="preserve"> consistent and committed improvements. </w:t>
      </w:r>
    </w:p>
    <w:p w14:paraId="76E881F1" w14:textId="77777777" w:rsidR="00937900" w:rsidRDefault="00000000">
      <w:pPr>
        <w:pStyle w:val="Heading3"/>
        <w:rPr>
          <w:sz w:val="22"/>
          <w:szCs w:val="22"/>
        </w:rPr>
      </w:pPr>
      <w:bookmarkStart w:id="62" w:name="_heading=h.ilc84ahs2dqh" w:colFirst="0" w:colLast="0"/>
      <w:bookmarkEnd w:id="62"/>
      <w:r>
        <w:rPr>
          <w:sz w:val="22"/>
          <w:szCs w:val="22"/>
        </w:rPr>
        <w:t xml:space="preserve">4.5.6 Examples from Articles </w:t>
      </w:r>
    </w:p>
    <w:p w14:paraId="50CDE34D" w14:textId="77777777" w:rsidR="00937900" w:rsidRDefault="00000000">
      <w:r>
        <w:t>An important example includes the “Core20Plus” program of the NHS which covers the accessible care services like mental health and chronic conditions of cancer and cardiovascular, respiratory and other issues for the elderly adults living in deprived communities. However, the target of only 20% may not be sufficient to address the wider inequalities among the aging population. Nevertheless, the government of the UK has implemented collaborative approaches to improve better access to housing, food and HSC services. However, Ayers</w:t>
      </w:r>
      <w:r>
        <w:rPr>
          <w:i/>
          <w:iCs/>
        </w:rPr>
        <w:t xml:space="preserve"> et al.</w:t>
      </w:r>
      <w:r>
        <w:t xml:space="preserve"> (2024), have found a substantial gap between the actual results and implementation of such interventions. </w:t>
      </w:r>
    </w:p>
    <w:p w14:paraId="0595D86B" w14:textId="77777777" w:rsidR="00937900" w:rsidRDefault="00000000">
      <w:pPr>
        <w:pStyle w:val="Heading3"/>
        <w:rPr>
          <w:sz w:val="22"/>
          <w:szCs w:val="22"/>
        </w:rPr>
      </w:pPr>
      <w:bookmarkStart w:id="63" w:name="_heading=h.sf1peqjcmdij" w:colFirst="0" w:colLast="0"/>
      <w:bookmarkEnd w:id="63"/>
      <w:r>
        <w:rPr>
          <w:sz w:val="22"/>
          <w:szCs w:val="22"/>
        </w:rPr>
        <w:lastRenderedPageBreak/>
        <w:t>4.5.7 Connection to Other Themes</w:t>
      </w:r>
    </w:p>
    <w:p w14:paraId="609C335F" w14:textId="77777777" w:rsidR="00937900" w:rsidRDefault="00000000">
      <w:r>
        <w:t xml:space="preserve">It is connected to the fourth theme as it has highlighted the both advantage and limitation of present policy as an intervention for overcoming health care inequalities. Therefore, in the following theme, the findings will explore the key strategies which can be incorporated to minimise these issues more effectively. </w:t>
      </w:r>
    </w:p>
    <w:p w14:paraId="636BADAF" w14:textId="77777777" w:rsidR="00937900" w:rsidRDefault="00000000">
      <w:pPr>
        <w:pBdr>
          <w:top w:val="nil"/>
          <w:left w:val="nil"/>
          <w:bottom w:val="nil"/>
          <w:right w:val="nil"/>
          <w:between w:val="nil"/>
        </w:pBdr>
      </w:pPr>
      <w:r>
        <w:br w:type="page"/>
      </w:r>
    </w:p>
    <w:p w14:paraId="34F2FB2D" w14:textId="77777777" w:rsidR="00937900" w:rsidRDefault="00000000">
      <w:pPr>
        <w:pStyle w:val="Heading2"/>
        <w:rPr>
          <w:sz w:val="22"/>
          <w:szCs w:val="22"/>
        </w:rPr>
      </w:pPr>
      <w:bookmarkStart w:id="64" w:name="_heading=h.raj8ah5pvx9c" w:colFirst="0" w:colLast="0"/>
      <w:bookmarkEnd w:id="64"/>
      <w:r>
        <w:rPr>
          <w:sz w:val="22"/>
          <w:szCs w:val="22"/>
        </w:rPr>
        <w:lastRenderedPageBreak/>
        <w:t xml:space="preserve">4.6 Theme 4: Improving accessibility to Health and Social Care </w:t>
      </w:r>
    </w:p>
    <w:p w14:paraId="689AB6B3" w14:textId="77777777" w:rsidR="00937900" w:rsidRDefault="00000000">
      <w:pPr>
        <w:pStyle w:val="Heading3"/>
        <w:rPr>
          <w:sz w:val="22"/>
          <w:szCs w:val="22"/>
        </w:rPr>
      </w:pPr>
      <w:bookmarkStart w:id="65" w:name="_heading=h.1rab6wrgoved" w:colFirst="0" w:colLast="0"/>
      <w:bookmarkEnd w:id="65"/>
      <w:r>
        <w:rPr>
          <w:sz w:val="22"/>
          <w:szCs w:val="22"/>
        </w:rPr>
        <w:t xml:space="preserve">4.6.1 Definition and Background </w:t>
      </w:r>
    </w:p>
    <w:p w14:paraId="125FEA90" w14:textId="77777777" w:rsidR="00937900" w:rsidRDefault="00000000">
      <w:r>
        <w:t xml:space="preserve">Promoting accessibility in health and social care means lowering or removing major barriers that limit individuals from getting apt and timely care. In the context of the UK, accessibility is a key principle of the NHS which focuses on offering healthcare without any cost and based on clinical requirements instead of clinical capacity. However, accessibility is not just limited to cost of care but also is inclusive of availability of transportation, efficiency of communication, cultural aptness, social awareness and location. </w:t>
      </w:r>
    </w:p>
    <w:p w14:paraId="04B6619F" w14:textId="77777777" w:rsidR="00937900" w:rsidRDefault="00000000">
      <w:r>
        <w:t xml:space="preserve">However, even with the use of universal healthcare framework within the NHS, there are several inequalities being persistent across the nation’s health and social care system. Vulnerable populations including ethnic minority groups, households with low income, older demographics and people residing in rural regions, may experience issues in having proper access to services. Such complications are associated with longer hours of waiting, limited options for travelling and cultural and language restrictions. Consequently, promoting accessibility has resulted to be a major focus of the health policy in the UK, with priority on lowering inequalities and fostering equitable delivery of services across diverse groups. </w:t>
      </w:r>
    </w:p>
    <w:p w14:paraId="63CBB2ED" w14:textId="77777777" w:rsidR="00937900" w:rsidRDefault="00000000">
      <w:pPr>
        <w:pStyle w:val="Heading3"/>
        <w:rPr>
          <w:sz w:val="22"/>
          <w:szCs w:val="22"/>
        </w:rPr>
      </w:pPr>
      <w:bookmarkStart w:id="66" w:name="_heading=h.a7a1ew6isv4g" w:colFirst="0" w:colLast="0"/>
      <w:bookmarkEnd w:id="66"/>
      <w:r>
        <w:rPr>
          <w:sz w:val="22"/>
          <w:szCs w:val="22"/>
        </w:rPr>
        <w:t xml:space="preserve">4.6.2 Impact on Research Questions </w:t>
      </w:r>
    </w:p>
    <w:p w14:paraId="189C27B6" w14:textId="77777777" w:rsidR="00937900" w:rsidRDefault="00000000">
      <w:r>
        <w:t xml:space="preserve">This theme addresses the question and topic of the research as it identified functional ways to refine accessibility to health and social care services. The theme presents how affordability, transportation, cultural sensitivity and communication affects the use of service. The theme supplements proper comprehension of the way challenges and barriers can be either lowered or reduced to foster equitable access and improved outcomes in health. </w:t>
      </w:r>
    </w:p>
    <w:p w14:paraId="39AC1D07" w14:textId="77777777" w:rsidR="00937900" w:rsidRDefault="00000000">
      <w:pPr>
        <w:pStyle w:val="Heading3"/>
        <w:rPr>
          <w:sz w:val="22"/>
          <w:szCs w:val="22"/>
        </w:rPr>
      </w:pPr>
      <w:bookmarkStart w:id="67" w:name="_heading=h.c5nr5636s83v" w:colFirst="0" w:colLast="0"/>
      <w:bookmarkEnd w:id="67"/>
      <w:r>
        <w:rPr>
          <w:sz w:val="22"/>
          <w:szCs w:val="22"/>
        </w:rPr>
        <w:t xml:space="preserve">4.6.3 Statistical Information </w:t>
      </w:r>
    </w:p>
    <w:p w14:paraId="1AE259F5" w14:textId="77777777" w:rsidR="00937900" w:rsidRDefault="00000000">
      <w:r>
        <w:t xml:space="preserve">Statistical insights present major issues related to accessibility in the UK health and social care system. NHS England has reported that more than 7.6 million individuals were on the waiting list for treatments in the past couple of years. This reflects the delays that impact proper accessibility to health and social care. Additionally, appointments of missed outpatients have generated an expense of around £1.2 billion annually across England (NHS England, 2024). Some major causes were difficulties in commuting and work-related issues. Evidence also presented that approx. 8 million appointments in the UK were missed, resulting in lack of efficiency in delivering service (NHS England, 2024). </w:t>
      </w:r>
    </w:p>
    <w:p w14:paraId="78A1B942" w14:textId="77777777" w:rsidR="00937900" w:rsidRDefault="00000000">
      <w:pPr>
        <w:pStyle w:val="Heading3"/>
        <w:rPr>
          <w:sz w:val="22"/>
          <w:szCs w:val="22"/>
        </w:rPr>
      </w:pPr>
      <w:bookmarkStart w:id="68" w:name="_heading=h.akifbv7jzpmn" w:colFirst="0" w:colLast="0"/>
      <w:bookmarkEnd w:id="68"/>
      <w:r>
        <w:rPr>
          <w:sz w:val="22"/>
          <w:szCs w:val="22"/>
        </w:rPr>
        <w:t>4.6.4 Theories, Policies and Legislations</w:t>
      </w:r>
    </w:p>
    <w:p w14:paraId="6F4D0E16" w14:textId="77777777" w:rsidR="00937900" w:rsidRDefault="00000000">
      <w:r>
        <w:t xml:space="preserve">The key problem concerning accessibility in the health and social care system in the UK could be comprehended via the Theory of Social Determinants of Health. This theory argues that outcomes of health are influenced by the broader social and economic factors including education, income, housing and transportation. Concerning the context of the UK, the principle of equity is strengthened via the NHS which focuses on offering care on the basis of need </w:t>
      </w:r>
      <w:r>
        <w:lastRenderedPageBreak/>
        <w:t xml:space="preserve">instead of ability to pay. Some major legislations include the Equality Act 2010 which ensures that services are provided without any kind of discriminatory behaviour. Furthermore, the Care Act 2014 focuses on person-focused care and accessibility in social assistance. In addition to that, the NHS Long Term Plan emphasises on lowering inequalities in health and promoting access to rural and disadvantaged demographics. This highlights the commitment of the policy to promote more accessible and inclusive delivery of healthcare across the UK. </w:t>
      </w:r>
    </w:p>
    <w:p w14:paraId="7A225E98" w14:textId="77777777" w:rsidR="00937900" w:rsidRDefault="00000000">
      <w:pPr>
        <w:pStyle w:val="Heading3"/>
        <w:rPr>
          <w:sz w:val="22"/>
          <w:szCs w:val="22"/>
        </w:rPr>
      </w:pPr>
      <w:bookmarkStart w:id="69" w:name="_heading=h.kqu3rzy4escc" w:colFirst="0" w:colLast="0"/>
      <w:bookmarkEnd w:id="69"/>
      <w:r>
        <w:rPr>
          <w:sz w:val="22"/>
          <w:szCs w:val="22"/>
        </w:rPr>
        <w:t>4.6.5 Implications</w:t>
      </w:r>
    </w:p>
    <w:p w14:paraId="1393F01F" w14:textId="77777777" w:rsidR="00937900" w:rsidRDefault="00000000">
      <w:r>
        <w:t xml:space="preserve">Promoting accessibility has key implications for the health and social care systems in the UK. Improved transportation, communication, affordability and cultural sensitivity can promote the uptake of services and lower missed appointments. As a result, there could be improvements such as diagnosis at an earlier stage, improved outcomes of treatments and lowered pressure on emergency services. However, if the barriers are not addressed, it could result in widening the gaps in health inequalities, mainly for vulnerable demographics including ethnic minorities. Therefore, healthcare provided the need to emphasise on promoting inclusive design of services and personalised solutions to promote equal access to care across the NHS. </w:t>
      </w:r>
    </w:p>
    <w:p w14:paraId="2D6F9554" w14:textId="77777777" w:rsidR="00937900" w:rsidRDefault="00000000">
      <w:pPr>
        <w:pStyle w:val="Heading3"/>
        <w:rPr>
          <w:sz w:val="22"/>
          <w:szCs w:val="22"/>
        </w:rPr>
      </w:pPr>
      <w:bookmarkStart w:id="70" w:name="_heading=h.44pzz4c0miv" w:colFirst="0" w:colLast="0"/>
      <w:bookmarkEnd w:id="70"/>
      <w:r>
        <w:rPr>
          <w:sz w:val="22"/>
          <w:szCs w:val="22"/>
        </w:rPr>
        <w:t>4.6.6 Examples from Articles</w:t>
      </w:r>
    </w:p>
    <w:p w14:paraId="2CC0769B" w14:textId="77777777" w:rsidR="00937900" w:rsidRDefault="00000000">
      <w:r>
        <w:t xml:space="preserve">Studies leveraging the context of the UK highlights functional approaches to fostering accessibility. </w:t>
      </w:r>
      <w:r>
        <w:rPr>
          <w:highlight w:val="white"/>
        </w:rPr>
        <w:t xml:space="preserve">Sung </w:t>
      </w:r>
      <w:r>
        <w:rPr>
          <w:i/>
          <w:iCs/>
          <w:highlight w:val="white"/>
        </w:rPr>
        <w:t>et al</w:t>
      </w:r>
      <w:r>
        <w:rPr>
          <w:highlight w:val="white"/>
        </w:rPr>
        <w:t>. (2024</w:t>
      </w:r>
      <w:r>
        <w:t xml:space="preserve">) have found that community transportation initiatives helped in promoting the attendance of appointments among the rural patients by lowering travel limitations. Additionally, </w:t>
      </w:r>
      <w:proofErr w:type="spellStart"/>
      <w:r>
        <w:rPr>
          <w:highlight w:val="white"/>
        </w:rPr>
        <w:t>Bidmead</w:t>
      </w:r>
      <w:proofErr w:type="spellEnd"/>
      <w:r>
        <w:rPr>
          <w:highlight w:val="white"/>
        </w:rPr>
        <w:t xml:space="preserve"> </w:t>
      </w:r>
      <w:r>
        <w:rPr>
          <w:i/>
          <w:iCs/>
          <w:highlight w:val="white"/>
        </w:rPr>
        <w:t>et al</w:t>
      </w:r>
      <w:r>
        <w:rPr>
          <w:highlight w:val="white"/>
        </w:rPr>
        <w:t>. (2024),</w:t>
      </w:r>
      <w:r>
        <w:t xml:space="preserve"> have also presented that financial assistance solutions including travel vouchers and flexible options for payments helps in promoting engagement with healthcare, particularly among low-income households. In addition to that, evidence shows that services that are sensitive to different cultures inclusive of prevision of interpreters and translators materials related to health promoting understanding and confidence of the patients. </w:t>
      </w:r>
    </w:p>
    <w:p w14:paraId="6E92EFE6" w14:textId="77777777" w:rsidR="00937900" w:rsidRDefault="00000000">
      <w:pPr>
        <w:pStyle w:val="Heading3"/>
        <w:rPr>
          <w:sz w:val="22"/>
          <w:szCs w:val="22"/>
        </w:rPr>
      </w:pPr>
      <w:bookmarkStart w:id="71" w:name="_heading=h.ydhpo95vijz9" w:colFirst="0" w:colLast="0"/>
      <w:bookmarkEnd w:id="71"/>
      <w:r>
        <w:rPr>
          <w:sz w:val="22"/>
          <w:szCs w:val="22"/>
        </w:rPr>
        <w:t>4.6.7 Connection to Other Themes</w:t>
      </w:r>
    </w:p>
    <w:p w14:paraId="160A315C" w14:textId="77777777" w:rsidR="00937900" w:rsidRDefault="00000000">
      <w:r>
        <w:t xml:space="preserve">This theme is directly linked with the previous objectives of the study. This theme helps address the financial, physical, cultural and systematic restrictions that affect accessibility to healthcare services. Additionally, the theme also shows how such restrictions have an uneven impact on vulnerable demographics including low-income households, older individuals and ethnic groups. Furthermore, the theme reflects on the present policies and intervention within the UK such as the NHS Long Term Plan. </w:t>
      </w:r>
    </w:p>
    <w:p w14:paraId="201451FE" w14:textId="77777777" w:rsidR="00937900" w:rsidRDefault="00000000">
      <w:pPr>
        <w:pStyle w:val="Heading2"/>
        <w:rPr>
          <w:sz w:val="22"/>
          <w:szCs w:val="22"/>
        </w:rPr>
      </w:pPr>
      <w:bookmarkStart w:id="72" w:name="_heading=h.n022m2w4u1yp" w:colFirst="0" w:colLast="0"/>
      <w:bookmarkEnd w:id="72"/>
      <w:r>
        <w:rPr>
          <w:sz w:val="22"/>
          <w:szCs w:val="22"/>
        </w:rPr>
        <w:t>4.7 Conclusion</w:t>
      </w:r>
    </w:p>
    <w:p w14:paraId="469A4042" w14:textId="77777777" w:rsidR="00937900" w:rsidRDefault="00000000">
      <w:r>
        <w:t xml:space="preserve">The results and discussion helped in assessing restrictions related to accessibility in health and social care across the UK, emphasising on financial, physical, systematic and cultural complications. The chapter has also focused on the implications of such accessibility issues on vulnerable demographics and assessed UK policies. Moreover, the chapter has also </w:t>
      </w:r>
      <w:r>
        <w:lastRenderedPageBreak/>
        <w:t xml:space="preserve">presented several recommendations that help in promoting accessible and equal access to healthcare services. </w:t>
      </w:r>
    </w:p>
    <w:p w14:paraId="26A00CA7" w14:textId="77777777" w:rsidR="00937900" w:rsidRDefault="00000000">
      <w:pPr>
        <w:pBdr>
          <w:top w:val="nil"/>
          <w:left w:val="nil"/>
          <w:bottom w:val="nil"/>
          <w:right w:val="nil"/>
          <w:between w:val="nil"/>
        </w:pBdr>
        <w:rPr>
          <w:b/>
          <w:bCs/>
        </w:rPr>
      </w:pPr>
      <w:r>
        <w:br w:type="page"/>
      </w:r>
    </w:p>
    <w:p w14:paraId="651232FD" w14:textId="77777777" w:rsidR="00937900" w:rsidRDefault="00000000">
      <w:pPr>
        <w:pStyle w:val="Heading1"/>
        <w:rPr>
          <w:sz w:val="22"/>
          <w:szCs w:val="22"/>
        </w:rPr>
      </w:pPr>
      <w:bookmarkStart w:id="73" w:name="_heading=h.d10chid9xb8g" w:colFirst="0" w:colLast="0"/>
      <w:bookmarkEnd w:id="73"/>
      <w:r>
        <w:rPr>
          <w:sz w:val="22"/>
          <w:szCs w:val="22"/>
        </w:rPr>
        <w:lastRenderedPageBreak/>
        <w:t>CHAPTER 5: Conclusions and Recommendations</w:t>
      </w:r>
    </w:p>
    <w:p w14:paraId="063B0954" w14:textId="77777777" w:rsidR="00937900" w:rsidRDefault="00000000">
      <w:pPr>
        <w:pStyle w:val="Heading2"/>
        <w:rPr>
          <w:sz w:val="22"/>
          <w:szCs w:val="22"/>
        </w:rPr>
      </w:pPr>
      <w:bookmarkStart w:id="74" w:name="_heading=h.24f1pngr4oy9" w:colFirst="0" w:colLast="0"/>
      <w:bookmarkEnd w:id="74"/>
      <w:r>
        <w:rPr>
          <w:sz w:val="22"/>
          <w:szCs w:val="22"/>
        </w:rPr>
        <w:t xml:space="preserve">5.1 Overall Conclusions </w:t>
      </w:r>
    </w:p>
    <w:p w14:paraId="21E180D5" w14:textId="77777777" w:rsidR="00937900" w:rsidRDefault="00000000">
      <w:r>
        <w:t xml:space="preserve">This research has investigated key barriers towards getting proper accessibility to health and social care services across the UK. It has specifically emphasised on the systematic, financial, cultural, and physical problems, the implications on vulnerable demographics, the present responses through policies, and strategies to promote accessibility. The findings have presented that even with the incorporation of universal healthcare principles within the NHS, there are significant discrimination and gaps in terms of accessibility and utility of services across the UK. </w:t>
      </w:r>
    </w:p>
    <w:p w14:paraId="63183063" w14:textId="77777777" w:rsidR="00937900" w:rsidRDefault="00000000">
      <w:r>
        <w:t xml:space="preserve">A major key finding presented from the research is that physical limitations such as transportation restrictions, issues in mobility, and geographical location consistently lowers accessibility, mainly among those individuals who belong to the older demographics or rural regions. Financial limitations also proved to be a major issue with indirect expenses such as traveling, cost, and loss of revenue discourages individuals from seeking care within the required time. Communication and cultural challenges also result in increasing the discrimination, particularly for the ethnic minority demographics who go through. complications related to their language and cultural appropriation while accessing healthcare services. Systematic challenges such as shortage of workforce, long times of waiting, and isolated delivery of service further affect the accessibility and efficiency of health and social care across the UK. </w:t>
      </w:r>
    </w:p>
    <w:p w14:paraId="32052AF8" w14:textId="77777777" w:rsidR="00937900" w:rsidRDefault="00000000">
      <w:r>
        <w:t xml:space="preserve">Additionally, the research has also found the disproportionate implications of such barriers towards the vulnerable groups. Older adults have issues with mobility and also require more healthcare services. However, they consistently experience problems towards getting integrated care. People belonging to the low-income bracket experience more likelihood to avoid or delay treatment due to financial problems. Ethnic minorities also generally experience prejudices, challenges in communication, and lowered confidence in services, which results in poorer outcomes for their health and limited engagement with the health systems. Additionally, the research has evaluated key policies across the UK, including the Equality Act 2010, the NHS Long Term Plan, and the Care Act 2014. Such assessment has brought forward key insights that even though such Policies are introduced to address the inequalities and gaps. Their effectiveness and implementation </w:t>
      </w:r>
      <w:proofErr w:type="gramStart"/>
      <w:r>
        <w:t>is</w:t>
      </w:r>
      <w:proofErr w:type="gramEnd"/>
      <w:r>
        <w:t xml:space="preserve"> very inconsistent in terms of effectiveness. </w:t>
      </w:r>
    </w:p>
    <w:p w14:paraId="0B4E403E" w14:textId="77777777" w:rsidR="00937900" w:rsidRDefault="00000000">
      <w:r>
        <w:t xml:space="preserve">In addition to that, Core20Plus has also presented targeted practices, however, their reach is still very restricted when compared to the scale of healthcare demand and need. Overall, the research explains that accessibility towards health and social care across the UK is affected by several barriers that are interconnected instead of just fragmented problems. Although interventions and policies have been introduced, their effectiveness is generally restricted by </w:t>
      </w:r>
      <w:r>
        <w:lastRenderedPageBreak/>
        <w:t>structural inconsistencies and uneven incorporation. Therefore, having a more targeted and incorporated approach is needed to ensure that healthcare is equally accessible and offers improved outcomes for every group of individuals.</w:t>
      </w:r>
    </w:p>
    <w:p w14:paraId="54033D53" w14:textId="77777777" w:rsidR="00937900" w:rsidRDefault="00000000">
      <w:pPr>
        <w:pStyle w:val="Heading2"/>
        <w:rPr>
          <w:sz w:val="22"/>
          <w:szCs w:val="22"/>
        </w:rPr>
      </w:pPr>
      <w:bookmarkStart w:id="75" w:name="_heading=h.5becjegk517m" w:colFirst="0" w:colLast="0"/>
      <w:bookmarkEnd w:id="75"/>
      <w:r>
        <w:rPr>
          <w:sz w:val="22"/>
          <w:szCs w:val="22"/>
        </w:rPr>
        <w:t>5.2 Recommendations</w:t>
      </w:r>
    </w:p>
    <w:p w14:paraId="1B5478D7" w14:textId="77777777" w:rsidR="00937900" w:rsidRDefault="00000000">
      <w:r>
        <w:t>On the basis of the findings generated in the result, several suggestions are presented in the following which helps in improving accessibility across the UK health and social care system.</w:t>
      </w:r>
    </w:p>
    <w:p w14:paraId="12AC81DC" w14:textId="77777777" w:rsidR="00937900" w:rsidRDefault="00000000">
      <w:pPr>
        <w:pStyle w:val="Heading3"/>
        <w:rPr>
          <w:sz w:val="22"/>
          <w:szCs w:val="22"/>
        </w:rPr>
      </w:pPr>
      <w:bookmarkStart w:id="76" w:name="_heading=h.rt1pthp39lwi" w:colFirst="0" w:colLast="0"/>
      <w:bookmarkEnd w:id="76"/>
      <w:r>
        <w:rPr>
          <w:sz w:val="22"/>
          <w:szCs w:val="22"/>
        </w:rPr>
        <w:t>5.2.1 Promoting Transportation and Geographic Access</w:t>
      </w:r>
    </w:p>
    <w:p w14:paraId="7EFE9FC6" w14:textId="77777777" w:rsidR="00937900" w:rsidRDefault="00000000">
      <w:r>
        <w:t>Enhancing access to transportation is crucial to lower missed appointments and promote utility of services, mainly among individuals with mobility issues, older demographics, and rural groups (</w:t>
      </w:r>
      <w:r>
        <w:rPr>
          <w:highlight w:val="white"/>
        </w:rPr>
        <w:t xml:space="preserve">Cochran </w:t>
      </w:r>
      <w:r>
        <w:rPr>
          <w:i/>
          <w:iCs/>
          <w:highlight w:val="white"/>
        </w:rPr>
        <w:t>et al</w:t>
      </w:r>
      <w:r>
        <w:rPr>
          <w:highlight w:val="white"/>
        </w:rPr>
        <w:t>., 2022</w:t>
      </w:r>
      <w:r>
        <w:t>). The majority of the service users experience major problems in reaching the healthcare facilities. This is mainly due to limited routes of public transport, long distance, high cost in commuting, and mobility issues. Such restrictions generally lead to delayed treatment or complete ignorance of care. Increasing the transport schemes for the local communities, bringing forth hospital-connected shuttle services, and increasing the number of mobile health clinics within underserved and rural regions can help in promoting accessibility. In addition to that, incorporating primary care in local community areas can lower the demand or requirement for long-distance traveling and promote more patient-focused delivery of healthcare.</w:t>
      </w:r>
    </w:p>
    <w:p w14:paraId="09445A61" w14:textId="77777777" w:rsidR="00937900" w:rsidRDefault="00000000">
      <w:pPr>
        <w:pStyle w:val="Heading3"/>
        <w:rPr>
          <w:sz w:val="22"/>
          <w:szCs w:val="22"/>
        </w:rPr>
      </w:pPr>
      <w:bookmarkStart w:id="77" w:name="_heading=h.7m7a6x9sg9h5" w:colFirst="0" w:colLast="0"/>
      <w:bookmarkEnd w:id="77"/>
      <w:r>
        <w:rPr>
          <w:sz w:val="22"/>
          <w:szCs w:val="22"/>
        </w:rPr>
        <w:t>5.2.2 Lowering Financial Barriers</w:t>
      </w:r>
    </w:p>
    <w:p w14:paraId="1E4C0100" w14:textId="77777777" w:rsidR="00937900" w:rsidRDefault="00000000">
      <w:r>
        <w:t>While the NHS offers free healthcare at point of use, indirect expenses consistently develop major discrimination towards accessibility. Costs in areas such as transportation, parking, childcare obligations, and loss of revenue from having to take time off their job can demotivate individuals from seeking any kind of health care within the required time (</w:t>
      </w:r>
      <w:r>
        <w:rPr>
          <w:highlight w:val="white"/>
        </w:rPr>
        <w:t xml:space="preserve">Alvarez </w:t>
      </w:r>
      <w:r>
        <w:rPr>
          <w:i/>
          <w:iCs/>
          <w:highlight w:val="white"/>
        </w:rPr>
        <w:t>et al</w:t>
      </w:r>
      <w:r>
        <w:rPr>
          <w:highlight w:val="white"/>
        </w:rPr>
        <w:t>., 2022</w:t>
      </w:r>
      <w:r>
        <w:t xml:space="preserve">). Such financial implications are more evident within households with limited income. To deal with this issue, targeted financial assistance initiatives need to be expanded and reinforced. This could be inclusive of subsidising options for traveling, providing vouchers, reimbursement initiatives, and flexible system use of appointments that lowers the requirement to disrupt one's work. Such efforts will help in assisting early intervention and also avoid any kind of costly or serious health issues. </w:t>
      </w:r>
    </w:p>
    <w:p w14:paraId="64CF1498" w14:textId="77777777" w:rsidR="00937900" w:rsidRDefault="00000000">
      <w:pPr>
        <w:pStyle w:val="Heading3"/>
        <w:rPr>
          <w:sz w:val="22"/>
          <w:szCs w:val="22"/>
        </w:rPr>
      </w:pPr>
      <w:bookmarkStart w:id="78" w:name="_heading=h.9estnu1obnvb" w:colFirst="0" w:colLast="0"/>
      <w:bookmarkEnd w:id="78"/>
      <w:r>
        <w:rPr>
          <w:sz w:val="22"/>
          <w:szCs w:val="22"/>
        </w:rPr>
        <w:t>5.2.3 Improving Communication and Health Literacy</w:t>
      </w:r>
    </w:p>
    <w:p w14:paraId="775602E0" w14:textId="77777777" w:rsidR="00937900" w:rsidRDefault="00000000">
      <w:r>
        <w:t>Communication challenges persist to be a critical problem, mainly among refugees and ethnic minorities. Such barriers result in increasing misunderstanding related to diagnosis, treatment, and use of medications (</w:t>
      </w:r>
      <w:r>
        <w:rPr>
          <w:highlight w:val="white"/>
        </w:rPr>
        <w:t>Zhao, 2023</w:t>
      </w:r>
      <w:r>
        <w:t xml:space="preserve">). Increasing the services of professional interpreters, promoting multilingual materials for healthcare, and ensuring consistent utility of easy-to-understand language can help in boosting the engagement, confidence, and understanding of the patients. In addition to that, systematic health liberation initiatives need to be brought forward to foster individuals in navigating health and social care mechanisms. Training the </w:t>
      </w:r>
      <w:r>
        <w:lastRenderedPageBreak/>
        <w:t>healthcare workers in soft skills, including communication and patient-oriented interaction, is also crucial as it helps in promoting confidence and lowering inequalities.</w:t>
      </w:r>
    </w:p>
    <w:p w14:paraId="39B94EA6" w14:textId="77777777" w:rsidR="00937900" w:rsidRDefault="00000000">
      <w:pPr>
        <w:pStyle w:val="Heading3"/>
        <w:rPr>
          <w:sz w:val="22"/>
          <w:szCs w:val="22"/>
        </w:rPr>
      </w:pPr>
      <w:bookmarkStart w:id="79" w:name="_heading=h.wk5li667gq7n" w:colFirst="0" w:colLast="0"/>
      <w:bookmarkEnd w:id="79"/>
      <w:r>
        <w:rPr>
          <w:sz w:val="22"/>
          <w:szCs w:val="22"/>
        </w:rPr>
        <w:t>5.2.4 Promoting Culturally Sensitive Care</w:t>
      </w:r>
    </w:p>
    <w:p w14:paraId="150B1923" w14:textId="77777777" w:rsidR="00937900" w:rsidRDefault="00000000">
      <w:r>
        <w:t>Practices that are culturally insensitive could lead to discrimination, mistrust and lowered utility of healthcare within the minority groups. To deal with this, healthcare service providers need to integrate mandatory cultural proficiency and diversity training for every healthcare worker (</w:t>
      </w:r>
      <w:r>
        <w:rPr>
          <w:highlight w:val="white"/>
        </w:rPr>
        <w:t xml:space="preserve">Kamau </w:t>
      </w:r>
      <w:r>
        <w:rPr>
          <w:i/>
          <w:iCs/>
          <w:highlight w:val="white"/>
        </w:rPr>
        <w:t>et al</w:t>
      </w:r>
      <w:r>
        <w:rPr>
          <w:highlight w:val="white"/>
        </w:rPr>
        <w:t>., 2022</w:t>
      </w:r>
      <w:r>
        <w:t xml:space="preserve">). This will ensure that the healthcare service providers offer respect to several traditions, cultures, beliefs and healthcare requirements. In addition to that, partnering with the leaders of local communities and voluntary agencies can assist the growth of culturally apt healthcare services. Motivating the patients to feedback from diverse groups can also lead to recognition of major differences in terms of provision of services and promote inclusion in health and social care systems.  </w:t>
      </w:r>
    </w:p>
    <w:p w14:paraId="65D01D98" w14:textId="77777777" w:rsidR="00937900" w:rsidRDefault="00937900"/>
    <w:p w14:paraId="7C0C2DCD" w14:textId="77777777" w:rsidR="00937900" w:rsidRDefault="00937900"/>
    <w:p w14:paraId="7A460CA7" w14:textId="77777777" w:rsidR="00937900" w:rsidRDefault="00000000">
      <w:pPr>
        <w:pStyle w:val="Heading2"/>
        <w:rPr>
          <w:sz w:val="22"/>
          <w:szCs w:val="22"/>
        </w:rPr>
      </w:pPr>
      <w:bookmarkStart w:id="80" w:name="_heading=h.u5foo6hxr8y2" w:colFirst="0" w:colLast="0"/>
      <w:bookmarkEnd w:id="80"/>
      <w:r>
        <w:br w:type="page"/>
      </w:r>
    </w:p>
    <w:p w14:paraId="6C60542F" w14:textId="77777777" w:rsidR="00937900" w:rsidRDefault="00000000">
      <w:pPr>
        <w:pStyle w:val="Heading1"/>
        <w:rPr>
          <w:sz w:val="22"/>
          <w:szCs w:val="22"/>
        </w:rPr>
      </w:pPr>
      <w:bookmarkStart w:id="81" w:name="_heading=h.m9z6rak331vk" w:colFirst="0" w:colLast="0"/>
      <w:bookmarkEnd w:id="81"/>
      <w:r>
        <w:rPr>
          <w:sz w:val="22"/>
          <w:szCs w:val="22"/>
        </w:rPr>
        <w:lastRenderedPageBreak/>
        <w:t xml:space="preserve">References </w:t>
      </w:r>
    </w:p>
    <w:p w14:paraId="23C4D265" w14:textId="77777777" w:rsidR="00A6194B" w:rsidRDefault="00A6194B">
      <w:pPr>
        <w:pBdr>
          <w:top w:val="nil"/>
          <w:left w:val="nil"/>
          <w:bottom w:val="nil"/>
          <w:right w:val="nil"/>
          <w:between w:val="nil"/>
        </w:pBdr>
      </w:pPr>
      <w:proofErr w:type="spellStart"/>
      <w:r>
        <w:rPr>
          <w:highlight w:val="white"/>
        </w:rPr>
        <w:t>Alderwick</w:t>
      </w:r>
      <w:proofErr w:type="spellEnd"/>
      <w:r>
        <w:rPr>
          <w:highlight w:val="white"/>
        </w:rPr>
        <w:t xml:space="preserve">, H., Hutchings, A. and Mays, N., 2024. Cross-sector collaboration to reduce health inequalities: a qualitative study of local collaboration between health care, social services, and other sectors under health system reforms in England. </w:t>
      </w:r>
      <w:r>
        <w:rPr>
          <w:i/>
          <w:iCs/>
          <w:highlight w:val="white"/>
        </w:rPr>
        <w:t>BMC Public Health</w:t>
      </w:r>
      <w:r>
        <w:rPr>
          <w:highlight w:val="white"/>
        </w:rPr>
        <w:t xml:space="preserve">, </w:t>
      </w:r>
      <w:r>
        <w:rPr>
          <w:i/>
          <w:iCs/>
          <w:highlight w:val="white"/>
        </w:rPr>
        <w:t>24</w:t>
      </w:r>
      <w:r>
        <w:rPr>
          <w:highlight w:val="white"/>
        </w:rPr>
        <w:t>(1), p.2613.</w:t>
      </w:r>
      <w:r>
        <w:t xml:space="preserve"> </w:t>
      </w:r>
    </w:p>
    <w:p w14:paraId="50C828A2" w14:textId="77777777" w:rsidR="00A6194B" w:rsidRDefault="00A6194B">
      <w:pPr>
        <w:rPr>
          <w:highlight w:val="white"/>
        </w:rPr>
      </w:pPr>
      <w:proofErr w:type="spellStart"/>
      <w:r>
        <w:rPr>
          <w:highlight w:val="white"/>
        </w:rPr>
        <w:t>Alderwick</w:t>
      </w:r>
      <w:proofErr w:type="spellEnd"/>
      <w:r>
        <w:rPr>
          <w:highlight w:val="white"/>
        </w:rPr>
        <w:t xml:space="preserve">, H., Hutchings, A., Briggs, A. and Mays, N., (2021). The impacts of collaboration between local health care and non-health care organizations and factors shaping how they work: a systematic review of reviews. </w:t>
      </w:r>
      <w:r>
        <w:rPr>
          <w:i/>
          <w:iCs/>
          <w:highlight w:val="white"/>
        </w:rPr>
        <w:t>BMC public health</w:t>
      </w:r>
      <w:r>
        <w:rPr>
          <w:highlight w:val="white"/>
        </w:rPr>
        <w:t xml:space="preserve">, </w:t>
      </w:r>
      <w:r>
        <w:rPr>
          <w:i/>
          <w:iCs/>
          <w:highlight w:val="white"/>
        </w:rPr>
        <w:t>21</w:t>
      </w:r>
      <w:r>
        <w:rPr>
          <w:highlight w:val="white"/>
        </w:rPr>
        <w:t>(1), p.753.</w:t>
      </w:r>
    </w:p>
    <w:p w14:paraId="29CBB4AE" w14:textId="77777777" w:rsidR="00A6194B" w:rsidRDefault="00A6194B">
      <w:r>
        <w:t xml:space="preserve">Almeida, F. (2026). Thematic analysis in qualitative research: Steps, benefits, and challenges. [online] 5(1), pp.25–38. </w:t>
      </w:r>
    </w:p>
    <w:p w14:paraId="06DF4B49" w14:textId="77777777" w:rsidR="00A6194B" w:rsidRDefault="00A6194B">
      <w:r>
        <w:rPr>
          <w:highlight w:val="white"/>
        </w:rPr>
        <w:t xml:space="preserve">Alvarez, K.S., Bhavan, K., Mathew, S., Johnson, C., McCarthy, A., Garcia, B., Callies, M., Stovall, K., Harms, M. and Kho, K.A., (2022). Addressing childcare as a barrier to healthcare access through community partnerships in a large public health system. </w:t>
      </w:r>
      <w:r>
        <w:rPr>
          <w:i/>
          <w:iCs/>
          <w:highlight w:val="white"/>
        </w:rPr>
        <w:t>BMJ Open Quality</w:t>
      </w:r>
      <w:r>
        <w:rPr>
          <w:highlight w:val="white"/>
        </w:rPr>
        <w:t xml:space="preserve">, </w:t>
      </w:r>
      <w:r>
        <w:rPr>
          <w:i/>
          <w:iCs/>
          <w:highlight w:val="white"/>
        </w:rPr>
        <w:t>11</w:t>
      </w:r>
      <w:r>
        <w:rPr>
          <w:highlight w:val="white"/>
        </w:rPr>
        <w:t>(4).</w:t>
      </w:r>
      <w:r>
        <w:t xml:space="preserve"> </w:t>
      </w:r>
    </w:p>
    <w:p w14:paraId="3F57DB5A" w14:textId="77777777" w:rsidR="00A6194B" w:rsidRDefault="00A6194B">
      <w:r>
        <w:rPr>
          <w:highlight w:val="white"/>
        </w:rPr>
        <w:t xml:space="preserve">Anderson, M., O'Neill, C., Clark, J.M., Street, A., Woods, M., Johnston-Webber, C., Charlesworth, A., Whyte, M., Foster, M., Majeed, A. and Pitchforth, E., (2021). Securing a sustainable and fit-for-purpose UK health and care workforce. </w:t>
      </w:r>
      <w:r>
        <w:rPr>
          <w:i/>
          <w:iCs/>
          <w:highlight w:val="white"/>
        </w:rPr>
        <w:t>The Lancet</w:t>
      </w:r>
      <w:r>
        <w:rPr>
          <w:highlight w:val="white"/>
        </w:rPr>
        <w:t xml:space="preserve">, </w:t>
      </w:r>
      <w:r>
        <w:rPr>
          <w:i/>
          <w:iCs/>
          <w:highlight w:val="white"/>
        </w:rPr>
        <w:t>397</w:t>
      </w:r>
      <w:r>
        <w:rPr>
          <w:highlight w:val="white"/>
        </w:rPr>
        <w:t>(10288), pp.1992-2011.</w:t>
      </w:r>
      <w:r>
        <w:t xml:space="preserve"> </w:t>
      </w:r>
    </w:p>
    <w:p w14:paraId="2886EF80" w14:textId="77777777" w:rsidR="00A6194B" w:rsidRDefault="00A6194B">
      <w:r>
        <w:t xml:space="preserve">Aujla, N., Frost, H., Guthrie, B., Hanratty, B., Kaner, E., O’Donnell, A., Ogden, M.E., Pain, H.G., </w:t>
      </w:r>
      <w:proofErr w:type="spellStart"/>
      <w:r>
        <w:t>Shenkin</w:t>
      </w:r>
      <w:proofErr w:type="spellEnd"/>
      <w:r>
        <w:t xml:space="preserve">, S. D and Mercer, S.W. (2023). A Comparative Overview of Health and Social Care Policy for Older People in England and Scotland, United Kingdom (UK). </w:t>
      </w:r>
      <w:r>
        <w:rPr>
          <w:i/>
          <w:iCs/>
        </w:rPr>
        <w:t>Health Policy</w:t>
      </w:r>
      <w:r>
        <w:t xml:space="preserve">, 132(132), pp.104814–104814. </w:t>
      </w:r>
    </w:p>
    <w:p w14:paraId="5B9ED93D" w14:textId="77777777" w:rsidR="00A6194B" w:rsidRDefault="00A6194B">
      <w:r>
        <w:rPr>
          <w:highlight w:val="white"/>
        </w:rPr>
        <w:t xml:space="preserve">Ayres, S., Newman, J., Bates, G., Le Gouais, A., McClathey, R. and Pearce, N. (2024). Are we any closer to tackling health inequalities in </w:t>
      </w:r>
      <w:proofErr w:type="gramStart"/>
      <w:r>
        <w:rPr>
          <w:highlight w:val="white"/>
        </w:rPr>
        <w:t>England?.</w:t>
      </w:r>
      <w:proofErr w:type="gramEnd"/>
      <w:r>
        <w:rPr>
          <w:highlight w:val="white"/>
        </w:rPr>
        <w:t xml:space="preserve"> </w:t>
      </w:r>
      <w:r>
        <w:rPr>
          <w:i/>
          <w:iCs/>
          <w:highlight w:val="white"/>
        </w:rPr>
        <w:t>Contemporary Social Science</w:t>
      </w:r>
      <w:r>
        <w:rPr>
          <w:highlight w:val="white"/>
        </w:rPr>
        <w:t xml:space="preserve">, </w:t>
      </w:r>
      <w:r>
        <w:rPr>
          <w:i/>
          <w:iCs/>
          <w:highlight w:val="white"/>
        </w:rPr>
        <w:t>19</w:t>
      </w:r>
      <w:r>
        <w:rPr>
          <w:highlight w:val="white"/>
        </w:rPr>
        <w:t>(4), pp.531-554.</w:t>
      </w:r>
      <w:r>
        <w:t xml:space="preserve"> </w:t>
      </w:r>
    </w:p>
    <w:p w14:paraId="7800EDE5" w14:textId="77777777" w:rsidR="00A6194B" w:rsidRDefault="00A6194B">
      <w:r>
        <w:rPr>
          <w:highlight w:val="white"/>
        </w:rPr>
        <w:t xml:space="preserve">Beaven, A. and Marshman, Z. (2024). Barriers and facilitators to accessing oral healthcare for older people in the UK: a scoping review. </w:t>
      </w:r>
      <w:r>
        <w:rPr>
          <w:i/>
          <w:iCs/>
          <w:highlight w:val="white"/>
        </w:rPr>
        <w:t>British Dental Journal</w:t>
      </w:r>
      <w:r>
        <w:rPr>
          <w:highlight w:val="white"/>
        </w:rPr>
        <w:t>, pp.1-7.</w:t>
      </w:r>
      <w:r>
        <w:t xml:space="preserve"> </w:t>
      </w:r>
    </w:p>
    <w:p w14:paraId="56B36A3E" w14:textId="77777777" w:rsidR="00A6194B" w:rsidRDefault="00A6194B">
      <w:proofErr w:type="spellStart"/>
      <w:r>
        <w:rPr>
          <w:highlight w:val="white"/>
        </w:rPr>
        <w:t>Bidmead</w:t>
      </w:r>
      <w:proofErr w:type="spellEnd"/>
      <w:r>
        <w:rPr>
          <w:highlight w:val="white"/>
        </w:rPr>
        <w:t xml:space="preserve">, E., Hayes, L., Mazzoli-Smith, L., Wildman, J., Rankin, J., Leggott, E., Todd, L. and Bramhall, L., (2024). Poverty proofing healthcare: A qualitative study of barriers to accessing healthcare for low-income families with children in northern England. </w:t>
      </w:r>
      <w:proofErr w:type="spellStart"/>
      <w:r>
        <w:rPr>
          <w:i/>
          <w:iCs/>
          <w:highlight w:val="white"/>
        </w:rPr>
        <w:t>PLoS</w:t>
      </w:r>
      <w:proofErr w:type="spellEnd"/>
      <w:r>
        <w:rPr>
          <w:i/>
          <w:iCs/>
          <w:highlight w:val="white"/>
        </w:rPr>
        <w:t xml:space="preserve"> One</w:t>
      </w:r>
      <w:r>
        <w:rPr>
          <w:highlight w:val="white"/>
        </w:rPr>
        <w:t xml:space="preserve">, </w:t>
      </w:r>
      <w:r>
        <w:rPr>
          <w:i/>
          <w:iCs/>
          <w:highlight w:val="white"/>
        </w:rPr>
        <w:t>19</w:t>
      </w:r>
      <w:r>
        <w:rPr>
          <w:highlight w:val="white"/>
        </w:rPr>
        <w:t>(4), p.e0292983.</w:t>
      </w:r>
      <w:r>
        <w:t xml:space="preserve"> </w:t>
      </w:r>
    </w:p>
    <w:p w14:paraId="3BFFB6B3" w14:textId="77777777" w:rsidR="00A6194B" w:rsidRDefault="00A6194B">
      <w:pPr>
        <w:pBdr>
          <w:top w:val="nil"/>
          <w:left w:val="nil"/>
          <w:bottom w:val="nil"/>
          <w:right w:val="nil"/>
          <w:between w:val="nil"/>
        </w:pBdr>
      </w:pPr>
      <w:r>
        <w:rPr>
          <w:highlight w:val="white"/>
        </w:rPr>
        <w:t xml:space="preserve">Boardman, J., </w:t>
      </w:r>
      <w:proofErr w:type="spellStart"/>
      <w:r>
        <w:rPr>
          <w:highlight w:val="white"/>
        </w:rPr>
        <w:t>Killaspy</w:t>
      </w:r>
      <w:proofErr w:type="spellEnd"/>
      <w:r>
        <w:rPr>
          <w:highlight w:val="white"/>
        </w:rPr>
        <w:t xml:space="preserve">, H. and Mezey, G., 2022. </w:t>
      </w:r>
      <w:r>
        <w:rPr>
          <w:i/>
          <w:iCs/>
          <w:highlight w:val="white"/>
        </w:rPr>
        <w:t>Social inclusion and mental health: Understanding poverty, inequality and social exclusion</w:t>
      </w:r>
      <w:r>
        <w:rPr>
          <w:highlight w:val="white"/>
        </w:rPr>
        <w:t xml:space="preserve">. </w:t>
      </w:r>
      <w:proofErr w:type="spellStart"/>
      <w:r>
        <w:rPr>
          <w:highlight w:val="white"/>
        </w:rPr>
        <w:t>RCPsych</w:t>
      </w:r>
      <w:proofErr w:type="spellEnd"/>
      <w:r>
        <w:rPr>
          <w:highlight w:val="white"/>
        </w:rPr>
        <w:t xml:space="preserve"> Publications.</w:t>
      </w:r>
      <w:r>
        <w:t xml:space="preserve"> </w:t>
      </w:r>
    </w:p>
    <w:p w14:paraId="5C10B343" w14:textId="77777777" w:rsidR="00A6194B" w:rsidRDefault="00A6194B">
      <w:proofErr w:type="spellStart"/>
      <w:r>
        <w:rPr>
          <w:highlight w:val="white"/>
        </w:rPr>
        <w:t>Borovika</w:t>
      </w:r>
      <w:proofErr w:type="spellEnd"/>
      <w:r>
        <w:rPr>
          <w:highlight w:val="white"/>
        </w:rPr>
        <w:t xml:space="preserve">, A., Moors, M. and Zolovs, M., (2025). Enhancing quality of life: Key factors from long-term social care residents’ perspectives. </w:t>
      </w:r>
      <w:r>
        <w:rPr>
          <w:i/>
          <w:iCs/>
          <w:highlight w:val="white"/>
        </w:rPr>
        <w:t>International Journal of Environmental Research and Public Health</w:t>
      </w:r>
      <w:r>
        <w:rPr>
          <w:highlight w:val="white"/>
        </w:rPr>
        <w:t xml:space="preserve">, </w:t>
      </w:r>
      <w:r>
        <w:rPr>
          <w:i/>
          <w:iCs/>
          <w:highlight w:val="white"/>
        </w:rPr>
        <w:t>22</w:t>
      </w:r>
      <w:r>
        <w:rPr>
          <w:highlight w:val="white"/>
        </w:rPr>
        <w:t>(2), p.231.</w:t>
      </w:r>
      <w:r>
        <w:t xml:space="preserve"> </w:t>
      </w:r>
    </w:p>
    <w:p w14:paraId="07BA0110" w14:textId="77777777" w:rsidR="00A6194B" w:rsidRDefault="00A6194B">
      <w:pPr>
        <w:pBdr>
          <w:top w:val="nil"/>
          <w:left w:val="nil"/>
          <w:bottom w:val="nil"/>
          <w:right w:val="nil"/>
          <w:between w:val="nil"/>
        </w:pBdr>
      </w:pPr>
      <w:r>
        <w:rPr>
          <w:highlight w:val="white"/>
        </w:rPr>
        <w:lastRenderedPageBreak/>
        <w:t>Cabañero-Garcia, E., Martinez-</w:t>
      </w:r>
      <w:proofErr w:type="spellStart"/>
      <w:r>
        <w:rPr>
          <w:highlight w:val="white"/>
        </w:rPr>
        <w:t>Lacoba</w:t>
      </w:r>
      <w:proofErr w:type="spellEnd"/>
      <w:r>
        <w:rPr>
          <w:highlight w:val="white"/>
        </w:rPr>
        <w:t xml:space="preserve">, R., Pardo-Garcia, I. and Amo-Saus, E., 2025. Barriers to health, social and long-term care access among older adults: a systematic review of reviews. </w:t>
      </w:r>
      <w:r>
        <w:rPr>
          <w:i/>
          <w:iCs/>
          <w:highlight w:val="white"/>
        </w:rPr>
        <w:t>International journal for equity in health</w:t>
      </w:r>
      <w:r>
        <w:rPr>
          <w:highlight w:val="white"/>
        </w:rPr>
        <w:t xml:space="preserve">, </w:t>
      </w:r>
      <w:r>
        <w:rPr>
          <w:i/>
          <w:iCs/>
          <w:highlight w:val="white"/>
        </w:rPr>
        <w:t>24</w:t>
      </w:r>
      <w:r>
        <w:rPr>
          <w:highlight w:val="white"/>
        </w:rPr>
        <w:t>(1), p.72.</w:t>
      </w:r>
      <w:r>
        <w:t xml:space="preserve"> </w:t>
      </w:r>
    </w:p>
    <w:p w14:paraId="05C76FA0" w14:textId="77777777" w:rsidR="00A6194B" w:rsidRDefault="00A6194B">
      <w:proofErr w:type="spellStart"/>
      <w:r>
        <w:t>Centers</w:t>
      </w:r>
      <w:proofErr w:type="spellEnd"/>
      <w:r>
        <w:t xml:space="preserve"> for Disease Control and Prevention. (2025). </w:t>
      </w:r>
      <w:r>
        <w:rPr>
          <w:i/>
          <w:iCs/>
        </w:rPr>
        <w:t>U.S. Uninsured Rate Drops by 15% Since 2020</w:t>
      </w:r>
      <w:r>
        <w:t xml:space="preserve">. </w:t>
      </w:r>
      <w:proofErr w:type="spellStart"/>
      <w:r>
        <w:t>Centers</w:t>
      </w:r>
      <w:proofErr w:type="spellEnd"/>
      <w:r>
        <w:t xml:space="preserve"> for Disease Control and Prevention. [online] Available at: https://www.cdc.gov/nchs/pressroom/releases/20250624.html (Accessed: 16 June 2026).</w:t>
      </w:r>
    </w:p>
    <w:p w14:paraId="4F11F210" w14:textId="77777777" w:rsidR="00A6194B" w:rsidRDefault="00A6194B">
      <w:r>
        <w:t xml:space="preserve">Chigbu, U.E., Atiku, S.O. and Du Plessis, C.C. (2023). The Science of Literature Reviews: Searching, Identifying, Selecting, and Synthesising. </w:t>
      </w:r>
      <w:r>
        <w:rPr>
          <w:i/>
          <w:iCs/>
        </w:rPr>
        <w:t>Publications</w:t>
      </w:r>
      <w:r>
        <w:t xml:space="preserve">, [online] 11(1), p.2. </w:t>
      </w:r>
    </w:p>
    <w:p w14:paraId="7E803EB4" w14:textId="77777777" w:rsidR="00A6194B" w:rsidRDefault="00A6194B">
      <w:r>
        <w:rPr>
          <w:highlight w:val="white"/>
        </w:rPr>
        <w:t xml:space="preserve">Cochran, A.L., McDonald, N.C., Prunkl, L., </w:t>
      </w:r>
      <w:proofErr w:type="spellStart"/>
      <w:r>
        <w:rPr>
          <w:highlight w:val="white"/>
        </w:rPr>
        <w:t>Vinella</w:t>
      </w:r>
      <w:proofErr w:type="spellEnd"/>
      <w:r>
        <w:rPr>
          <w:highlight w:val="white"/>
        </w:rPr>
        <w:t xml:space="preserve">-Brusher, E., Wang, J., </w:t>
      </w:r>
      <w:proofErr w:type="spellStart"/>
      <w:r>
        <w:rPr>
          <w:highlight w:val="white"/>
        </w:rPr>
        <w:t>Oluyede</w:t>
      </w:r>
      <w:proofErr w:type="spellEnd"/>
      <w:r>
        <w:rPr>
          <w:highlight w:val="white"/>
        </w:rPr>
        <w:t xml:space="preserve">, L. and Wolfe, M., (2022). Transportation barriers to care among frequent health care users during the COVID pandemic. </w:t>
      </w:r>
      <w:r>
        <w:rPr>
          <w:i/>
          <w:iCs/>
          <w:highlight w:val="white"/>
        </w:rPr>
        <w:t>BMC Public Health</w:t>
      </w:r>
      <w:r>
        <w:rPr>
          <w:highlight w:val="white"/>
        </w:rPr>
        <w:t xml:space="preserve">, </w:t>
      </w:r>
      <w:r>
        <w:rPr>
          <w:i/>
          <w:iCs/>
          <w:highlight w:val="white"/>
        </w:rPr>
        <w:t>22</w:t>
      </w:r>
      <w:r>
        <w:rPr>
          <w:highlight w:val="white"/>
        </w:rPr>
        <w:t>(1), p.1783.</w:t>
      </w:r>
      <w:r>
        <w:t xml:space="preserve"> </w:t>
      </w:r>
    </w:p>
    <w:p w14:paraId="18F27901" w14:textId="77777777" w:rsidR="00A6194B" w:rsidRDefault="00A6194B">
      <w:r>
        <w:rPr>
          <w:highlight w:val="white"/>
        </w:rPr>
        <w:t xml:space="preserve">Dadswell, A. and Bungay, H., (2025). Social prescribing of cultural opportunities to support health and wellbeing: the importance of language, community engagement, and inclusion in developing local approaches. </w:t>
      </w:r>
      <w:r>
        <w:rPr>
          <w:i/>
          <w:iCs/>
          <w:highlight w:val="white"/>
        </w:rPr>
        <w:t>BMC primary care</w:t>
      </w:r>
      <w:r>
        <w:rPr>
          <w:highlight w:val="white"/>
        </w:rPr>
        <w:t xml:space="preserve">, </w:t>
      </w:r>
      <w:r>
        <w:rPr>
          <w:i/>
          <w:iCs/>
          <w:highlight w:val="white"/>
        </w:rPr>
        <w:t>26</w:t>
      </w:r>
      <w:r>
        <w:rPr>
          <w:highlight w:val="white"/>
        </w:rPr>
        <w:t>(1), p.149.</w:t>
      </w:r>
      <w:r>
        <w:t xml:space="preserve"> </w:t>
      </w:r>
    </w:p>
    <w:p w14:paraId="2918C759" w14:textId="77777777" w:rsidR="00A6194B" w:rsidRDefault="00A6194B">
      <w:pPr>
        <w:rPr>
          <w:highlight w:val="white"/>
        </w:rPr>
      </w:pPr>
      <w:r>
        <w:rPr>
          <w:highlight w:val="white"/>
        </w:rPr>
        <w:t xml:space="preserve">Das, S., Choudhury, M.R., Chatterjee, B., Das, P., Bagri, S., Paul, D., Bera, M. and Dutta, S., (2024). </w:t>
      </w:r>
      <w:proofErr w:type="spellStart"/>
      <w:r>
        <w:rPr>
          <w:highlight w:val="white"/>
        </w:rPr>
        <w:t>Unraveling</w:t>
      </w:r>
      <w:proofErr w:type="spellEnd"/>
      <w:r>
        <w:rPr>
          <w:highlight w:val="white"/>
        </w:rPr>
        <w:t xml:space="preserve"> the urban climate crisis: Exploring the nexus of urbanization, climate change, and their impacts on the environment and human well-being–A global perspective. </w:t>
      </w:r>
      <w:r>
        <w:rPr>
          <w:i/>
          <w:iCs/>
          <w:highlight w:val="white"/>
        </w:rPr>
        <w:t>AIMS Public Health</w:t>
      </w:r>
      <w:r>
        <w:rPr>
          <w:highlight w:val="white"/>
        </w:rPr>
        <w:t xml:space="preserve">, </w:t>
      </w:r>
      <w:r>
        <w:rPr>
          <w:i/>
          <w:iCs/>
          <w:highlight w:val="white"/>
        </w:rPr>
        <w:t>11</w:t>
      </w:r>
      <w:r>
        <w:rPr>
          <w:highlight w:val="white"/>
        </w:rPr>
        <w:t>(3), p.963.</w:t>
      </w:r>
    </w:p>
    <w:p w14:paraId="36A46CB6" w14:textId="77777777" w:rsidR="00A6194B" w:rsidRDefault="00A6194B">
      <w:proofErr w:type="spellStart"/>
      <w:r>
        <w:t>Edirisooriya</w:t>
      </w:r>
      <w:proofErr w:type="spellEnd"/>
      <w:r>
        <w:t xml:space="preserve">, M., </w:t>
      </w:r>
      <w:proofErr w:type="spellStart"/>
      <w:r>
        <w:t>Silkens</w:t>
      </w:r>
      <w:proofErr w:type="spellEnd"/>
      <w:r>
        <w:t xml:space="preserve">, M. and </w:t>
      </w:r>
      <w:proofErr w:type="spellStart"/>
      <w:r>
        <w:t>Medisauskaite</w:t>
      </w:r>
      <w:proofErr w:type="spellEnd"/>
      <w:r>
        <w:t xml:space="preserve">, A. (2025). Exploring financial difficulty and help-seeking behaviour among medics in the United Kingdom: a cross-sectional survey. </w:t>
      </w:r>
      <w:r>
        <w:rPr>
          <w:i/>
          <w:iCs/>
        </w:rPr>
        <w:t>Human Resources for Health</w:t>
      </w:r>
      <w:r>
        <w:t xml:space="preserve">, [online] 23(1). </w:t>
      </w:r>
    </w:p>
    <w:p w14:paraId="5CEB519D" w14:textId="77777777" w:rsidR="00A6194B" w:rsidRDefault="00A6194B">
      <w:pPr>
        <w:rPr>
          <w:b/>
          <w:bCs/>
        </w:rPr>
      </w:pPr>
      <w:r>
        <w:t xml:space="preserve">‌Ekezie, W., </w:t>
      </w:r>
      <w:proofErr w:type="spellStart"/>
      <w:r>
        <w:t>Cassambai</w:t>
      </w:r>
      <w:proofErr w:type="spellEnd"/>
      <w:r>
        <w:t xml:space="preserve">, S., </w:t>
      </w:r>
      <w:proofErr w:type="spellStart"/>
      <w:r>
        <w:t>Czyznikowska</w:t>
      </w:r>
      <w:proofErr w:type="spellEnd"/>
      <w:r>
        <w:t xml:space="preserve">, B., Curtis, F., O’Mahoney, L.L., Willis, A., Chudasama, Y., </w:t>
      </w:r>
      <w:proofErr w:type="spellStart"/>
      <w:r>
        <w:t>Khunti</w:t>
      </w:r>
      <w:proofErr w:type="spellEnd"/>
      <w:r>
        <w:t xml:space="preserve">, K. and Farooqi, A. (2023). Health and social care experience and research perception of different ethnic minority populations in the East Midlands, United Kingdom (REPRESENT study). </w:t>
      </w:r>
      <w:r>
        <w:rPr>
          <w:i/>
          <w:iCs/>
        </w:rPr>
        <w:t>Health Expectations</w:t>
      </w:r>
      <w:r>
        <w:t xml:space="preserve">, [online] 27(1). </w:t>
      </w:r>
    </w:p>
    <w:p w14:paraId="4AA6E986" w14:textId="77777777" w:rsidR="00A6194B" w:rsidRDefault="00A6194B">
      <w:r>
        <w:rPr>
          <w:highlight w:val="white"/>
        </w:rPr>
        <w:t xml:space="preserve">Fredriksson, M., (2024). Universal health coverage and equal access in Sweden: a century-long perspective on macro-level policy. </w:t>
      </w:r>
      <w:r>
        <w:rPr>
          <w:i/>
          <w:iCs/>
          <w:highlight w:val="white"/>
        </w:rPr>
        <w:t>International Journal for Equity in Health</w:t>
      </w:r>
      <w:r>
        <w:rPr>
          <w:highlight w:val="white"/>
        </w:rPr>
        <w:t xml:space="preserve">, </w:t>
      </w:r>
      <w:r>
        <w:rPr>
          <w:i/>
          <w:iCs/>
          <w:highlight w:val="white"/>
        </w:rPr>
        <w:t>23</w:t>
      </w:r>
      <w:r>
        <w:rPr>
          <w:highlight w:val="white"/>
        </w:rPr>
        <w:t>(1), p.111.</w:t>
      </w:r>
      <w:r>
        <w:t xml:space="preserve"> </w:t>
      </w:r>
    </w:p>
    <w:p w14:paraId="00598C54" w14:textId="77777777" w:rsidR="00A6194B" w:rsidRDefault="00A6194B">
      <w:r>
        <w:t xml:space="preserve">Glover-Thomas, N. (2026). </w:t>
      </w:r>
      <w:r>
        <w:rPr>
          <w:i/>
          <w:iCs/>
        </w:rPr>
        <w:t xml:space="preserve">The Health and Social Care Act 2012: The emergence of equal treatment for mental health care or another false </w:t>
      </w:r>
      <w:proofErr w:type="gramStart"/>
      <w:r>
        <w:rPr>
          <w:i/>
          <w:iCs/>
        </w:rPr>
        <w:t>dawn?</w:t>
      </w:r>
      <w:r>
        <w:t>,</w:t>
      </w:r>
      <w:proofErr w:type="gramEnd"/>
      <w:r>
        <w:t xml:space="preserve"> </w:t>
      </w:r>
      <w:r>
        <w:rPr>
          <w:i/>
          <w:iCs/>
        </w:rPr>
        <w:t>Medical law international</w:t>
      </w:r>
      <w:r>
        <w:t>. U.S. National Library of Medicine. [online] Available at: https://pmc.ncbi.nlm.nih.gov/articles/PMC4523576/ (Accessed: 16 June 2026).</w:t>
      </w:r>
    </w:p>
    <w:p w14:paraId="06693368" w14:textId="77777777" w:rsidR="00A6194B" w:rsidRDefault="00A6194B">
      <w:pPr>
        <w:pBdr>
          <w:top w:val="nil"/>
          <w:left w:val="nil"/>
          <w:bottom w:val="nil"/>
          <w:right w:val="nil"/>
          <w:between w:val="nil"/>
        </w:pBdr>
        <w:rPr>
          <w:highlight w:val="white"/>
        </w:rPr>
      </w:pPr>
      <w:proofErr w:type="spellStart"/>
      <w:r>
        <w:rPr>
          <w:highlight w:val="white"/>
        </w:rPr>
        <w:t>Gobburi</w:t>
      </w:r>
      <w:proofErr w:type="spellEnd"/>
      <w:r>
        <w:rPr>
          <w:highlight w:val="white"/>
        </w:rPr>
        <w:t xml:space="preserve">, R.K., </w:t>
      </w:r>
      <w:proofErr w:type="spellStart"/>
      <w:r>
        <w:rPr>
          <w:highlight w:val="white"/>
        </w:rPr>
        <w:t>Olawade</w:t>
      </w:r>
      <w:proofErr w:type="spellEnd"/>
      <w:r>
        <w:rPr>
          <w:highlight w:val="white"/>
        </w:rPr>
        <w:t xml:space="preserve">, D.B., Olatunji, G.D., Kokori, E., </w:t>
      </w:r>
      <w:proofErr w:type="spellStart"/>
      <w:r>
        <w:rPr>
          <w:highlight w:val="white"/>
        </w:rPr>
        <w:t>Aderinto</w:t>
      </w:r>
      <w:proofErr w:type="spellEnd"/>
      <w:r>
        <w:rPr>
          <w:highlight w:val="white"/>
        </w:rPr>
        <w:t xml:space="preserve">, N. and David-Olawade, A.C., (2025). Telemedicine use in rural areas of the United Kingdom to improve access to healthcare facilities: A review of current evidence. </w:t>
      </w:r>
      <w:r>
        <w:rPr>
          <w:i/>
          <w:iCs/>
          <w:highlight w:val="white"/>
        </w:rPr>
        <w:t>Informatics and Health</w:t>
      </w:r>
      <w:r>
        <w:rPr>
          <w:highlight w:val="white"/>
        </w:rPr>
        <w:t xml:space="preserve">, </w:t>
      </w:r>
      <w:r>
        <w:rPr>
          <w:i/>
          <w:iCs/>
          <w:highlight w:val="white"/>
        </w:rPr>
        <w:t>2</w:t>
      </w:r>
      <w:r>
        <w:rPr>
          <w:highlight w:val="white"/>
        </w:rPr>
        <w:t>(1), pp.41-48.</w:t>
      </w:r>
    </w:p>
    <w:p w14:paraId="0CE5DBCD" w14:textId="77777777" w:rsidR="00A6194B" w:rsidRDefault="00A6194B">
      <w:r>
        <w:t xml:space="preserve">GOV.UK. (2026). </w:t>
      </w:r>
      <w:r>
        <w:rPr>
          <w:i/>
          <w:iCs/>
        </w:rPr>
        <w:t>Care Act factsheets</w:t>
      </w:r>
      <w:r>
        <w:t>. [online] Available at: https://www.gov.uk/government/publications/care-act-2014-part-1-factsheets/care-act-factsheets (Accessed: 16 June 2026).</w:t>
      </w:r>
    </w:p>
    <w:p w14:paraId="692E001A" w14:textId="77777777" w:rsidR="00A6194B" w:rsidRDefault="00A6194B">
      <w:r>
        <w:lastRenderedPageBreak/>
        <w:t xml:space="preserve">GOV.UK. (2026). </w:t>
      </w:r>
      <w:r>
        <w:rPr>
          <w:i/>
          <w:iCs/>
        </w:rPr>
        <w:t>Equality Act 2010: guidance</w:t>
      </w:r>
      <w:r>
        <w:t>. [online] Available at: https://www.gov.uk/guidance/equality-act-2010-guidance (Accessed: 16 June 2026).</w:t>
      </w:r>
    </w:p>
    <w:p w14:paraId="24C6DB0C" w14:textId="77777777" w:rsidR="00A6194B" w:rsidRDefault="00A6194B">
      <w:r>
        <w:rPr>
          <w:highlight w:val="white"/>
        </w:rPr>
        <w:t xml:space="preserve">Hajek, A., Kretzler, B. and Koenig, H.H., (2021). October. Determinants of healthcare use based on the Andersen model: A systematic review of longitudinal studies. In </w:t>
      </w:r>
      <w:r>
        <w:rPr>
          <w:i/>
          <w:iCs/>
          <w:highlight w:val="white"/>
        </w:rPr>
        <w:t>Healthcare</w:t>
      </w:r>
      <w:r>
        <w:rPr>
          <w:highlight w:val="white"/>
        </w:rPr>
        <w:t xml:space="preserve"> (Vol. 9, No. 10, p. 1354). MDPI.</w:t>
      </w:r>
      <w:r>
        <w:t xml:space="preserve"> </w:t>
      </w:r>
    </w:p>
    <w:p w14:paraId="7BCE253C" w14:textId="77777777" w:rsidR="00A6194B" w:rsidRDefault="00A6194B">
      <w:pPr>
        <w:rPr>
          <w:highlight w:val="white"/>
        </w:rPr>
      </w:pPr>
      <w:proofErr w:type="spellStart"/>
      <w:r>
        <w:rPr>
          <w:highlight w:val="white"/>
        </w:rPr>
        <w:t>Hamiduzzaman</w:t>
      </w:r>
      <w:proofErr w:type="spellEnd"/>
      <w:r>
        <w:rPr>
          <w:highlight w:val="white"/>
        </w:rPr>
        <w:t xml:space="preserve">, M., De-Bellis, A., Abigail, W. and Fletcher, A., (2021). Critical social framework on the determinants of primary healthcare access and utilisation. </w:t>
      </w:r>
      <w:r>
        <w:rPr>
          <w:i/>
          <w:iCs/>
          <w:highlight w:val="white"/>
        </w:rPr>
        <w:t>Family Medicine and Community Health</w:t>
      </w:r>
      <w:r>
        <w:rPr>
          <w:highlight w:val="white"/>
        </w:rPr>
        <w:t xml:space="preserve">, </w:t>
      </w:r>
      <w:r>
        <w:rPr>
          <w:i/>
          <w:iCs/>
          <w:highlight w:val="white"/>
        </w:rPr>
        <w:t>9</w:t>
      </w:r>
      <w:r>
        <w:rPr>
          <w:highlight w:val="white"/>
        </w:rPr>
        <w:t>(Suppl 1), p.e001031.</w:t>
      </w:r>
    </w:p>
    <w:p w14:paraId="2E7772BF" w14:textId="77777777" w:rsidR="00A6194B" w:rsidRDefault="00A6194B">
      <w:r>
        <w:t xml:space="preserve">Institute of Health Equity. (2026). </w:t>
      </w:r>
      <w:r>
        <w:rPr>
          <w:i/>
          <w:iCs/>
        </w:rPr>
        <w:t>Fair Society, Healthy Lives</w:t>
      </w:r>
      <w:r>
        <w:t>. The Marmot Review. [online] Available at: https://www.instituteofhealthequity.org/resources-reports/fair-society-healthy-lives-the-marmot-review/fair-society-healthy-lives-full-report-pdf.pdf (Accessed: 16 June 2026).</w:t>
      </w:r>
    </w:p>
    <w:p w14:paraId="3779DE48" w14:textId="77777777" w:rsidR="00A6194B" w:rsidRDefault="00A6194B">
      <w:r>
        <w:rPr>
          <w:highlight w:val="white"/>
        </w:rPr>
        <w:t xml:space="preserve">Kamau, S., </w:t>
      </w:r>
      <w:proofErr w:type="spellStart"/>
      <w:r>
        <w:rPr>
          <w:highlight w:val="white"/>
        </w:rPr>
        <w:t>Koskenranta</w:t>
      </w:r>
      <w:proofErr w:type="spellEnd"/>
      <w:r>
        <w:rPr>
          <w:highlight w:val="white"/>
        </w:rPr>
        <w:t xml:space="preserve">, M., Kuivila, H., </w:t>
      </w:r>
      <w:proofErr w:type="spellStart"/>
      <w:r>
        <w:rPr>
          <w:highlight w:val="white"/>
        </w:rPr>
        <w:t>Oikarainen</w:t>
      </w:r>
      <w:proofErr w:type="spellEnd"/>
      <w:r>
        <w:rPr>
          <w:highlight w:val="white"/>
        </w:rPr>
        <w:t xml:space="preserve">, A., </w:t>
      </w:r>
      <w:proofErr w:type="spellStart"/>
      <w:r>
        <w:rPr>
          <w:highlight w:val="white"/>
        </w:rPr>
        <w:t>Tomietto</w:t>
      </w:r>
      <w:proofErr w:type="spellEnd"/>
      <w:r>
        <w:rPr>
          <w:highlight w:val="white"/>
        </w:rPr>
        <w:t xml:space="preserve">, M., Juntunen, J., </w:t>
      </w:r>
      <w:proofErr w:type="spellStart"/>
      <w:r>
        <w:rPr>
          <w:highlight w:val="white"/>
        </w:rPr>
        <w:t>Tuomikoski</w:t>
      </w:r>
      <w:proofErr w:type="spellEnd"/>
      <w:r>
        <w:rPr>
          <w:highlight w:val="white"/>
        </w:rPr>
        <w:t xml:space="preserve">, A.M. and Mikkonen, K., (2022). Integration strategies and models to support transition and adaptation of culturally and linguistically diverse nursing staff into healthcare environments: An umbrella review. </w:t>
      </w:r>
      <w:r>
        <w:rPr>
          <w:i/>
          <w:iCs/>
          <w:highlight w:val="white"/>
        </w:rPr>
        <w:t>International journal of nursing studies</w:t>
      </w:r>
      <w:r>
        <w:rPr>
          <w:highlight w:val="white"/>
        </w:rPr>
        <w:t xml:space="preserve">, </w:t>
      </w:r>
      <w:r>
        <w:rPr>
          <w:i/>
          <w:iCs/>
          <w:highlight w:val="white"/>
        </w:rPr>
        <w:t>136</w:t>
      </w:r>
      <w:r>
        <w:rPr>
          <w:highlight w:val="white"/>
        </w:rPr>
        <w:t>, p.104377.</w:t>
      </w:r>
      <w:r>
        <w:t xml:space="preserve"> </w:t>
      </w:r>
    </w:p>
    <w:p w14:paraId="59514247" w14:textId="77777777" w:rsidR="00A6194B" w:rsidRDefault="00A6194B">
      <w:pPr>
        <w:rPr>
          <w:b/>
          <w:bCs/>
        </w:rPr>
      </w:pPr>
      <w:proofErr w:type="spellStart"/>
      <w:r>
        <w:rPr>
          <w:highlight w:val="white"/>
        </w:rPr>
        <w:t>Kanjilal</w:t>
      </w:r>
      <w:proofErr w:type="spellEnd"/>
      <w:r>
        <w:rPr>
          <w:highlight w:val="white"/>
        </w:rPr>
        <w:t xml:space="preserve">, M. and </w:t>
      </w:r>
      <w:proofErr w:type="spellStart"/>
      <w:r>
        <w:rPr>
          <w:highlight w:val="white"/>
        </w:rPr>
        <w:t>Arnull</w:t>
      </w:r>
      <w:proofErr w:type="spellEnd"/>
      <w:r>
        <w:rPr>
          <w:highlight w:val="white"/>
        </w:rPr>
        <w:t xml:space="preserve">, E. (2025). “People Are Still Not Receiving Good Care Because of Who They Are” An Account of Inequalities of Elderly People from Ethnic Minorities in the UK. In </w:t>
      </w:r>
      <w:r>
        <w:rPr>
          <w:i/>
          <w:iCs/>
          <w:highlight w:val="white"/>
        </w:rPr>
        <w:t>The Palgrave Handbook of Global Social Problems</w:t>
      </w:r>
      <w:r>
        <w:rPr>
          <w:highlight w:val="white"/>
        </w:rPr>
        <w:t xml:space="preserve"> (pp. 1-19). Cham: Springer Nature Switzerland.</w:t>
      </w:r>
      <w:r>
        <w:t xml:space="preserve"> ‌</w:t>
      </w:r>
    </w:p>
    <w:p w14:paraId="1D687AA2" w14:textId="77777777" w:rsidR="00A6194B" w:rsidRDefault="00A6194B">
      <w:proofErr w:type="spellStart"/>
      <w:r>
        <w:rPr>
          <w:highlight w:val="white"/>
        </w:rPr>
        <w:t>Kerschbaumer</w:t>
      </w:r>
      <w:proofErr w:type="spellEnd"/>
      <w:r>
        <w:rPr>
          <w:highlight w:val="white"/>
        </w:rPr>
        <w:t xml:space="preserve">, L., Crossett, L., Holaus, M. and Costa, U., (2024). COVID-19 and health inequalities: The impact of social determinants of health on individuals affected by poverty. </w:t>
      </w:r>
      <w:r>
        <w:rPr>
          <w:i/>
          <w:iCs/>
          <w:highlight w:val="white"/>
        </w:rPr>
        <w:t>Health Policy and Technology</w:t>
      </w:r>
      <w:r>
        <w:rPr>
          <w:highlight w:val="white"/>
        </w:rPr>
        <w:t xml:space="preserve">, </w:t>
      </w:r>
      <w:r>
        <w:rPr>
          <w:i/>
          <w:iCs/>
          <w:highlight w:val="white"/>
        </w:rPr>
        <w:t>13</w:t>
      </w:r>
      <w:r>
        <w:rPr>
          <w:highlight w:val="white"/>
        </w:rPr>
        <w:t>(1), p.100803.</w:t>
      </w:r>
      <w:r>
        <w:t xml:space="preserve"> </w:t>
      </w:r>
    </w:p>
    <w:p w14:paraId="4C354E5A" w14:textId="77777777" w:rsidR="00A6194B" w:rsidRDefault="00A6194B">
      <w:pPr>
        <w:pBdr>
          <w:top w:val="nil"/>
          <w:left w:val="nil"/>
          <w:bottom w:val="nil"/>
          <w:right w:val="nil"/>
          <w:between w:val="nil"/>
        </w:pBdr>
      </w:pPr>
      <w:r>
        <w:rPr>
          <w:highlight w:val="white"/>
        </w:rPr>
        <w:t xml:space="preserve">Khan, H.T., Addo, K.M. and Findlay, H., 2024. Public health challenges and responses to the growing ageing populations. </w:t>
      </w:r>
      <w:r>
        <w:rPr>
          <w:i/>
          <w:iCs/>
          <w:highlight w:val="white"/>
        </w:rPr>
        <w:t>Public health challenges</w:t>
      </w:r>
      <w:r>
        <w:rPr>
          <w:highlight w:val="white"/>
        </w:rPr>
        <w:t xml:space="preserve">, </w:t>
      </w:r>
      <w:r>
        <w:rPr>
          <w:i/>
          <w:iCs/>
          <w:highlight w:val="white"/>
        </w:rPr>
        <w:t>3</w:t>
      </w:r>
      <w:r>
        <w:rPr>
          <w:highlight w:val="white"/>
        </w:rPr>
        <w:t>(3), p.e213.</w:t>
      </w:r>
      <w:r>
        <w:t xml:space="preserve"> </w:t>
      </w:r>
    </w:p>
    <w:p w14:paraId="340BA0B2" w14:textId="77777777" w:rsidR="00A6194B" w:rsidRDefault="00A6194B">
      <w:pPr>
        <w:pBdr>
          <w:top w:val="nil"/>
          <w:left w:val="nil"/>
          <w:bottom w:val="nil"/>
          <w:right w:val="nil"/>
          <w:between w:val="nil"/>
        </w:pBdr>
      </w:pPr>
      <w:r>
        <w:rPr>
          <w:highlight w:val="white"/>
        </w:rPr>
        <w:t xml:space="preserve">Long, J., Ohlsen, S., Senek, M., Booth, A., Weich, S. and Wood, E., 2023. Realist synthesis of factors affecting retention of staff in UK adult mental health services. </w:t>
      </w:r>
      <w:r>
        <w:rPr>
          <w:i/>
          <w:iCs/>
          <w:highlight w:val="white"/>
        </w:rPr>
        <w:t>BMJ open</w:t>
      </w:r>
      <w:r>
        <w:rPr>
          <w:highlight w:val="white"/>
        </w:rPr>
        <w:t xml:space="preserve">, </w:t>
      </w:r>
      <w:r>
        <w:rPr>
          <w:i/>
          <w:iCs/>
          <w:highlight w:val="white"/>
        </w:rPr>
        <w:t>13</w:t>
      </w:r>
      <w:r>
        <w:rPr>
          <w:highlight w:val="white"/>
        </w:rPr>
        <w:t>(5), p.e070953.</w:t>
      </w:r>
      <w:r>
        <w:t xml:space="preserve"> </w:t>
      </w:r>
    </w:p>
    <w:p w14:paraId="3D20A9E0" w14:textId="77777777" w:rsidR="00A6194B" w:rsidRDefault="00A6194B">
      <w:pPr>
        <w:rPr>
          <w:b/>
          <w:bCs/>
        </w:rPr>
      </w:pPr>
      <w:r>
        <w:rPr>
          <w:highlight w:val="white"/>
        </w:rPr>
        <w:t xml:space="preserve">Majumdar, A. (2022). Thematic analysis in qualitative research. In </w:t>
      </w:r>
      <w:r>
        <w:rPr>
          <w:i/>
          <w:iCs/>
          <w:highlight w:val="white"/>
        </w:rPr>
        <w:t>Research anthology on innovative research methodologies and utilization across multiple disciplines</w:t>
      </w:r>
      <w:r>
        <w:rPr>
          <w:highlight w:val="white"/>
        </w:rPr>
        <w:t xml:space="preserve"> (pp. 604-622). IGI Global Scientific Publishing.</w:t>
      </w:r>
      <w:r>
        <w:t xml:space="preserve"> ‌</w:t>
      </w:r>
    </w:p>
    <w:p w14:paraId="2921CEB8" w14:textId="77777777" w:rsidR="00A6194B" w:rsidRDefault="00A6194B">
      <w:r>
        <w:rPr>
          <w:highlight w:val="white"/>
        </w:rPr>
        <w:t xml:space="preserve">McKee, M., Dunnell, K., Anderson, M., Brayne, C., Charlesworth, A., Johnston-Webber, C., Knapp, M., McGuire, A., Newton, J.N., Taylor, D. and Watt, R.G., (2021). The changing health needs of the UK population. </w:t>
      </w:r>
      <w:r>
        <w:rPr>
          <w:i/>
          <w:iCs/>
          <w:highlight w:val="white"/>
        </w:rPr>
        <w:t>The Lancet</w:t>
      </w:r>
      <w:r>
        <w:rPr>
          <w:highlight w:val="white"/>
        </w:rPr>
        <w:t xml:space="preserve">, </w:t>
      </w:r>
      <w:r>
        <w:rPr>
          <w:i/>
          <w:iCs/>
          <w:highlight w:val="white"/>
        </w:rPr>
        <w:t>397</w:t>
      </w:r>
      <w:r>
        <w:rPr>
          <w:highlight w:val="white"/>
        </w:rPr>
        <w:t>(10288), pp.1979-1991.</w:t>
      </w:r>
      <w:r>
        <w:t xml:space="preserve"> </w:t>
      </w:r>
    </w:p>
    <w:p w14:paraId="1104223E" w14:textId="77777777" w:rsidR="00A6194B" w:rsidRDefault="00A6194B">
      <w:proofErr w:type="spellStart"/>
      <w:r>
        <w:t>Moonesar</w:t>
      </w:r>
      <w:proofErr w:type="spellEnd"/>
      <w:r>
        <w:t xml:space="preserve">, I.A., (2026). </w:t>
      </w:r>
      <w:r>
        <w:rPr>
          <w:i/>
          <w:iCs/>
        </w:rPr>
        <w:t>Andersen’s Healthcare Utilisation Model</w:t>
      </w:r>
      <w:r>
        <w:t>. Available at: https://www.researchgate.net/figure/The-Andersen-model-of-healthcare-services-utilization-1995-From-Revisiting-the_fig1_284640148 (Accessed: 16 June 2026).</w:t>
      </w:r>
    </w:p>
    <w:p w14:paraId="66A25D3E" w14:textId="77777777" w:rsidR="00A6194B" w:rsidRDefault="00A6194B">
      <w:pPr>
        <w:pBdr>
          <w:top w:val="nil"/>
          <w:left w:val="nil"/>
          <w:bottom w:val="nil"/>
          <w:right w:val="nil"/>
          <w:between w:val="nil"/>
        </w:pBdr>
      </w:pPr>
      <w:proofErr w:type="spellStart"/>
      <w:r>
        <w:lastRenderedPageBreak/>
        <w:t>Ngondwe</w:t>
      </w:r>
      <w:proofErr w:type="spellEnd"/>
      <w:r>
        <w:t xml:space="preserve">, P. and Tefera, G.M. (2025). Barriers and facilitators of access to healthcare among immigrants with disabilities: a qualitative meta-synthesis. In </w:t>
      </w:r>
      <w:r>
        <w:rPr>
          <w:i/>
          <w:iCs/>
        </w:rPr>
        <w:t>Healthcare</w:t>
      </w:r>
      <w:r>
        <w:t xml:space="preserve"> (Vol. 13, No. 3, p. 313). MDPI.</w:t>
      </w:r>
    </w:p>
    <w:p w14:paraId="7DE0009E" w14:textId="77777777" w:rsidR="00A6194B" w:rsidRDefault="00A6194B">
      <w:r>
        <w:t xml:space="preserve">NHS England (2024). </w:t>
      </w:r>
      <w:r>
        <w:rPr>
          <w:i/>
          <w:iCs/>
        </w:rPr>
        <w:t>NHS England » NHS AI expansion to help tackle missed appointments and improve waiting times</w:t>
      </w:r>
      <w:r>
        <w:t xml:space="preserve">. [online] England.nhs.uk. Available at: </w:t>
      </w:r>
      <w:hyperlink r:id="rId13">
        <w:r>
          <w:rPr>
            <w:u w:val="single"/>
          </w:rPr>
          <w:t>https://www.england.nhs.uk/2024/03/nhs-ai-expansion-to-help-tackle-missed-appointments-and-improve-waiting-times/</w:t>
        </w:r>
      </w:hyperlink>
      <w:r>
        <w:t xml:space="preserve"> [Accessed 17 June 2026].</w:t>
      </w:r>
    </w:p>
    <w:p w14:paraId="15849939" w14:textId="77777777" w:rsidR="00A6194B" w:rsidRDefault="00A6194B">
      <w:r>
        <w:t xml:space="preserve">NHS England, N. (2024). </w:t>
      </w:r>
      <w:r>
        <w:rPr>
          <w:i/>
          <w:iCs/>
        </w:rPr>
        <w:t>NHS England » Our approach to reducing healthcare inequalities</w:t>
      </w:r>
      <w:r>
        <w:t>. [online] England.nhs.uk. Available at: https://www.england.nhs.uk/about/equality/equality-hub/national-healthcare-inequalities-improvement-programme/our-approach-to-reducing-healthcare-inequalities/ [Accessed 16 June 2026].</w:t>
      </w:r>
    </w:p>
    <w:p w14:paraId="1AF6E1DF" w14:textId="77777777" w:rsidR="00A6194B" w:rsidRDefault="00A6194B">
      <w:r>
        <w:t xml:space="preserve">NHS England. (2024). </w:t>
      </w:r>
      <w:r>
        <w:rPr>
          <w:i/>
          <w:iCs/>
        </w:rPr>
        <w:t>Monthly operational statistics – January 2024</w:t>
      </w:r>
      <w:r>
        <w:t>. NHS Choices. [online] Available at: https://www.england.nhs.uk/long-read/monthly-operational-statistics-january-2024/ (Accessed: 16 June 2026).</w:t>
      </w:r>
    </w:p>
    <w:p w14:paraId="0C43EA67" w14:textId="77777777" w:rsidR="00A6194B" w:rsidRDefault="00A6194B">
      <w:r>
        <w:t xml:space="preserve">NHS England. (2024). </w:t>
      </w:r>
      <w:r>
        <w:rPr>
          <w:i/>
          <w:iCs/>
        </w:rPr>
        <w:t>Statistical Press Notice</w:t>
      </w:r>
      <w:r>
        <w:t>. NHS referral to treatment (RTT) waiting times data August 2024. [online] Available at: https://www.england.nhs.uk/statistics/wp-content/uploads/sites/2/2024/10/Aug24-RTT-SPN-Publication-PDF-388K-v2.pdf (Accessed: 16 June 2026).</w:t>
      </w:r>
    </w:p>
    <w:p w14:paraId="24842259" w14:textId="77777777" w:rsidR="00A6194B" w:rsidRDefault="00A6194B">
      <w:r>
        <w:t xml:space="preserve">NHS. (2026). </w:t>
      </w:r>
      <w:r>
        <w:rPr>
          <w:i/>
          <w:iCs/>
        </w:rPr>
        <w:t>NHS Choices</w:t>
      </w:r>
      <w:r>
        <w:t>. [online] Available at: https://www.england.nhs.uk/about/nhs-history/ (Accessed: 16 June 2026).</w:t>
      </w:r>
    </w:p>
    <w:p w14:paraId="7C267B42" w14:textId="77777777" w:rsidR="00A6194B" w:rsidRDefault="00A6194B">
      <w:r>
        <w:t xml:space="preserve">nln.org. (2026). </w:t>
      </w:r>
      <w:r>
        <w:rPr>
          <w:i/>
          <w:iCs/>
        </w:rPr>
        <w:t>Social Determinants of Health, Intersectionality, and Models of Disability</w:t>
      </w:r>
      <w:r>
        <w:t>. [online] Available at: https://www.nln.org/education/teaching-resources/professional-development-programsteaching-resourcesace-all/ace-d/additional-resources/Social-Determinants-of-Health-Intersectionality-and-Models-of-Disability-6dd8cb5c-7836-6c70-9642-ff00005f0421 (Accessed: 16 June 2026).</w:t>
      </w:r>
    </w:p>
    <w:p w14:paraId="6B538564" w14:textId="77777777" w:rsidR="00A6194B" w:rsidRDefault="00A6194B">
      <w:pPr>
        <w:pBdr>
          <w:top w:val="nil"/>
          <w:left w:val="nil"/>
          <w:bottom w:val="nil"/>
          <w:right w:val="nil"/>
          <w:between w:val="nil"/>
        </w:pBdr>
      </w:pPr>
      <w:r>
        <w:t xml:space="preserve">ONS, O. (2026). NHS workforce: Size, characteristics and staffing levels. </w:t>
      </w:r>
      <w:r>
        <w:rPr>
          <w:i/>
          <w:iCs/>
        </w:rPr>
        <w:t>ONS</w:t>
      </w:r>
      <w:r>
        <w:t>. Available at: https://researchbriefings.files.parliament.uk/documents/CBP-10539/CBP-10539.pdf. (Accessed Date: 15th June, 2026)</w:t>
      </w:r>
    </w:p>
    <w:p w14:paraId="7E313540" w14:textId="77777777" w:rsidR="00A6194B" w:rsidRDefault="00A6194B">
      <w:pPr>
        <w:pBdr>
          <w:top w:val="nil"/>
          <w:left w:val="nil"/>
          <w:bottom w:val="nil"/>
          <w:right w:val="nil"/>
          <w:between w:val="nil"/>
        </w:pBdr>
      </w:pPr>
      <w:r>
        <w:rPr>
          <w:highlight w:val="white"/>
        </w:rPr>
        <w:t xml:space="preserve">Rami, F., Thompson, L. and Solis-Cortes, L., 2023. Healthcare disparities: Vulnerable and marginalized populations. In </w:t>
      </w:r>
      <w:r>
        <w:rPr>
          <w:i/>
          <w:iCs/>
          <w:highlight w:val="white"/>
        </w:rPr>
        <w:t>Covid-19: Health disparities and ethical challenges across the globe</w:t>
      </w:r>
      <w:r>
        <w:rPr>
          <w:highlight w:val="white"/>
        </w:rPr>
        <w:t xml:space="preserve"> (pp. 111-145). Cham: Springer International Publishing.</w:t>
      </w:r>
      <w:r>
        <w:t xml:space="preserve"> </w:t>
      </w:r>
    </w:p>
    <w:p w14:paraId="40D4D60E" w14:textId="77777777" w:rsidR="00A6194B" w:rsidRDefault="00A6194B">
      <w:r>
        <w:rPr>
          <w:highlight w:val="white"/>
        </w:rPr>
        <w:t xml:space="preserve">Robinson, A., Elarbi, M., Todd, A. and Husband, A., (2022). A qualitative exploration of the barriers and facilitators affecting ethnic minority patient groups when accessing medicine review services: perspectives of healthcare professionals. </w:t>
      </w:r>
      <w:r>
        <w:rPr>
          <w:i/>
          <w:iCs/>
          <w:highlight w:val="white"/>
        </w:rPr>
        <w:t>Health Expectations</w:t>
      </w:r>
      <w:r>
        <w:rPr>
          <w:highlight w:val="white"/>
        </w:rPr>
        <w:t xml:space="preserve">, </w:t>
      </w:r>
      <w:r>
        <w:rPr>
          <w:i/>
          <w:iCs/>
          <w:highlight w:val="white"/>
        </w:rPr>
        <w:t>25</w:t>
      </w:r>
      <w:r>
        <w:rPr>
          <w:highlight w:val="white"/>
        </w:rPr>
        <w:t>(2), pp.628-638.</w:t>
      </w:r>
      <w:r>
        <w:t xml:space="preserve"> </w:t>
      </w:r>
    </w:p>
    <w:p w14:paraId="4024B007" w14:textId="77777777" w:rsidR="00A6194B" w:rsidRDefault="00A6194B">
      <w:pPr>
        <w:pBdr>
          <w:top w:val="nil"/>
          <w:left w:val="nil"/>
          <w:bottom w:val="nil"/>
          <w:right w:val="nil"/>
          <w:between w:val="nil"/>
        </w:pBdr>
      </w:pPr>
      <w:proofErr w:type="spellStart"/>
      <w:r>
        <w:rPr>
          <w:highlight w:val="white"/>
        </w:rPr>
        <w:lastRenderedPageBreak/>
        <w:t>Shemtob</w:t>
      </w:r>
      <w:proofErr w:type="spellEnd"/>
      <w:r>
        <w:rPr>
          <w:highlight w:val="white"/>
        </w:rPr>
        <w:t xml:space="preserve">, L., </w:t>
      </w:r>
      <w:proofErr w:type="spellStart"/>
      <w:r>
        <w:rPr>
          <w:highlight w:val="white"/>
        </w:rPr>
        <w:t>Asanati</w:t>
      </w:r>
      <w:proofErr w:type="spellEnd"/>
      <w:r>
        <w:rPr>
          <w:highlight w:val="white"/>
        </w:rPr>
        <w:t xml:space="preserve">, K., Pahl, N. and Majeed, A., 2023. What needs to be done to address staffing shortages in health and social </w:t>
      </w:r>
      <w:proofErr w:type="gramStart"/>
      <w:r>
        <w:rPr>
          <w:highlight w:val="white"/>
        </w:rPr>
        <w:t>care?.</w:t>
      </w:r>
      <w:proofErr w:type="gramEnd"/>
      <w:r>
        <w:rPr>
          <w:highlight w:val="white"/>
        </w:rPr>
        <w:t xml:space="preserve"> </w:t>
      </w:r>
      <w:r>
        <w:rPr>
          <w:i/>
          <w:iCs/>
          <w:highlight w:val="white"/>
        </w:rPr>
        <w:t>The British Journal of General Practice</w:t>
      </w:r>
      <w:r>
        <w:rPr>
          <w:highlight w:val="white"/>
        </w:rPr>
        <w:t xml:space="preserve">, </w:t>
      </w:r>
      <w:r>
        <w:rPr>
          <w:i/>
          <w:iCs/>
          <w:highlight w:val="white"/>
        </w:rPr>
        <w:t>73</w:t>
      </w:r>
      <w:r>
        <w:rPr>
          <w:highlight w:val="white"/>
        </w:rPr>
        <w:t>(728), p.102.</w:t>
      </w:r>
      <w:r>
        <w:t xml:space="preserve"> </w:t>
      </w:r>
    </w:p>
    <w:p w14:paraId="5A81C752" w14:textId="77777777" w:rsidR="00A6194B" w:rsidRDefault="00A6194B">
      <w:r>
        <w:rPr>
          <w:highlight w:val="white"/>
        </w:rPr>
        <w:t xml:space="preserve">Sung, B., O’Driscoll, F., Gregory, A., </w:t>
      </w:r>
      <w:proofErr w:type="spellStart"/>
      <w:r>
        <w:rPr>
          <w:highlight w:val="white"/>
        </w:rPr>
        <w:t>Grailey</w:t>
      </w:r>
      <w:proofErr w:type="spellEnd"/>
      <w:r>
        <w:rPr>
          <w:highlight w:val="white"/>
        </w:rPr>
        <w:t xml:space="preserve">, K., Franklin, H., Poon, S., Lawrence-Jones, A., Shepherd, L., McCrudden, C., Klaber, B. and Pavlakis, C., (2024). Identifying barriers to outpatient appointment attendance in patient groups at risk of inequity: a mixed methods study in a London NHS trust. </w:t>
      </w:r>
      <w:r>
        <w:rPr>
          <w:i/>
          <w:iCs/>
          <w:highlight w:val="white"/>
        </w:rPr>
        <w:t>BMC health services research</w:t>
      </w:r>
      <w:r>
        <w:rPr>
          <w:highlight w:val="white"/>
        </w:rPr>
        <w:t xml:space="preserve">, </w:t>
      </w:r>
      <w:r>
        <w:rPr>
          <w:i/>
          <w:iCs/>
          <w:highlight w:val="white"/>
        </w:rPr>
        <w:t>24</w:t>
      </w:r>
      <w:r>
        <w:rPr>
          <w:highlight w:val="white"/>
        </w:rPr>
        <w:t>(1), p.554.</w:t>
      </w:r>
      <w:r>
        <w:t xml:space="preserve"> ‌</w:t>
      </w:r>
    </w:p>
    <w:p w14:paraId="3FC87945" w14:textId="77777777" w:rsidR="00A6194B" w:rsidRDefault="00A6194B">
      <w:pPr>
        <w:pBdr>
          <w:top w:val="nil"/>
          <w:left w:val="nil"/>
          <w:bottom w:val="nil"/>
          <w:right w:val="nil"/>
          <w:between w:val="nil"/>
        </w:pBdr>
      </w:pPr>
      <w:r>
        <w:rPr>
          <w:highlight w:val="white"/>
        </w:rPr>
        <w:t xml:space="preserve">The King’s Fund. (2024). Illustrating the relationship between poverty and NHS services. </w:t>
      </w:r>
      <w:r>
        <w:rPr>
          <w:i/>
          <w:iCs/>
          <w:highlight w:val="white"/>
        </w:rPr>
        <w:t>The King’s Fund</w:t>
      </w:r>
      <w:r>
        <w:rPr>
          <w:highlight w:val="white"/>
        </w:rPr>
        <w:t>. https://www.kingsfund.org.uk/insight-and-analysis/long-reads/relationship-poverty-nhs-services</w:t>
      </w:r>
      <w:r>
        <w:t xml:space="preserve">. (Accessed Date: 15th June, 2026). </w:t>
      </w:r>
    </w:p>
    <w:p w14:paraId="08E115CD" w14:textId="77777777" w:rsidR="00A6194B" w:rsidRDefault="00A6194B">
      <w:r>
        <w:rPr>
          <w:highlight w:val="white"/>
        </w:rPr>
        <w:t xml:space="preserve">Tzenios, N., (2019). The determinants of access to healthcare: a review of individual, structural, and systemic factors. </w:t>
      </w:r>
      <w:r>
        <w:rPr>
          <w:i/>
          <w:iCs/>
          <w:highlight w:val="white"/>
        </w:rPr>
        <w:t>Journal of Humanities and Applied Science Research</w:t>
      </w:r>
      <w:r>
        <w:rPr>
          <w:highlight w:val="white"/>
        </w:rPr>
        <w:t xml:space="preserve">, </w:t>
      </w:r>
      <w:r>
        <w:rPr>
          <w:i/>
          <w:iCs/>
          <w:highlight w:val="white"/>
        </w:rPr>
        <w:t>2</w:t>
      </w:r>
      <w:r>
        <w:rPr>
          <w:highlight w:val="white"/>
        </w:rPr>
        <w:t>(1), pp.1-14.</w:t>
      </w:r>
      <w:r>
        <w:t xml:space="preserve"> </w:t>
      </w:r>
    </w:p>
    <w:p w14:paraId="3E0E02C2" w14:textId="77777777" w:rsidR="00A6194B" w:rsidRDefault="00A6194B">
      <w:r>
        <w:t xml:space="preserve">UK Parliament. (2026). </w:t>
      </w:r>
      <w:r>
        <w:rPr>
          <w:i/>
          <w:iCs/>
        </w:rPr>
        <w:t>NHS key statistics: England</w:t>
      </w:r>
      <w:r>
        <w:t>. [online] Available at: https://commonslibrary.parliament.uk/research-briefings/cbp-7281/ (Accessed: 16 June 2026).</w:t>
      </w:r>
    </w:p>
    <w:p w14:paraId="3A8CA98A" w14:textId="77777777" w:rsidR="00A6194B" w:rsidRDefault="00A6194B">
      <w:proofErr w:type="spellStart"/>
      <w:r>
        <w:rPr>
          <w:highlight w:val="white"/>
        </w:rPr>
        <w:t>Vineis</w:t>
      </w:r>
      <w:proofErr w:type="spellEnd"/>
      <w:r>
        <w:rPr>
          <w:highlight w:val="white"/>
        </w:rPr>
        <w:t xml:space="preserve">, P., Avendano-Pabon, M., Barros, H., Bartley, M., Carmeli, C., Carra, L., Chadeau-Hyam, M., Costa, G., Delpierre, C., </w:t>
      </w:r>
      <w:proofErr w:type="spellStart"/>
      <w:r>
        <w:rPr>
          <w:highlight w:val="white"/>
        </w:rPr>
        <w:t>d'Errico</w:t>
      </w:r>
      <w:proofErr w:type="spellEnd"/>
      <w:r>
        <w:rPr>
          <w:highlight w:val="white"/>
        </w:rPr>
        <w:t xml:space="preserve">, A. and Fraga, S., (2020). Special report: the biology of inequalities in health: the lifepath consortium. </w:t>
      </w:r>
      <w:r>
        <w:rPr>
          <w:i/>
          <w:iCs/>
          <w:highlight w:val="white"/>
        </w:rPr>
        <w:t>Frontiers in public health</w:t>
      </w:r>
      <w:r>
        <w:rPr>
          <w:highlight w:val="white"/>
        </w:rPr>
        <w:t xml:space="preserve">, </w:t>
      </w:r>
      <w:r>
        <w:rPr>
          <w:i/>
          <w:iCs/>
          <w:highlight w:val="white"/>
        </w:rPr>
        <w:t>8</w:t>
      </w:r>
      <w:r>
        <w:rPr>
          <w:highlight w:val="white"/>
        </w:rPr>
        <w:t>, p.495953.</w:t>
      </w:r>
      <w:r>
        <w:t xml:space="preserve"> </w:t>
      </w:r>
    </w:p>
    <w:p w14:paraId="4150DD89" w14:textId="77777777" w:rsidR="00A6194B" w:rsidRDefault="00A6194B">
      <w:r>
        <w:rPr>
          <w:highlight w:val="white"/>
        </w:rPr>
        <w:t xml:space="preserve">Vo, A., Tao, Y., Li, Y. and Albarrak, A., (2023). The association between social determinants of health and population health outcomes: ecological analysis. </w:t>
      </w:r>
      <w:r>
        <w:rPr>
          <w:i/>
          <w:iCs/>
          <w:highlight w:val="white"/>
        </w:rPr>
        <w:t>JMIR public health and surveillance</w:t>
      </w:r>
      <w:r>
        <w:rPr>
          <w:highlight w:val="white"/>
        </w:rPr>
        <w:t xml:space="preserve">, </w:t>
      </w:r>
      <w:r>
        <w:rPr>
          <w:i/>
          <w:iCs/>
          <w:highlight w:val="white"/>
        </w:rPr>
        <w:t>9</w:t>
      </w:r>
      <w:r>
        <w:rPr>
          <w:highlight w:val="white"/>
        </w:rPr>
        <w:t>(1), p.e44070.</w:t>
      </w:r>
      <w:r>
        <w:t xml:space="preserve"> </w:t>
      </w:r>
    </w:p>
    <w:p w14:paraId="564FB8C5" w14:textId="77777777" w:rsidR="00A6194B" w:rsidRDefault="00A6194B">
      <w:proofErr w:type="spellStart"/>
      <w:r>
        <w:rPr>
          <w:highlight w:val="white"/>
        </w:rPr>
        <w:t>Wilderink</w:t>
      </w:r>
      <w:proofErr w:type="spellEnd"/>
      <w:r>
        <w:rPr>
          <w:highlight w:val="white"/>
        </w:rPr>
        <w:t xml:space="preserve">, L., Bakker, I., Schuit, A.J., Seidell, J.C., Pop, I.A. and Renders, C.M., (2022). A theoretical perspective on why socioeconomic health inequalities are persistent: building the case for an effective approach. </w:t>
      </w:r>
      <w:r>
        <w:rPr>
          <w:i/>
          <w:iCs/>
          <w:highlight w:val="white"/>
        </w:rPr>
        <w:t>International Journal of Environmental Research and Public Health</w:t>
      </w:r>
      <w:r>
        <w:rPr>
          <w:highlight w:val="white"/>
        </w:rPr>
        <w:t xml:space="preserve">, </w:t>
      </w:r>
      <w:r>
        <w:rPr>
          <w:i/>
          <w:iCs/>
          <w:highlight w:val="white"/>
        </w:rPr>
        <w:t>19</w:t>
      </w:r>
      <w:r>
        <w:rPr>
          <w:highlight w:val="white"/>
        </w:rPr>
        <w:t>(14), p.8384.</w:t>
      </w:r>
      <w:r>
        <w:t xml:space="preserve">  </w:t>
      </w:r>
    </w:p>
    <w:p w14:paraId="4B703BE7" w14:textId="77777777" w:rsidR="00A6194B" w:rsidRDefault="00A6194B">
      <w:r>
        <w:t xml:space="preserve">World Health Organization (WHO). (2026) </w:t>
      </w:r>
      <w:r>
        <w:rPr>
          <w:i/>
          <w:iCs/>
        </w:rPr>
        <w:t>Health Equity</w:t>
      </w:r>
      <w:r>
        <w:t>. World Health Organization. Available at: https://www.who.int/health-topics/health-equity#tab=tab_1 (Accessed: 16 June 2026).</w:t>
      </w:r>
    </w:p>
    <w:p w14:paraId="2BB6DAB2" w14:textId="77777777" w:rsidR="00A6194B" w:rsidRDefault="00A6194B">
      <w:r>
        <w:t xml:space="preserve">World Health Organization. (2023). </w:t>
      </w:r>
      <w:r>
        <w:rPr>
          <w:i/>
          <w:iCs/>
        </w:rPr>
        <w:t xml:space="preserve">Billions left behind on the path to universal health </w:t>
      </w:r>
      <w:proofErr w:type="gramStart"/>
      <w:r>
        <w:rPr>
          <w:i/>
          <w:iCs/>
        </w:rPr>
        <w:t>coverage</w:t>
      </w:r>
      <w:r>
        <w:t>..</w:t>
      </w:r>
      <w:proofErr w:type="gramEnd"/>
      <w:r>
        <w:t xml:space="preserve"> World Health Organization. [online] Available at: https://www.who.int/news/item/18-09-2023-billions-left-behind-on-the-path-to-universal-health-coverage (Accessed: 16 June 2026).</w:t>
      </w:r>
    </w:p>
    <w:p w14:paraId="20F0A6F9" w14:textId="77777777" w:rsidR="00A6194B" w:rsidRDefault="00A6194B">
      <w:r>
        <w:t xml:space="preserve">World Health Organization. (2026). </w:t>
      </w:r>
      <w:r>
        <w:rPr>
          <w:i/>
          <w:iCs/>
        </w:rPr>
        <w:t>Universal health coverage (UHC)</w:t>
      </w:r>
      <w:r>
        <w:t>. World Health Organization. [online] Available at: https://www.who.int/news-room/fact-sheets/detail/universal-health-coverage-(uhc) (Accessed: 16 June 2026).</w:t>
      </w:r>
    </w:p>
    <w:p w14:paraId="4B425CCC" w14:textId="77777777" w:rsidR="00A6194B" w:rsidRDefault="00A6194B">
      <w:r>
        <w:rPr>
          <w:highlight w:val="white"/>
        </w:rPr>
        <w:lastRenderedPageBreak/>
        <w:t xml:space="preserve">Zhao, X., (2023). Challenges and barriers in intercultural communication between patients with immigration backgrounds and health professionals: a systematic literature review. </w:t>
      </w:r>
      <w:r>
        <w:rPr>
          <w:i/>
          <w:iCs/>
          <w:highlight w:val="white"/>
        </w:rPr>
        <w:t>Health communication</w:t>
      </w:r>
      <w:r>
        <w:rPr>
          <w:highlight w:val="white"/>
        </w:rPr>
        <w:t xml:space="preserve">, </w:t>
      </w:r>
      <w:r>
        <w:rPr>
          <w:i/>
          <w:iCs/>
          <w:highlight w:val="white"/>
        </w:rPr>
        <w:t>38</w:t>
      </w:r>
      <w:r>
        <w:rPr>
          <w:highlight w:val="white"/>
        </w:rPr>
        <w:t>(4), pp.824-833.</w:t>
      </w:r>
      <w:r>
        <w:t xml:space="preserve"> </w:t>
      </w:r>
    </w:p>
    <w:p w14:paraId="61FD6A80" w14:textId="77777777" w:rsidR="00937900" w:rsidRDefault="00000000">
      <w:pPr>
        <w:pBdr>
          <w:top w:val="nil"/>
          <w:left w:val="nil"/>
          <w:bottom w:val="nil"/>
          <w:right w:val="nil"/>
          <w:between w:val="nil"/>
        </w:pBdr>
      </w:pPr>
      <w:r>
        <w:br w:type="page"/>
      </w:r>
    </w:p>
    <w:p w14:paraId="51EB8CE3" w14:textId="77777777" w:rsidR="00937900" w:rsidRDefault="00000000">
      <w:pPr>
        <w:pStyle w:val="Heading1"/>
        <w:rPr>
          <w:sz w:val="22"/>
          <w:szCs w:val="22"/>
        </w:rPr>
      </w:pPr>
      <w:bookmarkStart w:id="82" w:name="_heading=h.cmk7hkpeuxeh" w:colFirst="0" w:colLast="0"/>
      <w:bookmarkEnd w:id="82"/>
      <w:r>
        <w:rPr>
          <w:sz w:val="22"/>
          <w:szCs w:val="22"/>
        </w:rPr>
        <w:lastRenderedPageBreak/>
        <w:t xml:space="preserve">Appendices </w:t>
      </w:r>
    </w:p>
    <w:p w14:paraId="5488B8E1" w14:textId="77777777" w:rsidR="00937900" w:rsidRDefault="00000000">
      <w:pPr>
        <w:pStyle w:val="Heading2"/>
        <w:rPr>
          <w:sz w:val="22"/>
          <w:szCs w:val="22"/>
        </w:rPr>
      </w:pPr>
      <w:bookmarkStart w:id="83" w:name="_heading=h.h0nrcknxk0ub" w:colFirst="0" w:colLast="0"/>
      <w:bookmarkEnd w:id="83"/>
      <w:r>
        <w:rPr>
          <w:sz w:val="22"/>
          <w:szCs w:val="22"/>
        </w:rPr>
        <w:t xml:space="preserve">Appendix 1: Source Tracking Table </w:t>
      </w:r>
    </w:p>
    <w:sdt>
      <w:sdtPr>
        <w:tag w:val="goog_rdk_3"/>
        <w:id w:val="-32255039"/>
        <w:lock w:val="contentLocked"/>
      </w:sdtPr>
      <w:sdtContent>
        <w:tbl>
          <w:tblPr>
            <w:tblStyle w:val="a2"/>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937900" w14:paraId="42CEC0D2" w14:textId="77777777">
            <w:tc>
              <w:tcPr>
                <w:tcW w:w="1805" w:type="dxa"/>
                <w:shd w:val="clear" w:color="auto" w:fill="9FC5E8"/>
                <w:tcMar>
                  <w:top w:w="100" w:type="dxa"/>
                  <w:left w:w="100" w:type="dxa"/>
                  <w:bottom w:w="100" w:type="dxa"/>
                  <w:right w:w="100" w:type="dxa"/>
                </w:tcMar>
              </w:tcPr>
              <w:p w14:paraId="1C297678" w14:textId="77777777" w:rsidR="00937900" w:rsidRDefault="00937900">
                <w:pPr>
                  <w:widowControl w:val="0"/>
                  <w:rPr>
                    <w:b/>
                    <w:bCs/>
                  </w:rPr>
                </w:pPr>
              </w:p>
            </w:tc>
            <w:tc>
              <w:tcPr>
                <w:tcW w:w="1806" w:type="dxa"/>
                <w:shd w:val="clear" w:color="auto" w:fill="9FC5E8"/>
                <w:tcMar>
                  <w:top w:w="100" w:type="dxa"/>
                  <w:left w:w="100" w:type="dxa"/>
                  <w:bottom w:w="100" w:type="dxa"/>
                  <w:right w:w="100" w:type="dxa"/>
                </w:tcMar>
              </w:tcPr>
              <w:p w14:paraId="7DB28E31" w14:textId="77777777" w:rsidR="00937900" w:rsidRDefault="00000000">
                <w:pPr>
                  <w:widowControl w:val="0"/>
                  <w:rPr>
                    <w:b/>
                    <w:bCs/>
                  </w:rPr>
                </w:pPr>
                <w:r>
                  <w:rPr>
                    <w:b/>
                    <w:bCs/>
                  </w:rPr>
                  <w:t xml:space="preserve">Author(s) &amp; Year </w:t>
                </w:r>
              </w:p>
            </w:tc>
            <w:tc>
              <w:tcPr>
                <w:tcW w:w="1806" w:type="dxa"/>
                <w:shd w:val="clear" w:color="auto" w:fill="9FC5E8"/>
                <w:tcMar>
                  <w:top w:w="100" w:type="dxa"/>
                  <w:left w:w="100" w:type="dxa"/>
                  <w:bottom w:w="100" w:type="dxa"/>
                  <w:right w:w="100" w:type="dxa"/>
                </w:tcMar>
              </w:tcPr>
              <w:p w14:paraId="4605DB45" w14:textId="77777777" w:rsidR="00937900" w:rsidRDefault="00000000">
                <w:pPr>
                  <w:widowControl w:val="0"/>
                  <w:rPr>
                    <w:b/>
                    <w:bCs/>
                  </w:rPr>
                </w:pPr>
                <w:r>
                  <w:rPr>
                    <w:b/>
                    <w:bCs/>
                  </w:rPr>
                  <w:t xml:space="preserve">Article Title </w:t>
                </w:r>
              </w:p>
            </w:tc>
            <w:tc>
              <w:tcPr>
                <w:tcW w:w="1806" w:type="dxa"/>
                <w:shd w:val="clear" w:color="auto" w:fill="9FC5E8"/>
                <w:tcMar>
                  <w:top w:w="100" w:type="dxa"/>
                  <w:left w:w="100" w:type="dxa"/>
                  <w:bottom w:w="100" w:type="dxa"/>
                  <w:right w:w="100" w:type="dxa"/>
                </w:tcMar>
              </w:tcPr>
              <w:p w14:paraId="69B9CE70" w14:textId="77777777" w:rsidR="00937900" w:rsidRDefault="00000000">
                <w:pPr>
                  <w:widowControl w:val="0"/>
                  <w:rPr>
                    <w:b/>
                    <w:bCs/>
                  </w:rPr>
                </w:pPr>
                <w:r>
                  <w:rPr>
                    <w:b/>
                    <w:bCs/>
                  </w:rPr>
                  <w:t xml:space="preserve">Article Summary </w:t>
                </w:r>
              </w:p>
            </w:tc>
            <w:tc>
              <w:tcPr>
                <w:tcW w:w="1806" w:type="dxa"/>
                <w:shd w:val="clear" w:color="auto" w:fill="9FC5E8"/>
                <w:tcMar>
                  <w:top w:w="100" w:type="dxa"/>
                  <w:left w:w="100" w:type="dxa"/>
                  <w:bottom w:w="100" w:type="dxa"/>
                  <w:right w:w="100" w:type="dxa"/>
                </w:tcMar>
              </w:tcPr>
              <w:p w14:paraId="18319FDE" w14:textId="77777777" w:rsidR="00937900" w:rsidRDefault="00000000">
                <w:pPr>
                  <w:widowControl w:val="0"/>
                  <w:rPr>
                    <w:b/>
                    <w:bCs/>
                  </w:rPr>
                </w:pPr>
                <w:r>
                  <w:rPr>
                    <w:b/>
                    <w:bCs/>
                  </w:rPr>
                  <w:t>Keywords/Codes</w:t>
                </w:r>
              </w:p>
            </w:tc>
          </w:tr>
          <w:tr w:rsidR="00937900" w14:paraId="6BD65A1B" w14:textId="77777777">
            <w:tc>
              <w:tcPr>
                <w:tcW w:w="1805" w:type="dxa"/>
                <w:tcMar>
                  <w:top w:w="100" w:type="dxa"/>
                  <w:left w:w="100" w:type="dxa"/>
                  <w:bottom w:w="100" w:type="dxa"/>
                  <w:right w:w="100" w:type="dxa"/>
                </w:tcMar>
              </w:tcPr>
              <w:p w14:paraId="10C80279" w14:textId="77777777" w:rsidR="00937900" w:rsidRDefault="00000000">
                <w:pPr>
                  <w:widowControl w:val="0"/>
                  <w:rPr>
                    <w:b/>
                    <w:bCs/>
                  </w:rPr>
                </w:pPr>
                <w:r>
                  <w:rPr>
                    <w:b/>
                    <w:bCs/>
                  </w:rPr>
                  <w:t>Article 1</w:t>
                </w:r>
              </w:p>
            </w:tc>
            <w:tc>
              <w:tcPr>
                <w:tcW w:w="1806" w:type="dxa"/>
                <w:tcMar>
                  <w:top w:w="100" w:type="dxa"/>
                  <w:left w:w="100" w:type="dxa"/>
                  <w:bottom w:w="100" w:type="dxa"/>
                  <w:right w:w="100" w:type="dxa"/>
                </w:tcMar>
              </w:tcPr>
              <w:p w14:paraId="641388B0" w14:textId="77777777" w:rsidR="00937900" w:rsidRDefault="00000000">
                <w:pPr>
                  <w:widowControl w:val="0"/>
                </w:pPr>
                <w:r>
                  <w:t>“Beaven and Marshman (2024)”</w:t>
                </w:r>
              </w:p>
            </w:tc>
            <w:tc>
              <w:tcPr>
                <w:tcW w:w="1806" w:type="dxa"/>
                <w:tcMar>
                  <w:top w:w="100" w:type="dxa"/>
                  <w:left w:w="100" w:type="dxa"/>
                  <w:bottom w:w="100" w:type="dxa"/>
                  <w:right w:w="100" w:type="dxa"/>
                </w:tcMar>
              </w:tcPr>
              <w:p w14:paraId="5C6FB2A2" w14:textId="77777777" w:rsidR="00937900" w:rsidRDefault="00000000">
                <w:pPr>
                  <w:widowControl w:val="0"/>
                </w:pPr>
                <w:r>
                  <w:t>“</w:t>
                </w:r>
                <w:r>
                  <w:rPr>
                    <w:highlight w:val="white"/>
                  </w:rPr>
                  <w:t>Barriers and facilitators to accessing oral healthcare for older people in the UK: a scoping review.</w:t>
                </w:r>
                <w:r>
                  <w:t>”</w:t>
                </w:r>
              </w:p>
            </w:tc>
            <w:tc>
              <w:tcPr>
                <w:tcW w:w="1806" w:type="dxa"/>
                <w:tcMar>
                  <w:top w:w="100" w:type="dxa"/>
                  <w:left w:w="100" w:type="dxa"/>
                  <w:bottom w:w="100" w:type="dxa"/>
                  <w:right w:w="100" w:type="dxa"/>
                </w:tcMar>
              </w:tcPr>
              <w:p w14:paraId="4424E3DE" w14:textId="77777777" w:rsidR="00937900" w:rsidRDefault="00000000">
                <w:pPr>
                  <w:widowControl w:val="0"/>
                </w:pPr>
                <w:r>
                  <w:t xml:space="preserve">The scoping review of 27 studies have delivered the qualitative findings related to barriers to HSC services among older adults in the UK. Results indicated physical barriers like lack of service availability, transportation and immobility. </w:t>
                </w:r>
              </w:p>
            </w:tc>
            <w:tc>
              <w:tcPr>
                <w:tcW w:w="1806" w:type="dxa"/>
                <w:tcMar>
                  <w:top w:w="100" w:type="dxa"/>
                  <w:left w:w="100" w:type="dxa"/>
                  <w:bottom w:w="100" w:type="dxa"/>
                  <w:right w:w="100" w:type="dxa"/>
                </w:tcMar>
              </w:tcPr>
              <w:p w14:paraId="56468E85" w14:textId="77777777" w:rsidR="00937900" w:rsidRDefault="00000000">
                <w:pPr>
                  <w:widowControl w:val="0"/>
                </w:pPr>
                <w:r>
                  <w:t>Physical barriers (such as immobility, transportation and service inviability)</w:t>
                </w:r>
              </w:p>
            </w:tc>
          </w:tr>
          <w:tr w:rsidR="00937900" w14:paraId="20C628B0" w14:textId="77777777">
            <w:trPr>
              <w:trHeight w:val="420"/>
            </w:trPr>
            <w:tc>
              <w:tcPr>
                <w:tcW w:w="1805" w:type="dxa"/>
                <w:tcMar>
                  <w:top w:w="100" w:type="dxa"/>
                  <w:left w:w="100" w:type="dxa"/>
                  <w:bottom w:w="100" w:type="dxa"/>
                  <w:right w:w="100" w:type="dxa"/>
                </w:tcMar>
              </w:tcPr>
              <w:p w14:paraId="194BBD30" w14:textId="77777777" w:rsidR="00937900" w:rsidRDefault="00000000">
                <w:pPr>
                  <w:widowControl w:val="0"/>
                  <w:rPr>
                    <w:b/>
                    <w:bCs/>
                  </w:rPr>
                </w:pPr>
                <w:r>
                  <w:rPr>
                    <w:b/>
                    <w:bCs/>
                  </w:rPr>
                  <w:t xml:space="preserve">CRAAP Notes </w:t>
                </w:r>
              </w:p>
            </w:tc>
            <w:tc>
              <w:tcPr>
                <w:tcW w:w="5418" w:type="dxa"/>
                <w:gridSpan w:val="3"/>
                <w:tcMar>
                  <w:top w:w="100" w:type="dxa"/>
                  <w:left w:w="100" w:type="dxa"/>
                  <w:bottom w:w="100" w:type="dxa"/>
                  <w:right w:w="100" w:type="dxa"/>
                </w:tcMar>
              </w:tcPr>
              <w:p w14:paraId="09A5AC30" w14:textId="77777777" w:rsidR="00937900" w:rsidRDefault="00000000">
                <w:pPr>
                  <w:widowControl w:val="0"/>
                </w:pPr>
                <w:r>
                  <w:rPr>
                    <w:b/>
                    <w:bCs/>
                  </w:rPr>
                  <w:t>Currency</w:t>
                </w:r>
                <w:r>
                  <w:t xml:space="preserve">: Current information published in 2024. </w:t>
                </w:r>
              </w:p>
              <w:p w14:paraId="33CB676F" w14:textId="77777777" w:rsidR="00937900" w:rsidRDefault="00000000">
                <w:pPr>
                  <w:widowControl w:val="0"/>
                </w:pPr>
                <w:r>
                  <w:rPr>
                    <w:b/>
                    <w:bCs/>
                  </w:rPr>
                  <w:t>Relevance</w:t>
                </w:r>
                <w:r>
                  <w:t xml:space="preserve">: Linked to first research objective as it explores barriers of physical factors. </w:t>
                </w:r>
              </w:p>
              <w:p w14:paraId="1D4BD76E" w14:textId="77777777" w:rsidR="00937900" w:rsidRDefault="00000000">
                <w:pPr>
                  <w:widowControl w:val="0"/>
                </w:pPr>
                <w:r>
                  <w:rPr>
                    <w:b/>
                    <w:bCs/>
                  </w:rPr>
                  <w:t>Authority</w:t>
                </w:r>
                <w:r>
                  <w:t xml:space="preserve">: Provided in PubMed journal which is peer-reviewed. </w:t>
                </w:r>
              </w:p>
              <w:p w14:paraId="01946318" w14:textId="77777777" w:rsidR="00937900" w:rsidRDefault="00000000">
                <w:pPr>
                  <w:widowControl w:val="0"/>
                </w:pPr>
                <w:r>
                  <w:rPr>
                    <w:b/>
                    <w:bCs/>
                  </w:rPr>
                  <w:t>Accuracy</w:t>
                </w:r>
                <w:r>
                  <w:t xml:space="preserve">: Research methods are interpreted clearly and the findings are supported with evidence from the UK case.  </w:t>
                </w:r>
              </w:p>
              <w:p w14:paraId="34AA31D0" w14:textId="77777777" w:rsidR="00937900" w:rsidRDefault="00000000">
                <w:pPr>
                  <w:widowControl w:val="0"/>
                </w:pPr>
                <w:r>
                  <w:rPr>
                    <w:b/>
                    <w:bCs/>
                  </w:rPr>
                  <w:t>Purpose</w:t>
                </w:r>
                <w:r>
                  <w:t xml:space="preserve">: It aims to explore the barriers to HSC services focusing on physical limitations. </w:t>
                </w:r>
              </w:p>
            </w:tc>
            <w:tc>
              <w:tcPr>
                <w:tcW w:w="1806" w:type="dxa"/>
                <w:tcMar>
                  <w:top w:w="100" w:type="dxa"/>
                  <w:left w:w="100" w:type="dxa"/>
                  <w:bottom w:w="100" w:type="dxa"/>
                  <w:right w:w="100" w:type="dxa"/>
                </w:tcMar>
              </w:tcPr>
              <w:p w14:paraId="0045C4D8" w14:textId="77777777" w:rsidR="00937900" w:rsidRDefault="00000000">
                <w:pPr>
                  <w:widowControl w:val="0"/>
                  <w:rPr>
                    <w:b/>
                    <w:bCs/>
                  </w:rPr>
                </w:pPr>
                <w:r>
                  <w:rPr>
                    <w:b/>
                    <w:bCs/>
                  </w:rPr>
                  <w:t xml:space="preserve">CRAAP Score </w:t>
                </w:r>
              </w:p>
              <w:p w14:paraId="0F9D4E01" w14:textId="77777777" w:rsidR="00937900" w:rsidRDefault="00000000">
                <w:pPr>
                  <w:widowControl w:val="0"/>
                  <w:rPr>
                    <w:b/>
                    <w:bCs/>
                  </w:rPr>
                </w:pPr>
                <w:r>
                  <w:rPr>
                    <w:b/>
                    <w:bCs/>
                  </w:rPr>
                  <w:t>4.5/5</w:t>
                </w:r>
              </w:p>
            </w:tc>
          </w:tr>
          <w:tr w:rsidR="00937900" w14:paraId="6A107D2E" w14:textId="77777777">
            <w:tc>
              <w:tcPr>
                <w:tcW w:w="1805" w:type="dxa"/>
                <w:tcMar>
                  <w:top w:w="100" w:type="dxa"/>
                  <w:left w:w="100" w:type="dxa"/>
                  <w:bottom w:w="100" w:type="dxa"/>
                  <w:right w:w="100" w:type="dxa"/>
                </w:tcMar>
              </w:tcPr>
              <w:p w14:paraId="6D13A77E" w14:textId="77777777" w:rsidR="00937900" w:rsidRDefault="00000000">
                <w:pPr>
                  <w:widowControl w:val="0"/>
                  <w:rPr>
                    <w:b/>
                    <w:bCs/>
                  </w:rPr>
                </w:pPr>
                <w:r>
                  <w:rPr>
                    <w:b/>
                    <w:bCs/>
                  </w:rPr>
                  <w:t>Article 2</w:t>
                </w:r>
              </w:p>
            </w:tc>
            <w:tc>
              <w:tcPr>
                <w:tcW w:w="1806" w:type="dxa"/>
                <w:tcMar>
                  <w:top w:w="100" w:type="dxa"/>
                  <w:left w:w="100" w:type="dxa"/>
                  <w:bottom w:w="100" w:type="dxa"/>
                  <w:right w:w="100" w:type="dxa"/>
                </w:tcMar>
              </w:tcPr>
              <w:p w14:paraId="260D864F" w14:textId="77777777" w:rsidR="00937900" w:rsidRDefault="00000000">
                <w:pPr>
                  <w:widowControl w:val="0"/>
                </w:pPr>
                <w:r>
                  <w:t xml:space="preserve">“Edirisooriya, Silkens and </w:t>
                </w:r>
                <w:r>
                  <w:lastRenderedPageBreak/>
                  <w:t>Medisauskaite, A. (2025)”</w:t>
                </w:r>
              </w:p>
            </w:tc>
            <w:tc>
              <w:tcPr>
                <w:tcW w:w="1806" w:type="dxa"/>
                <w:tcMar>
                  <w:top w:w="100" w:type="dxa"/>
                  <w:left w:w="100" w:type="dxa"/>
                  <w:bottom w:w="100" w:type="dxa"/>
                  <w:right w:w="100" w:type="dxa"/>
                </w:tcMar>
              </w:tcPr>
              <w:p w14:paraId="6FE65026" w14:textId="77777777" w:rsidR="00937900" w:rsidRDefault="00000000">
                <w:pPr>
                  <w:widowControl w:val="0"/>
                </w:pPr>
                <w:r>
                  <w:lastRenderedPageBreak/>
                  <w:t xml:space="preserve">“Exploring financial </w:t>
                </w:r>
                <w:r>
                  <w:lastRenderedPageBreak/>
                  <w:t>difficulty and help-seeking behaviour among medics in the United Kingdom: a cross-sectional survey.”</w:t>
                </w:r>
              </w:p>
            </w:tc>
            <w:tc>
              <w:tcPr>
                <w:tcW w:w="1806" w:type="dxa"/>
                <w:tcMar>
                  <w:top w:w="100" w:type="dxa"/>
                  <w:left w:w="100" w:type="dxa"/>
                  <w:bottom w:w="100" w:type="dxa"/>
                  <w:right w:w="100" w:type="dxa"/>
                </w:tcMar>
              </w:tcPr>
              <w:p w14:paraId="719DBEA2" w14:textId="77777777" w:rsidR="00937900" w:rsidRDefault="00000000">
                <w:pPr>
                  <w:widowControl w:val="0"/>
                </w:pPr>
                <w:r>
                  <w:lastRenderedPageBreak/>
                  <w:t xml:space="preserve">The cross-sectional survey </w:t>
                </w:r>
                <w:r>
                  <w:lastRenderedPageBreak/>
                  <w:t xml:space="preserve">study conducted with 442 participants evaluated the financial barriers as the major barrier. This has limited such individuals to seek for help and support from HSC. </w:t>
                </w:r>
              </w:p>
            </w:tc>
            <w:tc>
              <w:tcPr>
                <w:tcW w:w="1806" w:type="dxa"/>
                <w:tcMar>
                  <w:top w:w="100" w:type="dxa"/>
                  <w:left w:w="100" w:type="dxa"/>
                  <w:bottom w:w="100" w:type="dxa"/>
                  <w:right w:w="100" w:type="dxa"/>
                </w:tcMar>
              </w:tcPr>
              <w:p w14:paraId="4BA73E5E" w14:textId="77777777" w:rsidR="00937900" w:rsidRDefault="00000000">
                <w:pPr>
                  <w:widowControl w:val="0"/>
                  <w:rPr>
                    <w:b/>
                    <w:bCs/>
                  </w:rPr>
                </w:pPr>
                <w:r>
                  <w:rPr>
                    <w:b/>
                    <w:bCs/>
                  </w:rPr>
                  <w:lastRenderedPageBreak/>
                  <w:t xml:space="preserve">Financial barriers, </w:t>
                </w:r>
                <w:r>
                  <w:rPr>
                    <w:b/>
                    <w:bCs/>
                  </w:rPr>
                  <w:lastRenderedPageBreak/>
                  <w:t xml:space="preserve">decreased confidence in help-seeking behaviour. </w:t>
                </w:r>
              </w:p>
            </w:tc>
          </w:tr>
          <w:tr w:rsidR="00937900" w14:paraId="1541D6DA" w14:textId="77777777">
            <w:tc>
              <w:tcPr>
                <w:tcW w:w="1805" w:type="dxa"/>
                <w:tcMar>
                  <w:top w:w="100" w:type="dxa"/>
                  <w:left w:w="100" w:type="dxa"/>
                  <w:bottom w:w="100" w:type="dxa"/>
                  <w:right w:w="100" w:type="dxa"/>
                </w:tcMar>
              </w:tcPr>
              <w:p w14:paraId="159F302B" w14:textId="77777777" w:rsidR="00937900" w:rsidRDefault="00000000">
                <w:pPr>
                  <w:widowControl w:val="0"/>
                  <w:rPr>
                    <w:b/>
                    <w:bCs/>
                  </w:rPr>
                </w:pPr>
                <w:r>
                  <w:rPr>
                    <w:b/>
                    <w:bCs/>
                  </w:rPr>
                  <w:lastRenderedPageBreak/>
                  <w:t xml:space="preserve">CRAAP Notes </w:t>
                </w:r>
              </w:p>
            </w:tc>
            <w:tc>
              <w:tcPr>
                <w:tcW w:w="5418" w:type="dxa"/>
                <w:gridSpan w:val="3"/>
                <w:tcMar>
                  <w:top w:w="100" w:type="dxa"/>
                  <w:left w:w="100" w:type="dxa"/>
                  <w:bottom w:w="100" w:type="dxa"/>
                  <w:right w:w="100" w:type="dxa"/>
                </w:tcMar>
              </w:tcPr>
              <w:p w14:paraId="1707AF06" w14:textId="77777777" w:rsidR="00937900" w:rsidRDefault="00000000">
                <w:pPr>
                  <w:widowControl w:val="0"/>
                </w:pPr>
                <w:r>
                  <w:rPr>
                    <w:b/>
                    <w:bCs/>
                  </w:rPr>
                  <w:t>Currency</w:t>
                </w:r>
                <w:r>
                  <w:t xml:space="preserve">: Published in 2025 which signifies its most current information. </w:t>
                </w:r>
              </w:p>
              <w:p w14:paraId="1CD24502" w14:textId="77777777" w:rsidR="00937900" w:rsidRDefault="00000000">
                <w:pPr>
                  <w:widowControl w:val="0"/>
                </w:pPr>
                <w:r>
                  <w:rPr>
                    <w:b/>
                    <w:bCs/>
                  </w:rPr>
                  <w:t>Relevance</w:t>
                </w:r>
                <w:r>
                  <w:t xml:space="preserve">: Links with first research objective as it has prioritised financial limitation. </w:t>
                </w:r>
              </w:p>
              <w:p w14:paraId="49AE30AC" w14:textId="77777777" w:rsidR="00937900" w:rsidRDefault="00000000">
                <w:pPr>
                  <w:widowControl w:val="0"/>
                </w:pPr>
                <w:r>
                  <w:rPr>
                    <w:b/>
                    <w:bCs/>
                  </w:rPr>
                  <w:t>Authority</w:t>
                </w:r>
                <w:r>
                  <w:t xml:space="preserve">: Published in Pubmed which delivers credible peer-reviewed journals. </w:t>
                </w:r>
              </w:p>
              <w:p w14:paraId="3A8E133F" w14:textId="77777777" w:rsidR="00937900" w:rsidRDefault="00000000">
                <w:pPr>
                  <w:widowControl w:val="0"/>
                </w:pPr>
                <w:r>
                  <w:rPr>
                    <w:b/>
                    <w:bCs/>
                  </w:rPr>
                  <w:t>Accuracy</w:t>
                </w:r>
                <w:r>
                  <w:t xml:space="preserve">: The research approach is well-explained with evidence from real-life experiences. </w:t>
                </w:r>
              </w:p>
              <w:p w14:paraId="77852CC7" w14:textId="77777777" w:rsidR="00937900" w:rsidRDefault="00000000">
                <w:pPr>
                  <w:widowControl w:val="0"/>
                </w:pPr>
                <w:r>
                  <w:rPr>
                    <w:b/>
                    <w:bCs/>
                  </w:rPr>
                  <w:t>Purpose</w:t>
                </w:r>
                <w:r>
                  <w:t xml:space="preserve">: The article aims to uncover the impact of financial limitation on health and social care access. </w:t>
                </w:r>
              </w:p>
            </w:tc>
            <w:tc>
              <w:tcPr>
                <w:tcW w:w="1806" w:type="dxa"/>
                <w:tcMar>
                  <w:top w:w="100" w:type="dxa"/>
                  <w:left w:w="100" w:type="dxa"/>
                  <w:bottom w:w="100" w:type="dxa"/>
                  <w:right w:w="100" w:type="dxa"/>
                </w:tcMar>
              </w:tcPr>
              <w:p w14:paraId="4B13C6C7" w14:textId="77777777" w:rsidR="00937900" w:rsidRDefault="00000000">
                <w:pPr>
                  <w:widowControl w:val="0"/>
                  <w:rPr>
                    <w:b/>
                    <w:bCs/>
                  </w:rPr>
                </w:pPr>
                <w:r>
                  <w:rPr>
                    <w:b/>
                    <w:bCs/>
                  </w:rPr>
                  <w:t xml:space="preserve">CRAAP Score </w:t>
                </w:r>
              </w:p>
              <w:p w14:paraId="50BD9D21" w14:textId="77777777" w:rsidR="00937900" w:rsidRDefault="00000000">
                <w:pPr>
                  <w:widowControl w:val="0"/>
                  <w:rPr>
                    <w:b/>
                    <w:bCs/>
                  </w:rPr>
                </w:pPr>
                <w:r>
                  <w:rPr>
                    <w:b/>
                    <w:bCs/>
                  </w:rPr>
                  <w:t>4/5</w:t>
                </w:r>
              </w:p>
            </w:tc>
          </w:tr>
          <w:tr w:rsidR="00937900" w14:paraId="3981551F" w14:textId="77777777">
            <w:tc>
              <w:tcPr>
                <w:tcW w:w="1805" w:type="dxa"/>
                <w:tcMar>
                  <w:top w:w="100" w:type="dxa"/>
                  <w:left w:w="100" w:type="dxa"/>
                  <w:bottom w:w="100" w:type="dxa"/>
                  <w:right w:w="100" w:type="dxa"/>
                </w:tcMar>
              </w:tcPr>
              <w:p w14:paraId="19DC3733" w14:textId="77777777" w:rsidR="00937900" w:rsidRDefault="00000000">
                <w:pPr>
                  <w:widowControl w:val="0"/>
                  <w:rPr>
                    <w:b/>
                    <w:bCs/>
                  </w:rPr>
                </w:pPr>
                <w:r>
                  <w:rPr>
                    <w:b/>
                    <w:bCs/>
                  </w:rPr>
                  <w:t>Article 3</w:t>
                </w:r>
              </w:p>
            </w:tc>
            <w:tc>
              <w:tcPr>
                <w:tcW w:w="1806" w:type="dxa"/>
                <w:tcMar>
                  <w:top w:w="100" w:type="dxa"/>
                  <w:left w:w="100" w:type="dxa"/>
                  <w:bottom w:w="100" w:type="dxa"/>
                  <w:right w:w="100" w:type="dxa"/>
                </w:tcMar>
              </w:tcPr>
              <w:p w14:paraId="303E5660" w14:textId="77777777" w:rsidR="00937900" w:rsidRDefault="00000000">
                <w:pPr>
                  <w:widowControl w:val="0"/>
                </w:pPr>
                <w:r>
                  <w:t xml:space="preserve">“‌Ekezie </w:t>
                </w:r>
                <w:r>
                  <w:rPr>
                    <w:i/>
                    <w:iCs/>
                  </w:rPr>
                  <w:t xml:space="preserve">et al. </w:t>
                </w:r>
                <w:r>
                  <w:t>(2023)”</w:t>
                </w:r>
              </w:p>
            </w:tc>
            <w:tc>
              <w:tcPr>
                <w:tcW w:w="1806" w:type="dxa"/>
                <w:tcMar>
                  <w:top w:w="100" w:type="dxa"/>
                  <w:left w:w="100" w:type="dxa"/>
                  <w:bottom w:w="100" w:type="dxa"/>
                  <w:right w:w="100" w:type="dxa"/>
                </w:tcMar>
              </w:tcPr>
              <w:p w14:paraId="62847937" w14:textId="77777777" w:rsidR="00937900" w:rsidRDefault="00000000">
                <w:pPr>
                  <w:widowControl w:val="0"/>
                </w:pPr>
                <w:r>
                  <w:t xml:space="preserve">“Health and social care experience and research perception of different ethnic minority populations in the East Midlands, United Kingdom (REPRESENT </w:t>
                </w:r>
                <w:r>
                  <w:lastRenderedPageBreak/>
                  <w:t>study).”</w:t>
                </w:r>
              </w:p>
            </w:tc>
            <w:tc>
              <w:tcPr>
                <w:tcW w:w="1806" w:type="dxa"/>
                <w:tcMar>
                  <w:top w:w="100" w:type="dxa"/>
                  <w:left w:w="100" w:type="dxa"/>
                  <w:bottom w:w="100" w:type="dxa"/>
                  <w:right w:w="100" w:type="dxa"/>
                </w:tcMar>
              </w:tcPr>
              <w:p w14:paraId="0F2B12BE" w14:textId="77777777" w:rsidR="00937900" w:rsidRDefault="00000000">
                <w:pPr>
                  <w:widowControl w:val="0"/>
                </w:pPr>
                <w:r>
                  <w:lastRenderedPageBreak/>
                  <w:t>The mixed method study has involved 52 participants from UK ethnic minorities to uncover the social issues. It found issues like communication and language misunderstandi</w:t>
                </w:r>
                <w:r>
                  <w:lastRenderedPageBreak/>
                  <w:t xml:space="preserve">ng, discrimination and limited culture-based health services as the reasons behind healthcare inequalities in the UK. </w:t>
                </w:r>
              </w:p>
            </w:tc>
            <w:tc>
              <w:tcPr>
                <w:tcW w:w="1806" w:type="dxa"/>
                <w:tcMar>
                  <w:top w:w="100" w:type="dxa"/>
                  <w:left w:w="100" w:type="dxa"/>
                  <w:bottom w:w="100" w:type="dxa"/>
                  <w:right w:w="100" w:type="dxa"/>
                </w:tcMar>
              </w:tcPr>
              <w:p w14:paraId="027ABBC0" w14:textId="77777777" w:rsidR="00937900" w:rsidRDefault="00000000">
                <w:pPr>
                  <w:widowControl w:val="0"/>
                  <w:rPr>
                    <w:b/>
                    <w:bCs/>
                  </w:rPr>
                </w:pPr>
                <w:r>
                  <w:rPr>
                    <w:b/>
                    <w:bCs/>
                  </w:rPr>
                  <w:lastRenderedPageBreak/>
                  <w:t xml:space="preserve">Cultural and systemic barriers. </w:t>
                </w:r>
              </w:p>
            </w:tc>
          </w:tr>
          <w:tr w:rsidR="00937900" w14:paraId="740A5B3B" w14:textId="77777777">
            <w:tc>
              <w:tcPr>
                <w:tcW w:w="1805" w:type="dxa"/>
                <w:tcMar>
                  <w:top w:w="100" w:type="dxa"/>
                  <w:left w:w="100" w:type="dxa"/>
                  <w:bottom w:w="100" w:type="dxa"/>
                  <w:right w:w="100" w:type="dxa"/>
                </w:tcMar>
              </w:tcPr>
              <w:p w14:paraId="31AB4BB9" w14:textId="77777777" w:rsidR="00937900" w:rsidRDefault="00000000">
                <w:pPr>
                  <w:widowControl w:val="0"/>
                  <w:rPr>
                    <w:b/>
                    <w:bCs/>
                  </w:rPr>
                </w:pPr>
                <w:r>
                  <w:rPr>
                    <w:b/>
                    <w:bCs/>
                  </w:rPr>
                  <w:t xml:space="preserve">CRAAP Notes </w:t>
                </w:r>
              </w:p>
            </w:tc>
            <w:tc>
              <w:tcPr>
                <w:tcW w:w="5418" w:type="dxa"/>
                <w:gridSpan w:val="3"/>
                <w:tcMar>
                  <w:top w:w="100" w:type="dxa"/>
                  <w:left w:w="100" w:type="dxa"/>
                  <w:bottom w:w="100" w:type="dxa"/>
                  <w:right w:w="100" w:type="dxa"/>
                </w:tcMar>
              </w:tcPr>
              <w:p w14:paraId="1384D14D" w14:textId="77777777" w:rsidR="00937900" w:rsidRDefault="00000000">
                <w:pPr>
                  <w:widowControl w:val="0"/>
                </w:pPr>
                <w:r>
                  <w:rPr>
                    <w:b/>
                    <w:bCs/>
                  </w:rPr>
                  <w:t>Currency</w:t>
                </w:r>
                <w:r>
                  <w:t xml:space="preserve">: Developed in 2023 due to which the findings have higher currency. </w:t>
                </w:r>
              </w:p>
              <w:p w14:paraId="695E2953" w14:textId="77777777" w:rsidR="00937900" w:rsidRDefault="00000000">
                <w:pPr>
                  <w:widowControl w:val="0"/>
                </w:pPr>
                <w:r>
                  <w:rPr>
                    <w:b/>
                    <w:bCs/>
                  </w:rPr>
                  <w:t>Relevance</w:t>
                </w:r>
                <w:r>
                  <w:t xml:space="preserve">: It aligns with the foremost objective as it has analysed the social and structural hindrances to HSC services in the UK. </w:t>
                </w:r>
              </w:p>
              <w:p w14:paraId="5C643163" w14:textId="77777777" w:rsidR="00937900" w:rsidRDefault="00000000">
                <w:pPr>
                  <w:widowControl w:val="0"/>
                </w:pPr>
                <w:r>
                  <w:rPr>
                    <w:b/>
                    <w:bCs/>
                  </w:rPr>
                  <w:t>Authority</w:t>
                </w:r>
                <w:r>
                  <w:t xml:space="preserve">: It is provided in Pubmed which provides studies that are authentic and peer-reviewed.  </w:t>
                </w:r>
              </w:p>
              <w:p w14:paraId="0AC793CF" w14:textId="77777777" w:rsidR="00937900" w:rsidRDefault="00000000">
                <w:pPr>
                  <w:widowControl w:val="0"/>
                </w:pPr>
                <w:r>
                  <w:rPr>
                    <w:b/>
                    <w:bCs/>
                  </w:rPr>
                  <w:t>Accuracy</w:t>
                </w:r>
                <w:r>
                  <w:t xml:space="preserve">: Methodology is consistently applied and includes empirical evidence. </w:t>
                </w:r>
              </w:p>
              <w:p w14:paraId="257E34CF" w14:textId="77777777" w:rsidR="00937900" w:rsidRDefault="00000000">
                <w:pPr>
                  <w:widowControl w:val="0"/>
                </w:pPr>
                <w:r>
                  <w:rPr>
                    <w:b/>
                    <w:bCs/>
                  </w:rPr>
                  <w:t>Purpose</w:t>
                </w:r>
                <w:r>
                  <w:t xml:space="preserve">: This aims to examine barriers faced by ethnic minorities and aged individuals in the UK. </w:t>
                </w:r>
              </w:p>
            </w:tc>
            <w:tc>
              <w:tcPr>
                <w:tcW w:w="1806" w:type="dxa"/>
                <w:tcMar>
                  <w:top w:w="100" w:type="dxa"/>
                  <w:left w:w="100" w:type="dxa"/>
                  <w:bottom w:w="100" w:type="dxa"/>
                  <w:right w:w="100" w:type="dxa"/>
                </w:tcMar>
              </w:tcPr>
              <w:p w14:paraId="75BC9D0C" w14:textId="77777777" w:rsidR="00937900" w:rsidRDefault="00000000">
                <w:pPr>
                  <w:widowControl w:val="0"/>
                  <w:rPr>
                    <w:b/>
                    <w:bCs/>
                  </w:rPr>
                </w:pPr>
                <w:r>
                  <w:rPr>
                    <w:b/>
                    <w:bCs/>
                  </w:rPr>
                  <w:t xml:space="preserve">CRAAP Score </w:t>
                </w:r>
              </w:p>
              <w:p w14:paraId="5FE1C9DF" w14:textId="77777777" w:rsidR="00937900" w:rsidRDefault="00000000">
                <w:pPr>
                  <w:widowControl w:val="0"/>
                  <w:rPr>
                    <w:b/>
                    <w:bCs/>
                  </w:rPr>
                </w:pPr>
                <w:r>
                  <w:rPr>
                    <w:b/>
                    <w:bCs/>
                  </w:rPr>
                  <w:t>4.5/5</w:t>
                </w:r>
              </w:p>
            </w:tc>
          </w:tr>
          <w:tr w:rsidR="00937900" w14:paraId="7993BE42" w14:textId="77777777">
            <w:tc>
              <w:tcPr>
                <w:tcW w:w="1805" w:type="dxa"/>
                <w:tcMar>
                  <w:top w:w="100" w:type="dxa"/>
                  <w:left w:w="100" w:type="dxa"/>
                  <w:bottom w:w="100" w:type="dxa"/>
                  <w:right w:w="100" w:type="dxa"/>
                </w:tcMar>
              </w:tcPr>
              <w:p w14:paraId="4C5AE3DD" w14:textId="77777777" w:rsidR="00937900" w:rsidRDefault="00000000">
                <w:pPr>
                  <w:widowControl w:val="0"/>
                  <w:rPr>
                    <w:b/>
                    <w:bCs/>
                  </w:rPr>
                </w:pPr>
                <w:r>
                  <w:rPr>
                    <w:b/>
                    <w:bCs/>
                  </w:rPr>
                  <w:t>Article 4</w:t>
                </w:r>
              </w:p>
            </w:tc>
            <w:tc>
              <w:tcPr>
                <w:tcW w:w="1806" w:type="dxa"/>
                <w:tcMar>
                  <w:top w:w="100" w:type="dxa"/>
                  <w:left w:w="100" w:type="dxa"/>
                  <w:bottom w:w="100" w:type="dxa"/>
                  <w:right w:w="100" w:type="dxa"/>
                </w:tcMar>
              </w:tcPr>
              <w:p w14:paraId="55E471D2" w14:textId="77777777" w:rsidR="00937900" w:rsidRDefault="00000000">
                <w:pPr>
                  <w:widowControl w:val="0"/>
                </w:pPr>
                <w:r>
                  <w:t xml:space="preserve">“Aujla </w:t>
                </w:r>
                <w:r>
                  <w:rPr>
                    <w:i/>
                    <w:iCs/>
                  </w:rPr>
                  <w:t xml:space="preserve">et al. </w:t>
                </w:r>
                <w:r>
                  <w:t>(2023)”</w:t>
                </w:r>
              </w:p>
            </w:tc>
            <w:tc>
              <w:tcPr>
                <w:tcW w:w="1806" w:type="dxa"/>
                <w:tcMar>
                  <w:top w:w="100" w:type="dxa"/>
                  <w:left w:w="100" w:type="dxa"/>
                  <w:bottom w:w="100" w:type="dxa"/>
                  <w:right w:w="100" w:type="dxa"/>
                </w:tcMar>
              </w:tcPr>
              <w:p w14:paraId="37EF6BA4" w14:textId="77777777" w:rsidR="00937900" w:rsidRDefault="00000000">
                <w:pPr>
                  <w:widowControl w:val="0"/>
                </w:pPr>
                <w:r>
                  <w:t>“A Comparative Overview of Health and Social Care Policy for Older People in England and Scotland, United Kingdom (UK).”</w:t>
                </w:r>
              </w:p>
            </w:tc>
            <w:tc>
              <w:tcPr>
                <w:tcW w:w="1806" w:type="dxa"/>
                <w:tcMar>
                  <w:top w:w="100" w:type="dxa"/>
                  <w:left w:w="100" w:type="dxa"/>
                  <w:bottom w:w="100" w:type="dxa"/>
                  <w:right w:w="100" w:type="dxa"/>
                </w:tcMar>
              </w:tcPr>
              <w:p w14:paraId="7701510F" w14:textId="77777777" w:rsidR="00937900" w:rsidRDefault="00000000">
                <w:pPr>
                  <w:widowControl w:val="0"/>
                </w:pPr>
                <w:r>
                  <w:t xml:space="preserve">The comparative policy analyses  the health document review from “England (27 studies) and Scotland (28 studies)”. Findings revealed the link of fragmented </w:t>
                </w:r>
                <w:r>
                  <w:lastRenderedPageBreak/>
                  <w:t xml:space="preserve">care with poor  health outcomes for older adults. </w:t>
                </w:r>
              </w:p>
            </w:tc>
            <w:tc>
              <w:tcPr>
                <w:tcW w:w="1806" w:type="dxa"/>
                <w:tcMar>
                  <w:top w:w="100" w:type="dxa"/>
                  <w:left w:w="100" w:type="dxa"/>
                  <w:bottom w:w="100" w:type="dxa"/>
                  <w:right w:w="100" w:type="dxa"/>
                </w:tcMar>
              </w:tcPr>
              <w:p w14:paraId="088FAE87" w14:textId="77777777" w:rsidR="00937900" w:rsidRDefault="00000000">
                <w:pPr>
                  <w:widowControl w:val="0"/>
                  <w:rPr>
                    <w:b/>
                    <w:bCs/>
                  </w:rPr>
                </w:pPr>
                <w:r>
                  <w:rPr>
                    <w:b/>
                    <w:bCs/>
                  </w:rPr>
                  <w:lastRenderedPageBreak/>
                  <w:t>Poor health results and</w:t>
                </w:r>
              </w:p>
              <w:p w14:paraId="0B27311C" w14:textId="77777777" w:rsidR="00937900" w:rsidRDefault="00000000">
                <w:pPr>
                  <w:widowControl w:val="0"/>
                  <w:rPr>
                    <w:b/>
                    <w:bCs/>
                  </w:rPr>
                </w:pPr>
                <w:r>
                  <w:rPr>
                    <w:b/>
                    <w:bCs/>
                  </w:rPr>
                  <w:t xml:space="preserve">decreased quality of living. </w:t>
                </w:r>
              </w:p>
            </w:tc>
          </w:tr>
          <w:tr w:rsidR="00937900" w14:paraId="64AE3ABF" w14:textId="77777777">
            <w:tc>
              <w:tcPr>
                <w:tcW w:w="1805" w:type="dxa"/>
                <w:tcMar>
                  <w:top w:w="100" w:type="dxa"/>
                  <w:left w:w="100" w:type="dxa"/>
                  <w:bottom w:w="100" w:type="dxa"/>
                  <w:right w:w="100" w:type="dxa"/>
                </w:tcMar>
              </w:tcPr>
              <w:p w14:paraId="33F6E7EF" w14:textId="77777777" w:rsidR="00937900" w:rsidRDefault="00000000">
                <w:pPr>
                  <w:widowControl w:val="0"/>
                  <w:rPr>
                    <w:b/>
                    <w:bCs/>
                  </w:rPr>
                </w:pPr>
                <w:r>
                  <w:rPr>
                    <w:b/>
                    <w:bCs/>
                  </w:rPr>
                  <w:t xml:space="preserve">CRAAP Notes </w:t>
                </w:r>
              </w:p>
            </w:tc>
            <w:tc>
              <w:tcPr>
                <w:tcW w:w="5418" w:type="dxa"/>
                <w:gridSpan w:val="3"/>
                <w:tcMar>
                  <w:top w:w="100" w:type="dxa"/>
                  <w:left w:w="100" w:type="dxa"/>
                  <w:bottom w:w="100" w:type="dxa"/>
                  <w:right w:w="100" w:type="dxa"/>
                </w:tcMar>
              </w:tcPr>
              <w:p w14:paraId="222C7C57" w14:textId="77777777" w:rsidR="00937900" w:rsidRDefault="00000000">
                <w:pPr>
                  <w:widowControl w:val="0"/>
                </w:pPr>
                <w:r>
                  <w:rPr>
                    <w:b/>
                    <w:bCs/>
                  </w:rPr>
                  <w:t>Currency</w:t>
                </w:r>
                <w:r>
                  <w:t xml:space="preserve">: It has higher currency due to its recent publication in 2023. </w:t>
                </w:r>
              </w:p>
              <w:p w14:paraId="1FAAD825" w14:textId="77777777" w:rsidR="00937900" w:rsidRDefault="00000000">
                <w:pPr>
                  <w:widowControl w:val="0"/>
                </w:pPr>
                <w:r>
                  <w:rPr>
                    <w:b/>
                    <w:bCs/>
                  </w:rPr>
                  <w:t>Relevance</w:t>
                </w:r>
                <w:r>
                  <w:t xml:space="preserve">: It is connected with a second research objective as it evaluates the impact of barriers to UK HSC services on older adults. </w:t>
                </w:r>
              </w:p>
              <w:p w14:paraId="7832C24E" w14:textId="77777777" w:rsidR="00937900" w:rsidRDefault="00000000">
                <w:pPr>
                  <w:widowControl w:val="0"/>
                </w:pPr>
                <w:r>
                  <w:rPr>
                    <w:b/>
                    <w:bCs/>
                  </w:rPr>
                  <w:t>Authority</w:t>
                </w:r>
                <w:r>
                  <w:t xml:space="preserve">: It is published in PubMed where peer-reviewed studies can be located. </w:t>
                </w:r>
              </w:p>
              <w:p w14:paraId="4E551363" w14:textId="77777777" w:rsidR="00937900" w:rsidRDefault="00000000">
                <w:pPr>
                  <w:widowControl w:val="0"/>
                </w:pPr>
                <w:r>
                  <w:rPr>
                    <w:b/>
                    <w:bCs/>
                  </w:rPr>
                  <w:t>Accuracy</w:t>
                </w:r>
                <w:r>
                  <w:t>: This has delivered a clear explanation of method with evidence on vulnerable aged adults in the UK.</w:t>
                </w:r>
              </w:p>
              <w:p w14:paraId="30D589EB" w14:textId="77777777" w:rsidR="00937900" w:rsidRDefault="00000000">
                <w:pPr>
                  <w:widowControl w:val="0"/>
                </w:pPr>
                <w:r>
                  <w:rPr>
                    <w:b/>
                    <w:bCs/>
                  </w:rPr>
                  <w:t>Purpose</w:t>
                </w:r>
                <w:r>
                  <w:t xml:space="preserve">: To uncover the impact of health disparities on the health outcome of older adults in the UK. </w:t>
                </w:r>
              </w:p>
            </w:tc>
            <w:tc>
              <w:tcPr>
                <w:tcW w:w="1806" w:type="dxa"/>
                <w:tcMar>
                  <w:top w:w="100" w:type="dxa"/>
                  <w:left w:w="100" w:type="dxa"/>
                  <w:bottom w:w="100" w:type="dxa"/>
                  <w:right w:w="100" w:type="dxa"/>
                </w:tcMar>
              </w:tcPr>
              <w:p w14:paraId="0B18C4C1" w14:textId="77777777" w:rsidR="00937900" w:rsidRDefault="00000000">
                <w:pPr>
                  <w:widowControl w:val="0"/>
                  <w:rPr>
                    <w:b/>
                    <w:bCs/>
                  </w:rPr>
                </w:pPr>
                <w:r>
                  <w:rPr>
                    <w:b/>
                    <w:bCs/>
                  </w:rPr>
                  <w:t xml:space="preserve">CRAAP Score </w:t>
                </w:r>
              </w:p>
              <w:p w14:paraId="5040E56C" w14:textId="77777777" w:rsidR="00937900" w:rsidRDefault="00000000">
                <w:pPr>
                  <w:widowControl w:val="0"/>
                  <w:rPr>
                    <w:b/>
                    <w:bCs/>
                  </w:rPr>
                </w:pPr>
                <w:r>
                  <w:rPr>
                    <w:b/>
                    <w:bCs/>
                  </w:rPr>
                  <w:t>4.9/5</w:t>
                </w:r>
              </w:p>
            </w:tc>
          </w:tr>
          <w:tr w:rsidR="00937900" w14:paraId="339FE57E" w14:textId="77777777">
            <w:tc>
              <w:tcPr>
                <w:tcW w:w="1805" w:type="dxa"/>
                <w:tcMar>
                  <w:top w:w="100" w:type="dxa"/>
                  <w:left w:w="100" w:type="dxa"/>
                  <w:bottom w:w="100" w:type="dxa"/>
                  <w:right w:w="100" w:type="dxa"/>
                </w:tcMar>
              </w:tcPr>
              <w:p w14:paraId="0B109B6A" w14:textId="77777777" w:rsidR="00937900" w:rsidRDefault="00000000">
                <w:pPr>
                  <w:widowControl w:val="0"/>
                  <w:rPr>
                    <w:b/>
                    <w:bCs/>
                  </w:rPr>
                </w:pPr>
                <w:r>
                  <w:rPr>
                    <w:b/>
                    <w:bCs/>
                  </w:rPr>
                  <w:t>Article 5</w:t>
                </w:r>
              </w:p>
            </w:tc>
            <w:tc>
              <w:tcPr>
                <w:tcW w:w="1806" w:type="dxa"/>
                <w:tcMar>
                  <w:top w:w="100" w:type="dxa"/>
                  <w:left w:w="100" w:type="dxa"/>
                  <w:bottom w:w="100" w:type="dxa"/>
                  <w:right w:w="100" w:type="dxa"/>
                </w:tcMar>
              </w:tcPr>
              <w:p w14:paraId="1726E5D0" w14:textId="77777777" w:rsidR="00937900" w:rsidRDefault="00000000">
                <w:pPr>
                  <w:widowControl w:val="0"/>
                </w:pPr>
                <w:r>
                  <w:t>“Kanjilal and Arnull, (2025)”</w:t>
                </w:r>
              </w:p>
            </w:tc>
            <w:tc>
              <w:tcPr>
                <w:tcW w:w="1806" w:type="dxa"/>
                <w:tcMar>
                  <w:top w:w="100" w:type="dxa"/>
                  <w:left w:w="100" w:type="dxa"/>
                  <w:bottom w:w="100" w:type="dxa"/>
                  <w:right w:w="100" w:type="dxa"/>
                </w:tcMar>
              </w:tcPr>
              <w:p w14:paraId="4A4B07CC" w14:textId="77777777" w:rsidR="00937900" w:rsidRDefault="00000000">
                <w:pPr>
                  <w:widowControl w:val="0"/>
                </w:pPr>
                <w:r>
                  <w:t>“</w:t>
                </w:r>
                <w:r>
                  <w:rPr>
                    <w:highlight w:val="white"/>
                  </w:rPr>
                  <w:t xml:space="preserve">“People Are Still Not Receiving Good Care Because of Who They Are” An Account of Inequalities of Elderly People from Ethnic Minorities in the UK. In </w:t>
                </w:r>
                <w:r>
                  <w:rPr>
                    <w:i/>
                    <w:iCs/>
                    <w:highlight w:val="white"/>
                  </w:rPr>
                  <w:t>The Palgrave Handbook of Global Social Problems”</w:t>
                </w:r>
              </w:p>
            </w:tc>
            <w:tc>
              <w:tcPr>
                <w:tcW w:w="1806" w:type="dxa"/>
                <w:tcMar>
                  <w:top w:w="100" w:type="dxa"/>
                  <w:left w:w="100" w:type="dxa"/>
                  <w:bottom w:w="100" w:type="dxa"/>
                  <w:right w:w="100" w:type="dxa"/>
                </w:tcMar>
              </w:tcPr>
              <w:p w14:paraId="3B76EF88" w14:textId="77777777" w:rsidR="00937900" w:rsidRDefault="00000000">
                <w:pPr>
                  <w:widowControl w:val="0"/>
                </w:pPr>
                <w:r>
                  <w:t xml:space="preserve">The study has adopted a qualitative and quantitative approach by including the case studies on elderly ethnic minorities of the UK. Findings included consistent age-related discrimination, racial biases and lack of culture sensitive care services. This has </w:t>
                </w:r>
                <w:r>
                  <w:lastRenderedPageBreak/>
                  <w:t xml:space="preserve">influenced worsened health outcomes and exclusion of such groups from quality and accessible HSC services. </w:t>
                </w:r>
              </w:p>
            </w:tc>
            <w:tc>
              <w:tcPr>
                <w:tcW w:w="1806" w:type="dxa"/>
                <w:tcMar>
                  <w:top w:w="100" w:type="dxa"/>
                  <w:left w:w="100" w:type="dxa"/>
                  <w:bottom w:w="100" w:type="dxa"/>
                  <w:right w:w="100" w:type="dxa"/>
                </w:tcMar>
              </w:tcPr>
              <w:p w14:paraId="5CD006C0" w14:textId="77777777" w:rsidR="00937900" w:rsidRDefault="00000000">
                <w:pPr>
                  <w:widowControl w:val="0"/>
                  <w:rPr>
                    <w:b/>
                    <w:bCs/>
                  </w:rPr>
                </w:pPr>
                <w:r>
                  <w:rPr>
                    <w:b/>
                    <w:bCs/>
                  </w:rPr>
                  <w:lastRenderedPageBreak/>
                  <w:t xml:space="preserve">Vulnerable communities like ethnic minorities, low income and older adults groups. </w:t>
                </w:r>
              </w:p>
            </w:tc>
          </w:tr>
          <w:tr w:rsidR="00937900" w14:paraId="1D247B44" w14:textId="77777777">
            <w:tc>
              <w:tcPr>
                <w:tcW w:w="1805" w:type="dxa"/>
                <w:tcMar>
                  <w:top w:w="100" w:type="dxa"/>
                  <w:left w:w="100" w:type="dxa"/>
                  <w:bottom w:w="100" w:type="dxa"/>
                  <w:right w:w="100" w:type="dxa"/>
                </w:tcMar>
              </w:tcPr>
              <w:p w14:paraId="1833E246" w14:textId="77777777" w:rsidR="00937900" w:rsidRDefault="00000000">
                <w:pPr>
                  <w:widowControl w:val="0"/>
                  <w:rPr>
                    <w:b/>
                    <w:bCs/>
                  </w:rPr>
                </w:pPr>
                <w:r>
                  <w:rPr>
                    <w:b/>
                    <w:bCs/>
                  </w:rPr>
                  <w:t xml:space="preserve">CRAAP Notes </w:t>
                </w:r>
              </w:p>
            </w:tc>
            <w:tc>
              <w:tcPr>
                <w:tcW w:w="5418" w:type="dxa"/>
                <w:gridSpan w:val="3"/>
                <w:tcMar>
                  <w:top w:w="100" w:type="dxa"/>
                  <w:left w:w="100" w:type="dxa"/>
                  <w:bottom w:w="100" w:type="dxa"/>
                  <w:right w:w="100" w:type="dxa"/>
                </w:tcMar>
              </w:tcPr>
              <w:p w14:paraId="197C668F" w14:textId="77777777" w:rsidR="00937900" w:rsidRDefault="00000000">
                <w:pPr>
                  <w:widowControl w:val="0"/>
                </w:pPr>
                <w:r>
                  <w:rPr>
                    <w:b/>
                    <w:bCs/>
                  </w:rPr>
                  <w:t>Currency</w:t>
                </w:r>
                <w:r>
                  <w:t xml:space="preserve">: It has most current findings as it has the publication year of 2025. </w:t>
                </w:r>
              </w:p>
              <w:p w14:paraId="5477283B" w14:textId="77777777" w:rsidR="00937900" w:rsidRDefault="00000000">
                <w:pPr>
                  <w:widowControl w:val="0"/>
                </w:pPr>
                <w:r>
                  <w:rPr>
                    <w:b/>
                    <w:bCs/>
                  </w:rPr>
                  <w:t>Relevance</w:t>
                </w:r>
                <w:r>
                  <w:t xml:space="preserve">: It is relevant to the second objective as it has examined the influence of HSC barriers on health outcomes. </w:t>
                </w:r>
              </w:p>
              <w:p w14:paraId="7A4F46AE" w14:textId="77777777" w:rsidR="00937900" w:rsidRDefault="00000000">
                <w:pPr>
                  <w:widowControl w:val="0"/>
                </w:pPr>
                <w:r>
                  <w:rPr>
                    <w:b/>
                    <w:bCs/>
                  </w:rPr>
                  <w:t>Authority</w:t>
                </w:r>
                <w:r>
                  <w:t xml:space="preserve">: It is published in Springer journal and provided in Google Scholar which are known for delivering reliable and peer-reviewed studies.  </w:t>
                </w:r>
              </w:p>
              <w:p w14:paraId="4E578CF4" w14:textId="77777777" w:rsidR="00937900" w:rsidRDefault="00000000">
                <w:pPr>
                  <w:widowControl w:val="0"/>
                </w:pPr>
                <w:r>
                  <w:rPr>
                    <w:b/>
                    <w:bCs/>
                  </w:rPr>
                  <w:t>Accuracy</w:t>
                </w:r>
                <w:r>
                  <w:t xml:space="preserve">: It has relative accuracy as the study has not provided the number of studies that has been included. </w:t>
                </w:r>
              </w:p>
              <w:p w14:paraId="0FC73D57" w14:textId="77777777" w:rsidR="00937900" w:rsidRDefault="00000000">
                <w:pPr>
                  <w:widowControl w:val="0"/>
                  <w:rPr>
                    <w:b/>
                    <w:bCs/>
                  </w:rPr>
                </w:pPr>
                <w:r>
                  <w:rPr>
                    <w:b/>
                    <w:bCs/>
                  </w:rPr>
                  <w:t>Purpose</w:t>
                </w:r>
                <w:r>
                  <w:t xml:space="preserve">: This aims to analyse the impact on health of older and ethnic minorities groups in the UK influenced by HSC barriers. </w:t>
                </w:r>
              </w:p>
            </w:tc>
            <w:tc>
              <w:tcPr>
                <w:tcW w:w="1806" w:type="dxa"/>
                <w:tcMar>
                  <w:top w:w="100" w:type="dxa"/>
                  <w:left w:w="100" w:type="dxa"/>
                  <w:bottom w:w="100" w:type="dxa"/>
                  <w:right w:w="100" w:type="dxa"/>
                </w:tcMar>
              </w:tcPr>
              <w:p w14:paraId="6988FE22" w14:textId="77777777" w:rsidR="00937900" w:rsidRDefault="00000000">
                <w:pPr>
                  <w:widowControl w:val="0"/>
                  <w:rPr>
                    <w:b/>
                    <w:bCs/>
                  </w:rPr>
                </w:pPr>
                <w:r>
                  <w:rPr>
                    <w:b/>
                    <w:bCs/>
                  </w:rPr>
                  <w:t xml:space="preserve">CRAAP Score </w:t>
                </w:r>
              </w:p>
              <w:p w14:paraId="478A3BC9" w14:textId="77777777" w:rsidR="00937900" w:rsidRDefault="00000000">
                <w:pPr>
                  <w:widowControl w:val="0"/>
                  <w:rPr>
                    <w:b/>
                    <w:bCs/>
                  </w:rPr>
                </w:pPr>
                <w:r>
                  <w:rPr>
                    <w:b/>
                    <w:bCs/>
                  </w:rPr>
                  <w:t>3.9/5</w:t>
                </w:r>
              </w:p>
            </w:tc>
          </w:tr>
          <w:tr w:rsidR="00937900" w14:paraId="5254BEA0" w14:textId="77777777">
            <w:trPr>
              <w:trHeight w:val="2176"/>
            </w:trPr>
            <w:tc>
              <w:tcPr>
                <w:tcW w:w="1805" w:type="dxa"/>
                <w:tcMar>
                  <w:top w:w="100" w:type="dxa"/>
                  <w:left w:w="100" w:type="dxa"/>
                  <w:bottom w:w="100" w:type="dxa"/>
                  <w:right w:w="100" w:type="dxa"/>
                </w:tcMar>
              </w:tcPr>
              <w:p w14:paraId="1B99B31A" w14:textId="77777777" w:rsidR="00937900" w:rsidRDefault="00000000">
                <w:pPr>
                  <w:widowControl w:val="0"/>
                  <w:rPr>
                    <w:b/>
                    <w:bCs/>
                  </w:rPr>
                </w:pPr>
                <w:r>
                  <w:rPr>
                    <w:b/>
                    <w:bCs/>
                  </w:rPr>
                  <w:t>Article 6</w:t>
                </w:r>
              </w:p>
            </w:tc>
            <w:tc>
              <w:tcPr>
                <w:tcW w:w="1806" w:type="dxa"/>
                <w:tcMar>
                  <w:top w:w="100" w:type="dxa"/>
                  <w:left w:w="100" w:type="dxa"/>
                  <w:bottom w:w="100" w:type="dxa"/>
                  <w:right w:w="100" w:type="dxa"/>
                </w:tcMar>
              </w:tcPr>
              <w:p w14:paraId="7278A64A" w14:textId="77777777" w:rsidR="00937900" w:rsidRDefault="00000000">
                <w:pPr>
                  <w:widowControl w:val="0"/>
                </w:pPr>
                <w:r>
                  <w:t xml:space="preserve">“Ayers </w:t>
                </w:r>
                <w:r>
                  <w:rPr>
                    <w:i/>
                    <w:iCs/>
                  </w:rPr>
                  <w:t xml:space="preserve">et al., </w:t>
                </w:r>
                <w:r>
                  <w:t>(2024)”</w:t>
                </w:r>
              </w:p>
            </w:tc>
            <w:tc>
              <w:tcPr>
                <w:tcW w:w="1806" w:type="dxa"/>
                <w:tcMar>
                  <w:top w:w="100" w:type="dxa"/>
                  <w:left w:w="100" w:type="dxa"/>
                  <w:bottom w:w="100" w:type="dxa"/>
                  <w:right w:w="100" w:type="dxa"/>
                </w:tcMar>
              </w:tcPr>
              <w:p w14:paraId="1990476B" w14:textId="77777777" w:rsidR="00937900" w:rsidRDefault="00000000">
                <w:pPr>
                  <w:widowControl w:val="0"/>
                </w:pPr>
                <w:r>
                  <w:t>“</w:t>
                </w:r>
                <w:r>
                  <w:rPr>
                    <w:highlight w:val="white"/>
                  </w:rPr>
                  <w:t>Are we any closer to tackling health inequalities in England?.”</w:t>
                </w:r>
              </w:p>
            </w:tc>
            <w:tc>
              <w:tcPr>
                <w:tcW w:w="1806" w:type="dxa"/>
                <w:tcMar>
                  <w:top w:w="100" w:type="dxa"/>
                  <w:left w:w="100" w:type="dxa"/>
                  <w:bottom w:w="100" w:type="dxa"/>
                  <w:right w:w="100" w:type="dxa"/>
                </w:tcMar>
              </w:tcPr>
              <w:p w14:paraId="4F1081F4" w14:textId="77777777" w:rsidR="00937900" w:rsidRDefault="00000000">
                <w:pPr>
                  <w:widowControl w:val="0"/>
                </w:pPr>
                <w:r>
                  <w:t xml:space="preserve">The study has adopted the qualitative and quantitative method where the studies from the year between 2010 to 2024 has been included. Results provided that </w:t>
                </w:r>
                <w:r>
                  <w:lastRenderedPageBreak/>
                  <w:t xml:space="preserve">the policy intervention in the UK has been effective in overcoming health inequalities but however.its practical application is ineffective.  </w:t>
                </w:r>
              </w:p>
            </w:tc>
            <w:tc>
              <w:tcPr>
                <w:tcW w:w="1806" w:type="dxa"/>
                <w:tcMar>
                  <w:top w:w="100" w:type="dxa"/>
                  <w:left w:w="100" w:type="dxa"/>
                  <w:bottom w:w="100" w:type="dxa"/>
                  <w:right w:w="100" w:type="dxa"/>
                </w:tcMar>
              </w:tcPr>
              <w:p w14:paraId="47563C51" w14:textId="77777777" w:rsidR="00937900" w:rsidRDefault="00000000">
                <w:pPr>
                  <w:widowControl w:val="0"/>
                  <w:rPr>
                    <w:b/>
                    <w:bCs/>
                  </w:rPr>
                </w:pPr>
                <w:r>
                  <w:rPr>
                    <w:b/>
                    <w:bCs/>
                  </w:rPr>
                  <w:lastRenderedPageBreak/>
                  <w:t xml:space="preserve">Policy intervention. </w:t>
                </w:r>
              </w:p>
            </w:tc>
          </w:tr>
          <w:tr w:rsidR="00937900" w14:paraId="1BF2B6F2" w14:textId="77777777">
            <w:tc>
              <w:tcPr>
                <w:tcW w:w="1805" w:type="dxa"/>
                <w:tcMar>
                  <w:top w:w="100" w:type="dxa"/>
                  <w:left w:w="100" w:type="dxa"/>
                  <w:bottom w:w="100" w:type="dxa"/>
                  <w:right w:w="100" w:type="dxa"/>
                </w:tcMar>
              </w:tcPr>
              <w:p w14:paraId="1821D9BE" w14:textId="77777777" w:rsidR="00937900" w:rsidRDefault="00000000">
                <w:pPr>
                  <w:widowControl w:val="0"/>
                  <w:rPr>
                    <w:b/>
                    <w:bCs/>
                  </w:rPr>
                </w:pPr>
                <w:r>
                  <w:rPr>
                    <w:b/>
                    <w:bCs/>
                  </w:rPr>
                  <w:t xml:space="preserve">CRAAP Notes </w:t>
                </w:r>
              </w:p>
            </w:tc>
            <w:tc>
              <w:tcPr>
                <w:tcW w:w="5418" w:type="dxa"/>
                <w:gridSpan w:val="3"/>
                <w:tcMar>
                  <w:top w:w="100" w:type="dxa"/>
                  <w:left w:w="100" w:type="dxa"/>
                  <w:bottom w:w="100" w:type="dxa"/>
                  <w:right w:w="100" w:type="dxa"/>
                </w:tcMar>
              </w:tcPr>
              <w:p w14:paraId="65AB0ACA" w14:textId="77777777" w:rsidR="00937900" w:rsidRDefault="00000000">
                <w:pPr>
                  <w:widowControl w:val="0"/>
                </w:pPr>
                <w:r>
                  <w:rPr>
                    <w:b/>
                    <w:bCs/>
                  </w:rPr>
                  <w:t>Currency</w:t>
                </w:r>
                <w:r>
                  <w:t xml:space="preserve">: Published in 2024 and has updated information. </w:t>
                </w:r>
              </w:p>
              <w:p w14:paraId="6DC9CD22" w14:textId="77777777" w:rsidR="00937900" w:rsidRDefault="00000000">
                <w:pPr>
                  <w:widowControl w:val="0"/>
                </w:pPr>
                <w:r>
                  <w:rPr>
                    <w:b/>
                    <w:bCs/>
                  </w:rPr>
                  <w:t>Relevance</w:t>
                </w:r>
                <w:r>
                  <w:t xml:space="preserve">: Links with the third research objective where it has evaluated the effectiveness of current policies and intervention to reduce HSC inequalities. </w:t>
                </w:r>
              </w:p>
              <w:p w14:paraId="71CF84D0" w14:textId="77777777" w:rsidR="00937900" w:rsidRDefault="00000000">
                <w:pPr>
                  <w:widowControl w:val="0"/>
                </w:pPr>
                <w:r>
                  <w:rPr>
                    <w:b/>
                    <w:bCs/>
                  </w:rPr>
                  <w:t>Authority</w:t>
                </w:r>
                <w:r>
                  <w:t xml:space="preserve">: Provided in Google Scholar and PubMed journal because of which it is peer-reviewed. </w:t>
                </w:r>
              </w:p>
              <w:p w14:paraId="41271C52" w14:textId="77777777" w:rsidR="00937900" w:rsidRDefault="00000000">
                <w:pPr>
                  <w:widowControl w:val="0"/>
                </w:pPr>
                <w:r>
                  <w:rPr>
                    <w:b/>
                    <w:bCs/>
                  </w:rPr>
                  <w:t>Accuracy</w:t>
                </w:r>
                <w:r>
                  <w:t xml:space="preserve">: It has relative accuracy as methodological interpretation is limited. </w:t>
                </w:r>
              </w:p>
              <w:p w14:paraId="147639E7" w14:textId="77777777" w:rsidR="00937900" w:rsidRDefault="00000000">
                <w:pPr>
                  <w:widowControl w:val="0"/>
                </w:pPr>
                <w:r>
                  <w:rPr>
                    <w:b/>
                    <w:bCs/>
                  </w:rPr>
                  <w:t>Purpose</w:t>
                </w:r>
                <w:r>
                  <w:t xml:space="preserve">: It looks into the present policy and intervention to evaluate its effectiveness in overcoming healthcare inequalities.  </w:t>
                </w:r>
              </w:p>
            </w:tc>
            <w:tc>
              <w:tcPr>
                <w:tcW w:w="1806" w:type="dxa"/>
                <w:tcMar>
                  <w:top w:w="100" w:type="dxa"/>
                  <w:left w:w="100" w:type="dxa"/>
                  <w:bottom w:w="100" w:type="dxa"/>
                  <w:right w:w="100" w:type="dxa"/>
                </w:tcMar>
              </w:tcPr>
              <w:p w14:paraId="16980AAB" w14:textId="77777777" w:rsidR="00937900" w:rsidRDefault="00000000">
                <w:pPr>
                  <w:widowControl w:val="0"/>
                  <w:rPr>
                    <w:b/>
                    <w:bCs/>
                  </w:rPr>
                </w:pPr>
                <w:r>
                  <w:rPr>
                    <w:b/>
                    <w:bCs/>
                  </w:rPr>
                  <w:t xml:space="preserve">CRAAP Score </w:t>
                </w:r>
              </w:p>
              <w:p w14:paraId="61DDFAFD" w14:textId="77777777" w:rsidR="00937900" w:rsidRDefault="00000000">
                <w:pPr>
                  <w:widowControl w:val="0"/>
                  <w:rPr>
                    <w:b/>
                    <w:bCs/>
                  </w:rPr>
                </w:pPr>
                <w:r>
                  <w:rPr>
                    <w:b/>
                    <w:bCs/>
                  </w:rPr>
                  <w:t>4/5</w:t>
                </w:r>
              </w:p>
            </w:tc>
          </w:tr>
          <w:tr w:rsidR="00937900" w14:paraId="052CF318" w14:textId="77777777">
            <w:tc>
              <w:tcPr>
                <w:tcW w:w="1805" w:type="dxa"/>
                <w:tcMar>
                  <w:top w:w="100" w:type="dxa"/>
                  <w:left w:w="100" w:type="dxa"/>
                  <w:bottom w:w="100" w:type="dxa"/>
                  <w:right w:w="100" w:type="dxa"/>
                </w:tcMar>
              </w:tcPr>
              <w:p w14:paraId="49611F21" w14:textId="77777777" w:rsidR="00937900" w:rsidRDefault="00000000">
                <w:pPr>
                  <w:widowControl w:val="0"/>
                  <w:rPr>
                    <w:b/>
                    <w:bCs/>
                  </w:rPr>
                </w:pPr>
                <w:r>
                  <w:rPr>
                    <w:b/>
                    <w:bCs/>
                  </w:rPr>
                  <w:t>Article 7</w:t>
                </w:r>
              </w:p>
            </w:tc>
            <w:tc>
              <w:tcPr>
                <w:tcW w:w="1806" w:type="dxa"/>
                <w:tcMar>
                  <w:top w:w="100" w:type="dxa"/>
                  <w:left w:w="100" w:type="dxa"/>
                  <w:bottom w:w="100" w:type="dxa"/>
                  <w:right w:w="100" w:type="dxa"/>
                </w:tcMar>
              </w:tcPr>
              <w:p w14:paraId="2DF41E30" w14:textId="77777777" w:rsidR="00937900" w:rsidRDefault="00000000">
                <w:pPr>
                  <w:widowControl w:val="0"/>
                </w:pPr>
                <w:r>
                  <w:t>“NHS England, 2024”</w:t>
                </w:r>
              </w:p>
            </w:tc>
            <w:tc>
              <w:tcPr>
                <w:tcW w:w="1806" w:type="dxa"/>
                <w:tcMar>
                  <w:top w:w="100" w:type="dxa"/>
                  <w:left w:w="100" w:type="dxa"/>
                  <w:bottom w:w="100" w:type="dxa"/>
                  <w:right w:w="100" w:type="dxa"/>
                </w:tcMar>
              </w:tcPr>
              <w:p w14:paraId="0936F22E" w14:textId="77777777" w:rsidR="00937900" w:rsidRDefault="00000000">
                <w:pPr>
                  <w:widowControl w:val="0"/>
                </w:pPr>
                <w:r>
                  <w:t>“</w:t>
                </w:r>
                <w:r>
                  <w:rPr>
                    <w:i/>
                    <w:iCs/>
                  </w:rPr>
                  <w:t>NHS England » Our approach to reducing healthcare inequalities</w:t>
                </w:r>
                <w:r>
                  <w:t>.”</w:t>
                </w:r>
              </w:p>
            </w:tc>
            <w:tc>
              <w:tcPr>
                <w:tcW w:w="1806" w:type="dxa"/>
                <w:tcMar>
                  <w:top w:w="100" w:type="dxa"/>
                  <w:left w:w="100" w:type="dxa"/>
                  <w:bottom w:w="100" w:type="dxa"/>
                  <w:right w:w="100" w:type="dxa"/>
                </w:tcMar>
              </w:tcPr>
              <w:p w14:paraId="1BF580EA" w14:textId="77777777" w:rsidR="00937900" w:rsidRDefault="00000000">
                <w:pPr>
                  <w:widowControl w:val="0"/>
                </w:pPr>
                <w:r>
                  <w:t xml:space="preserve">The policy document report of NHS elucidates the main approach of “Core20PLUS5” which has been developed to overcome inequalities in </w:t>
                </w:r>
                <w:r>
                  <w:lastRenderedPageBreak/>
                  <w:t xml:space="preserve">UK HSC. However, findings noted its limited application to the wider UK older population and ethnic communities. </w:t>
                </w:r>
              </w:p>
            </w:tc>
            <w:tc>
              <w:tcPr>
                <w:tcW w:w="1806" w:type="dxa"/>
                <w:tcMar>
                  <w:top w:w="100" w:type="dxa"/>
                  <w:left w:w="100" w:type="dxa"/>
                  <w:bottom w:w="100" w:type="dxa"/>
                  <w:right w:w="100" w:type="dxa"/>
                </w:tcMar>
              </w:tcPr>
              <w:p w14:paraId="345F5F4F" w14:textId="77777777" w:rsidR="00937900" w:rsidRDefault="00000000">
                <w:pPr>
                  <w:widowControl w:val="0"/>
                  <w:rPr>
                    <w:b/>
                    <w:bCs/>
                  </w:rPr>
                </w:pPr>
                <w:r>
                  <w:rPr>
                    <w:b/>
                    <w:bCs/>
                  </w:rPr>
                  <w:lastRenderedPageBreak/>
                  <w:t xml:space="preserve">Intervention </w:t>
                </w:r>
              </w:p>
              <w:p w14:paraId="49D82C6B" w14:textId="77777777" w:rsidR="00937900" w:rsidRDefault="00000000">
                <w:pPr>
                  <w:widowControl w:val="0"/>
                  <w:rPr>
                    <w:b/>
                    <w:bCs/>
                  </w:rPr>
                </w:pPr>
                <w:r>
                  <w:rPr>
                    <w:b/>
                    <w:bCs/>
                  </w:rPr>
                  <w:t xml:space="preserve">Policy framework. </w:t>
                </w:r>
              </w:p>
            </w:tc>
          </w:tr>
          <w:tr w:rsidR="00937900" w14:paraId="131E64DC" w14:textId="77777777">
            <w:tc>
              <w:tcPr>
                <w:tcW w:w="1805" w:type="dxa"/>
                <w:tcMar>
                  <w:top w:w="100" w:type="dxa"/>
                  <w:left w:w="100" w:type="dxa"/>
                  <w:bottom w:w="100" w:type="dxa"/>
                  <w:right w:w="100" w:type="dxa"/>
                </w:tcMar>
              </w:tcPr>
              <w:p w14:paraId="28769A9D" w14:textId="77777777" w:rsidR="00937900" w:rsidRDefault="00000000">
                <w:pPr>
                  <w:widowControl w:val="0"/>
                  <w:rPr>
                    <w:b/>
                    <w:bCs/>
                  </w:rPr>
                </w:pPr>
                <w:r>
                  <w:rPr>
                    <w:b/>
                    <w:bCs/>
                  </w:rPr>
                  <w:t xml:space="preserve">CRAAP Notes </w:t>
                </w:r>
              </w:p>
            </w:tc>
            <w:tc>
              <w:tcPr>
                <w:tcW w:w="5418" w:type="dxa"/>
                <w:gridSpan w:val="3"/>
                <w:tcMar>
                  <w:top w:w="100" w:type="dxa"/>
                  <w:left w:w="100" w:type="dxa"/>
                  <w:bottom w:w="100" w:type="dxa"/>
                  <w:right w:w="100" w:type="dxa"/>
                </w:tcMar>
              </w:tcPr>
              <w:p w14:paraId="69164A08" w14:textId="77777777" w:rsidR="00937900" w:rsidRDefault="00000000">
                <w:pPr>
                  <w:widowControl w:val="0"/>
                </w:pPr>
                <w:r>
                  <w:rPr>
                    <w:b/>
                    <w:bCs/>
                  </w:rPr>
                  <w:t>Currency</w:t>
                </w:r>
                <w:r>
                  <w:t xml:space="preserve">: Publication date, 2024, current to NHS policy and regular updates. </w:t>
                </w:r>
              </w:p>
              <w:p w14:paraId="1722FC4F" w14:textId="77777777" w:rsidR="00937900" w:rsidRDefault="00000000">
                <w:pPr>
                  <w:widowControl w:val="0"/>
                </w:pPr>
                <w:r>
                  <w:rPr>
                    <w:b/>
                    <w:bCs/>
                  </w:rPr>
                  <w:t>Relevance</w:t>
                </w:r>
                <w:r>
                  <w:t>: Outlines the strategies of the NHS which have been developed for reducing barriers and inequalities in HSC.</w:t>
                </w:r>
              </w:p>
              <w:p w14:paraId="34362FA7" w14:textId="77777777" w:rsidR="00937900" w:rsidRDefault="00000000">
                <w:pPr>
                  <w:widowControl w:val="0"/>
                </w:pPr>
                <w:r>
                  <w:rPr>
                    <w:b/>
                    <w:bCs/>
                  </w:rPr>
                  <w:t>Authority</w:t>
                </w:r>
                <w:r>
                  <w:t xml:space="preserve">: Developed by the NHS due to which it is evidence-based. </w:t>
                </w:r>
              </w:p>
              <w:p w14:paraId="1DCEE20D" w14:textId="77777777" w:rsidR="00937900" w:rsidRDefault="00000000">
                <w:pPr>
                  <w:widowControl w:val="0"/>
                </w:pPr>
                <w:r>
                  <w:rPr>
                    <w:b/>
                    <w:bCs/>
                  </w:rPr>
                  <w:t>Accuracy</w:t>
                </w:r>
                <w:r>
                  <w:t xml:space="preserve">: Associated with NHS intervention and national framework however, independent research is not implemented. </w:t>
                </w:r>
              </w:p>
              <w:p w14:paraId="24C2D209" w14:textId="77777777" w:rsidR="00937900" w:rsidRDefault="00000000">
                <w:pPr>
                  <w:widowControl w:val="0"/>
                </w:pPr>
                <w:r>
                  <w:rPr>
                    <w:b/>
                    <w:bCs/>
                  </w:rPr>
                  <w:t>Purpose</w:t>
                </w:r>
                <w:r>
                  <w:t xml:space="preserve">: To guide stakeholders like policy makers, government and health/social care system of the UK to mitigate inequalities. </w:t>
                </w:r>
              </w:p>
            </w:tc>
            <w:tc>
              <w:tcPr>
                <w:tcW w:w="1806" w:type="dxa"/>
                <w:tcMar>
                  <w:top w:w="100" w:type="dxa"/>
                  <w:left w:w="100" w:type="dxa"/>
                  <w:bottom w:w="100" w:type="dxa"/>
                  <w:right w:w="100" w:type="dxa"/>
                </w:tcMar>
              </w:tcPr>
              <w:p w14:paraId="6100576B" w14:textId="77777777" w:rsidR="00937900" w:rsidRDefault="00000000">
                <w:pPr>
                  <w:widowControl w:val="0"/>
                  <w:rPr>
                    <w:b/>
                    <w:bCs/>
                  </w:rPr>
                </w:pPr>
                <w:r>
                  <w:rPr>
                    <w:b/>
                    <w:bCs/>
                  </w:rPr>
                  <w:t xml:space="preserve">CRAAP Score </w:t>
                </w:r>
              </w:p>
              <w:p w14:paraId="65268DE5" w14:textId="77777777" w:rsidR="00937900" w:rsidRDefault="00000000">
                <w:pPr>
                  <w:widowControl w:val="0"/>
                  <w:rPr>
                    <w:b/>
                    <w:bCs/>
                  </w:rPr>
                </w:pPr>
                <w:r>
                  <w:rPr>
                    <w:b/>
                    <w:bCs/>
                  </w:rPr>
                  <w:t>4/5</w:t>
                </w:r>
              </w:p>
            </w:tc>
          </w:tr>
          <w:tr w:rsidR="00937900" w14:paraId="5D234E77" w14:textId="77777777">
            <w:tc>
              <w:tcPr>
                <w:tcW w:w="1805" w:type="dxa"/>
                <w:tcMar>
                  <w:top w:w="100" w:type="dxa"/>
                  <w:left w:w="100" w:type="dxa"/>
                  <w:bottom w:w="100" w:type="dxa"/>
                  <w:right w:w="100" w:type="dxa"/>
                </w:tcMar>
              </w:tcPr>
              <w:p w14:paraId="100FF729" w14:textId="77777777" w:rsidR="00937900" w:rsidRDefault="00000000">
                <w:pPr>
                  <w:widowControl w:val="0"/>
                  <w:rPr>
                    <w:b/>
                    <w:bCs/>
                  </w:rPr>
                </w:pPr>
                <w:r>
                  <w:rPr>
                    <w:b/>
                    <w:bCs/>
                  </w:rPr>
                  <w:t>Article 8</w:t>
                </w:r>
              </w:p>
            </w:tc>
            <w:tc>
              <w:tcPr>
                <w:tcW w:w="1806" w:type="dxa"/>
                <w:tcMar>
                  <w:top w:w="100" w:type="dxa"/>
                  <w:left w:w="100" w:type="dxa"/>
                  <w:bottom w:w="100" w:type="dxa"/>
                  <w:right w:w="100" w:type="dxa"/>
                </w:tcMar>
              </w:tcPr>
              <w:p w14:paraId="4F898BF4" w14:textId="77777777" w:rsidR="00937900" w:rsidRDefault="00000000">
                <w:pPr>
                  <w:widowControl w:val="0"/>
                  <w:jc w:val="left"/>
                </w:pPr>
                <w:r>
                  <w:t>“</w:t>
                </w:r>
                <w:r>
                  <w:rPr>
                    <w:highlight w:val="white"/>
                  </w:rPr>
                  <w:t>Dadswell and Bungay (2025)</w:t>
                </w:r>
                <w:r>
                  <w:t>”</w:t>
                </w:r>
              </w:p>
            </w:tc>
            <w:tc>
              <w:tcPr>
                <w:tcW w:w="1806" w:type="dxa"/>
                <w:tcMar>
                  <w:top w:w="100" w:type="dxa"/>
                  <w:left w:w="100" w:type="dxa"/>
                  <w:bottom w:w="100" w:type="dxa"/>
                  <w:right w:w="100" w:type="dxa"/>
                </w:tcMar>
              </w:tcPr>
              <w:p w14:paraId="6ACAE1FC" w14:textId="77777777" w:rsidR="00937900" w:rsidRDefault="00000000">
                <w:pPr>
                  <w:widowControl w:val="0"/>
                  <w:jc w:val="left"/>
                </w:pPr>
                <w:r>
                  <w:rPr>
                    <w:i/>
                    <w:iCs/>
                  </w:rPr>
                  <w:t>“</w:t>
                </w:r>
                <w:r>
                  <w:rPr>
                    <w:i/>
                    <w:iCs/>
                    <w:highlight w:val="white"/>
                  </w:rPr>
                  <w:t xml:space="preserve">Social prescribing of cultural opportunities to support health and wellbeing: the importance of language, community engagement, and inclusion in developing local </w:t>
                </w:r>
                <w:r>
                  <w:rPr>
                    <w:i/>
                    <w:iCs/>
                    <w:highlight w:val="white"/>
                  </w:rPr>
                  <w:lastRenderedPageBreak/>
                  <w:t>approaches”</w:t>
                </w:r>
              </w:p>
            </w:tc>
            <w:tc>
              <w:tcPr>
                <w:tcW w:w="1806" w:type="dxa"/>
                <w:tcMar>
                  <w:top w:w="100" w:type="dxa"/>
                  <w:left w:w="100" w:type="dxa"/>
                  <w:bottom w:w="100" w:type="dxa"/>
                  <w:right w:w="100" w:type="dxa"/>
                </w:tcMar>
              </w:tcPr>
              <w:p w14:paraId="044C724B" w14:textId="77777777" w:rsidR="00937900" w:rsidRDefault="00000000">
                <w:pPr>
                  <w:widowControl w:val="0"/>
                </w:pPr>
                <w:r>
                  <w:lastRenderedPageBreak/>
                  <w:t xml:space="preserve">The research evaluates how social prescribing, engagement among community and culturally inclusive approaches enhances the overall health </w:t>
                </w:r>
                <w:r>
                  <w:lastRenderedPageBreak/>
                  <w:t>and well being.</w:t>
                </w:r>
              </w:p>
            </w:tc>
            <w:tc>
              <w:tcPr>
                <w:tcW w:w="1806" w:type="dxa"/>
                <w:tcMar>
                  <w:top w:w="100" w:type="dxa"/>
                  <w:left w:w="100" w:type="dxa"/>
                  <w:bottom w:w="100" w:type="dxa"/>
                  <w:right w:w="100" w:type="dxa"/>
                </w:tcMar>
              </w:tcPr>
              <w:p w14:paraId="03C95089" w14:textId="77777777" w:rsidR="00937900" w:rsidRDefault="00000000">
                <w:pPr>
                  <w:widowControl w:val="0"/>
                  <w:rPr>
                    <w:b/>
                    <w:bCs/>
                  </w:rPr>
                </w:pPr>
                <w:r>
                  <w:lastRenderedPageBreak/>
                  <w:t>“Social prescribing”, “communication”, “inclusion”</w:t>
                </w:r>
              </w:p>
            </w:tc>
          </w:tr>
          <w:tr w:rsidR="00937900" w14:paraId="54E7D2E1" w14:textId="77777777">
            <w:tc>
              <w:tcPr>
                <w:tcW w:w="1805" w:type="dxa"/>
                <w:tcMar>
                  <w:top w:w="100" w:type="dxa"/>
                  <w:left w:w="100" w:type="dxa"/>
                  <w:bottom w:w="100" w:type="dxa"/>
                  <w:right w:w="100" w:type="dxa"/>
                </w:tcMar>
              </w:tcPr>
              <w:p w14:paraId="2E861C00" w14:textId="77777777" w:rsidR="00937900" w:rsidRDefault="00000000">
                <w:pPr>
                  <w:widowControl w:val="0"/>
                  <w:rPr>
                    <w:b/>
                    <w:bCs/>
                  </w:rPr>
                </w:pPr>
                <w:r>
                  <w:rPr>
                    <w:b/>
                    <w:bCs/>
                  </w:rPr>
                  <w:t xml:space="preserve">CRAAP Notes </w:t>
                </w:r>
              </w:p>
            </w:tc>
            <w:tc>
              <w:tcPr>
                <w:tcW w:w="5418" w:type="dxa"/>
                <w:gridSpan w:val="3"/>
                <w:tcMar>
                  <w:top w:w="100" w:type="dxa"/>
                  <w:left w:w="100" w:type="dxa"/>
                  <w:bottom w:w="100" w:type="dxa"/>
                  <w:right w:w="100" w:type="dxa"/>
                </w:tcMar>
              </w:tcPr>
              <w:p w14:paraId="69ECEDA3" w14:textId="77777777" w:rsidR="00937900" w:rsidRDefault="00000000">
                <w:pPr>
                  <w:widowControl w:val="0"/>
                </w:pPr>
                <w:r>
                  <w:rPr>
                    <w:b/>
                    <w:bCs/>
                  </w:rPr>
                  <w:t>Currency</w:t>
                </w:r>
                <w:r>
                  <w:t>: Published in the year 2025 and provides recent evidence.</w:t>
                </w:r>
              </w:p>
              <w:p w14:paraId="4165648D" w14:textId="77777777" w:rsidR="00937900" w:rsidRDefault="00000000">
                <w:pPr>
                  <w:widowControl w:val="0"/>
                </w:pPr>
                <w:r>
                  <w:rPr>
                    <w:b/>
                    <w:bCs/>
                  </w:rPr>
                  <w:t>Relevance</w:t>
                </w:r>
                <w:r>
                  <w:t>: the research is relevant to 4th objectives as it suggests the strategies to enhance healthcare accessibility and culturally sensitive care.</w:t>
                </w:r>
              </w:p>
              <w:p w14:paraId="69CF42FF" w14:textId="77777777" w:rsidR="00937900" w:rsidRDefault="00000000">
                <w:pPr>
                  <w:widowControl w:val="0"/>
                </w:pPr>
                <w:r>
                  <w:rPr>
                    <w:b/>
                    <w:bCs/>
                  </w:rPr>
                  <w:t>Authority</w:t>
                </w:r>
                <w:r>
                  <w:t>: A peer-reviewed journal and published in BMC primary care.</w:t>
                </w:r>
              </w:p>
              <w:p w14:paraId="4F4A1F4E" w14:textId="77777777" w:rsidR="00937900" w:rsidRDefault="00000000">
                <w:pPr>
                  <w:widowControl w:val="0"/>
                </w:pPr>
                <w:r>
                  <w:rPr>
                    <w:b/>
                    <w:bCs/>
                  </w:rPr>
                  <w:t>Accuracy</w:t>
                </w:r>
                <w:r>
                  <w:t>: Utilises empirical evidence and healthcare research based on the community.</w:t>
                </w:r>
              </w:p>
              <w:p w14:paraId="699FD80A" w14:textId="77777777" w:rsidR="00937900" w:rsidRDefault="00000000">
                <w:pPr>
                  <w:widowControl w:val="0"/>
                </w:pPr>
                <w:r>
                  <w:rPr>
                    <w:b/>
                    <w:bCs/>
                  </w:rPr>
                  <w:t>Purpose</w:t>
                </w:r>
                <w:r>
                  <w:t>: the purpose is to explore how community interventions enhance overall health and well-being.</w:t>
                </w:r>
              </w:p>
            </w:tc>
            <w:tc>
              <w:tcPr>
                <w:tcW w:w="1806" w:type="dxa"/>
                <w:tcMar>
                  <w:top w:w="100" w:type="dxa"/>
                  <w:left w:w="100" w:type="dxa"/>
                  <w:bottom w:w="100" w:type="dxa"/>
                  <w:right w:w="100" w:type="dxa"/>
                </w:tcMar>
              </w:tcPr>
              <w:p w14:paraId="342FD645" w14:textId="77777777" w:rsidR="00937900" w:rsidRDefault="00000000">
                <w:pPr>
                  <w:widowControl w:val="0"/>
                  <w:rPr>
                    <w:b/>
                    <w:bCs/>
                  </w:rPr>
                </w:pPr>
                <w:r>
                  <w:rPr>
                    <w:b/>
                    <w:bCs/>
                  </w:rPr>
                  <w:t xml:space="preserve">CRAAP Score </w:t>
                </w:r>
              </w:p>
              <w:p w14:paraId="2A3BD85B" w14:textId="77777777" w:rsidR="00937900" w:rsidRDefault="00000000">
                <w:pPr>
                  <w:widowControl w:val="0"/>
                  <w:rPr>
                    <w:b/>
                    <w:bCs/>
                  </w:rPr>
                </w:pPr>
                <w:r>
                  <w:rPr>
                    <w:b/>
                    <w:bCs/>
                  </w:rPr>
                  <w:t>4.5/5</w:t>
                </w:r>
              </w:p>
            </w:tc>
          </w:tr>
          <w:tr w:rsidR="00937900" w14:paraId="2A28EC75" w14:textId="77777777">
            <w:tc>
              <w:tcPr>
                <w:tcW w:w="1805" w:type="dxa"/>
                <w:tcMar>
                  <w:top w:w="100" w:type="dxa"/>
                  <w:left w:w="100" w:type="dxa"/>
                  <w:bottom w:w="100" w:type="dxa"/>
                  <w:right w:w="100" w:type="dxa"/>
                </w:tcMar>
              </w:tcPr>
              <w:p w14:paraId="5C91E7F0" w14:textId="77777777" w:rsidR="00937900" w:rsidRDefault="00000000">
                <w:pPr>
                  <w:widowControl w:val="0"/>
                  <w:rPr>
                    <w:b/>
                    <w:bCs/>
                  </w:rPr>
                </w:pPr>
                <w:r>
                  <w:rPr>
                    <w:b/>
                    <w:bCs/>
                  </w:rPr>
                  <w:t>Article 9</w:t>
                </w:r>
              </w:p>
            </w:tc>
            <w:tc>
              <w:tcPr>
                <w:tcW w:w="1806" w:type="dxa"/>
                <w:tcMar>
                  <w:top w:w="100" w:type="dxa"/>
                  <w:left w:w="100" w:type="dxa"/>
                  <w:bottom w:w="100" w:type="dxa"/>
                  <w:right w:w="100" w:type="dxa"/>
                </w:tcMar>
              </w:tcPr>
              <w:p w14:paraId="647BD919" w14:textId="77777777" w:rsidR="00937900" w:rsidRDefault="00000000">
                <w:pPr>
                  <w:widowControl w:val="0"/>
                  <w:jc w:val="left"/>
                </w:pPr>
                <w:r>
                  <w:t xml:space="preserve">“Gobburi </w:t>
                </w:r>
                <w:r>
                  <w:rPr>
                    <w:i/>
                    <w:iCs/>
                  </w:rPr>
                  <w:t>et al.</w:t>
                </w:r>
                <w:r>
                  <w:t xml:space="preserve"> (2025)”</w:t>
                </w:r>
              </w:p>
            </w:tc>
            <w:tc>
              <w:tcPr>
                <w:tcW w:w="1806" w:type="dxa"/>
                <w:tcMar>
                  <w:top w:w="100" w:type="dxa"/>
                  <w:left w:w="100" w:type="dxa"/>
                  <w:bottom w:w="100" w:type="dxa"/>
                  <w:right w:w="100" w:type="dxa"/>
                </w:tcMar>
              </w:tcPr>
              <w:p w14:paraId="7E447808" w14:textId="77777777" w:rsidR="00937900" w:rsidRDefault="00000000">
                <w:pPr>
                  <w:widowControl w:val="0"/>
                  <w:jc w:val="left"/>
                </w:pPr>
                <w:r>
                  <w:rPr>
                    <w:i/>
                    <w:iCs/>
                  </w:rPr>
                  <w:t>“</w:t>
                </w:r>
                <w:r>
                  <w:rPr>
                    <w:i/>
                    <w:iCs/>
                    <w:highlight w:val="white"/>
                  </w:rPr>
                  <w:t>Telemedicine use in rural areas of the United Kingdom to improve access to healthcare facilities: A review of current evidence”</w:t>
                </w:r>
              </w:p>
            </w:tc>
            <w:tc>
              <w:tcPr>
                <w:tcW w:w="1806" w:type="dxa"/>
                <w:tcMar>
                  <w:top w:w="100" w:type="dxa"/>
                  <w:left w:w="100" w:type="dxa"/>
                  <w:bottom w:w="100" w:type="dxa"/>
                  <w:right w:w="100" w:type="dxa"/>
                </w:tcMar>
              </w:tcPr>
              <w:p w14:paraId="23BDD6F3" w14:textId="77777777" w:rsidR="00937900" w:rsidRDefault="00000000">
                <w:pPr>
                  <w:widowControl w:val="0"/>
                </w:pPr>
                <w:r>
                  <w:t xml:space="preserve">The study evaluated the role of telemedicine in rural UK communities. The findings implies that digital healthcare services significantly reduce geographical barriers, enhance accessibility to healthcare professionals and improve overall access for vulnerable </w:t>
                </w:r>
                <w:r>
                  <w:lastRenderedPageBreak/>
                  <w:t>groups.</w:t>
                </w:r>
              </w:p>
            </w:tc>
            <w:tc>
              <w:tcPr>
                <w:tcW w:w="1806" w:type="dxa"/>
                <w:tcMar>
                  <w:top w:w="100" w:type="dxa"/>
                  <w:left w:w="100" w:type="dxa"/>
                  <w:bottom w:w="100" w:type="dxa"/>
                  <w:right w:w="100" w:type="dxa"/>
                </w:tcMar>
              </w:tcPr>
              <w:p w14:paraId="44EBEE7C" w14:textId="77777777" w:rsidR="00937900" w:rsidRDefault="00000000">
                <w:pPr>
                  <w:widowControl w:val="0"/>
                  <w:rPr>
                    <w:b/>
                    <w:bCs/>
                  </w:rPr>
                </w:pPr>
                <w:r>
                  <w:lastRenderedPageBreak/>
                  <w:t>“Rural healthcare access” “telemedicine”</w:t>
                </w:r>
              </w:p>
            </w:tc>
          </w:tr>
          <w:tr w:rsidR="00937900" w14:paraId="362B5C0B" w14:textId="77777777">
            <w:tc>
              <w:tcPr>
                <w:tcW w:w="1805" w:type="dxa"/>
                <w:tcMar>
                  <w:top w:w="100" w:type="dxa"/>
                  <w:left w:w="100" w:type="dxa"/>
                  <w:bottom w:w="100" w:type="dxa"/>
                  <w:right w:w="100" w:type="dxa"/>
                </w:tcMar>
              </w:tcPr>
              <w:p w14:paraId="7F03FD12" w14:textId="77777777" w:rsidR="00937900" w:rsidRDefault="00000000">
                <w:pPr>
                  <w:widowControl w:val="0"/>
                  <w:rPr>
                    <w:b/>
                    <w:bCs/>
                  </w:rPr>
                </w:pPr>
                <w:r>
                  <w:rPr>
                    <w:b/>
                    <w:bCs/>
                  </w:rPr>
                  <w:t xml:space="preserve">CRAAP Notes </w:t>
                </w:r>
              </w:p>
            </w:tc>
            <w:tc>
              <w:tcPr>
                <w:tcW w:w="5418" w:type="dxa"/>
                <w:gridSpan w:val="3"/>
                <w:tcMar>
                  <w:top w:w="100" w:type="dxa"/>
                  <w:left w:w="100" w:type="dxa"/>
                  <w:bottom w:w="100" w:type="dxa"/>
                  <w:right w:w="100" w:type="dxa"/>
                </w:tcMar>
              </w:tcPr>
              <w:p w14:paraId="5710A10F" w14:textId="77777777" w:rsidR="00937900" w:rsidRDefault="00000000">
                <w:pPr>
                  <w:widowControl w:val="0"/>
                </w:pPr>
                <w:r>
                  <w:rPr>
                    <w:b/>
                    <w:bCs/>
                  </w:rPr>
                  <w:t>Currency</w:t>
                </w:r>
                <w:r>
                  <w:t>: Recently published in 2025 and provides up to date evidence.</w:t>
                </w:r>
              </w:p>
              <w:p w14:paraId="33FFB0AA" w14:textId="77777777" w:rsidR="00937900" w:rsidRDefault="00000000">
                <w:pPr>
                  <w:widowControl w:val="0"/>
                </w:pPr>
                <w:r>
                  <w:rPr>
                    <w:b/>
                    <w:bCs/>
                  </w:rPr>
                  <w:t>Relevance</w:t>
                </w:r>
                <w:r>
                  <w:t>: The study is relevant as it supports fourth objectives by recommending the technology solutions to enhance healthcare accessibility.</w:t>
                </w:r>
              </w:p>
              <w:p w14:paraId="73293907" w14:textId="77777777" w:rsidR="00937900" w:rsidRDefault="00000000">
                <w:pPr>
                  <w:widowControl w:val="0"/>
                </w:pPr>
                <w:r>
                  <w:rPr>
                    <w:b/>
                    <w:bCs/>
                  </w:rPr>
                  <w:t>Authority</w:t>
                </w:r>
                <w:r>
                  <w:t>: Published under Informatics and Health and an academic journal.</w:t>
                </w:r>
              </w:p>
              <w:p w14:paraId="0F7DC87E" w14:textId="77777777" w:rsidR="00937900" w:rsidRDefault="00000000">
                <w:pPr>
                  <w:widowControl w:val="0"/>
                </w:pPr>
                <w:r>
                  <w:rPr>
                    <w:b/>
                    <w:bCs/>
                  </w:rPr>
                  <w:t>Accuracy</w:t>
                </w:r>
                <w:r>
                  <w:t>: the study is based on review of present evidence associated with telemedicine in the UK.</w:t>
                </w:r>
              </w:p>
              <w:p w14:paraId="6781427E" w14:textId="77777777" w:rsidR="00937900" w:rsidRDefault="00000000">
                <w:pPr>
                  <w:widowControl w:val="0"/>
                </w:pPr>
                <w:r>
                  <w:rPr>
                    <w:b/>
                    <w:bCs/>
                  </w:rPr>
                  <w:t>Purpose</w:t>
                </w:r>
                <w:r>
                  <w:t>: The main purpose is to examine how digital healthcare can reduce accessibility barriers.</w:t>
                </w:r>
              </w:p>
            </w:tc>
            <w:tc>
              <w:tcPr>
                <w:tcW w:w="1806" w:type="dxa"/>
                <w:tcMar>
                  <w:top w:w="100" w:type="dxa"/>
                  <w:left w:w="100" w:type="dxa"/>
                  <w:bottom w:w="100" w:type="dxa"/>
                  <w:right w:w="100" w:type="dxa"/>
                </w:tcMar>
              </w:tcPr>
              <w:p w14:paraId="64E0C8DE" w14:textId="77777777" w:rsidR="00937900" w:rsidRDefault="00000000">
                <w:pPr>
                  <w:widowControl w:val="0"/>
                  <w:rPr>
                    <w:b/>
                    <w:bCs/>
                  </w:rPr>
                </w:pPr>
                <w:r>
                  <w:rPr>
                    <w:b/>
                    <w:bCs/>
                  </w:rPr>
                  <w:t xml:space="preserve">CRAAP Score </w:t>
                </w:r>
              </w:p>
              <w:p w14:paraId="1E86D879" w14:textId="77777777" w:rsidR="00937900" w:rsidRDefault="00000000">
                <w:pPr>
                  <w:widowControl w:val="0"/>
                  <w:rPr>
                    <w:b/>
                    <w:bCs/>
                  </w:rPr>
                </w:pPr>
                <w:r>
                  <w:rPr>
                    <w:b/>
                    <w:bCs/>
                  </w:rPr>
                  <w:t>4/5</w:t>
                </w:r>
              </w:p>
            </w:tc>
          </w:tr>
          <w:tr w:rsidR="00937900" w14:paraId="14712635" w14:textId="77777777">
            <w:tc>
              <w:tcPr>
                <w:tcW w:w="1805" w:type="dxa"/>
                <w:tcMar>
                  <w:top w:w="100" w:type="dxa"/>
                  <w:left w:w="100" w:type="dxa"/>
                  <w:bottom w:w="100" w:type="dxa"/>
                  <w:right w:w="100" w:type="dxa"/>
                </w:tcMar>
              </w:tcPr>
              <w:p w14:paraId="3876F3C7" w14:textId="77777777" w:rsidR="00937900" w:rsidRDefault="00000000">
                <w:pPr>
                  <w:widowControl w:val="0"/>
                  <w:rPr>
                    <w:b/>
                    <w:bCs/>
                  </w:rPr>
                </w:pPr>
                <w:r>
                  <w:rPr>
                    <w:b/>
                    <w:bCs/>
                  </w:rPr>
                  <w:t xml:space="preserve">Article 10 </w:t>
                </w:r>
              </w:p>
            </w:tc>
            <w:tc>
              <w:tcPr>
                <w:tcW w:w="1806" w:type="dxa"/>
                <w:tcMar>
                  <w:top w:w="100" w:type="dxa"/>
                  <w:left w:w="100" w:type="dxa"/>
                  <w:bottom w:w="100" w:type="dxa"/>
                  <w:right w:w="100" w:type="dxa"/>
                </w:tcMar>
              </w:tcPr>
              <w:p w14:paraId="4672F4B5" w14:textId="77777777" w:rsidR="00937900" w:rsidRDefault="00000000">
                <w:pPr>
                  <w:rPr>
                    <w:b/>
                    <w:bCs/>
                  </w:rPr>
                </w:pPr>
                <w:r>
                  <w:rPr>
                    <w:highlight w:val="white"/>
                  </w:rPr>
                  <w:t>Bidmead</w:t>
                </w:r>
                <w:r>
                  <w:t xml:space="preserve"> </w:t>
                </w:r>
                <w:r>
                  <w:rPr>
                    <w:i/>
                    <w:iCs/>
                  </w:rPr>
                  <w:t xml:space="preserve">et al. </w:t>
                </w:r>
                <w:r>
                  <w:rPr>
                    <w:highlight w:val="white"/>
                  </w:rPr>
                  <w:t>(2024)</w:t>
                </w:r>
              </w:p>
            </w:tc>
            <w:tc>
              <w:tcPr>
                <w:tcW w:w="1806" w:type="dxa"/>
                <w:tcMar>
                  <w:top w:w="100" w:type="dxa"/>
                  <w:left w:w="100" w:type="dxa"/>
                  <w:bottom w:w="100" w:type="dxa"/>
                  <w:right w:w="100" w:type="dxa"/>
                </w:tcMar>
              </w:tcPr>
              <w:p w14:paraId="43228E4F" w14:textId="77777777" w:rsidR="00937900" w:rsidRDefault="00000000">
                <w:pPr>
                  <w:widowControl w:val="0"/>
                  <w:rPr>
                    <w:i/>
                    <w:iCs/>
                  </w:rPr>
                </w:pPr>
                <w:r>
                  <w:rPr>
                    <w:i/>
                    <w:iCs/>
                  </w:rPr>
                  <w:t>“</w:t>
                </w:r>
                <w:r>
                  <w:rPr>
                    <w:i/>
                    <w:iCs/>
                    <w:highlight w:val="white"/>
                  </w:rPr>
                  <w:t>Poverty proofing healthcare: A qualitative study of barriers to accessing healthcare for low-income families with children in northern England</w:t>
                </w:r>
                <w:r>
                  <w:rPr>
                    <w:i/>
                    <w:iCs/>
                  </w:rPr>
                  <w:t>”</w:t>
                </w:r>
              </w:p>
            </w:tc>
            <w:tc>
              <w:tcPr>
                <w:tcW w:w="1806" w:type="dxa"/>
                <w:tcMar>
                  <w:top w:w="100" w:type="dxa"/>
                  <w:left w:w="100" w:type="dxa"/>
                  <w:bottom w:w="100" w:type="dxa"/>
                  <w:right w:w="100" w:type="dxa"/>
                </w:tcMar>
              </w:tcPr>
              <w:p w14:paraId="1FBA3C46" w14:textId="77777777" w:rsidR="00937900" w:rsidRDefault="00000000">
                <w:pPr>
                  <w:widowControl w:val="0"/>
                </w:pPr>
                <w:r>
                  <w:t xml:space="preserve">The study evaluates how poverty influences accessibility to healthcare in families with low-income across Northern England. The research recognises financial issues, cost in transport and broader socio-economic issues to be major limitations to utilising healthcare equal access. </w:t>
                </w:r>
              </w:p>
            </w:tc>
            <w:tc>
              <w:tcPr>
                <w:tcW w:w="1806" w:type="dxa"/>
                <w:tcMar>
                  <w:top w:w="100" w:type="dxa"/>
                  <w:left w:w="100" w:type="dxa"/>
                  <w:bottom w:w="100" w:type="dxa"/>
                  <w:right w:w="100" w:type="dxa"/>
                </w:tcMar>
              </w:tcPr>
              <w:p w14:paraId="46A71F86" w14:textId="77777777" w:rsidR="00937900" w:rsidRDefault="00000000">
                <w:pPr>
                  <w:widowControl w:val="0"/>
                </w:pPr>
                <w:r>
                  <w:t>“Poverty, transportation issues, healthcare discrimination, and financial issues”</w:t>
                </w:r>
              </w:p>
            </w:tc>
          </w:tr>
          <w:tr w:rsidR="00937900" w14:paraId="620221BC" w14:textId="77777777">
            <w:tc>
              <w:tcPr>
                <w:tcW w:w="1805" w:type="dxa"/>
                <w:tcMar>
                  <w:top w:w="100" w:type="dxa"/>
                  <w:left w:w="100" w:type="dxa"/>
                  <w:bottom w:w="100" w:type="dxa"/>
                  <w:right w:w="100" w:type="dxa"/>
                </w:tcMar>
              </w:tcPr>
              <w:p w14:paraId="53D38084" w14:textId="77777777" w:rsidR="00937900" w:rsidRDefault="00000000">
                <w:pPr>
                  <w:widowControl w:val="0"/>
                  <w:rPr>
                    <w:b/>
                    <w:bCs/>
                  </w:rPr>
                </w:pPr>
                <w:r>
                  <w:rPr>
                    <w:b/>
                    <w:bCs/>
                  </w:rPr>
                  <w:t>CRAAP</w:t>
                </w:r>
              </w:p>
            </w:tc>
            <w:tc>
              <w:tcPr>
                <w:tcW w:w="5418" w:type="dxa"/>
                <w:gridSpan w:val="3"/>
                <w:tcMar>
                  <w:top w:w="100" w:type="dxa"/>
                  <w:left w:w="100" w:type="dxa"/>
                  <w:bottom w:w="100" w:type="dxa"/>
                  <w:right w:w="100" w:type="dxa"/>
                </w:tcMar>
              </w:tcPr>
              <w:p w14:paraId="73F629CE" w14:textId="77777777" w:rsidR="00937900" w:rsidRDefault="00000000">
                <w:pPr>
                  <w:widowControl w:val="0"/>
                </w:pPr>
                <w:r>
                  <w:rPr>
                    <w:b/>
                    <w:bCs/>
                  </w:rPr>
                  <w:t>Currency</w:t>
                </w:r>
                <w:r>
                  <w:t xml:space="preserve">: The source is published in 2024 which </w:t>
                </w:r>
                <w:r>
                  <w:lastRenderedPageBreak/>
                  <w:t xml:space="preserve">makes the information updated and relevant to the present health and social care problems. </w:t>
                </w:r>
              </w:p>
              <w:p w14:paraId="45AECC94" w14:textId="77777777" w:rsidR="00937900" w:rsidRDefault="00000000">
                <w:pPr>
                  <w:widowControl w:val="0"/>
                </w:pPr>
                <w:r>
                  <w:rPr>
                    <w:b/>
                    <w:bCs/>
                  </w:rPr>
                  <w:t>Relevance</w:t>
                </w:r>
                <w:r>
                  <w:t xml:space="preserve">: The source directly deals with barriers to healthcare accessibility in vulnerable and low-income households. </w:t>
                </w:r>
              </w:p>
              <w:p w14:paraId="5DEB36A3" w14:textId="77777777" w:rsidR="00937900" w:rsidRDefault="00000000">
                <w:pPr>
                  <w:widowControl w:val="0"/>
                </w:pPr>
                <w:r>
                  <w:rPr>
                    <w:b/>
                    <w:bCs/>
                  </w:rPr>
                  <w:t>Authority</w:t>
                </w:r>
                <w:r>
                  <w:t xml:space="preserve">: The source was published in PLoS One, which is a highly reputed peer-reviewed academic journal. </w:t>
                </w:r>
              </w:p>
              <w:p w14:paraId="239BE222" w14:textId="77777777" w:rsidR="00937900" w:rsidRDefault="00000000">
                <w:pPr>
                  <w:widowControl w:val="0"/>
                </w:pPr>
                <w:r>
                  <w:rPr>
                    <w:b/>
                    <w:bCs/>
                  </w:rPr>
                  <w:t>Accuracy</w:t>
                </w:r>
                <w:r>
                  <w:t xml:space="preserve">: The research leverages a clear qualitative methodology and offers evidence-backed insights that are associated by the exp[erinces of participants and existing research. </w:t>
                </w:r>
              </w:p>
              <w:p w14:paraId="2E3F00CE" w14:textId="77777777" w:rsidR="00937900" w:rsidRDefault="00000000">
                <w:pPr>
                  <w:widowControl w:val="0"/>
                  <w:rPr>
                    <w:b/>
                    <w:bCs/>
                  </w:rPr>
                </w:pPr>
                <w:r>
                  <w:rPr>
                    <w:b/>
                    <w:bCs/>
                  </w:rPr>
                  <w:t>Purpose</w:t>
                </w:r>
                <w:r>
                  <w:t xml:space="preserve">: The source helps evaluate inequalities in healthcare and offers information about refinement in accessibility to healthcare instead of promoting a certain agenda. </w:t>
                </w:r>
              </w:p>
            </w:tc>
            <w:tc>
              <w:tcPr>
                <w:tcW w:w="1806" w:type="dxa"/>
                <w:tcMar>
                  <w:top w:w="100" w:type="dxa"/>
                  <w:left w:w="100" w:type="dxa"/>
                  <w:bottom w:w="100" w:type="dxa"/>
                  <w:right w:w="100" w:type="dxa"/>
                </w:tcMar>
              </w:tcPr>
              <w:p w14:paraId="420E9921" w14:textId="77777777" w:rsidR="00937900" w:rsidRDefault="00000000">
                <w:pPr>
                  <w:widowControl w:val="0"/>
                  <w:rPr>
                    <w:b/>
                    <w:bCs/>
                  </w:rPr>
                </w:pPr>
                <w:r>
                  <w:rPr>
                    <w:b/>
                    <w:bCs/>
                  </w:rPr>
                  <w:lastRenderedPageBreak/>
                  <w:t xml:space="preserve">CRAAP Score </w:t>
                </w:r>
              </w:p>
              <w:p w14:paraId="45156CF7" w14:textId="77777777" w:rsidR="00937900" w:rsidRDefault="00000000">
                <w:pPr>
                  <w:widowControl w:val="0"/>
                  <w:rPr>
                    <w:b/>
                    <w:bCs/>
                  </w:rPr>
                </w:pPr>
                <w:r>
                  <w:rPr>
                    <w:b/>
                    <w:bCs/>
                  </w:rPr>
                  <w:lastRenderedPageBreak/>
                  <w:t>4.5/5</w:t>
                </w:r>
              </w:p>
            </w:tc>
          </w:tr>
        </w:tbl>
      </w:sdtContent>
    </w:sdt>
    <w:p w14:paraId="06D5199E" w14:textId="77777777" w:rsidR="00937900" w:rsidRDefault="00000000">
      <w:pPr>
        <w:jc w:val="center"/>
      </w:pPr>
      <w:r>
        <w:lastRenderedPageBreak/>
        <w:t xml:space="preserve">Source (Developed by the student) </w:t>
      </w:r>
    </w:p>
    <w:p w14:paraId="38448097" w14:textId="77777777" w:rsidR="00937900" w:rsidRDefault="00937900">
      <w:pPr>
        <w:pBdr>
          <w:top w:val="nil"/>
          <w:left w:val="nil"/>
          <w:bottom w:val="nil"/>
          <w:right w:val="nil"/>
          <w:between w:val="nil"/>
        </w:pBdr>
      </w:pPr>
    </w:p>
    <w:p w14:paraId="3705F18E" w14:textId="77777777" w:rsidR="00937900" w:rsidRDefault="00937900">
      <w:pPr>
        <w:pBdr>
          <w:top w:val="nil"/>
          <w:left w:val="nil"/>
          <w:bottom w:val="nil"/>
          <w:right w:val="nil"/>
          <w:between w:val="nil"/>
        </w:pBdr>
      </w:pPr>
    </w:p>
    <w:p w14:paraId="7A10A01C" w14:textId="77777777" w:rsidR="00937900" w:rsidRDefault="00937900">
      <w:pPr>
        <w:pStyle w:val="Heading2"/>
        <w:rPr>
          <w:sz w:val="22"/>
          <w:szCs w:val="22"/>
        </w:rPr>
      </w:pPr>
      <w:bookmarkStart w:id="84" w:name="_heading=h.fmbeia44wpfe" w:colFirst="0" w:colLast="0"/>
      <w:bookmarkEnd w:id="84"/>
    </w:p>
    <w:p w14:paraId="6ADB55F8" w14:textId="77777777" w:rsidR="00937900" w:rsidRDefault="00937900">
      <w:pPr>
        <w:pBdr>
          <w:top w:val="nil"/>
          <w:left w:val="nil"/>
          <w:bottom w:val="nil"/>
          <w:right w:val="nil"/>
          <w:between w:val="nil"/>
        </w:pBdr>
        <w:jc w:val="left"/>
      </w:pPr>
    </w:p>
    <w:p w14:paraId="7B7DF869" w14:textId="77777777" w:rsidR="00937900" w:rsidRDefault="00000000">
      <w:pPr>
        <w:pBdr>
          <w:top w:val="nil"/>
          <w:left w:val="nil"/>
          <w:bottom w:val="nil"/>
          <w:right w:val="nil"/>
          <w:between w:val="nil"/>
        </w:pBdr>
        <w:jc w:val="center"/>
      </w:pPr>
      <w:r>
        <w:br w:type="page"/>
      </w:r>
    </w:p>
    <w:p w14:paraId="2AAFD4F3" w14:textId="77777777" w:rsidR="00937900" w:rsidRDefault="00000000">
      <w:pPr>
        <w:pStyle w:val="Heading2"/>
        <w:rPr>
          <w:sz w:val="22"/>
          <w:szCs w:val="22"/>
        </w:rPr>
      </w:pPr>
      <w:bookmarkStart w:id="85" w:name="_heading=h.61enkq3mfxc9" w:colFirst="0" w:colLast="0"/>
      <w:bookmarkEnd w:id="85"/>
      <w:r>
        <w:rPr>
          <w:sz w:val="22"/>
          <w:szCs w:val="22"/>
        </w:rPr>
        <w:lastRenderedPageBreak/>
        <w:t xml:space="preserve">Appendix 2: Result Summary Table </w:t>
      </w:r>
    </w:p>
    <w:sdt>
      <w:sdtPr>
        <w:tag w:val="goog_rdk_4"/>
        <w:id w:val="-1639396907"/>
        <w:lock w:val="contentLocked"/>
      </w:sdtPr>
      <w:sdtContent>
        <w:tbl>
          <w:tblPr>
            <w:tblStyle w:val="a3"/>
            <w:tblW w:w="11520" w:type="dxa"/>
            <w:tblInd w:w="-12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10"/>
            <w:gridCol w:w="1260"/>
            <w:gridCol w:w="1245"/>
            <w:gridCol w:w="1425"/>
            <w:gridCol w:w="1530"/>
            <w:gridCol w:w="1275"/>
            <w:gridCol w:w="1680"/>
            <w:gridCol w:w="1695"/>
          </w:tblGrid>
          <w:tr w:rsidR="00937900" w14:paraId="0BAB90BF" w14:textId="77777777">
            <w:tc>
              <w:tcPr>
                <w:tcW w:w="1410" w:type="dxa"/>
                <w:shd w:val="clear" w:color="auto" w:fill="9FC5E8"/>
                <w:tcMar>
                  <w:top w:w="100" w:type="dxa"/>
                  <w:left w:w="100" w:type="dxa"/>
                  <w:bottom w:w="100" w:type="dxa"/>
                  <w:right w:w="100" w:type="dxa"/>
                </w:tcMar>
              </w:tcPr>
              <w:p w14:paraId="36892B0C" w14:textId="77777777" w:rsidR="00937900" w:rsidRDefault="00000000">
                <w:pPr>
                  <w:widowControl w:val="0"/>
                  <w:pBdr>
                    <w:top w:val="nil"/>
                    <w:left w:val="nil"/>
                    <w:bottom w:val="nil"/>
                    <w:right w:val="nil"/>
                    <w:between w:val="nil"/>
                  </w:pBdr>
                  <w:jc w:val="left"/>
                  <w:rPr>
                    <w:b/>
                    <w:bCs/>
                  </w:rPr>
                </w:pPr>
                <w:r>
                  <w:rPr>
                    <w:b/>
                    <w:bCs/>
                  </w:rPr>
                  <w:t xml:space="preserve">Author(s) &amp; Year </w:t>
                </w:r>
              </w:p>
            </w:tc>
            <w:tc>
              <w:tcPr>
                <w:tcW w:w="1260" w:type="dxa"/>
                <w:shd w:val="clear" w:color="auto" w:fill="9FC5E8"/>
                <w:tcMar>
                  <w:top w:w="100" w:type="dxa"/>
                  <w:left w:w="100" w:type="dxa"/>
                  <w:bottom w:w="100" w:type="dxa"/>
                  <w:right w:w="100" w:type="dxa"/>
                </w:tcMar>
              </w:tcPr>
              <w:p w14:paraId="47452AC0" w14:textId="77777777" w:rsidR="00937900" w:rsidRDefault="00000000">
                <w:pPr>
                  <w:widowControl w:val="0"/>
                  <w:pBdr>
                    <w:top w:val="nil"/>
                    <w:left w:val="nil"/>
                    <w:bottom w:val="nil"/>
                    <w:right w:val="nil"/>
                    <w:between w:val="nil"/>
                  </w:pBdr>
                  <w:jc w:val="left"/>
                  <w:rPr>
                    <w:b/>
                    <w:bCs/>
                  </w:rPr>
                </w:pPr>
                <w:r>
                  <w:rPr>
                    <w:b/>
                    <w:bCs/>
                  </w:rPr>
                  <w:t>Article Title</w:t>
                </w:r>
              </w:p>
            </w:tc>
            <w:tc>
              <w:tcPr>
                <w:tcW w:w="1245" w:type="dxa"/>
                <w:shd w:val="clear" w:color="auto" w:fill="9FC5E8"/>
                <w:tcMar>
                  <w:top w:w="100" w:type="dxa"/>
                  <w:left w:w="100" w:type="dxa"/>
                  <w:bottom w:w="100" w:type="dxa"/>
                  <w:right w:w="100" w:type="dxa"/>
                </w:tcMar>
              </w:tcPr>
              <w:p w14:paraId="4385D4DA" w14:textId="77777777" w:rsidR="00937900" w:rsidRDefault="00000000">
                <w:pPr>
                  <w:widowControl w:val="0"/>
                  <w:pBdr>
                    <w:top w:val="nil"/>
                    <w:left w:val="nil"/>
                    <w:bottom w:val="nil"/>
                    <w:right w:val="nil"/>
                    <w:between w:val="nil"/>
                  </w:pBdr>
                  <w:jc w:val="left"/>
                  <w:rPr>
                    <w:b/>
                    <w:bCs/>
                  </w:rPr>
                </w:pPr>
                <w:r>
                  <w:rPr>
                    <w:b/>
                    <w:bCs/>
                  </w:rPr>
                  <w:t xml:space="preserve">Type of Study </w:t>
                </w:r>
              </w:p>
            </w:tc>
            <w:tc>
              <w:tcPr>
                <w:tcW w:w="1425" w:type="dxa"/>
                <w:shd w:val="clear" w:color="auto" w:fill="9FC5E8"/>
                <w:tcMar>
                  <w:top w:w="100" w:type="dxa"/>
                  <w:left w:w="100" w:type="dxa"/>
                  <w:bottom w:w="100" w:type="dxa"/>
                  <w:right w:w="100" w:type="dxa"/>
                </w:tcMar>
              </w:tcPr>
              <w:p w14:paraId="00438584" w14:textId="77777777" w:rsidR="00937900" w:rsidRDefault="00000000">
                <w:pPr>
                  <w:widowControl w:val="0"/>
                  <w:pBdr>
                    <w:top w:val="nil"/>
                    <w:left w:val="nil"/>
                    <w:bottom w:val="nil"/>
                    <w:right w:val="nil"/>
                    <w:between w:val="nil"/>
                  </w:pBdr>
                  <w:jc w:val="left"/>
                  <w:rPr>
                    <w:b/>
                    <w:bCs/>
                  </w:rPr>
                </w:pPr>
                <w:r>
                  <w:rPr>
                    <w:b/>
                    <w:bCs/>
                  </w:rPr>
                  <w:t xml:space="preserve">Research method &amp; Sample size </w:t>
                </w:r>
              </w:p>
            </w:tc>
            <w:tc>
              <w:tcPr>
                <w:tcW w:w="1530" w:type="dxa"/>
                <w:shd w:val="clear" w:color="auto" w:fill="9FC5E8"/>
                <w:tcMar>
                  <w:top w:w="100" w:type="dxa"/>
                  <w:left w:w="100" w:type="dxa"/>
                  <w:bottom w:w="100" w:type="dxa"/>
                  <w:right w:w="100" w:type="dxa"/>
                </w:tcMar>
              </w:tcPr>
              <w:p w14:paraId="3965D605" w14:textId="77777777" w:rsidR="00937900" w:rsidRDefault="00000000">
                <w:pPr>
                  <w:widowControl w:val="0"/>
                  <w:pBdr>
                    <w:top w:val="nil"/>
                    <w:left w:val="nil"/>
                    <w:bottom w:val="nil"/>
                    <w:right w:val="nil"/>
                    <w:between w:val="nil"/>
                  </w:pBdr>
                  <w:jc w:val="left"/>
                  <w:rPr>
                    <w:b/>
                    <w:bCs/>
                  </w:rPr>
                </w:pPr>
                <w:r>
                  <w:rPr>
                    <w:b/>
                    <w:bCs/>
                  </w:rPr>
                  <w:t xml:space="preserve">Strengths &amp; limitations </w:t>
                </w:r>
              </w:p>
            </w:tc>
            <w:tc>
              <w:tcPr>
                <w:tcW w:w="1275" w:type="dxa"/>
                <w:shd w:val="clear" w:color="auto" w:fill="9FC5E8"/>
                <w:tcMar>
                  <w:top w:w="100" w:type="dxa"/>
                  <w:left w:w="100" w:type="dxa"/>
                  <w:bottom w:w="100" w:type="dxa"/>
                  <w:right w:w="100" w:type="dxa"/>
                </w:tcMar>
              </w:tcPr>
              <w:p w14:paraId="12D05915" w14:textId="77777777" w:rsidR="00937900" w:rsidRDefault="00000000">
                <w:pPr>
                  <w:widowControl w:val="0"/>
                  <w:pBdr>
                    <w:top w:val="nil"/>
                    <w:left w:val="nil"/>
                    <w:bottom w:val="nil"/>
                    <w:right w:val="nil"/>
                    <w:between w:val="nil"/>
                  </w:pBdr>
                  <w:jc w:val="left"/>
                  <w:rPr>
                    <w:b/>
                    <w:bCs/>
                  </w:rPr>
                </w:pPr>
                <w:r>
                  <w:rPr>
                    <w:b/>
                    <w:bCs/>
                  </w:rPr>
                  <w:t xml:space="preserve">Main Findings </w:t>
                </w:r>
              </w:p>
            </w:tc>
            <w:tc>
              <w:tcPr>
                <w:tcW w:w="1680" w:type="dxa"/>
                <w:shd w:val="clear" w:color="auto" w:fill="9FC5E8"/>
                <w:tcMar>
                  <w:top w:w="100" w:type="dxa"/>
                  <w:left w:w="100" w:type="dxa"/>
                  <w:bottom w:w="100" w:type="dxa"/>
                  <w:right w:w="100" w:type="dxa"/>
                </w:tcMar>
              </w:tcPr>
              <w:p w14:paraId="5DF645A1" w14:textId="77777777" w:rsidR="00937900" w:rsidRDefault="00000000">
                <w:pPr>
                  <w:widowControl w:val="0"/>
                  <w:pBdr>
                    <w:top w:val="nil"/>
                    <w:left w:val="nil"/>
                    <w:bottom w:val="nil"/>
                    <w:right w:val="nil"/>
                    <w:between w:val="nil"/>
                  </w:pBdr>
                  <w:jc w:val="left"/>
                  <w:rPr>
                    <w:b/>
                    <w:bCs/>
                  </w:rPr>
                </w:pPr>
                <w:r>
                  <w:rPr>
                    <w:b/>
                    <w:bCs/>
                  </w:rPr>
                  <w:t xml:space="preserve">Keywords and Codes </w:t>
                </w:r>
              </w:p>
            </w:tc>
            <w:tc>
              <w:tcPr>
                <w:tcW w:w="1695" w:type="dxa"/>
                <w:shd w:val="clear" w:color="auto" w:fill="9FC5E8"/>
                <w:tcMar>
                  <w:top w:w="100" w:type="dxa"/>
                  <w:left w:w="100" w:type="dxa"/>
                  <w:bottom w:w="100" w:type="dxa"/>
                  <w:right w:w="100" w:type="dxa"/>
                </w:tcMar>
              </w:tcPr>
              <w:p w14:paraId="4BDA2ADF" w14:textId="77777777" w:rsidR="00937900" w:rsidRDefault="00000000">
                <w:pPr>
                  <w:widowControl w:val="0"/>
                  <w:pBdr>
                    <w:top w:val="nil"/>
                    <w:left w:val="nil"/>
                    <w:bottom w:val="nil"/>
                    <w:right w:val="nil"/>
                    <w:between w:val="nil"/>
                  </w:pBdr>
                  <w:jc w:val="left"/>
                  <w:rPr>
                    <w:b/>
                    <w:bCs/>
                  </w:rPr>
                </w:pPr>
                <w:r>
                  <w:rPr>
                    <w:b/>
                    <w:bCs/>
                  </w:rPr>
                  <w:t xml:space="preserve">Notes and Comments </w:t>
                </w:r>
              </w:p>
            </w:tc>
          </w:tr>
          <w:tr w:rsidR="00937900" w14:paraId="563E5F2D" w14:textId="77777777">
            <w:tc>
              <w:tcPr>
                <w:tcW w:w="1410" w:type="dxa"/>
                <w:tcMar>
                  <w:top w:w="100" w:type="dxa"/>
                  <w:left w:w="100" w:type="dxa"/>
                  <w:bottom w:w="100" w:type="dxa"/>
                  <w:right w:w="100" w:type="dxa"/>
                </w:tcMar>
              </w:tcPr>
              <w:p w14:paraId="4FDC99CC" w14:textId="77777777" w:rsidR="00937900" w:rsidRDefault="00000000">
                <w:pPr>
                  <w:widowControl w:val="0"/>
                  <w:pBdr>
                    <w:top w:val="nil"/>
                    <w:left w:val="nil"/>
                    <w:bottom w:val="nil"/>
                    <w:right w:val="nil"/>
                    <w:between w:val="nil"/>
                  </w:pBdr>
                  <w:jc w:val="left"/>
                </w:pPr>
                <w:r>
                  <w:t>“Beaven and Marshman (2024)”</w:t>
                </w:r>
              </w:p>
            </w:tc>
            <w:tc>
              <w:tcPr>
                <w:tcW w:w="1260" w:type="dxa"/>
                <w:tcBorders>
                  <w:top w:val="single" w:sz="7" w:space="0" w:color="000000"/>
                  <w:left w:val="single" w:sz="7" w:space="0" w:color="000000"/>
                  <w:bottom w:val="single" w:sz="7" w:space="0" w:color="000000"/>
                  <w:right w:val="single" w:sz="7" w:space="0" w:color="000000"/>
                </w:tcBorders>
                <w:tcMar>
                  <w:top w:w="100" w:type="dxa"/>
                  <w:left w:w="100" w:type="dxa"/>
                  <w:bottom w:w="100" w:type="dxa"/>
                  <w:right w:w="100" w:type="dxa"/>
                </w:tcMar>
              </w:tcPr>
              <w:p w14:paraId="5D04F99B" w14:textId="77777777" w:rsidR="00937900" w:rsidRDefault="00000000">
                <w:pPr>
                  <w:widowControl w:val="0"/>
                </w:pPr>
                <w:r>
                  <w:t>“</w:t>
                </w:r>
                <w:r>
                  <w:rPr>
                    <w:highlight w:val="white"/>
                  </w:rPr>
                  <w:t>Barriers and facilitators to accessing oral healthcare for older people in the UK: a scoping review.</w:t>
                </w:r>
                <w:r>
                  <w:t>”</w:t>
                </w:r>
              </w:p>
            </w:tc>
            <w:tc>
              <w:tcPr>
                <w:tcW w:w="1245" w:type="dxa"/>
                <w:tcMar>
                  <w:top w:w="100" w:type="dxa"/>
                  <w:left w:w="100" w:type="dxa"/>
                  <w:bottom w:w="100" w:type="dxa"/>
                  <w:right w:w="100" w:type="dxa"/>
                </w:tcMar>
              </w:tcPr>
              <w:p w14:paraId="22E888A0" w14:textId="77777777" w:rsidR="00937900" w:rsidRDefault="00000000">
                <w:pPr>
                  <w:widowControl w:val="0"/>
                  <w:pBdr>
                    <w:top w:val="nil"/>
                    <w:left w:val="nil"/>
                    <w:bottom w:val="nil"/>
                    <w:right w:val="nil"/>
                    <w:between w:val="nil"/>
                  </w:pBdr>
                  <w:jc w:val="left"/>
                </w:pPr>
                <w:r>
                  <w:t xml:space="preserve">Qualitative </w:t>
                </w:r>
              </w:p>
            </w:tc>
            <w:tc>
              <w:tcPr>
                <w:tcW w:w="1425" w:type="dxa"/>
                <w:tcMar>
                  <w:top w:w="100" w:type="dxa"/>
                  <w:left w:w="100" w:type="dxa"/>
                  <w:bottom w:w="100" w:type="dxa"/>
                  <w:right w:w="100" w:type="dxa"/>
                </w:tcMar>
              </w:tcPr>
              <w:p w14:paraId="4DCE2962" w14:textId="77777777" w:rsidR="00937900" w:rsidRDefault="00000000">
                <w:pPr>
                  <w:widowControl w:val="0"/>
                  <w:pBdr>
                    <w:top w:val="nil"/>
                    <w:left w:val="nil"/>
                    <w:bottom w:val="nil"/>
                    <w:right w:val="nil"/>
                    <w:between w:val="nil"/>
                  </w:pBdr>
                  <w:jc w:val="left"/>
                </w:pPr>
                <w:r>
                  <w:t xml:space="preserve">Scoping review </w:t>
                </w:r>
              </w:p>
              <w:p w14:paraId="79166479" w14:textId="77777777" w:rsidR="00937900" w:rsidRDefault="00000000">
                <w:pPr>
                  <w:widowControl w:val="0"/>
                  <w:pBdr>
                    <w:top w:val="nil"/>
                    <w:left w:val="nil"/>
                    <w:bottom w:val="nil"/>
                    <w:right w:val="nil"/>
                    <w:between w:val="nil"/>
                  </w:pBdr>
                  <w:jc w:val="left"/>
                </w:pPr>
                <w:r>
                  <w:t xml:space="preserve">27 studies </w:t>
                </w:r>
              </w:p>
            </w:tc>
            <w:tc>
              <w:tcPr>
                <w:tcW w:w="1530" w:type="dxa"/>
                <w:tcMar>
                  <w:top w:w="100" w:type="dxa"/>
                  <w:left w:w="100" w:type="dxa"/>
                  <w:bottom w:w="100" w:type="dxa"/>
                  <w:right w:w="100" w:type="dxa"/>
                </w:tcMar>
              </w:tcPr>
              <w:p w14:paraId="6B1967EC" w14:textId="77777777" w:rsidR="00937900" w:rsidRDefault="00000000">
                <w:pPr>
                  <w:widowControl w:val="0"/>
                  <w:pBdr>
                    <w:top w:val="nil"/>
                    <w:left w:val="nil"/>
                    <w:bottom w:val="nil"/>
                    <w:right w:val="nil"/>
                    <w:between w:val="nil"/>
                  </w:pBdr>
                  <w:jc w:val="left"/>
                </w:pPr>
                <w:r>
                  <w:rPr>
                    <w:b/>
                    <w:bCs/>
                  </w:rPr>
                  <w:t xml:space="preserve">Strength: </w:t>
                </w:r>
                <w:r>
                  <w:t>Comprehensive review of experiences faced by older adults.</w:t>
                </w:r>
              </w:p>
              <w:p w14:paraId="48B4AD37" w14:textId="77777777" w:rsidR="00937900" w:rsidRDefault="00000000">
                <w:pPr>
                  <w:widowControl w:val="0"/>
                  <w:pBdr>
                    <w:top w:val="nil"/>
                    <w:left w:val="nil"/>
                    <w:bottom w:val="nil"/>
                    <w:right w:val="nil"/>
                    <w:between w:val="nil"/>
                  </w:pBdr>
                  <w:jc w:val="left"/>
                </w:pPr>
                <w:r>
                  <w:rPr>
                    <w:b/>
                    <w:bCs/>
                  </w:rPr>
                  <w:t xml:space="preserve">Limitation: </w:t>
                </w:r>
                <w:r>
                  <w:t>Mainly focuses on oral healthcare.</w:t>
                </w:r>
              </w:p>
            </w:tc>
            <w:tc>
              <w:tcPr>
                <w:tcW w:w="1275" w:type="dxa"/>
                <w:tcMar>
                  <w:top w:w="100" w:type="dxa"/>
                  <w:left w:w="100" w:type="dxa"/>
                  <w:bottom w:w="100" w:type="dxa"/>
                  <w:right w:w="100" w:type="dxa"/>
                </w:tcMar>
              </w:tcPr>
              <w:p w14:paraId="5665E0C9" w14:textId="77777777" w:rsidR="00937900" w:rsidRDefault="00000000">
                <w:pPr>
                  <w:widowControl w:val="0"/>
                  <w:pBdr>
                    <w:top w:val="nil"/>
                    <w:left w:val="nil"/>
                    <w:bottom w:val="nil"/>
                    <w:right w:val="nil"/>
                    <w:between w:val="nil"/>
                  </w:pBdr>
                  <w:jc w:val="left"/>
                </w:pPr>
                <w:r>
                  <w:t>Older adults experience barriers on mobility, service and transportation availability.</w:t>
                </w:r>
              </w:p>
            </w:tc>
            <w:tc>
              <w:tcPr>
                <w:tcW w:w="1680" w:type="dxa"/>
                <w:tcMar>
                  <w:top w:w="100" w:type="dxa"/>
                  <w:left w:w="100" w:type="dxa"/>
                  <w:bottom w:w="100" w:type="dxa"/>
                  <w:right w:w="100" w:type="dxa"/>
                </w:tcMar>
              </w:tcPr>
              <w:p w14:paraId="1D6D55A4" w14:textId="77777777" w:rsidR="00937900" w:rsidRDefault="00000000">
                <w:pPr>
                  <w:widowControl w:val="0"/>
                </w:pPr>
                <w:r>
                  <w:t>“Physical barriers (such as immobility, transportation and service inviability)”</w:t>
                </w:r>
              </w:p>
            </w:tc>
            <w:tc>
              <w:tcPr>
                <w:tcW w:w="1695" w:type="dxa"/>
                <w:tcMar>
                  <w:top w:w="100" w:type="dxa"/>
                  <w:left w:w="100" w:type="dxa"/>
                  <w:bottom w:w="100" w:type="dxa"/>
                  <w:right w:w="100" w:type="dxa"/>
                </w:tcMar>
              </w:tcPr>
              <w:p w14:paraId="067B2729" w14:textId="77777777" w:rsidR="00937900" w:rsidRDefault="00000000">
                <w:pPr>
                  <w:widowControl w:val="0"/>
                  <w:pBdr>
                    <w:top w:val="nil"/>
                    <w:left w:val="nil"/>
                    <w:bottom w:val="nil"/>
                    <w:right w:val="nil"/>
                    <w:between w:val="nil"/>
                  </w:pBdr>
                  <w:jc w:val="left"/>
                </w:pPr>
                <w:r>
                  <w:t>Compared with “Edirisooriya, Silkens and Medisauskaite (2025)”</w:t>
                </w:r>
              </w:p>
              <w:p w14:paraId="3D99F44F" w14:textId="77777777" w:rsidR="00937900" w:rsidRDefault="00000000">
                <w:pPr>
                  <w:widowControl w:val="0"/>
                  <w:pBdr>
                    <w:top w:val="nil"/>
                    <w:left w:val="nil"/>
                    <w:bottom w:val="nil"/>
                    <w:right w:val="nil"/>
                    <w:between w:val="nil"/>
                  </w:pBdr>
                  <w:jc w:val="left"/>
                </w:pPr>
                <w:r>
                  <w:t xml:space="preserve">“Ekezie </w:t>
                </w:r>
                <w:r>
                  <w:rPr>
                    <w:i/>
                    <w:iCs/>
                  </w:rPr>
                  <w:t xml:space="preserve">et al. </w:t>
                </w:r>
                <w:r>
                  <w:t xml:space="preserve">(2023)” </w:t>
                </w:r>
              </w:p>
            </w:tc>
          </w:tr>
          <w:tr w:rsidR="00937900" w14:paraId="03A0541C" w14:textId="77777777">
            <w:tc>
              <w:tcPr>
                <w:tcW w:w="1410" w:type="dxa"/>
                <w:tcMar>
                  <w:top w:w="100" w:type="dxa"/>
                  <w:left w:w="100" w:type="dxa"/>
                  <w:bottom w:w="100" w:type="dxa"/>
                  <w:right w:w="100" w:type="dxa"/>
                </w:tcMar>
              </w:tcPr>
              <w:p w14:paraId="31D63171" w14:textId="77777777" w:rsidR="00937900" w:rsidRDefault="00000000">
                <w:pPr>
                  <w:widowControl w:val="0"/>
                  <w:jc w:val="left"/>
                </w:pPr>
                <w:r>
                  <w:t>“Edirisooriya, Silkens and Medisauskaite (2025)”</w:t>
                </w:r>
              </w:p>
            </w:tc>
            <w:tc>
              <w:tcPr>
                <w:tcW w:w="1260"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01338BB4" w14:textId="77777777" w:rsidR="00937900" w:rsidRDefault="00000000">
                <w:pPr>
                  <w:widowControl w:val="0"/>
                </w:pPr>
                <w:r>
                  <w:t>“Exploring financial difficulty and help-seeking behaviour among medics in the United Kingdom: a cross-sectional survey.”</w:t>
                </w:r>
              </w:p>
            </w:tc>
            <w:tc>
              <w:tcPr>
                <w:tcW w:w="1245" w:type="dxa"/>
                <w:tcMar>
                  <w:top w:w="100" w:type="dxa"/>
                  <w:left w:w="100" w:type="dxa"/>
                  <w:bottom w:w="100" w:type="dxa"/>
                  <w:right w:w="100" w:type="dxa"/>
                </w:tcMar>
              </w:tcPr>
              <w:p w14:paraId="31832F17" w14:textId="77777777" w:rsidR="00937900" w:rsidRDefault="00000000">
                <w:pPr>
                  <w:widowControl w:val="0"/>
                  <w:pBdr>
                    <w:top w:val="nil"/>
                    <w:left w:val="nil"/>
                    <w:bottom w:val="nil"/>
                    <w:right w:val="nil"/>
                    <w:between w:val="nil"/>
                  </w:pBdr>
                  <w:jc w:val="left"/>
                </w:pPr>
                <w:r>
                  <w:t xml:space="preserve">Quantitative </w:t>
                </w:r>
              </w:p>
            </w:tc>
            <w:tc>
              <w:tcPr>
                <w:tcW w:w="1425" w:type="dxa"/>
                <w:tcMar>
                  <w:top w:w="100" w:type="dxa"/>
                  <w:left w:w="100" w:type="dxa"/>
                  <w:bottom w:w="100" w:type="dxa"/>
                  <w:right w:w="100" w:type="dxa"/>
                </w:tcMar>
              </w:tcPr>
              <w:p w14:paraId="10B24FC3" w14:textId="77777777" w:rsidR="00937900" w:rsidRDefault="00000000">
                <w:pPr>
                  <w:widowControl w:val="0"/>
                  <w:pBdr>
                    <w:top w:val="nil"/>
                    <w:left w:val="nil"/>
                    <w:bottom w:val="nil"/>
                    <w:right w:val="nil"/>
                    <w:between w:val="nil"/>
                  </w:pBdr>
                  <w:jc w:val="left"/>
                </w:pPr>
                <w:r>
                  <w:t xml:space="preserve">Cross-sectional survey </w:t>
                </w:r>
              </w:p>
              <w:p w14:paraId="23AAB8FB" w14:textId="77777777" w:rsidR="00937900" w:rsidRDefault="00000000">
                <w:pPr>
                  <w:widowControl w:val="0"/>
                  <w:pBdr>
                    <w:top w:val="nil"/>
                    <w:left w:val="nil"/>
                    <w:bottom w:val="nil"/>
                    <w:right w:val="nil"/>
                    <w:between w:val="nil"/>
                  </w:pBdr>
                  <w:jc w:val="left"/>
                </w:pPr>
                <w:r>
                  <w:t>“442 respondents”</w:t>
                </w:r>
              </w:p>
            </w:tc>
            <w:tc>
              <w:tcPr>
                <w:tcW w:w="1530" w:type="dxa"/>
                <w:tcMar>
                  <w:top w:w="100" w:type="dxa"/>
                  <w:left w:w="100" w:type="dxa"/>
                  <w:bottom w:w="100" w:type="dxa"/>
                  <w:right w:w="100" w:type="dxa"/>
                </w:tcMar>
              </w:tcPr>
              <w:p w14:paraId="67873BCD" w14:textId="77777777" w:rsidR="00937900" w:rsidRDefault="00000000">
                <w:pPr>
                  <w:widowControl w:val="0"/>
                  <w:pBdr>
                    <w:top w:val="nil"/>
                    <w:left w:val="nil"/>
                    <w:bottom w:val="nil"/>
                    <w:right w:val="nil"/>
                    <w:between w:val="nil"/>
                  </w:pBdr>
                  <w:jc w:val="left"/>
                </w:pPr>
                <w:r>
                  <w:rPr>
                    <w:b/>
                    <w:bCs/>
                  </w:rPr>
                  <w:t xml:space="preserve">Strength: </w:t>
                </w:r>
                <w:r>
                  <w:t>The primary strength is that it contains a larger sample size.</w:t>
                </w:r>
              </w:p>
              <w:p w14:paraId="4A0E1C06" w14:textId="77777777" w:rsidR="00937900" w:rsidRDefault="00000000">
                <w:pPr>
                  <w:widowControl w:val="0"/>
                  <w:pBdr>
                    <w:top w:val="nil"/>
                    <w:left w:val="nil"/>
                    <w:bottom w:val="nil"/>
                    <w:right w:val="nil"/>
                    <w:between w:val="nil"/>
                  </w:pBdr>
                  <w:jc w:val="left"/>
                </w:pPr>
                <w:r>
                  <w:rPr>
                    <w:b/>
                    <w:bCs/>
                  </w:rPr>
                  <w:t>Limitation:</w:t>
                </w:r>
                <w:r>
                  <w:t xml:space="preserve"> Mainly focused on medics only.</w:t>
                </w:r>
              </w:p>
            </w:tc>
            <w:tc>
              <w:tcPr>
                <w:tcW w:w="1275" w:type="dxa"/>
                <w:tcMar>
                  <w:top w:w="100" w:type="dxa"/>
                  <w:left w:w="100" w:type="dxa"/>
                  <w:bottom w:w="100" w:type="dxa"/>
                  <w:right w:w="100" w:type="dxa"/>
                </w:tcMar>
              </w:tcPr>
              <w:p w14:paraId="1A55ED98" w14:textId="77777777" w:rsidR="00937900" w:rsidRDefault="00000000">
                <w:pPr>
                  <w:widowControl w:val="0"/>
                  <w:pBdr>
                    <w:top w:val="nil"/>
                    <w:left w:val="nil"/>
                    <w:bottom w:val="nil"/>
                    <w:right w:val="nil"/>
                    <w:between w:val="nil"/>
                  </w:pBdr>
                  <w:jc w:val="left"/>
                </w:pPr>
                <w:r>
                  <w:t>The financial hardships mitigates the help seeking behaviour and access to healthcare.</w:t>
                </w:r>
              </w:p>
            </w:tc>
            <w:tc>
              <w:tcPr>
                <w:tcW w:w="1680" w:type="dxa"/>
                <w:tcMar>
                  <w:top w:w="100" w:type="dxa"/>
                  <w:left w:w="100" w:type="dxa"/>
                  <w:bottom w:w="100" w:type="dxa"/>
                  <w:right w:w="100" w:type="dxa"/>
                </w:tcMar>
              </w:tcPr>
              <w:p w14:paraId="6D88AAC5" w14:textId="77777777" w:rsidR="00937900" w:rsidRDefault="00000000">
                <w:pPr>
                  <w:widowControl w:val="0"/>
                </w:pPr>
                <w:r>
                  <w:t>“Financial barriers, decreased confidence in help-seeking behaviour”</w:t>
                </w:r>
              </w:p>
            </w:tc>
            <w:tc>
              <w:tcPr>
                <w:tcW w:w="1695" w:type="dxa"/>
                <w:tcMar>
                  <w:top w:w="100" w:type="dxa"/>
                  <w:left w:w="100" w:type="dxa"/>
                  <w:bottom w:w="100" w:type="dxa"/>
                  <w:right w:w="100" w:type="dxa"/>
                </w:tcMar>
              </w:tcPr>
              <w:p w14:paraId="2F0C3D81" w14:textId="77777777" w:rsidR="00937900" w:rsidRDefault="00000000">
                <w:pPr>
                  <w:widowControl w:val="0"/>
                  <w:pBdr>
                    <w:top w:val="nil"/>
                    <w:left w:val="nil"/>
                    <w:bottom w:val="nil"/>
                    <w:right w:val="nil"/>
                    <w:between w:val="nil"/>
                  </w:pBdr>
                  <w:jc w:val="left"/>
                </w:pPr>
                <w:r>
                  <w:t>Assist Theory of Social Determinants of Health</w:t>
                </w:r>
              </w:p>
            </w:tc>
          </w:tr>
          <w:tr w:rsidR="00937900" w14:paraId="304B5D24" w14:textId="77777777">
            <w:tc>
              <w:tcPr>
                <w:tcW w:w="1410" w:type="dxa"/>
                <w:tcMar>
                  <w:top w:w="100" w:type="dxa"/>
                  <w:left w:w="100" w:type="dxa"/>
                  <w:bottom w:w="100" w:type="dxa"/>
                  <w:right w:w="100" w:type="dxa"/>
                </w:tcMar>
              </w:tcPr>
              <w:p w14:paraId="38C76C45" w14:textId="77777777" w:rsidR="00937900" w:rsidRDefault="00000000">
                <w:pPr>
                  <w:widowControl w:val="0"/>
                  <w:jc w:val="left"/>
                </w:pPr>
                <w:r>
                  <w:t xml:space="preserve">“Ekezie </w:t>
                </w:r>
                <w:r>
                  <w:rPr>
                    <w:i/>
                    <w:iCs/>
                  </w:rPr>
                  <w:t xml:space="preserve">et al. </w:t>
                </w:r>
                <w:r>
                  <w:t>(2023)”</w:t>
                </w:r>
              </w:p>
            </w:tc>
            <w:tc>
              <w:tcPr>
                <w:tcW w:w="1260"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55917273" w14:textId="77777777" w:rsidR="00937900" w:rsidRDefault="00000000">
                <w:pPr>
                  <w:widowControl w:val="0"/>
                </w:pPr>
                <w:r>
                  <w:t>“Health and social care experienc</w:t>
                </w:r>
                <w:r>
                  <w:lastRenderedPageBreak/>
                  <w:t>e and research perception of different ethnic minority populations in the East Midlands, United Kingdom (REPRESENT study).”</w:t>
                </w:r>
              </w:p>
            </w:tc>
            <w:tc>
              <w:tcPr>
                <w:tcW w:w="1245" w:type="dxa"/>
                <w:tcMar>
                  <w:top w:w="100" w:type="dxa"/>
                  <w:left w:w="100" w:type="dxa"/>
                  <w:bottom w:w="100" w:type="dxa"/>
                  <w:right w:w="100" w:type="dxa"/>
                </w:tcMar>
              </w:tcPr>
              <w:p w14:paraId="47E08862" w14:textId="77777777" w:rsidR="00937900" w:rsidRDefault="00000000">
                <w:pPr>
                  <w:widowControl w:val="0"/>
                  <w:pBdr>
                    <w:top w:val="nil"/>
                    <w:left w:val="nil"/>
                    <w:bottom w:val="nil"/>
                    <w:right w:val="nil"/>
                    <w:between w:val="nil"/>
                  </w:pBdr>
                  <w:jc w:val="left"/>
                </w:pPr>
                <w:r>
                  <w:lastRenderedPageBreak/>
                  <w:t xml:space="preserve">Qualitative and Quantative </w:t>
                </w:r>
              </w:p>
            </w:tc>
            <w:tc>
              <w:tcPr>
                <w:tcW w:w="1425" w:type="dxa"/>
                <w:tcMar>
                  <w:top w:w="100" w:type="dxa"/>
                  <w:left w:w="100" w:type="dxa"/>
                  <w:bottom w:w="100" w:type="dxa"/>
                  <w:right w:w="100" w:type="dxa"/>
                </w:tcMar>
              </w:tcPr>
              <w:p w14:paraId="0BDCF2F1" w14:textId="77777777" w:rsidR="00937900" w:rsidRDefault="00000000">
                <w:pPr>
                  <w:widowControl w:val="0"/>
                  <w:pBdr>
                    <w:top w:val="nil"/>
                    <w:left w:val="nil"/>
                    <w:bottom w:val="nil"/>
                    <w:right w:val="nil"/>
                    <w:between w:val="nil"/>
                  </w:pBdr>
                  <w:jc w:val="left"/>
                </w:pPr>
                <w:r>
                  <w:t xml:space="preserve">Mixed method study </w:t>
                </w:r>
              </w:p>
              <w:p w14:paraId="3660CB23" w14:textId="77777777" w:rsidR="00937900" w:rsidRDefault="00000000">
                <w:pPr>
                  <w:widowControl w:val="0"/>
                  <w:pBdr>
                    <w:top w:val="nil"/>
                    <w:left w:val="nil"/>
                    <w:bottom w:val="nil"/>
                    <w:right w:val="nil"/>
                    <w:between w:val="nil"/>
                  </w:pBdr>
                  <w:jc w:val="left"/>
                </w:pPr>
                <w:r>
                  <w:t xml:space="preserve">“52 </w:t>
                </w:r>
                <w:r>
                  <w:lastRenderedPageBreak/>
                  <w:t>respondents”</w:t>
                </w:r>
              </w:p>
            </w:tc>
            <w:tc>
              <w:tcPr>
                <w:tcW w:w="1530" w:type="dxa"/>
                <w:tcMar>
                  <w:top w:w="100" w:type="dxa"/>
                  <w:left w:w="100" w:type="dxa"/>
                  <w:bottom w:w="100" w:type="dxa"/>
                  <w:right w:w="100" w:type="dxa"/>
                </w:tcMar>
              </w:tcPr>
              <w:p w14:paraId="3A5DD169" w14:textId="77777777" w:rsidR="00937900" w:rsidRDefault="00000000">
                <w:pPr>
                  <w:widowControl w:val="0"/>
                  <w:pBdr>
                    <w:top w:val="nil"/>
                    <w:left w:val="nil"/>
                    <w:bottom w:val="nil"/>
                    <w:right w:val="nil"/>
                    <w:between w:val="nil"/>
                  </w:pBdr>
                  <w:jc w:val="left"/>
                </w:pPr>
                <w:r>
                  <w:rPr>
                    <w:b/>
                    <w:bCs/>
                  </w:rPr>
                  <w:lastRenderedPageBreak/>
                  <w:t>Strength:</w:t>
                </w:r>
                <w:r>
                  <w:t xml:space="preserve"> Primary focus on ethnic </w:t>
                </w:r>
                <w:r>
                  <w:lastRenderedPageBreak/>
                  <w:t>minorities.</w:t>
                </w:r>
              </w:p>
              <w:p w14:paraId="3C377EDD" w14:textId="77777777" w:rsidR="00937900" w:rsidRDefault="00000000">
                <w:pPr>
                  <w:widowControl w:val="0"/>
                  <w:pBdr>
                    <w:top w:val="nil"/>
                    <w:left w:val="nil"/>
                    <w:bottom w:val="nil"/>
                    <w:right w:val="nil"/>
                    <w:between w:val="nil"/>
                  </w:pBdr>
                  <w:jc w:val="left"/>
                </w:pPr>
                <w:r>
                  <w:rPr>
                    <w:b/>
                    <w:bCs/>
                  </w:rPr>
                  <w:t xml:space="preserve">Limitation: </w:t>
                </w:r>
                <w:r>
                  <w:t>It has a small sample size and regional focus.</w:t>
                </w:r>
              </w:p>
            </w:tc>
            <w:tc>
              <w:tcPr>
                <w:tcW w:w="1275" w:type="dxa"/>
                <w:tcMar>
                  <w:top w:w="100" w:type="dxa"/>
                  <w:left w:w="100" w:type="dxa"/>
                  <w:bottom w:w="100" w:type="dxa"/>
                  <w:right w:w="100" w:type="dxa"/>
                </w:tcMar>
              </w:tcPr>
              <w:p w14:paraId="380AB655" w14:textId="77777777" w:rsidR="00937900" w:rsidRDefault="00000000">
                <w:pPr>
                  <w:widowControl w:val="0"/>
                  <w:pBdr>
                    <w:top w:val="nil"/>
                    <w:left w:val="nil"/>
                    <w:bottom w:val="nil"/>
                    <w:right w:val="nil"/>
                    <w:between w:val="nil"/>
                  </w:pBdr>
                  <w:jc w:val="left"/>
                </w:pPr>
                <w:r>
                  <w:lastRenderedPageBreak/>
                  <w:t xml:space="preserve">Barriers in language, discrimination as well </w:t>
                </w:r>
                <w:r>
                  <w:lastRenderedPageBreak/>
                  <w:t>as culturally insensitive care impact healthcare accessibility.</w:t>
                </w:r>
              </w:p>
            </w:tc>
            <w:tc>
              <w:tcPr>
                <w:tcW w:w="1680" w:type="dxa"/>
                <w:tcMar>
                  <w:top w:w="100" w:type="dxa"/>
                  <w:left w:w="100" w:type="dxa"/>
                  <w:bottom w:w="100" w:type="dxa"/>
                  <w:right w:w="100" w:type="dxa"/>
                </w:tcMar>
              </w:tcPr>
              <w:p w14:paraId="0E01B0C0" w14:textId="77777777" w:rsidR="00937900" w:rsidRDefault="00000000">
                <w:pPr>
                  <w:widowControl w:val="0"/>
                </w:pPr>
                <w:r>
                  <w:lastRenderedPageBreak/>
                  <w:t>“Cultural and systemic barriers”</w:t>
                </w:r>
              </w:p>
            </w:tc>
            <w:tc>
              <w:tcPr>
                <w:tcW w:w="1695" w:type="dxa"/>
                <w:tcMar>
                  <w:top w:w="100" w:type="dxa"/>
                  <w:left w:w="100" w:type="dxa"/>
                  <w:bottom w:w="100" w:type="dxa"/>
                  <w:right w:w="100" w:type="dxa"/>
                </w:tcMar>
              </w:tcPr>
              <w:p w14:paraId="71E66F5E" w14:textId="77777777" w:rsidR="00937900" w:rsidRDefault="00000000">
                <w:pPr>
                  <w:widowControl w:val="0"/>
                  <w:pBdr>
                    <w:top w:val="nil"/>
                    <w:left w:val="nil"/>
                    <w:bottom w:val="nil"/>
                    <w:right w:val="nil"/>
                    <w:between w:val="nil"/>
                  </w:pBdr>
                  <w:jc w:val="left"/>
                </w:pPr>
                <w:r>
                  <w:t>Highlights the inequalities faced by ethnic minorities.</w:t>
                </w:r>
              </w:p>
            </w:tc>
          </w:tr>
          <w:tr w:rsidR="00937900" w14:paraId="7CF11037" w14:textId="77777777">
            <w:tc>
              <w:tcPr>
                <w:tcW w:w="1410" w:type="dxa"/>
                <w:tcMar>
                  <w:top w:w="100" w:type="dxa"/>
                  <w:left w:w="100" w:type="dxa"/>
                  <w:bottom w:w="100" w:type="dxa"/>
                  <w:right w:w="100" w:type="dxa"/>
                </w:tcMar>
              </w:tcPr>
              <w:p w14:paraId="5640E872" w14:textId="77777777" w:rsidR="00937900" w:rsidRDefault="00000000">
                <w:pPr>
                  <w:widowControl w:val="0"/>
                  <w:jc w:val="left"/>
                </w:pPr>
                <w:r>
                  <w:t xml:space="preserve">“Aujla </w:t>
                </w:r>
                <w:r>
                  <w:rPr>
                    <w:i/>
                    <w:iCs/>
                  </w:rPr>
                  <w:t xml:space="preserve">et al. </w:t>
                </w:r>
                <w:r>
                  <w:t>(2023)”</w:t>
                </w:r>
              </w:p>
            </w:tc>
            <w:tc>
              <w:tcPr>
                <w:tcW w:w="1260"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13224A5D" w14:textId="77777777" w:rsidR="00937900" w:rsidRDefault="00000000">
                <w:pPr>
                  <w:widowControl w:val="0"/>
                </w:pPr>
                <w:r>
                  <w:t>“A Comparative Overview of Health and Social Care Policy for Older People in England and Scotland, United Kingdom (UK).”</w:t>
                </w:r>
              </w:p>
            </w:tc>
            <w:tc>
              <w:tcPr>
                <w:tcW w:w="1245" w:type="dxa"/>
                <w:tcMar>
                  <w:top w:w="100" w:type="dxa"/>
                  <w:left w:w="100" w:type="dxa"/>
                  <w:bottom w:w="100" w:type="dxa"/>
                  <w:right w:w="100" w:type="dxa"/>
                </w:tcMar>
              </w:tcPr>
              <w:p w14:paraId="258B894F" w14:textId="77777777" w:rsidR="00937900" w:rsidRDefault="00000000">
                <w:pPr>
                  <w:widowControl w:val="0"/>
                  <w:pBdr>
                    <w:top w:val="nil"/>
                    <w:left w:val="nil"/>
                    <w:bottom w:val="nil"/>
                    <w:right w:val="nil"/>
                    <w:between w:val="nil"/>
                  </w:pBdr>
                  <w:jc w:val="left"/>
                </w:pPr>
                <w:r>
                  <w:t>Qualitative</w:t>
                </w:r>
              </w:p>
            </w:tc>
            <w:tc>
              <w:tcPr>
                <w:tcW w:w="1425" w:type="dxa"/>
                <w:tcMar>
                  <w:top w:w="100" w:type="dxa"/>
                  <w:left w:w="100" w:type="dxa"/>
                  <w:bottom w:w="100" w:type="dxa"/>
                  <w:right w:w="100" w:type="dxa"/>
                </w:tcMar>
              </w:tcPr>
              <w:p w14:paraId="751F6606" w14:textId="77777777" w:rsidR="00937900" w:rsidRDefault="00000000">
                <w:pPr>
                  <w:widowControl w:val="0"/>
                  <w:pBdr>
                    <w:top w:val="nil"/>
                    <w:left w:val="nil"/>
                    <w:bottom w:val="nil"/>
                    <w:right w:val="nil"/>
                    <w:between w:val="nil"/>
                  </w:pBdr>
                  <w:jc w:val="left"/>
                </w:pPr>
                <w:r>
                  <w:t xml:space="preserve">Comparative review </w:t>
                </w:r>
              </w:p>
              <w:p w14:paraId="5099FB93" w14:textId="77777777" w:rsidR="00937900" w:rsidRDefault="00000000">
                <w:pPr>
                  <w:widowControl w:val="0"/>
                  <w:pBdr>
                    <w:top w:val="nil"/>
                    <w:left w:val="nil"/>
                    <w:bottom w:val="nil"/>
                    <w:right w:val="nil"/>
                    <w:between w:val="nil"/>
                  </w:pBdr>
                  <w:jc w:val="left"/>
                </w:pPr>
                <w:r>
                  <w:t>55 studies (27 England and 28 Scotland)</w:t>
                </w:r>
              </w:p>
            </w:tc>
            <w:tc>
              <w:tcPr>
                <w:tcW w:w="1530" w:type="dxa"/>
                <w:tcMar>
                  <w:top w:w="100" w:type="dxa"/>
                  <w:left w:w="100" w:type="dxa"/>
                  <w:bottom w:w="100" w:type="dxa"/>
                  <w:right w:w="100" w:type="dxa"/>
                </w:tcMar>
              </w:tcPr>
              <w:p w14:paraId="3E5518EF" w14:textId="77777777" w:rsidR="00937900" w:rsidRDefault="00000000">
                <w:pPr>
                  <w:widowControl w:val="0"/>
                  <w:pBdr>
                    <w:top w:val="nil"/>
                    <w:left w:val="nil"/>
                    <w:bottom w:val="nil"/>
                    <w:right w:val="nil"/>
                    <w:between w:val="nil"/>
                  </w:pBdr>
                  <w:jc w:val="left"/>
                </w:pPr>
                <w:r>
                  <w:rPr>
                    <w:b/>
                    <w:bCs/>
                  </w:rPr>
                  <w:t>Strength:</w:t>
                </w:r>
                <w:r>
                  <w:t xml:space="preserve"> The main strength is cross country comparison. </w:t>
                </w:r>
              </w:p>
              <w:p w14:paraId="61AA5D31" w14:textId="77777777" w:rsidR="00937900" w:rsidRDefault="00000000">
                <w:pPr>
                  <w:widowControl w:val="0"/>
                  <w:pBdr>
                    <w:top w:val="nil"/>
                    <w:left w:val="nil"/>
                    <w:bottom w:val="nil"/>
                    <w:right w:val="nil"/>
                    <w:between w:val="nil"/>
                  </w:pBdr>
                  <w:jc w:val="left"/>
                </w:pPr>
                <w:r>
                  <w:rPr>
                    <w:b/>
                    <w:bCs/>
                  </w:rPr>
                  <w:t>Limitation:</w:t>
                </w:r>
                <w:r>
                  <w:t xml:space="preserve"> Primary limitation is no primary data collection.</w:t>
                </w:r>
              </w:p>
            </w:tc>
            <w:tc>
              <w:tcPr>
                <w:tcW w:w="1275" w:type="dxa"/>
                <w:tcMar>
                  <w:top w:w="100" w:type="dxa"/>
                  <w:left w:w="100" w:type="dxa"/>
                  <w:bottom w:w="100" w:type="dxa"/>
                  <w:right w:w="100" w:type="dxa"/>
                </w:tcMar>
              </w:tcPr>
              <w:p w14:paraId="5FC60EDE" w14:textId="77777777" w:rsidR="00937900" w:rsidRDefault="00000000">
                <w:pPr>
                  <w:widowControl w:val="0"/>
                  <w:pBdr>
                    <w:top w:val="nil"/>
                    <w:left w:val="nil"/>
                    <w:bottom w:val="nil"/>
                    <w:right w:val="nil"/>
                    <w:between w:val="nil"/>
                  </w:pBdr>
                  <w:jc w:val="left"/>
                </w:pPr>
                <w:r>
                  <w:t>Fragmented care impacts the overall health and well being among older adults negatively.</w:t>
                </w:r>
              </w:p>
            </w:tc>
            <w:tc>
              <w:tcPr>
                <w:tcW w:w="1680" w:type="dxa"/>
                <w:tcMar>
                  <w:top w:w="100" w:type="dxa"/>
                  <w:left w:w="100" w:type="dxa"/>
                  <w:bottom w:w="100" w:type="dxa"/>
                  <w:right w:w="100" w:type="dxa"/>
                </w:tcMar>
              </w:tcPr>
              <w:p w14:paraId="4C355455" w14:textId="77777777" w:rsidR="00937900" w:rsidRDefault="00000000">
                <w:pPr>
                  <w:widowControl w:val="0"/>
                </w:pPr>
                <w:r>
                  <w:t>“Poor health results and</w:t>
                </w:r>
              </w:p>
              <w:p w14:paraId="34F11A1F" w14:textId="77777777" w:rsidR="00937900" w:rsidRDefault="00000000">
                <w:pPr>
                  <w:widowControl w:val="0"/>
                </w:pPr>
                <w:r>
                  <w:t xml:space="preserve">decreased quality of living” </w:t>
                </w:r>
              </w:p>
            </w:tc>
            <w:tc>
              <w:tcPr>
                <w:tcW w:w="1695" w:type="dxa"/>
                <w:tcMar>
                  <w:top w:w="100" w:type="dxa"/>
                  <w:left w:w="100" w:type="dxa"/>
                  <w:bottom w:w="100" w:type="dxa"/>
                  <w:right w:w="100" w:type="dxa"/>
                </w:tcMar>
              </w:tcPr>
              <w:p w14:paraId="2083D78D" w14:textId="77777777" w:rsidR="00937900" w:rsidRDefault="00000000">
                <w:pPr>
                  <w:widowControl w:val="0"/>
                  <w:pBdr>
                    <w:top w:val="nil"/>
                    <w:left w:val="nil"/>
                    <w:bottom w:val="nil"/>
                    <w:right w:val="nil"/>
                    <w:between w:val="nil"/>
                  </w:pBdr>
                  <w:jc w:val="left"/>
                </w:pPr>
                <w:r>
                  <w:t>Assist the requirement for co-ordinated healthcare services.</w:t>
                </w:r>
              </w:p>
            </w:tc>
          </w:tr>
          <w:tr w:rsidR="00937900" w14:paraId="67DE3CB3" w14:textId="77777777">
            <w:tc>
              <w:tcPr>
                <w:tcW w:w="1410" w:type="dxa"/>
                <w:tcMar>
                  <w:top w:w="100" w:type="dxa"/>
                  <w:left w:w="100" w:type="dxa"/>
                  <w:bottom w:w="100" w:type="dxa"/>
                  <w:right w:w="100" w:type="dxa"/>
                </w:tcMar>
              </w:tcPr>
              <w:p w14:paraId="4707FF92" w14:textId="77777777" w:rsidR="00937900" w:rsidRDefault="00000000">
                <w:pPr>
                  <w:widowControl w:val="0"/>
                  <w:jc w:val="left"/>
                </w:pPr>
                <w:r>
                  <w:t>“Kanjilal and Arnull, (2025)”</w:t>
                </w:r>
              </w:p>
            </w:tc>
            <w:tc>
              <w:tcPr>
                <w:tcW w:w="1260"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18E46BF8" w14:textId="77777777" w:rsidR="00937900" w:rsidRDefault="00000000">
                <w:pPr>
                  <w:widowControl w:val="0"/>
                  <w:rPr>
                    <w:i/>
                    <w:iCs/>
                    <w:highlight w:val="white"/>
                  </w:rPr>
                </w:pPr>
                <w:r>
                  <w:t>“</w:t>
                </w:r>
                <w:r>
                  <w:rPr>
                    <w:highlight w:val="white"/>
                  </w:rPr>
                  <w:t xml:space="preserve">“People Are Still Not </w:t>
                </w:r>
                <w:r>
                  <w:rPr>
                    <w:highlight w:val="white"/>
                  </w:rPr>
                  <w:lastRenderedPageBreak/>
                  <w:t xml:space="preserve">Receiving Good Care Because of Who They Are” An Account of Inequalities of Elderly People from Ethnic Minorities in the UK. In </w:t>
                </w:r>
                <w:r>
                  <w:rPr>
                    <w:i/>
                    <w:iCs/>
                    <w:highlight w:val="white"/>
                  </w:rPr>
                  <w:t>The Palgrave Handbook of Global Social Problems”</w:t>
                </w:r>
              </w:p>
            </w:tc>
            <w:tc>
              <w:tcPr>
                <w:tcW w:w="1245" w:type="dxa"/>
                <w:tcMar>
                  <w:top w:w="100" w:type="dxa"/>
                  <w:left w:w="100" w:type="dxa"/>
                  <w:bottom w:w="100" w:type="dxa"/>
                  <w:right w:w="100" w:type="dxa"/>
                </w:tcMar>
              </w:tcPr>
              <w:p w14:paraId="0E0EBA1A" w14:textId="77777777" w:rsidR="00937900" w:rsidRDefault="00000000">
                <w:pPr>
                  <w:widowControl w:val="0"/>
                  <w:pBdr>
                    <w:top w:val="nil"/>
                    <w:left w:val="nil"/>
                    <w:bottom w:val="nil"/>
                    <w:right w:val="nil"/>
                    <w:between w:val="nil"/>
                  </w:pBdr>
                  <w:jc w:val="left"/>
                </w:pPr>
                <w:r>
                  <w:lastRenderedPageBreak/>
                  <w:t>Qualitative and Quantativ</w:t>
                </w:r>
                <w:r>
                  <w:lastRenderedPageBreak/>
                  <w:t xml:space="preserve">e </w:t>
                </w:r>
              </w:p>
            </w:tc>
            <w:tc>
              <w:tcPr>
                <w:tcW w:w="1425" w:type="dxa"/>
                <w:tcMar>
                  <w:top w:w="100" w:type="dxa"/>
                  <w:left w:w="100" w:type="dxa"/>
                  <w:bottom w:w="100" w:type="dxa"/>
                  <w:right w:w="100" w:type="dxa"/>
                </w:tcMar>
              </w:tcPr>
              <w:p w14:paraId="660622FA" w14:textId="77777777" w:rsidR="00937900" w:rsidRDefault="00000000">
                <w:pPr>
                  <w:widowControl w:val="0"/>
                  <w:pBdr>
                    <w:top w:val="nil"/>
                    <w:left w:val="nil"/>
                    <w:bottom w:val="nil"/>
                    <w:right w:val="nil"/>
                    <w:between w:val="nil"/>
                  </w:pBdr>
                  <w:jc w:val="left"/>
                </w:pPr>
                <w:r>
                  <w:lastRenderedPageBreak/>
                  <w:t xml:space="preserve">Case study and survey. No sample </w:t>
                </w:r>
                <w:r>
                  <w:lastRenderedPageBreak/>
                  <w:t xml:space="preserve">size specification  </w:t>
                </w:r>
              </w:p>
            </w:tc>
            <w:tc>
              <w:tcPr>
                <w:tcW w:w="1530" w:type="dxa"/>
                <w:tcMar>
                  <w:top w:w="100" w:type="dxa"/>
                  <w:left w:w="100" w:type="dxa"/>
                  <w:bottom w:w="100" w:type="dxa"/>
                  <w:right w:w="100" w:type="dxa"/>
                </w:tcMar>
              </w:tcPr>
              <w:p w14:paraId="1478BF1E" w14:textId="77777777" w:rsidR="00937900" w:rsidRDefault="00000000">
                <w:pPr>
                  <w:widowControl w:val="0"/>
                  <w:pBdr>
                    <w:top w:val="nil"/>
                    <w:left w:val="nil"/>
                    <w:bottom w:val="nil"/>
                    <w:right w:val="nil"/>
                    <w:between w:val="nil"/>
                  </w:pBdr>
                  <w:jc w:val="left"/>
                </w:pPr>
                <w:r>
                  <w:rPr>
                    <w:b/>
                    <w:bCs/>
                  </w:rPr>
                  <w:lastRenderedPageBreak/>
                  <w:t xml:space="preserve">Strength: </w:t>
                </w:r>
                <w:r>
                  <w:t>Focus on intersectional</w:t>
                </w:r>
                <w:r>
                  <w:lastRenderedPageBreak/>
                  <w:t xml:space="preserve">ity. </w:t>
                </w:r>
              </w:p>
              <w:p w14:paraId="7748A3C2" w14:textId="77777777" w:rsidR="00937900" w:rsidRDefault="00000000">
                <w:pPr>
                  <w:widowControl w:val="0"/>
                  <w:pBdr>
                    <w:top w:val="nil"/>
                    <w:left w:val="nil"/>
                    <w:bottom w:val="nil"/>
                    <w:right w:val="nil"/>
                    <w:between w:val="nil"/>
                  </w:pBdr>
                  <w:jc w:val="left"/>
                </w:pPr>
                <w:r>
                  <w:rPr>
                    <w:b/>
                    <w:bCs/>
                  </w:rPr>
                  <w:t>Limitation:</w:t>
                </w:r>
                <w:r>
                  <w:t xml:space="preserve"> Limited details on methodology components.</w:t>
                </w:r>
              </w:p>
            </w:tc>
            <w:tc>
              <w:tcPr>
                <w:tcW w:w="1275" w:type="dxa"/>
                <w:tcMar>
                  <w:top w:w="100" w:type="dxa"/>
                  <w:left w:w="100" w:type="dxa"/>
                  <w:bottom w:w="100" w:type="dxa"/>
                  <w:right w:w="100" w:type="dxa"/>
                </w:tcMar>
              </w:tcPr>
              <w:p w14:paraId="38BF3CB8" w14:textId="77777777" w:rsidR="00937900" w:rsidRDefault="00000000">
                <w:pPr>
                  <w:widowControl w:val="0"/>
                  <w:pBdr>
                    <w:top w:val="nil"/>
                    <w:left w:val="nil"/>
                    <w:bottom w:val="nil"/>
                    <w:right w:val="nil"/>
                    <w:between w:val="nil"/>
                  </w:pBdr>
                  <w:jc w:val="left"/>
                </w:pPr>
                <w:r>
                  <w:lastRenderedPageBreak/>
                  <w:t>Ethnic minorities experienc</w:t>
                </w:r>
                <w:r>
                  <w:lastRenderedPageBreak/>
                  <w:t>e challenges like discrimination, cultural barriers and poor health results.</w:t>
                </w:r>
              </w:p>
            </w:tc>
            <w:tc>
              <w:tcPr>
                <w:tcW w:w="1680" w:type="dxa"/>
                <w:tcMar>
                  <w:top w:w="100" w:type="dxa"/>
                  <w:left w:w="100" w:type="dxa"/>
                  <w:bottom w:w="100" w:type="dxa"/>
                  <w:right w:w="100" w:type="dxa"/>
                </w:tcMar>
              </w:tcPr>
              <w:p w14:paraId="1B892069" w14:textId="77777777" w:rsidR="00937900" w:rsidRDefault="00000000">
                <w:pPr>
                  <w:widowControl w:val="0"/>
                </w:pPr>
                <w:r>
                  <w:lastRenderedPageBreak/>
                  <w:t xml:space="preserve">“Vulnerable communities like ethnic </w:t>
                </w:r>
                <w:r>
                  <w:lastRenderedPageBreak/>
                  <w:t xml:space="preserve">minorities, low income and older adults groups” </w:t>
                </w:r>
              </w:p>
            </w:tc>
            <w:tc>
              <w:tcPr>
                <w:tcW w:w="1695" w:type="dxa"/>
                <w:tcMar>
                  <w:top w:w="100" w:type="dxa"/>
                  <w:left w:w="100" w:type="dxa"/>
                  <w:bottom w:w="100" w:type="dxa"/>
                  <w:right w:w="100" w:type="dxa"/>
                </w:tcMar>
              </w:tcPr>
              <w:p w14:paraId="76AD0D25" w14:textId="77777777" w:rsidR="00937900" w:rsidRDefault="00000000">
                <w:pPr>
                  <w:widowControl w:val="0"/>
                  <w:pBdr>
                    <w:top w:val="nil"/>
                    <w:left w:val="nil"/>
                    <w:bottom w:val="nil"/>
                    <w:right w:val="nil"/>
                    <w:between w:val="nil"/>
                  </w:pBdr>
                  <w:jc w:val="left"/>
                </w:pPr>
                <w:r>
                  <w:lastRenderedPageBreak/>
                  <w:t xml:space="preserve">Represent the health inequality </w:t>
                </w:r>
                <w:r>
                  <w:lastRenderedPageBreak/>
                  <w:t>particularly among the ageing populations.</w:t>
                </w:r>
              </w:p>
            </w:tc>
          </w:tr>
          <w:tr w:rsidR="00937900" w14:paraId="1627DAB5" w14:textId="77777777">
            <w:tc>
              <w:tcPr>
                <w:tcW w:w="1410" w:type="dxa"/>
                <w:tcMar>
                  <w:top w:w="100" w:type="dxa"/>
                  <w:left w:w="100" w:type="dxa"/>
                  <w:bottom w:w="100" w:type="dxa"/>
                  <w:right w:w="100" w:type="dxa"/>
                </w:tcMar>
              </w:tcPr>
              <w:p w14:paraId="53CB8D65" w14:textId="77777777" w:rsidR="00937900" w:rsidRDefault="00000000">
                <w:pPr>
                  <w:widowControl w:val="0"/>
                  <w:jc w:val="left"/>
                </w:pPr>
                <w:r>
                  <w:lastRenderedPageBreak/>
                  <w:t xml:space="preserve">“Ayres </w:t>
                </w:r>
                <w:r>
                  <w:rPr>
                    <w:i/>
                    <w:iCs/>
                  </w:rPr>
                  <w:t xml:space="preserve">et al. </w:t>
                </w:r>
                <w:r>
                  <w:t>(2024)”</w:t>
                </w:r>
              </w:p>
            </w:tc>
            <w:tc>
              <w:tcPr>
                <w:tcW w:w="1260"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42FC4AE3" w14:textId="77777777" w:rsidR="00937900" w:rsidRDefault="00000000">
                <w:pPr>
                  <w:widowControl w:val="0"/>
                  <w:rPr>
                    <w:highlight w:val="white"/>
                  </w:rPr>
                </w:pPr>
                <w:r>
                  <w:t>“</w:t>
                </w:r>
                <w:r>
                  <w:rPr>
                    <w:highlight w:val="white"/>
                  </w:rPr>
                  <w:t>Are we any closer to tackling health inequalities in England?.”</w:t>
                </w:r>
              </w:p>
            </w:tc>
            <w:tc>
              <w:tcPr>
                <w:tcW w:w="1245" w:type="dxa"/>
                <w:tcMar>
                  <w:top w:w="100" w:type="dxa"/>
                  <w:left w:w="100" w:type="dxa"/>
                  <w:bottom w:w="100" w:type="dxa"/>
                  <w:right w:w="100" w:type="dxa"/>
                </w:tcMar>
              </w:tcPr>
              <w:p w14:paraId="63D1AF38" w14:textId="77777777" w:rsidR="00937900" w:rsidRDefault="00000000">
                <w:pPr>
                  <w:widowControl w:val="0"/>
                  <w:pBdr>
                    <w:top w:val="nil"/>
                    <w:left w:val="nil"/>
                    <w:bottom w:val="nil"/>
                    <w:right w:val="nil"/>
                    <w:between w:val="nil"/>
                  </w:pBdr>
                  <w:jc w:val="left"/>
                </w:pPr>
                <w:r>
                  <w:t>Qualitative and quantitative</w:t>
                </w:r>
              </w:p>
            </w:tc>
            <w:tc>
              <w:tcPr>
                <w:tcW w:w="1425" w:type="dxa"/>
                <w:tcMar>
                  <w:top w:w="100" w:type="dxa"/>
                  <w:left w:w="100" w:type="dxa"/>
                  <w:bottom w:w="100" w:type="dxa"/>
                  <w:right w:w="100" w:type="dxa"/>
                </w:tcMar>
              </w:tcPr>
              <w:p w14:paraId="7E3BDF7E" w14:textId="77777777" w:rsidR="00937900" w:rsidRDefault="00000000">
                <w:pPr>
                  <w:widowControl w:val="0"/>
                  <w:pBdr>
                    <w:top w:val="nil"/>
                    <w:left w:val="nil"/>
                    <w:bottom w:val="nil"/>
                    <w:right w:val="nil"/>
                    <w:between w:val="nil"/>
                  </w:pBdr>
                  <w:jc w:val="left"/>
                </w:pPr>
                <w:r>
                  <w:t xml:space="preserve">Review of studies from “2010-2024”. </w:t>
                </w:r>
              </w:p>
            </w:tc>
            <w:tc>
              <w:tcPr>
                <w:tcW w:w="1530" w:type="dxa"/>
                <w:tcMar>
                  <w:top w:w="100" w:type="dxa"/>
                  <w:left w:w="100" w:type="dxa"/>
                  <w:bottom w:w="100" w:type="dxa"/>
                  <w:right w:w="100" w:type="dxa"/>
                </w:tcMar>
              </w:tcPr>
              <w:p w14:paraId="59F9D10B" w14:textId="77777777" w:rsidR="00937900" w:rsidRDefault="00000000">
                <w:pPr>
                  <w:widowControl w:val="0"/>
                  <w:pBdr>
                    <w:top w:val="nil"/>
                    <w:left w:val="nil"/>
                    <w:bottom w:val="nil"/>
                    <w:right w:val="nil"/>
                    <w:between w:val="nil"/>
                  </w:pBdr>
                  <w:jc w:val="left"/>
                </w:pPr>
                <w:r>
                  <w:rPr>
                    <w:b/>
                    <w:bCs/>
                  </w:rPr>
                  <w:t xml:space="preserve">Strength: </w:t>
                </w:r>
                <w:r>
                  <w:t xml:space="preserve">Provide a longitudinal perspective. </w:t>
                </w:r>
              </w:p>
              <w:p w14:paraId="5FD57EF7" w14:textId="77777777" w:rsidR="00937900" w:rsidRDefault="00000000">
                <w:pPr>
                  <w:widowControl w:val="0"/>
                  <w:pBdr>
                    <w:top w:val="nil"/>
                    <w:left w:val="nil"/>
                    <w:bottom w:val="nil"/>
                    <w:right w:val="nil"/>
                    <w:between w:val="nil"/>
                  </w:pBdr>
                  <w:jc w:val="left"/>
                </w:pPr>
                <w:r>
                  <w:rPr>
                    <w:b/>
                    <w:bCs/>
                  </w:rPr>
                  <w:t xml:space="preserve">Limitation: </w:t>
                </w:r>
                <w:r>
                  <w:t>Little transparency in methodology components.</w:t>
                </w:r>
              </w:p>
            </w:tc>
            <w:tc>
              <w:tcPr>
                <w:tcW w:w="1275" w:type="dxa"/>
                <w:tcMar>
                  <w:top w:w="100" w:type="dxa"/>
                  <w:left w:w="100" w:type="dxa"/>
                  <w:bottom w:w="100" w:type="dxa"/>
                  <w:right w:w="100" w:type="dxa"/>
                </w:tcMar>
              </w:tcPr>
              <w:p w14:paraId="1C74C01F" w14:textId="77777777" w:rsidR="00937900" w:rsidRDefault="00000000">
                <w:pPr>
                  <w:widowControl w:val="0"/>
                  <w:pBdr>
                    <w:top w:val="nil"/>
                    <w:left w:val="nil"/>
                    <w:bottom w:val="nil"/>
                    <w:right w:val="nil"/>
                    <w:between w:val="nil"/>
                  </w:pBdr>
                  <w:jc w:val="left"/>
                </w:pPr>
                <w:r>
                  <w:t xml:space="preserve">Healthcare policy exists but the implementation process remains inconsistent. </w:t>
                </w:r>
              </w:p>
            </w:tc>
            <w:tc>
              <w:tcPr>
                <w:tcW w:w="1680" w:type="dxa"/>
                <w:tcMar>
                  <w:top w:w="100" w:type="dxa"/>
                  <w:left w:w="100" w:type="dxa"/>
                  <w:bottom w:w="100" w:type="dxa"/>
                  <w:right w:w="100" w:type="dxa"/>
                </w:tcMar>
              </w:tcPr>
              <w:p w14:paraId="45FB1870" w14:textId="77777777" w:rsidR="00937900" w:rsidRDefault="00000000">
                <w:pPr>
                  <w:widowControl w:val="0"/>
                </w:pPr>
                <w:r>
                  <w:t>“Policy intervention”</w:t>
                </w:r>
              </w:p>
            </w:tc>
            <w:tc>
              <w:tcPr>
                <w:tcW w:w="1695" w:type="dxa"/>
                <w:tcMar>
                  <w:top w:w="100" w:type="dxa"/>
                  <w:left w:w="100" w:type="dxa"/>
                  <w:bottom w:w="100" w:type="dxa"/>
                  <w:right w:w="100" w:type="dxa"/>
                </w:tcMar>
              </w:tcPr>
              <w:p w14:paraId="4CE55CD9" w14:textId="77777777" w:rsidR="00937900" w:rsidRDefault="00000000">
                <w:pPr>
                  <w:widowControl w:val="0"/>
                  <w:pBdr>
                    <w:top w:val="nil"/>
                    <w:left w:val="nil"/>
                    <w:bottom w:val="nil"/>
                    <w:right w:val="nil"/>
                    <w:between w:val="nil"/>
                  </w:pBdr>
                  <w:jc w:val="left"/>
                </w:pPr>
                <w:r>
                  <w:t>Support proper evaluation of the UK health policies effectiveness.</w:t>
                </w:r>
              </w:p>
            </w:tc>
          </w:tr>
          <w:tr w:rsidR="00937900" w14:paraId="77F391CB" w14:textId="77777777">
            <w:tc>
              <w:tcPr>
                <w:tcW w:w="1410" w:type="dxa"/>
                <w:tcMar>
                  <w:top w:w="100" w:type="dxa"/>
                  <w:left w:w="100" w:type="dxa"/>
                  <w:bottom w:w="100" w:type="dxa"/>
                  <w:right w:w="100" w:type="dxa"/>
                </w:tcMar>
              </w:tcPr>
              <w:p w14:paraId="11FE1E7C" w14:textId="77777777" w:rsidR="00937900" w:rsidRDefault="00000000">
                <w:pPr>
                  <w:widowControl w:val="0"/>
                  <w:jc w:val="left"/>
                </w:pPr>
                <w:r>
                  <w:t>“NHS England, (2024)”</w:t>
                </w:r>
              </w:p>
            </w:tc>
            <w:tc>
              <w:tcPr>
                <w:tcW w:w="1260"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5CE42E85" w14:textId="77777777" w:rsidR="00937900" w:rsidRDefault="00000000">
                <w:pPr>
                  <w:widowControl w:val="0"/>
                </w:pPr>
                <w:r>
                  <w:t>“</w:t>
                </w:r>
                <w:r>
                  <w:rPr>
                    <w:i/>
                    <w:iCs/>
                  </w:rPr>
                  <w:t xml:space="preserve">NHS England » Our </w:t>
                </w:r>
                <w:r>
                  <w:rPr>
                    <w:i/>
                    <w:iCs/>
                  </w:rPr>
                  <w:lastRenderedPageBreak/>
                  <w:t>approach to reducing healthcare inequalities</w:t>
                </w:r>
                <w:r>
                  <w:t>.”</w:t>
                </w:r>
              </w:p>
            </w:tc>
            <w:tc>
              <w:tcPr>
                <w:tcW w:w="1245" w:type="dxa"/>
                <w:tcMar>
                  <w:top w:w="100" w:type="dxa"/>
                  <w:left w:w="100" w:type="dxa"/>
                  <w:bottom w:w="100" w:type="dxa"/>
                  <w:right w:w="100" w:type="dxa"/>
                </w:tcMar>
              </w:tcPr>
              <w:p w14:paraId="38D99C5A" w14:textId="77777777" w:rsidR="00937900" w:rsidRDefault="00000000">
                <w:pPr>
                  <w:widowControl w:val="0"/>
                  <w:jc w:val="left"/>
                </w:pPr>
                <w:r>
                  <w:lastRenderedPageBreak/>
                  <w:t>Qualitative and quantitativ</w:t>
                </w:r>
                <w:r>
                  <w:lastRenderedPageBreak/>
                  <w:t>e</w:t>
                </w:r>
              </w:p>
            </w:tc>
            <w:tc>
              <w:tcPr>
                <w:tcW w:w="1425" w:type="dxa"/>
                <w:tcMar>
                  <w:top w:w="100" w:type="dxa"/>
                  <w:left w:w="100" w:type="dxa"/>
                  <w:bottom w:w="100" w:type="dxa"/>
                  <w:right w:w="100" w:type="dxa"/>
                </w:tcMar>
              </w:tcPr>
              <w:p w14:paraId="0F500217" w14:textId="77777777" w:rsidR="00937900" w:rsidRDefault="00000000">
                <w:pPr>
                  <w:widowControl w:val="0"/>
                  <w:pBdr>
                    <w:top w:val="nil"/>
                    <w:left w:val="nil"/>
                    <w:bottom w:val="nil"/>
                    <w:right w:val="nil"/>
                    <w:between w:val="nil"/>
                  </w:pBdr>
                  <w:jc w:val="left"/>
                </w:pPr>
                <w:r>
                  <w:lastRenderedPageBreak/>
                  <w:t xml:space="preserve">Policy report. NHS Policy and </w:t>
                </w:r>
                <w:r>
                  <w:lastRenderedPageBreak/>
                  <w:t xml:space="preserve">intervention analysis. </w:t>
                </w:r>
              </w:p>
              <w:p w14:paraId="0B6CD439" w14:textId="77777777" w:rsidR="00937900" w:rsidRDefault="00000000">
                <w:pPr>
                  <w:widowControl w:val="0"/>
                  <w:pBdr>
                    <w:top w:val="nil"/>
                    <w:left w:val="nil"/>
                    <w:bottom w:val="nil"/>
                    <w:right w:val="nil"/>
                    <w:between w:val="nil"/>
                  </w:pBdr>
                  <w:jc w:val="left"/>
                </w:pPr>
                <w:r>
                  <w:t xml:space="preserve">No indication of sample size. </w:t>
                </w:r>
              </w:p>
            </w:tc>
            <w:tc>
              <w:tcPr>
                <w:tcW w:w="1530" w:type="dxa"/>
                <w:tcMar>
                  <w:top w:w="100" w:type="dxa"/>
                  <w:left w:w="100" w:type="dxa"/>
                  <w:bottom w:w="100" w:type="dxa"/>
                  <w:right w:w="100" w:type="dxa"/>
                </w:tcMar>
              </w:tcPr>
              <w:p w14:paraId="69163418" w14:textId="77777777" w:rsidR="00937900" w:rsidRDefault="00000000">
                <w:pPr>
                  <w:widowControl w:val="0"/>
                  <w:pBdr>
                    <w:top w:val="nil"/>
                    <w:left w:val="nil"/>
                    <w:bottom w:val="nil"/>
                    <w:right w:val="nil"/>
                    <w:between w:val="nil"/>
                  </w:pBdr>
                  <w:jc w:val="left"/>
                </w:pPr>
                <w:r>
                  <w:rPr>
                    <w:b/>
                    <w:bCs/>
                  </w:rPr>
                  <w:lastRenderedPageBreak/>
                  <w:t xml:space="preserve">Strength: </w:t>
                </w:r>
                <w:r>
                  <w:t xml:space="preserve">Evidence based NHS </w:t>
                </w:r>
                <w:r>
                  <w:lastRenderedPageBreak/>
                  <w:t xml:space="preserve">framework </w:t>
                </w:r>
              </w:p>
              <w:p w14:paraId="13D96F10" w14:textId="77777777" w:rsidR="00937900" w:rsidRDefault="00000000">
                <w:pPr>
                  <w:widowControl w:val="0"/>
                  <w:pBdr>
                    <w:top w:val="nil"/>
                    <w:left w:val="nil"/>
                    <w:bottom w:val="nil"/>
                    <w:right w:val="nil"/>
                    <w:between w:val="nil"/>
                  </w:pBdr>
                  <w:jc w:val="left"/>
                </w:pPr>
                <w:r>
                  <w:rPr>
                    <w:b/>
                    <w:bCs/>
                  </w:rPr>
                  <w:t xml:space="preserve">Limitation: </w:t>
                </w:r>
                <w:r>
                  <w:t>Little evidence on long term results.</w:t>
                </w:r>
              </w:p>
            </w:tc>
            <w:tc>
              <w:tcPr>
                <w:tcW w:w="1275" w:type="dxa"/>
                <w:tcMar>
                  <w:top w:w="100" w:type="dxa"/>
                  <w:left w:w="100" w:type="dxa"/>
                  <w:bottom w:w="100" w:type="dxa"/>
                  <w:right w:w="100" w:type="dxa"/>
                </w:tcMar>
              </w:tcPr>
              <w:p w14:paraId="17867356" w14:textId="77777777" w:rsidR="00937900" w:rsidRDefault="00000000">
                <w:pPr>
                  <w:widowControl w:val="0"/>
                  <w:pBdr>
                    <w:top w:val="nil"/>
                    <w:left w:val="nil"/>
                    <w:bottom w:val="nil"/>
                    <w:right w:val="nil"/>
                    <w:between w:val="nil"/>
                  </w:pBdr>
                  <w:jc w:val="left"/>
                </w:pPr>
                <w:r>
                  <w:lastRenderedPageBreak/>
                  <w:t>It targets derived population</w:t>
                </w:r>
                <w:r>
                  <w:lastRenderedPageBreak/>
                  <w:t>s to mitigate health inequalities.</w:t>
                </w:r>
              </w:p>
            </w:tc>
            <w:tc>
              <w:tcPr>
                <w:tcW w:w="1680" w:type="dxa"/>
                <w:tcMar>
                  <w:top w:w="100" w:type="dxa"/>
                  <w:left w:w="100" w:type="dxa"/>
                  <w:bottom w:w="100" w:type="dxa"/>
                  <w:right w:w="100" w:type="dxa"/>
                </w:tcMar>
              </w:tcPr>
              <w:p w14:paraId="1C035867" w14:textId="77777777" w:rsidR="00937900" w:rsidRDefault="00000000">
                <w:pPr>
                  <w:widowControl w:val="0"/>
                </w:pPr>
                <w:r>
                  <w:lastRenderedPageBreak/>
                  <w:t xml:space="preserve">“Intervention </w:t>
                </w:r>
              </w:p>
              <w:p w14:paraId="476316B3" w14:textId="77777777" w:rsidR="00937900" w:rsidRDefault="00000000">
                <w:pPr>
                  <w:widowControl w:val="0"/>
                </w:pPr>
                <w:r>
                  <w:t>Policy framework”</w:t>
                </w:r>
              </w:p>
            </w:tc>
            <w:tc>
              <w:tcPr>
                <w:tcW w:w="1695" w:type="dxa"/>
                <w:tcMar>
                  <w:top w:w="100" w:type="dxa"/>
                  <w:left w:w="100" w:type="dxa"/>
                  <w:bottom w:w="100" w:type="dxa"/>
                  <w:right w:w="100" w:type="dxa"/>
                </w:tcMar>
              </w:tcPr>
              <w:p w14:paraId="3F6A9C1B" w14:textId="77777777" w:rsidR="00937900" w:rsidRDefault="00000000">
                <w:pPr>
                  <w:widowControl w:val="0"/>
                  <w:pBdr>
                    <w:top w:val="nil"/>
                    <w:left w:val="nil"/>
                    <w:bottom w:val="nil"/>
                    <w:right w:val="nil"/>
                    <w:between w:val="nil"/>
                  </w:pBdr>
                  <w:jc w:val="left"/>
                </w:pPr>
                <w:r>
                  <w:t xml:space="preserve">Represent the commitment taken by the </w:t>
                </w:r>
                <w:r>
                  <w:lastRenderedPageBreak/>
                  <w:t>NHS towards equitable healthcare across the nation.</w:t>
                </w:r>
              </w:p>
            </w:tc>
          </w:tr>
          <w:tr w:rsidR="00937900" w14:paraId="390D9C23" w14:textId="77777777">
            <w:tc>
              <w:tcPr>
                <w:tcW w:w="1410" w:type="dxa"/>
                <w:tcMar>
                  <w:top w:w="100" w:type="dxa"/>
                  <w:left w:w="100" w:type="dxa"/>
                  <w:bottom w:w="100" w:type="dxa"/>
                  <w:right w:w="100" w:type="dxa"/>
                </w:tcMar>
              </w:tcPr>
              <w:p w14:paraId="562D1EB8" w14:textId="77777777" w:rsidR="00937900" w:rsidRDefault="00000000">
                <w:pPr>
                  <w:widowControl w:val="0"/>
                  <w:jc w:val="left"/>
                </w:pPr>
                <w:r>
                  <w:lastRenderedPageBreak/>
                  <w:t>“</w:t>
                </w:r>
                <w:r>
                  <w:rPr>
                    <w:highlight w:val="white"/>
                  </w:rPr>
                  <w:t>Dadswell and Bungay (2025)</w:t>
                </w:r>
                <w:r>
                  <w:t>”</w:t>
                </w:r>
              </w:p>
            </w:tc>
            <w:tc>
              <w:tcPr>
                <w:tcW w:w="1260" w:type="dxa"/>
                <w:tcMar>
                  <w:top w:w="100" w:type="dxa"/>
                  <w:left w:w="100" w:type="dxa"/>
                  <w:bottom w:w="100" w:type="dxa"/>
                  <w:right w:w="100" w:type="dxa"/>
                </w:tcMar>
              </w:tcPr>
              <w:p w14:paraId="1C0049FE" w14:textId="77777777" w:rsidR="00937900" w:rsidRDefault="00000000">
                <w:pPr>
                  <w:widowControl w:val="0"/>
                  <w:pBdr>
                    <w:top w:val="nil"/>
                    <w:left w:val="nil"/>
                    <w:bottom w:val="nil"/>
                    <w:right w:val="nil"/>
                    <w:between w:val="nil"/>
                  </w:pBdr>
                  <w:jc w:val="left"/>
                  <w:rPr>
                    <w:i/>
                    <w:iCs/>
                  </w:rPr>
                </w:pPr>
                <w:r>
                  <w:rPr>
                    <w:i/>
                    <w:iCs/>
                  </w:rPr>
                  <w:t>“</w:t>
                </w:r>
                <w:r>
                  <w:rPr>
                    <w:i/>
                    <w:iCs/>
                    <w:highlight w:val="white"/>
                  </w:rPr>
                  <w:t>Social prescribing of cultural opportunities to support health and wellbeing: the importance of language, community engagement, and inclusion in developing local approaches”</w:t>
                </w:r>
              </w:p>
            </w:tc>
            <w:tc>
              <w:tcPr>
                <w:tcW w:w="1245" w:type="dxa"/>
                <w:tcMar>
                  <w:top w:w="100" w:type="dxa"/>
                  <w:left w:w="100" w:type="dxa"/>
                  <w:bottom w:w="100" w:type="dxa"/>
                  <w:right w:w="100" w:type="dxa"/>
                </w:tcMar>
              </w:tcPr>
              <w:p w14:paraId="5223643F" w14:textId="77777777" w:rsidR="00937900" w:rsidRDefault="00000000">
                <w:pPr>
                  <w:widowControl w:val="0"/>
                  <w:pBdr>
                    <w:top w:val="nil"/>
                    <w:left w:val="nil"/>
                    <w:bottom w:val="nil"/>
                    <w:right w:val="nil"/>
                    <w:between w:val="nil"/>
                  </w:pBdr>
                  <w:jc w:val="left"/>
                </w:pPr>
                <w:r>
                  <w:t>Qualitative</w:t>
                </w:r>
              </w:p>
            </w:tc>
            <w:tc>
              <w:tcPr>
                <w:tcW w:w="1425" w:type="dxa"/>
                <w:tcMar>
                  <w:top w:w="100" w:type="dxa"/>
                  <w:left w:w="100" w:type="dxa"/>
                  <w:bottom w:w="100" w:type="dxa"/>
                  <w:right w:w="100" w:type="dxa"/>
                </w:tcMar>
              </w:tcPr>
              <w:p w14:paraId="32C9AFF6" w14:textId="77777777" w:rsidR="00937900" w:rsidRDefault="00000000">
                <w:pPr>
                  <w:widowControl w:val="0"/>
                  <w:pBdr>
                    <w:top w:val="nil"/>
                    <w:left w:val="nil"/>
                    <w:bottom w:val="nil"/>
                    <w:right w:val="nil"/>
                    <w:between w:val="nil"/>
                  </w:pBdr>
                  <w:jc w:val="left"/>
                </w:pPr>
                <w:r>
                  <w:t>Community based research and literature review</w:t>
                </w:r>
              </w:p>
            </w:tc>
            <w:tc>
              <w:tcPr>
                <w:tcW w:w="1530" w:type="dxa"/>
                <w:tcMar>
                  <w:top w:w="100" w:type="dxa"/>
                  <w:left w:w="100" w:type="dxa"/>
                  <w:bottom w:w="100" w:type="dxa"/>
                  <w:right w:w="100" w:type="dxa"/>
                </w:tcMar>
              </w:tcPr>
              <w:p w14:paraId="7E70397E" w14:textId="77777777" w:rsidR="00937900" w:rsidRDefault="00000000">
                <w:pPr>
                  <w:widowControl w:val="0"/>
                  <w:pBdr>
                    <w:top w:val="nil"/>
                    <w:left w:val="nil"/>
                    <w:bottom w:val="nil"/>
                    <w:right w:val="nil"/>
                    <w:between w:val="nil"/>
                  </w:pBdr>
                  <w:jc w:val="left"/>
                </w:pPr>
                <w:r>
                  <w:rPr>
                    <w:b/>
                    <w:bCs/>
                  </w:rPr>
                  <w:t xml:space="preserve">Strength: </w:t>
                </w:r>
                <w:r>
                  <w:t xml:space="preserve">Highlights inclusion and engagement among the community. </w:t>
                </w:r>
              </w:p>
              <w:p w14:paraId="325AA1C4" w14:textId="77777777" w:rsidR="00937900" w:rsidRDefault="00000000">
                <w:pPr>
                  <w:widowControl w:val="0"/>
                  <w:pBdr>
                    <w:top w:val="nil"/>
                    <w:left w:val="nil"/>
                    <w:bottom w:val="nil"/>
                    <w:right w:val="nil"/>
                    <w:between w:val="nil"/>
                  </w:pBdr>
                  <w:jc w:val="left"/>
                </w:pPr>
                <w:r>
                  <w:rPr>
                    <w:b/>
                    <w:bCs/>
                  </w:rPr>
                  <w:t xml:space="preserve">Limitation: </w:t>
                </w:r>
                <w:r>
                  <w:t>Context specific findings</w:t>
                </w:r>
              </w:p>
            </w:tc>
            <w:tc>
              <w:tcPr>
                <w:tcW w:w="1275" w:type="dxa"/>
                <w:tcMar>
                  <w:top w:w="100" w:type="dxa"/>
                  <w:left w:w="100" w:type="dxa"/>
                  <w:bottom w:w="100" w:type="dxa"/>
                  <w:right w:w="100" w:type="dxa"/>
                </w:tcMar>
              </w:tcPr>
              <w:p w14:paraId="59FCB3F1" w14:textId="77777777" w:rsidR="00937900" w:rsidRDefault="00000000">
                <w:pPr>
                  <w:widowControl w:val="0"/>
                  <w:pBdr>
                    <w:top w:val="nil"/>
                    <w:left w:val="nil"/>
                    <w:bottom w:val="nil"/>
                    <w:right w:val="nil"/>
                    <w:between w:val="nil"/>
                  </w:pBdr>
                  <w:jc w:val="left"/>
                </w:pPr>
                <w:r>
                  <w:t>Social prescribing and culturally sensitive approaches enhance access to health care.</w:t>
                </w:r>
              </w:p>
            </w:tc>
            <w:tc>
              <w:tcPr>
                <w:tcW w:w="1680" w:type="dxa"/>
                <w:tcMar>
                  <w:top w:w="100" w:type="dxa"/>
                  <w:left w:w="100" w:type="dxa"/>
                  <w:bottom w:w="100" w:type="dxa"/>
                  <w:right w:w="100" w:type="dxa"/>
                </w:tcMar>
              </w:tcPr>
              <w:p w14:paraId="4E90194A" w14:textId="77777777" w:rsidR="00937900" w:rsidRDefault="00000000">
                <w:pPr>
                  <w:widowControl w:val="0"/>
                </w:pPr>
                <w:r>
                  <w:t>“Social prescribing”, “communication”, “inclusion”</w:t>
                </w:r>
              </w:p>
            </w:tc>
            <w:tc>
              <w:tcPr>
                <w:tcW w:w="1695" w:type="dxa"/>
                <w:tcMar>
                  <w:top w:w="100" w:type="dxa"/>
                  <w:left w:w="100" w:type="dxa"/>
                  <w:bottom w:w="100" w:type="dxa"/>
                  <w:right w:w="100" w:type="dxa"/>
                </w:tcMar>
              </w:tcPr>
              <w:p w14:paraId="09270593" w14:textId="77777777" w:rsidR="00937900" w:rsidRDefault="00000000">
                <w:pPr>
                  <w:widowControl w:val="0"/>
                  <w:pBdr>
                    <w:top w:val="nil"/>
                    <w:left w:val="nil"/>
                    <w:bottom w:val="nil"/>
                    <w:right w:val="nil"/>
                    <w:between w:val="nil"/>
                  </w:pBdr>
                  <w:jc w:val="left"/>
                </w:pPr>
                <w:r>
                  <w:t>Strongly supports recommendations particularly for culturally sensitive healthcare.</w:t>
                </w:r>
              </w:p>
            </w:tc>
          </w:tr>
          <w:tr w:rsidR="00937900" w14:paraId="3E16AF74" w14:textId="77777777">
            <w:tc>
              <w:tcPr>
                <w:tcW w:w="1410" w:type="dxa"/>
                <w:tcMar>
                  <w:top w:w="100" w:type="dxa"/>
                  <w:left w:w="100" w:type="dxa"/>
                  <w:bottom w:w="100" w:type="dxa"/>
                  <w:right w:w="100" w:type="dxa"/>
                </w:tcMar>
              </w:tcPr>
              <w:p w14:paraId="5A2BCC58" w14:textId="77777777" w:rsidR="00937900" w:rsidRDefault="00000000">
                <w:pPr>
                  <w:widowControl w:val="0"/>
                  <w:jc w:val="left"/>
                </w:pPr>
                <w:r>
                  <w:t xml:space="preserve">“Gobburi </w:t>
                </w:r>
                <w:r>
                  <w:rPr>
                    <w:i/>
                    <w:iCs/>
                  </w:rPr>
                  <w:t>et al.</w:t>
                </w:r>
                <w:r>
                  <w:t xml:space="preserve"> (2025)”</w:t>
                </w:r>
              </w:p>
            </w:tc>
            <w:tc>
              <w:tcPr>
                <w:tcW w:w="1260" w:type="dxa"/>
                <w:tcMar>
                  <w:top w:w="100" w:type="dxa"/>
                  <w:left w:w="100" w:type="dxa"/>
                  <w:bottom w:w="100" w:type="dxa"/>
                  <w:right w:w="100" w:type="dxa"/>
                </w:tcMar>
              </w:tcPr>
              <w:p w14:paraId="5D4B3FCE" w14:textId="77777777" w:rsidR="00937900" w:rsidRDefault="00000000">
                <w:pPr>
                  <w:widowControl w:val="0"/>
                  <w:pBdr>
                    <w:top w:val="nil"/>
                    <w:left w:val="nil"/>
                    <w:bottom w:val="nil"/>
                    <w:right w:val="nil"/>
                    <w:between w:val="nil"/>
                  </w:pBdr>
                  <w:jc w:val="left"/>
                  <w:rPr>
                    <w:i/>
                    <w:iCs/>
                  </w:rPr>
                </w:pPr>
                <w:r>
                  <w:rPr>
                    <w:i/>
                    <w:iCs/>
                  </w:rPr>
                  <w:t>“</w:t>
                </w:r>
                <w:r>
                  <w:rPr>
                    <w:i/>
                    <w:iCs/>
                    <w:highlight w:val="white"/>
                  </w:rPr>
                  <w:t xml:space="preserve">Telemedicine use in rural areas of the United </w:t>
                </w:r>
                <w:r>
                  <w:rPr>
                    <w:i/>
                    <w:iCs/>
                    <w:highlight w:val="white"/>
                  </w:rPr>
                  <w:lastRenderedPageBreak/>
                  <w:t>Kingdom to improve access to healthcare facilities: A review of current evidence”</w:t>
                </w:r>
              </w:p>
            </w:tc>
            <w:tc>
              <w:tcPr>
                <w:tcW w:w="1245" w:type="dxa"/>
                <w:tcMar>
                  <w:top w:w="100" w:type="dxa"/>
                  <w:left w:w="100" w:type="dxa"/>
                  <w:bottom w:w="100" w:type="dxa"/>
                  <w:right w:w="100" w:type="dxa"/>
                </w:tcMar>
              </w:tcPr>
              <w:p w14:paraId="2ADBBAFF" w14:textId="77777777" w:rsidR="00937900" w:rsidRDefault="00000000">
                <w:pPr>
                  <w:widowControl w:val="0"/>
                  <w:pBdr>
                    <w:top w:val="nil"/>
                    <w:left w:val="nil"/>
                    <w:bottom w:val="nil"/>
                    <w:right w:val="nil"/>
                    <w:between w:val="nil"/>
                  </w:pBdr>
                  <w:jc w:val="left"/>
                </w:pPr>
                <w:r>
                  <w:lastRenderedPageBreak/>
                  <w:t>Literature review</w:t>
                </w:r>
              </w:p>
            </w:tc>
            <w:tc>
              <w:tcPr>
                <w:tcW w:w="1425" w:type="dxa"/>
                <w:tcMar>
                  <w:top w:w="100" w:type="dxa"/>
                  <w:left w:w="100" w:type="dxa"/>
                  <w:bottom w:w="100" w:type="dxa"/>
                  <w:right w:w="100" w:type="dxa"/>
                </w:tcMar>
              </w:tcPr>
              <w:p w14:paraId="4AA19776" w14:textId="77777777" w:rsidR="00937900" w:rsidRDefault="00000000">
                <w:pPr>
                  <w:widowControl w:val="0"/>
                  <w:pBdr>
                    <w:top w:val="nil"/>
                    <w:left w:val="nil"/>
                    <w:bottom w:val="nil"/>
                    <w:right w:val="nil"/>
                    <w:between w:val="nil"/>
                  </w:pBdr>
                  <w:jc w:val="left"/>
                </w:pPr>
                <w:r>
                  <w:t>Review of the current UK evidence</w:t>
                </w:r>
              </w:p>
            </w:tc>
            <w:tc>
              <w:tcPr>
                <w:tcW w:w="1530" w:type="dxa"/>
                <w:tcMar>
                  <w:top w:w="100" w:type="dxa"/>
                  <w:left w:w="100" w:type="dxa"/>
                  <w:bottom w:w="100" w:type="dxa"/>
                  <w:right w:w="100" w:type="dxa"/>
                </w:tcMar>
              </w:tcPr>
              <w:p w14:paraId="343C6701" w14:textId="77777777" w:rsidR="00937900" w:rsidRDefault="00000000">
                <w:pPr>
                  <w:widowControl w:val="0"/>
                  <w:pBdr>
                    <w:top w:val="nil"/>
                    <w:left w:val="nil"/>
                    <w:bottom w:val="nil"/>
                    <w:right w:val="nil"/>
                    <w:between w:val="nil"/>
                  </w:pBdr>
                  <w:jc w:val="left"/>
                </w:pPr>
                <w:r>
                  <w:rPr>
                    <w:b/>
                    <w:bCs/>
                  </w:rPr>
                  <w:t xml:space="preserve">Strength: </w:t>
                </w:r>
                <w:r>
                  <w:t xml:space="preserve">Primary focus on rural healthcare </w:t>
                </w:r>
                <w:r>
                  <w:lastRenderedPageBreak/>
                  <w:t xml:space="preserve">accessibility. </w:t>
                </w:r>
              </w:p>
              <w:p w14:paraId="0C4862BD" w14:textId="77777777" w:rsidR="00937900" w:rsidRDefault="00000000">
                <w:pPr>
                  <w:widowControl w:val="0"/>
                  <w:pBdr>
                    <w:top w:val="nil"/>
                    <w:left w:val="nil"/>
                    <w:bottom w:val="nil"/>
                    <w:right w:val="nil"/>
                    <w:between w:val="nil"/>
                  </w:pBdr>
                  <w:jc w:val="left"/>
                </w:pPr>
                <w:r>
                  <w:rPr>
                    <w:b/>
                    <w:bCs/>
                  </w:rPr>
                  <w:t xml:space="preserve">Limitation: </w:t>
                </w:r>
                <w:r>
                  <w:t>Limited evaluation of telemedicine in the long term.</w:t>
                </w:r>
              </w:p>
            </w:tc>
            <w:tc>
              <w:tcPr>
                <w:tcW w:w="1275" w:type="dxa"/>
                <w:tcMar>
                  <w:top w:w="100" w:type="dxa"/>
                  <w:left w:w="100" w:type="dxa"/>
                  <w:bottom w:w="100" w:type="dxa"/>
                  <w:right w:w="100" w:type="dxa"/>
                </w:tcMar>
              </w:tcPr>
              <w:p w14:paraId="5000AA2D" w14:textId="77777777" w:rsidR="00937900" w:rsidRDefault="00000000">
                <w:pPr>
                  <w:widowControl w:val="0"/>
                  <w:pBdr>
                    <w:top w:val="nil"/>
                    <w:left w:val="nil"/>
                    <w:bottom w:val="nil"/>
                    <w:right w:val="nil"/>
                    <w:between w:val="nil"/>
                  </w:pBdr>
                  <w:jc w:val="left"/>
                </w:pPr>
                <w:r>
                  <w:lastRenderedPageBreak/>
                  <w:t xml:space="preserve">Integration of telemedicine helps to reduce </w:t>
                </w:r>
                <w:r>
                  <w:lastRenderedPageBreak/>
                  <w:t>geographical barriers and enhance healthcare access.</w:t>
                </w:r>
              </w:p>
            </w:tc>
            <w:tc>
              <w:tcPr>
                <w:tcW w:w="1680" w:type="dxa"/>
                <w:tcMar>
                  <w:top w:w="100" w:type="dxa"/>
                  <w:left w:w="100" w:type="dxa"/>
                  <w:bottom w:w="100" w:type="dxa"/>
                  <w:right w:w="100" w:type="dxa"/>
                </w:tcMar>
              </w:tcPr>
              <w:p w14:paraId="448D5F0F" w14:textId="77777777" w:rsidR="00937900" w:rsidRDefault="00000000">
                <w:pPr>
                  <w:widowControl w:val="0"/>
                </w:pPr>
                <w:r>
                  <w:lastRenderedPageBreak/>
                  <w:t>“Rural healthcare access” “telemedicine”</w:t>
                </w:r>
              </w:p>
            </w:tc>
            <w:tc>
              <w:tcPr>
                <w:tcW w:w="1695" w:type="dxa"/>
                <w:tcMar>
                  <w:top w:w="100" w:type="dxa"/>
                  <w:left w:w="100" w:type="dxa"/>
                  <w:bottom w:w="100" w:type="dxa"/>
                  <w:right w:w="100" w:type="dxa"/>
                </w:tcMar>
              </w:tcPr>
              <w:p w14:paraId="7E848CB3" w14:textId="77777777" w:rsidR="00937900" w:rsidRDefault="00000000">
                <w:pPr>
                  <w:widowControl w:val="0"/>
                  <w:pBdr>
                    <w:top w:val="nil"/>
                    <w:left w:val="nil"/>
                    <w:bottom w:val="nil"/>
                    <w:right w:val="nil"/>
                    <w:between w:val="nil"/>
                  </w:pBdr>
                  <w:jc w:val="left"/>
                </w:pPr>
                <w:r>
                  <w:t xml:space="preserve">Strongly supports recommendations on rural healthcare </w:t>
                </w:r>
                <w:r>
                  <w:lastRenderedPageBreak/>
                  <w:t xml:space="preserve">services accessibility. </w:t>
                </w:r>
              </w:p>
            </w:tc>
          </w:tr>
          <w:tr w:rsidR="00937900" w14:paraId="58386F69" w14:textId="77777777">
            <w:tc>
              <w:tcPr>
                <w:tcW w:w="1410" w:type="dxa"/>
                <w:tcMar>
                  <w:top w:w="100" w:type="dxa"/>
                  <w:left w:w="100" w:type="dxa"/>
                  <w:bottom w:w="100" w:type="dxa"/>
                  <w:right w:w="100" w:type="dxa"/>
                </w:tcMar>
              </w:tcPr>
              <w:p w14:paraId="0755DBDF" w14:textId="77777777" w:rsidR="00937900" w:rsidRDefault="00000000">
                <w:pPr>
                  <w:widowControl w:val="0"/>
                  <w:jc w:val="left"/>
                </w:pPr>
                <w:r>
                  <w:lastRenderedPageBreak/>
                  <w:t>“</w:t>
                </w:r>
                <w:r>
                  <w:rPr>
                    <w:highlight w:val="white"/>
                  </w:rPr>
                  <w:t>Bidmead</w:t>
                </w:r>
                <w:r>
                  <w:t xml:space="preserve"> </w:t>
                </w:r>
                <w:r>
                  <w:rPr>
                    <w:i/>
                    <w:iCs/>
                  </w:rPr>
                  <w:t>et al</w:t>
                </w:r>
                <w:r>
                  <w:t xml:space="preserve">. </w:t>
                </w:r>
                <w:r>
                  <w:rPr>
                    <w:highlight w:val="white"/>
                  </w:rPr>
                  <w:t>(2024)</w:t>
                </w:r>
                <w:r>
                  <w:t>”</w:t>
                </w:r>
              </w:p>
            </w:tc>
            <w:tc>
              <w:tcPr>
                <w:tcW w:w="1260" w:type="dxa"/>
                <w:tcMar>
                  <w:top w:w="100" w:type="dxa"/>
                  <w:left w:w="100" w:type="dxa"/>
                  <w:bottom w:w="100" w:type="dxa"/>
                  <w:right w:w="100" w:type="dxa"/>
                </w:tcMar>
              </w:tcPr>
              <w:p w14:paraId="03E0AE9E" w14:textId="77777777" w:rsidR="00937900" w:rsidRDefault="00000000">
                <w:pPr>
                  <w:widowControl w:val="0"/>
                  <w:pBdr>
                    <w:top w:val="nil"/>
                    <w:left w:val="nil"/>
                    <w:bottom w:val="nil"/>
                    <w:right w:val="nil"/>
                    <w:between w:val="nil"/>
                  </w:pBdr>
                  <w:jc w:val="left"/>
                  <w:rPr>
                    <w:i/>
                    <w:iCs/>
                  </w:rPr>
                </w:pPr>
                <w:r>
                  <w:rPr>
                    <w:i/>
                    <w:iCs/>
                  </w:rPr>
                  <w:t>“</w:t>
                </w:r>
                <w:r>
                  <w:rPr>
                    <w:i/>
                    <w:iCs/>
                    <w:highlight w:val="white"/>
                  </w:rPr>
                  <w:t>Poverty proofing healthcare: A qualitative study of barriers to accessing healthcare for low-income families with children in northern England</w:t>
                </w:r>
                <w:r>
                  <w:rPr>
                    <w:i/>
                    <w:iCs/>
                  </w:rPr>
                  <w:t>”</w:t>
                </w:r>
              </w:p>
            </w:tc>
            <w:tc>
              <w:tcPr>
                <w:tcW w:w="1245" w:type="dxa"/>
                <w:tcMar>
                  <w:top w:w="100" w:type="dxa"/>
                  <w:left w:w="100" w:type="dxa"/>
                  <w:bottom w:w="100" w:type="dxa"/>
                  <w:right w:w="100" w:type="dxa"/>
                </w:tcMar>
              </w:tcPr>
              <w:p w14:paraId="5D978424" w14:textId="77777777" w:rsidR="00937900" w:rsidRDefault="00000000">
                <w:pPr>
                  <w:widowControl w:val="0"/>
                  <w:pBdr>
                    <w:top w:val="nil"/>
                    <w:left w:val="nil"/>
                    <w:bottom w:val="nil"/>
                    <w:right w:val="nil"/>
                    <w:between w:val="nil"/>
                  </w:pBdr>
                  <w:jc w:val="left"/>
                </w:pPr>
                <w:r>
                  <w:t>Primary Research</w:t>
                </w:r>
              </w:p>
            </w:tc>
            <w:tc>
              <w:tcPr>
                <w:tcW w:w="1425" w:type="dxa"/>
                <w:tcMar>
                  <w:top w:w="100" w:type="dxa"/>
                  <w:left w:w="100" w:type="dxa"/>
                  <w:bottom w:w="100" w:type="dxa"/>
                  <w:right w:w="100" w:type="dxa"/>
                </w:tcMar>
              </w:tcPr>
              <w:p w14:paraId="18B54162" w14:textId="77777777" w:rsidR="00937900" w:rsidRDefault="00000000">
                <w:pPr>
                  <w:widowControl w:val="0"/>
                  <w:pBdr>
                    <w:top w:val="nil"/>
                    <w:left w:val="nil"/>
                    <w:bottom w:val="nil"/>
                    <w:right w:val="nil"/>
                    <w:between w:val="nil"/>
                  </w:pBdr>
                  <w:jc w:val="left"/>
                </w:pPr>
                <w:r>
                  <w:t>Qualitative research leveraging focus groups/interviews with low-income households and stakeholders of healthcare.</w:t>
                </w:r>
              </w:p>
            </w:tc>
            <w:tc>
              <w:tcPr>
                <w:tcW w:w="1530" w:type="dxa"/>
                <w:tcMar>
                  <w:top w:w="100" w:type="dxa"/>
                  <w:left w:w="100" w:type="dxa"/>
                  <w:bottom w:w="100" w:type="dxa"/>
                  <w:right w:w="100" w:type="dxa"/>
                </w:tcMar>
              </w:tcPr>
              <w:p w14:paraId="7C99FA14" w14:textId="77777777" w:rsidR="00937900" w:rsidRDefault="00000000">
                <w:pPr>
                  <w:widowControl w:val="0"/>
                  <w:pBdr>
                    <w:top w:val="nil"/>
                    <w:left w:val="nil"/>
                    <w:bottom w:val="nil"/>
                    <w:right w:val="nil"/>
                    <w:between w:val="nil"/>
                  </w:pBdr>
                  <w:jc w:val="left"/>
                </w:pPr>
                <w:r>
                  <w:rPr>
                    <w:b/>
                    <w:bCs/>
                  </w:rPr>
                  <w:t>Strength</w:t>
                </w:r>
                <w:r>
                  <w:t>: Offers contextual information about healthcare accessibility issues within marginalised families. The findings are strongly relevant to the present inequalities in UK healthcare.</w:t>
                </w:r>
              </w:p>
              <w:p w14:paraId="3A1BDB49" w14:textId="77777777" w:rsidR="00937900" w:rsidRDefault="00000000">
                <w:pPr>
                  <w:widowControl w:val="0"/>
                  <w:pBdr>
                    <w:top w:val="nil"/>
                    <w:left w:val="nil"/>
                    <w:bottom w:val="nil"/>
                    <w:right w:val="nil"/>
                    <w:between w:val="nil"/>
                  </w:pBdr>
                  <w:jc w:val="left"/>
                </w:pPr>
                <w:r>
                  <w:rPr>
                    <w:b/>
                    <w:bCs/>
                  </w:rPr>
                  <w:t>Limitations</w:t>
                </w:r>
                <w:r>
                  <w:t xml:space="preserve">:Findings could be limited in terms of generalisation beyond the Northern England area. The </w:t>
                </w:r>
                <w:r>
                  <w:lastRenderedPageBreak/>
                  <w:t xml:space="preserve">qualitative insights lower numeral comparison.  </w:t>
                </w:r>
              </w:p>
            </w:tc>
            <w:tc>
              <w:tcPr>
                <w:tcW w:w="1275" w:type="dxa"/>
                <w:tcMar>
                  <w:top w:w="100" w:type="dxa"/>
                  <w:left w:w="100" w:type="dxa"/>
                  <w:bottom w:w="100" w:type="dxa"/>
                  <w:right w:w="100" w:type="dxa"/>
                </w:tcMar>
              </w:tcPr>
              <w:p w14:paraId="59B84979" w14:textId="77777777" w:rsidR="00937900" w:rsidRDefault="00000000">
                <w:pPr>
                  <w:widowControl w:val="0"/>
                  <w:pBdr>
                    <w:top w:val="nil"/>
                    <w:left w:val="nil"/>
                    <w:bottom w:val="nil"/>
                    <w:right w:val="nil"/>
                    <w:between w:val="nil"/>
                  </w:pBdr>
                  <w:jc w:val="left"/>
                </w:pPr>
                <w:r>
                  <w:lastRenderedPageBreak/>
                  <w:t>Families with low income experience major issues related to cost of transportation, financial issues, limited awareness about services, hidden costs in healthcare and stigma.</w:t>
                </w:r>
              </w:p>
            </w:tc>
            <w:tc>
              <w:tcPr>
                <w:tcW w:w="1680" w:type="dxa"/>
                <w:tcMar>
                  <w:top w:w="100" w:type="dxa"/>
                  <w:left w:w="100" w:type="dxa"/>
                  <w:bottom w:w="100" w:type="dxa"/>
                  <w:right w:w="100" w:type="dxa"/>
                </w:tcMar>
              </w:tcPr>
              <w:p w14:paraId="0DE78B84" w14:textId="77777777" w:rsidR="00937900" w:rsidRDefault="00000000">
                <w:pPr>
                  <w:widowControl w:val="0"/>
                </w:pPr>
                <w:r>
                  <w:t>“Healthcare access, inequalities, poverty, low-income families, financial issues, hidden expenses, transportation issues and service accessibility"</w:t>
                </w:r>
              </w:p>
            </w:tc>
            <w:tc>
              <w:tcPr>
                <w:tcW w:w="1695" w:type="dxa"/>
                <w:tcMar>
                  <w:top w:w="100" w:type="dxa"/>
                  <w:left w:w="100" w:type="dxa"/>
                  <w:bottom w:w="100" w:type="dxa"/>
                  <w:right w:w="100" w:type="dxa"/>
                </w:tcMar>
              </w:tcPr>
              <w:p w14:paraId="06DFF14B" w14:textId="77777777" w:rsidR="00937900" w:rsidRDefault="00000000">
                <w:pPr>
                  <w:widowControl w:val="0"/>
                  <w:pBdr>
                    <w:top w:val="nil"/>
                    <w:left w:val="nil"/>
                    <w:bottom w:val="nil"/>
                    <w:right w:val="nil"/>
                    <w:between w:val="nil"/>
                  </w:pBdr>
                  <w:jc w:val="left"/>
                </w:pPr>
                <w:r>
                  <w:t>Effectively justifies the recommendations concerning improving affordability and accessibility of healthcare services in the UK.</w:t>
                </w:r>
              </w:p>
            </w:tc>
          </w:tr>
        </w:tbl>
      </w:sdtContent>
    </w:sdt>
    <w:p w14:paraId="0816EC95" w14:textId="77777777" w:rsidR="00937900" w:rsidRDefault="00000000">
      <w:pPr>
        <w:pBdr>
          <w:top w:val="nil"/>
          <w:left w:val="nil"/>
          <w:bottom w:val="nil"/>
          <w:right w:val="nil"/>
          <w:between w:val="nil"/>
        </w:pBdr>
        <w:jc w:val="center"/>
        <w:rPr>
          <w:b/>
          <w:bCs/>
        </w:rPr>
      </w:pPr>
      <w:r>
        <w:rPr>
          <w:b/>
          <w:bCs/>
        </w:rPr>
        <w:t xml:space="preserve">Sources (Created by the learner) </w:t>
      </w:r>
    </w:p>
    <w:p w14:paraId="727ED702" w14:textId="77777777" w:rsidR="00937900" w:rsidRDefault="00937900">
      <w:pPr>
        <w:pBdr>
          <w:top w:val="nil"/>
          <w:left w:val="nil"/>
          <w:bottom w:val="nil"/>
          <w:right w:val="nil"/>
          <w:between w:val="nil"/>
        </w:pBdr>
      </w:pPr>
    </w:p>
    <w:p w14:paraId="070B617D" w14:textId="77777777" w:rsidR="00937900" w:rsidRDefault="00937900">
      <w:pPr>
        <w:pBdr>
          <w:top w:val="nil"/>
          <w:left w:val="nil"/>
          <w:bottom w:val="nil"/>
          <w:right w:val="nil"/>
          <w:between w:val="nil"/>
        </w:pBdr>
      </w:pPr>
    </w:p>
    <w:p w14:paraId="5AA7B254" w14:textId="77777777" w:rsidR="00937900" w:rsidRDefault="00937900">
      <w:pPr>
        <w:pBdr>
          <w:top w:val="nil"/>
          <w:left w:val="nil"/>
          <w:bottom w:val="nil"/>
          <w:right w:val="nil"/>
          <w:between w:val="nil"/>
        </w:pBdr>
      </w:pPr>
    </w:p>
    <w:p w14:paraId="6E712A03" w14:textId="77777777" w:rsidR="00937900" w:rsidRDefault="00937900">
      <w:pPr>
        <w:pBdr>
          <w:top w:val="nil"/>
          <w:left w:val="nil"/>
          <w:bottom w:val="nil"/>
          <w:right w:val="nil"/>
          <w:between w:val="nil"/>
        </w:pBdr>
      </w:pPr>
    </w:p>
    <w:p w14:paraId="0665ABB5" w14:textId="77777777" w:rsidR="00937900" w:rsidRDefault="00937900">
      <w:pPr>
        <w:pBdr>
          <w:top w:val="nil"/>
          <w:left w:val="nil"/>
          <w:bottom w:val="nil"/>
          <w:right w:val="nil"/>
          <w:between w:val="nil"/>
        </w:pBdr>
      </w:pPr>
    </w:p>
    <w:sectPr w:rsidR="00937900">
      <w:footerReference w:type="default" r:id="rId1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5785D5" w14:textId="77777777" w:rsidR="00591625" w:rsidRDefault="00591625">
      <w:pPr>
        <w:spacing w:line="240" w:lineRule="auto"/>
      </w:pPr>
      <w:r>
        <w:separator/>
      </w:r>
    </w:p>
  </w:endnote>
  <w:endnote w:type="continuationSeparator" w:id="0">
    <w:p w14:paraId="2124943C" w14:textId="77777777" w:rsidR="00591625" w:rsidRDefault="005916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028A3EE-212E-469B-B61D-21E7F827209F}"/>
  </w:font>
  <w:font w:name="Cambria">
    <w:panose1 w:val="02040503050406030204"/>
    <w:charset w:val="00"/>
    <w:family w:val="roman"/>
    <w:pitch w:val="variable"/>
    <w:sig w:usb0="E00006FF" w:usb1="420024FF" w:usb2="02000000" w:usb3="00000000" w:csb0="0000019F" w:csb1="00000000"/>
    <w:embedRegular r:id="rId2" w:fontKey="{972241AB-94CA-4106-B4C6-8A93F52CD3E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7111ED" w14:textId="77777777" w:rsidR="00937900" w:rsidRDefault="00000000">
    <w:pPr>
      <w:pBdr>
        <w:top w:val="nil"/>
        <w:left w:val="nil"/>
        <w:bottom w:val="nil"/>
        <w:right w:val="nil"/>
        <w:between w:val="nil"/>
      </w:pBdr>
      <w:spacing w:line="480" w:lineRule="auto"/>
      <w:jc w:val="right"/>
      <w:rPr>
        <w:color w:val="000000"/>
      </w:rPr>
    </w:pPr>
    <w:r>
      <w:rPr>
        <w:color w:val="000000"/>
      </w:rPr>
      <w:fldChar w:fldCharType="begin"/>
    </w:r>
    <w:r>
      <w:rPr>
        <w:color w:val="000000"/>
      </w:rPr>
      <w:instrText>PAGE</w:instrText>
    </w:r>
    <w:r>
      <w:rPr>
        <w:color w:val="000000"/>
      </w:rPr>
      <w:fldChar w:fldCharType="separate"/>
    </w:r>
    <w:r w:rsidR="00A6194B">
      <w:rPr>
        <w:noProof/>
        <w:color w:val="000000"/>
      </w:rPr>
      <w:t>1</w:t>
    </w:r>
    <w:r>
      <w:rPr>
        <w:color w:val="00000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DA305D" w14:textId="77777777" w:rsidR="00591625" w:rsidRDefault="00591625">
      <w:pPr>
        <w:spacing w:line="240" w:lineRule="auto"/>
      </w:pPr>
      <w:r>
        <w:separator/>
      </w:r>
    </w:p>
  </w:footnote>
  <w:footnote w:type="continuationSeparator" w:id="0">
    <w:p w14:paraId="513F0EC3" w14:textId="77777777" w:rsidR="00591625" w:rsidRDefault="0059162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D80CFD"/>
    <w:multiLevelType w:val="multilevel"/>
    <w:tmpl w:val="C9DA4F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489059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7900"/>
    <w:rsid w:val="000A7196"/>
    <w:rsid w:val="00343A89"/>
    <w:rsid w:val="00591625"/>
    <w:rsid w:val="007918F9"/>
    <w:rsid w:val="00937900"/>
    <w:rsid w:val="00A6194B"/>
    <w:rsid w:val="00BA6F97"/>
    <w:rsid w:val="00C00D15"/>
    <w:rsid w:val="00DD2E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F9B719"/>
  <w15:docId w15:val="{4577EEC8-530E-4FDD-8D33-B693AB24FB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32"/>
      <w:szCs w:val="32"/>
    </w:rPr>
  </w:style>
  <w:style w:type="paragraph" w:styleId="Heading2">
    <w:name w:val="heading 2"/>
    <w:basedOn w:val="Normal"/>
    <w:next w:val="Normal"/>
    <w:uiPriority w:val="9"/>
    <w:unhideWhenUsed/>
    <w:qFormat/>
    <w:pPr>
      <w:keepNext/>
      <w:keepLines/>
      <w:outlineLvl w:val="1"/>
    </w:pPr>
    <w:rPr>
      <w:b/>
      <w:bCs/>
      <w:sz w:val="28"/>
      <w:szCs w:val="28"/>
    </w:rPr>
  </w:style>
  <w:style w:type="paragraph" w:styleId="Heading3">
    <w:name w:val="heading 3"/>
    <w:basedOn w:val="Normal"/>
    <w:next w:val="Normal"/>
    <w:uiPriority w:val="9"/>
    <w:unhideWhenUsed/>
    <w:qFormat/>
    <w:pPr>
      <w:keepNext/>
      <w:keepLines/>
      <w:outlineLvl w:val="2"/>
    </w:pPr>
    <w:rPr>
      <w:b/>
      <w:bCs/>
      <w:sz w:val="24"/>
      <w:szCs w:val="24"/>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line="480" w:lineRule="auto"/>
      <w:outlineLvl w:val="3"/>
    </w:pPr>
    <w:rPr>
      <w:color w:val="666666"/>
      <w:sz w:val="24"/>
      <w:szCs w:val="24"/>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after="80" w:line="480" w:lineRule="auto"/>
      <w:outlineLvl w:val="4"/>
    </w:pPr>
    <w:rPr>
      <w:color w:val="666666"/>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line="480" w:lineRule="auto"/>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pBdr>
        <w:top w:val="nil"/>
        <w:left w:val="nil"/>
        <w:bottom w:val="nil"/>
        <w:right w:val="nil"/>
        <w:between w:val="nil"/>
      </w:pBdr>
      <w:spacing w:after="60" w:line="480" w:lineRule="auto"/>
    </w:pPr>
    <w:rPr>
      <w:color w:val="000000"/>
      <w:sz w:val="52"/>
      <w:szCs w:val="52"/>
    </w:rPr>
  </w:style>
  <w:style w:type="paragraph" w:styleId="Subtitle">
    <w:name w:val="Subtitle"/>
    <w:basedOn w:val="Normal"/>
    <w:next w:val="Normal"/>
    <w:uiPriority w:val="11"/>
    <w:qFormat/>
    <w:pPr>
      <w:keepNext/>
      <w:keepLines/>
      <w:pBdr>
        <w:top w:val="nil"/>
        <w:left w:val="nil"/>
        <w:bottom w:val="nil"/>
        <w:right w:val="nil"/>
        <w:between w:val="nil"/>
      </w:pBdr>
      <w:spacing w:after="320" w:line="480" w:lineRule="auto"/>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2024/03/nhs-ai-expansion-to-help-tackle-missed-appointments-and-improve-waiting-tim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bZfnN9E38jzLYywstUv5tsg17hQ==">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58</Pages>
  <Words>16103</Words>
  <Characters>91791</Characters>
  <Application>Microsoft Office Word</Application>
  <DocSecurity>0</DocSecurity>
  <Lines>764</Lines>
  <Paragraphs>215</Paragraphs>
  <ScaleCrop>false</ScaleCrop>
  <Company/>
  <LinksUpToDate>false</LinksUpToDate>
  <CharactersWithSpaces>107679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Dorothy Kodua Tweneboah (2314173)</cp:lastModifiedBy>
  <cp:revision>2</cp:revision>
  <dcterms:created xsi:type="dcterms:W3CDTF">2026-07-24T14:58:00Z</dcterms:created>
  <dcterms:modified xsi:type="dcterms:W3CDTF">2026-07-24T14:58:00Z</dcterms:modified>
</cp:coreProperties>
</file>