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2AB181" w14:textId="77777777" w:rsidR="00DE1EC7" w:rsidRPr="00E24F78" w:rsidRDefault="00DE1EC7" w:rsidP="00DE1EC7">
      <w:pPr>
        <w:rPr>
          <w:rFonts w:eastAsia="Aptos" w:cs="Arial"/>
          <w:sz w:val="40"/>
          <w:szCs w:val="40"/>
        </w:rPr>
      </w:pPr>
      <w:r w:rsidRPr="00E24F78">
        <w:rPr>
          <w:rFonts w:eastAsia="Aptos" w:cs="Arial"/>
          <w:sz w:val="40"/>
          <w:szCs w:val="40"/>
        </w:rPr>
        <w:t>Student name: Syeda Sadaf Jabeen</w:t>
      </w:r>
    </w:p>
    <w:p w14:paraId="72E85377" w14:textId="77777777" w:rsidR="00DE1EC7" w:rsidRPr="00E24F78" w:rsidRDefault="00DE1EC7" w:rsidP="00DE1EC7">
      <w:pPr>
        <w:rPr>
          <w:rFonts w:eastAsia="Aptos" w:cs="Arial"/>
          <w:sz w:val="40"/>
          <w:szCs w:val="40"/>
        </w:rPr>
      </w:pPr>
      <w:r w:rsidRPr="00E24F78">
        <w:rPr>
          <w:rFonts w:eastAsia="Aptos" w:cs="Arial"/>
          <w:sz w:val="40"/>
          <w:szCs w:val="40"/>
        </w:rPr>
        <w:t>Student ID number: 2310935</w:t>
      </w:r>
    </w:p>
    <w:p w14:paraId="55D6DF82" w14:textId="34232A6E" w:rsidR="00DE1EC7" w:rsidRPr="00E24F78" w:rsidRDefault="00DE1EC7" w:rsidP="00DE1EC7">
      <w:pPr>
        <w:rPr>
          <w:rFonts w:eastAsia="Aptos" w:cs="Arial"/>
          <w:sz w:val="40"/>
          <w:szCs w:val="40"/>
        </w:rPr>
      </w:pPr>
      <w:r w:rsidRPr="00E24F78">
        <w:rPr>
          <w:rFonts w:eastAsia="Aptos" w:cs="Arial"/>
          <w:sz w:val="40"/>
          <w:szCs w:val="40"/>
        </w:rPr>
        <w:t xml:space="preserve">Module: </w:t>
      </w:r>
      <w:r w:rsidR="00A1467D" w:rsidRPr="00A1467D">
        <w:rPr>
          <w:rFonts w:eastAsia="Aptos" w:cs="Arial"/>
          <w:sz w:val="40"/>
          <w:szCs w:val="40"/>
        </w:rPr>
        <w:t>Health, Wellbeing and Sustainable Development</w:t>
      </w:r>
    </w:p>
    <w:p w14:paraId="2F4971FE" w14:textId="32CFEA8D" w:rsidR="00DE1EC7" w:rsidRPr="00E24F78" w:rsidRDefault="00DE1EC7" w:rsidP="00DE1EC7">
      <w:pPr>
        <w:rPr>
          <w:rFonts w:eastAsia="Aptos" w:cs="Arial"/>
          <w:sz w:val="40"/>
          <w:szCs w:val="40"/>
        </w:rPr>
      </w:pPr>
      <w:r w:rsidRPr="00E24F78">
        <w:rPr>
          <w:rFonts w:eastAsia="Aptos" w:cs="Arial"/>
          <w:sz w:val="40"/>
          <w:szCs w:val="40"/>
        </w:rPr>
        <w:t xml:space="preserve">Module code: </w:t>
      </w:r>
      <w:r w:rsidR="00C873AA" w:rsidRPr="00C873AA">
        <w:rPr>
          <w:rFonts w:eastAsia="Aptos" w:cs="Arial"/>
          <w:sz w:val="40"/>
          <w:szCs w:val="40"/>
        </w:rPr>
        <w:t>BMHP6030</w:t>
      </w:r>
    </w:p>
    <w:p w14:paraId="2FA6E91A" w14:textId="56531FB4" w:rsidR="00DE1EC7" w:rsidRPr="00E24F78" w:rsidRDefault="00DE1EC7" w:rsidP="00DE1EC7">
      <w:pPr>
        <w:rPr>
          <w:rFonts w:eastAsia="Aptos" w:cs="Arial"/>
          <w:sz w:val="40"/>
          <w:szCs w:val="40"/>
        </w:rPr>
      </w:pPr>
      <w:r w:rsidRPr="00E24F78">
        <w:rPr>
          <w:rFonts w:eastAsia="Aptos" w:cs="Arial"/>
          <w:sz w:val="40"/>
          <w:szCs w:val="40"/>
        </w:rPr>
        <w:t xml:space="preserve">Lecturer name: </w:t>
      </w:r>
      <w:r w:rsidR="00074C02" w:rsidRPr="00074C02">
        <w:rPr>
          <w:rFonts w:eastAsia="Aptos" w:cs="Arial"/>
          <w:sz w:val="40"/>
          <w:szCs w:val="40"/>
        </w:rPr>
        <w:t>Philip Jones</w:t>
      </w:r>
    </w:p>
    <w:p w14:paraId="31495D64" w14:textId="564B5EF8" w:rsidR="002D690D" w:rsidRDefault="00DE1EC7" w:rsidP="00DE1EC7">
      <w:pPr>
        <w:rPr>
          <w:rFonts w:eastAsia="Aptos" w:cs="Arial"/>
          <w:sz w:val="40"/>
          <w:szCs w:val="40"/>
        </w:rPr>
      </w:pPr>
      <w:r w:rsidRPr="00E24F78">
        <w:rPr>
          <w:rFonts w:eastAsia="Aptos" w:cs="Arial"/>
          <w:sz w:val="40"/>
          <w:szCs w:val="40"/>
        </w:rPr>
        <w:t xml:space="preserve">Assignment Title: </w:t>
      </w:r>
      <w:r w:rsidR="00CE561B" w:rsidRPr="00CE561B">
        <w:rPr>
          <w:rFonts w:eastAsia="Aptos" w:cs="Arial"/>
          <w:sz w:val="40"/>
          <w:szCs w:val="40"/>
        </w:rPr>
        <w:t>Component 2: Written Assignment (Report)</w:t>
      </w:r>
    </w:p>
    <w:p w14:paraId="248745BC" w14:textId="77777777" w:rsidR="002D690D" w:rsidRDefault="002D690D">
      <w:pPr>
        <w:spacing w:after="200" w:line="276" w:lineRule="auto"/>
        <w:rPr>
          <w:rFonts w:eastAsia="Aptos" w:cs="Arial"/>
          <w:sz w:val="40"/>
          <w:szCs w:val="40"/>
        </w:rPr>
      </w:pPr>
      <w:r>
        <w:rPr>
          <w:rFonts w:eastAsia="Aptos" w:cs="Arial"/>
          <w:sz w:val="40"/>
          <w:szCs w:val="40"/>
        </w:rPr>
        <w:br w:type="page"/>
      </w:r>
    </w:p>
    <w:sdt>
      <w:sdtPr>
        <w:rPr>
          <w:rFonts w:ascii="Arial" w:eastAsiaTheme="minorEastAsia" w:hAnsi="Arial" w:cstheme="minorBidi"/>
          <w:b w:val="0"/>
          <w:bCs w:val="0"/>
          <w:color w:val="auto"/>
          <w:sz w:val="22"/>
          <w:szCs w:val="22"/>
        </w:rPr>
        <w:id w:val="546105519"/>
        <w:docPartObj>
          <w:docPartGallery w:val="Table of Contents"/>
          <w:docPartUnique/>
        </w:docPartObj>
      </w:sdtPr>
      <w:sdtEndPr>
        <w:rPr>
          <w:noProof/>
        </w:rPr>
      </w:sdtEndPr>
      <w:sdtContent>
        <w:p w14:paraId="56236FF8" w14:textId="631AA55A" w:rsidR="002D690D" w:rsidRPr="00B170E6" w:rsidRDefault="002D690D">
          <w:pPr>
            <w:pStyle w:val="TOCHeading"/>
            <w:rPr>
              <w:rFonts w:ascii="Arial" w:hAnsi="Arial" w:cs="Arial"/>
            </w:rPr>
          </w:pPr>
          <w:r w:rsidRPr="00B170E6">
            <w:rPr>
              <w:rFonts w:ascii="Arial" w:hAnsi="Arial" w:cs="Arial"/>
            </w:rPr>
            <w:t>Contents</w:t>
          </w:r>
        </w:p>
        <w:p w14:paraId="4E079214" w14:textId="52559585" w:rsidR="002D690D" w:rsidRDefault="002D690D">
          <w:pPr>
            <w:pStyle w:val="TOC1"/>
            <w:tabs>
              <w:tab w:val="right" w:leader="dot" w:pos="9350"/>
            </w:tabs>
            <w:rPr>
              <w:noProof/>
            </w:rPr>
          </w:pPr>
          <w:r>
            <w:fldChar w:fldCharType="begin"/>
          </w:r>
          <w:r>
            <w:instrText xml:space="preserve"> TOC \o "1-3" \h \z \u </w:instrText>
          </w:r>
          <w:r>
            <w:fldChar w:fldCharType="separate"/>
          </w:r>
          <w:hyperlink w:anchor="_Toc235202063" w:history="1">
            <w:r w:rsidRPr="002E2EF1">
              <w:rPr>
                <w:rStyle w:val="Hyperlink"/>
                <w:rFonts w:cs="Arial"/>
                <w:noProof/>
              </w:rPr>
              <w:t>Introduction</w:t>
            </w:r>
            <w:r>
              <w:rPr>
                <w:noProof/>
                <w:webHidden/>
              </w:rPr>
              <w:tab/>
            </w:r>
            <w:r>
              <w:rPr>
                <w:noProof/>
                <w:webHidden/>
              </w:rPr>
              <w:fldChar w:fldCharType="begin"/>
            </w:r>
            <w:r>
              <w:rPr>
                <w:noProof/>
                <w:webHidden/>
              </w:rPr>
              <w:instrText xml:space="preserve"> PAGEREF _Toc235202063 \h </w:instrText>
            </w:r>
            <w:r>
              <w:rPr>
                <w:noProof/>
                <w:webHidden/>
              </w:rPr>
            </w:r>
            <w:r>
              <w:rPr>
                <w:noProof/>
                <w:webHidden/>
              </w:rPr>
              <w:fldChar w:fldCharType="separate"/>
            </w:r>
            <w:r w:rsidR="00BD3E7C">
              <w:rPr>
                <w:noProof/>
                <w:webHidden/>
              </w:rPr>
              <w:t>3</w:t>
            </w:r>
            <w:r>
              <w:rPr>
                <w:noProof/>
                <w:webHidden/>
              </w:rPr>
              <w:fldChar w:fldCharType="end"/>
            </w:r>
          </w:hyperlink>
        </w:p>
        <w:p w14:paraId="137BD71F" w14:textId="2E76CC53" w:rsidR="002D690D" w:rsidRDefault="00000000">
          <w:pPr>
            <w:pStyle w:val="TOC1"/>
            <w:tabs>
              <w:tab w:val="right" w:leader="dot" w:pos="9350"/>
            </w:tabs>
            <w:rPr>
              <w:noProof/>
            </w:rPr>
          </w:pPr>
          <w:hyperlink w:anchor="_Toc235202064" w:history="1">
            <w:r w:rsidR="002D690D" w:rsidRPr="002E2EF1">
              <w:rPr>
                <w:rStyle w:val="Hyperlink"/>
                <w:rFonts w:cs="Arial"/>
                <w:noProof/>
              </w:rPr>
              <w:t>1. SDG 3: Good Health and Wellbeing</w:t>
            </w:r>
            <w:r w:rsidR="002D690D">
              <w:rPr>
                <w:noProof/>
                <w:webHidden/>
              </w:rPr>
              <w:tab/>
            </w:r>
            <w:r w:rsidR="002D690D">
              <w:rPr>
                <w:noProof/>
                <w:webHidden/>
              </w:rPr>
              <w:fldChar w:fldCharType="begin"/>
            </w:r>
            <w:r w:rsidR="002D690D">
              <w:rPr>
                <w:noProof/>
                <w:webHidden/>
              </w:rPr>
              <w:instrText xml:space="preserve"> PAGEREF _Toc235202064 \h </w:instrText>
            </w:r>
            <w:r w:rsidR="002D690D">
              <w:rPr>
                <w:noProof/>
                <w:webHidden/>
              </w:rPr>
            </w:r>
            <w:r w:rsidR="002D690D">
              <w:rPr>
                <w:noProof/>
                <w:webHidden/>
              </w:rPr>
              <w:fldChar w:fldCharType="separate"/>
            </w:r>
            <w:r w:rsidR="00BD3E7C">
              <w:rPr>
                <w:noProof/>
                <w:webHidden/>
              </w:rPr>
              <w:t>3</w:t>
            </w:r>
            <w:r w:rsidR="002D690D">
              <w:rPr>
                <w:noProof/>
                <w:webHidden/>
              </w:rPr>
              <w:fldChar w:fldCharType="end"/>
            </w:r>
          </w:hyperlink>
        </w:p>
        <w:p w14:paraId="10F8692D" w14:textId="13D0845A" w:rsidR="002D690D" w:rsidRDefault="00000000">
          <w:pPr>
            <w:pStyle w:val="TOC1"/>
            <w:tabs>
              <w:tab w:val="right" w:leader="dot" w:pos="9350"/>
            </w:tabs>
            <w:rPr>
              <w:noProof/>
            </w:rPr>
          </w:pPr>
          <w:hyperlink w:anchor="_Toc235202065" w:history="1">
            <w:r w:rsidR="002D690D" w:rsidRPr="002E2EF1">
              <w:rPr>
                <w:rStyle w:val="Hyperlink"/>
                <w:rFonts w:cs="Arial"/>
                <w:noProof/>
              </w:rPr>
              <w:t>2.</w:t>
            </w:r>
            <w:r w:rsidR="002D690D" w:rsidRPr="002E2EF1">
              <w:rPr>
                <w:rStyle w:val="Hyperlink"/>
                <w:noProof/>
              </w:rPr>
              <w:t xml:space="preserve"> </w:t>
            </w:r>
            <w:r w:rsidR="002D690D" w:rsidRPr="002E2EF1">
              <w:rPr>
                <w:rStyle w:val="Hyperlink"/>
                <w:rFonts w:cs="Arial"/>
                <w:noProof/>
              </w:rPr>
              <w:t>SDG 10: Reduced Inequalities</w:t>
            </w:r>
            <w:r w:rsidR="002D690D">
              <w:rPr>
                <w:noProof/>
                <w:webHidden/>
              </w:rPr>
              <w:tab/>
            </w:r>
            <w:r w:rsidR="002D690D">
              <w:rPr>
                <w:noProof/>
                <w:webHidden/>
              </w:rPr>
              <w:fldChar w:fldCharType="begin"/>
            </w:r>
            <w:r w:rsidR="002D690D">
              <w:rPr>
                <w:noProof/>
                <w:webHidden/>
              </w:rPr>
              <w:instrText xml:space="preserve"> PAGEREF _Toc235202065 \h </w:instrText>
            </w:r>
            <w:r w:rsidR="002D690D">
              <w:rPr>
                <w:noProof/>
                <w:webHidden/>
              </w:rPr>
            </w:r>
            <w:r w:rsidR="002D690D">
              <w:rPr>
                <w:noProof/>
                <w:webHidden/>
              </w:rPr>
              <w:fldChar w:fldCharType="separate"/>
            </w:r>
            <w:r w:rsidR="00BD3E7C">
              <w:rPr>
                <w:noProof/>
                <w:webHidden/>
              </w:rPr>
              <w:t>5</w:t>
            </w:r>
            <w:r w:rsidR="002D690D">
              <w:rPr>
                <w:noProof/>
                <w:webHidden/>
              </w:rPr>
              <w:fldChar w:fldCharType="end"/>
            </w:r>
          </w:hyperlink>
        </w:p>
        <w:p w14:paraId="24E79D92" w14:textId="5304FC1A" w:rsidR="002D690D" w:rsidRDefault="00000000">
          <w:pPr>
            <w:pStyle w:val="TOC1"/>
            <w:tabs>
              <w:tab w:val="right" w:leader="dot" w:pos="9350"/>
            </w:tabs>
            <w:rPr>
              <w:noProof/>
            </w:rPr>
          </w:pPr>
          <w:hyperlink w:anchor="_Toc235202066" w:history="1">
            <w:r w:rsidR="002D690D" w:rsidRPr="002E2EF1">
              <w:rPr>
                <w:rStyle w:val="Hyperlink"/>
                <w:rFonts w:cs="Arial"/>
                <w:noProof/>
              </w:rPr>
              <w:t>Recommendations</w:t>
            </w:r>
            <w:r w:rsidR="002D690D">
              <w:rPr>
                <w:noProof/>
                <w:webHidden/>
              </w:rPr>
              <w:tab/>
            </w:r>
            <w:r w:rsidR="002D690D">
              <w:rPr>
                <w:noProof/>
                <w:webHidden/>
              </w:rPr>
              <w:fldChar w:fldCharType="begin"/>
            </w:r>
            <w:r w:rsidR="002D690D">
              <w:rPr>
                <w:noProof/>
                <w:webHidden/>
              </w:rPr>
              <w:instrText xml:space="preserve"> PAGEREF _Toc235202066 \h </w:instrText>
            </w:r>
            <w:r w:rsidR="002D690D">
              <w:rPr>
                <w:noProof/>
                <w:webHidden/>
              </w:rPr>
            </w:r>
            <w:r w:rsidR="002D690D">
              <w:rPr>
                <w:noProof/>
                <w:webHidden/>
              </w:rPr>
              <w:fldChar w:fldCharType="separate"/>
            </w:r>
            <w:r w:rsidR="00BD3E7C">
              <w:rPr>
                <w:noProof/>
                <w:webHidden/>
              </w:rPr>
              <w:t>7</w:t>
            </w:r>
            <w:r w:rsidR="002D690D">
              <w:rPr>
                <w:noProof/>
                <w:webHidden/>
              </w:rPr>
              <w:fldChar w:fldCharType="end"/>
            </w:r>
          </w:hyperlink>
        </w:p>
        <w:p w14:paraId="6494A2AF" w14:textId="518212E4" w:rsidR="002D690D" w:rsidRDefault="00000000">
          <w:pPr>
            <w:pStyle w:val="TOC1"/>
            <w:tabs>
              <w:tab w:val="right" w:leader="dot" w:pos="9350"/>
            </w:tabs>
            <w:rPr>
              <w:noProof/>
            </w:rPr>
          </w:pPr>
          <w:hyperlink w:anchor="_Toc235202067" w:history="1">
            <w:r w:rsidR="002D690D" w:rsidRPr="002E2EF1">
              <w:rPr>
                <w:rStyle w:val="Hyperlink"/>
                <w:rFonts w:cs="Arial"/>
                <w:noProof/>
              </w:rPr>
              <w:t>Conclusion</w:t>
            </w:r>
            <w:r w:rsidR="002D690D">
              <w:rPr>
                <w:noProof/>
                <w:webHidden/>
              </w:rPr>
              <w:tab/>
            </w:r>
            <w:r w:rsidR="002D690D">
              <w:rPr>
                <w:noProof/>
                <w:webHidden/>
              </w:rPr>
              <w:fldChar w:fldCharType="begin"/>
            </w:r>
            <w:r w:rsidR="002D690D">
              <w:rPr>
                <w:noProof/>
                <w:webHidden/>
              </w:rPr>
              <w:instrText xml:space="preserve"> PAGEREF _Toc235202067 \h </w:instrText>
            </w:r>
            <w:r w:rsidR="002D690D">
              <w:rPr>
                <w:noProof/>
                <w:webHidden/>
              </w:rPr>
            </w:r>
            <w:r w:rsidR="002D690D">
              <w:rPr>
                <w:noProof/>
                <w:webHidden/>
              </w:rPr>
              <w:fldChar w:fldCharType="separate"/>
            </w:r>
            <w:r w:rsidR="00BD3E7C">
              <w:rPr>
                <w:noProof/>
                <w:webHidden/>
              </w:rPr>
              <w:t>7</w:t>
            </w:r>
            <w:r w:rsidR="002D690D">
              <w:rPr>
                <w:noProof/>
                <w:webHidden/>
              </w:rPr>
              <w:fldChar w:fldCharType="end"/>
            </w:r>
          </w:hyperlink>
        </w:p>
        <w:p w14:paraId="3531F9B4" w14:textId="6D4AF014" w:rsidR="002D690D" w:rsidRDefault="00000000">
          <w:pPr>
            <w:pStyle w:val="TOC1"/>
            <w:tabs>
              <w:tab w:val="right" w:leader="dot" w:pos="9350"/>
            </w:tabs>
            <w:rPr>
              <w:noProof/>
            </w:rPr>
          </w:pPr>
          <w:hyperlink w:anchor="_Toc235202068" w:history="1">
            <w:r w:rsidR="002D690D" w:rsidRPr="002E2EF1">
              <w:rPr>
                <w:rStyle w:val="Hyperlink"/>
                <w:rFonts w:cs="Arial"/>
                <w:noProof/>
              </w:rPr>
              <w:t>Reference List</w:t>
            </w:r>
            <w:r w:rsidR="002D690D">
              <w:rPr>
                <w:noProof/>
                <w:webHidden/>
              </w:rPr>
              <w:tab/>
            </w:r>
            <w:r w:rsidR="002D690D">
              <w:rPr>
                <w:noProof/>
                <w:webHidden/>
              </w:rPr>
              <w:fldChar w:fldCharType="begin"/>
            </w:r>
            <w:r w:rsidR="002D690D">
              <w:rPr>
                <w:noProof/>
                <w:webHidden/>
              </w:rPr>
              <w:instrText xml:space="preserve"> PAGEREF _Toc235202068 \h </w:instrText>
            </w:r>
            <w:r w:rsidR="002D690D">
              <w:rPr>
                <w:noProof/>
                <w:webHidden/>
              </w:rPr>
            </w:r>
            <w:r w:rsidR="002D690D">
              <w:rPr>
                <w:noProof/>
                <w:webHidden/>
              </w:rPr>
              <w:fldChar w:fldCharType="separate"/>
            </w:r>
            <w:r w:rsidR="00BD3E7C">
              <w:rPr>
                <w:noProof/>
                <w:webHidden/>
              </w:rPr>
              <w:t>9</w:t>
            </w:r>
            <w:r w:rsidR="002D690D">
              <w:rPr>
                <w:noProof/>
                <w:webHidden/>
              </w:rPr>
              <w:fldChar w:fldCharType="end"/>
            </w:r>
          </w:hyperlink>
        </w:p>
        <w:p w14:paraId="288B5A9B" w14:textId="30987058" w:rsidR="002D690D" w:rsidRDefault="002D690D">
          <w:r>
            <w:rPr>
              <w:b/>
              <w:bCs/>
              <w:noProof/>
            </w:rPr>
            <w:fldChar w:fldCharType="end"/>
          </w:r>
        </w:p>
      </w:sdtContent>
    </w:sdt>
    <w:p w14:paraId="4F67A5AB" w14:textId="77777777" w:rsidR="00DE1EC7" w:rsidRPr="00E24F78" w:rsidRDefault="00DE1EC7" w:rsidP="00DE1EC7">
      <w:pPr>
        <w:rPr>
          <w:rFonts w:eastAsia="Aptos" w:cs="Arial"/>
          <w:b/>
          <w:bCs/>
        </w:rPr>
      </w:pPr>
    </w:p>
    <w:p w14:paraId="21CC245E" w14:textId="77777777" w:rsidR="003F5088" w:rsidRDefault="008C1CB7">
      <w:r>
        <w:br w:type="page"/>
      </w:r>
    </w:p>
    <w:p w14:paraId="2F9BE737" w14:textId="77777777" w:rsidR="003F5088" w:rsidRPr="006E4ABE" w:rsidRDefault="008C1CB7" w:rsidP="000603DE">
      <w:pPr>
        <w:pStyle w:val="Heading1"/>
        <w:rPr>
          <w:rFonts w:ascii="Arial" w:hAnsi="Arial" w:cs="Arial"/>
        </w:rPr>
      </w:pPr>
      <w:bookmarkStart w:id="0" w:name="_Toc235202063"/>
      <w:r w:rsidRPr="006E4ABE">
        <w:rPr>
          <w:rFonts w:ascii="Arial" w:hAnsi="Arial" w:cs="Arial"/>
        </w:rPr>
        <w:lastRenderedPageBreak/>
        <w:t>Introduction</w:t>
      </w:r>
      <w:bookmarkEnd w:id="0"/>
    </w:p>
    <w:p w14:paraId="0B02043F" w14:textId="77777777" w:rsidR="003F5088" w:rsidRDefault="008C1CB7" w:rsidP="000603DE">
      <w:pPr>
        <w:jc w:val="both"/>
      </w:pPr>
      <w:r>
        <w:t xml:space="preserve">The Sustainable Development Goals (SDGs) are a United Nations plan for improving people’s lives while protecting society, the economy and the environment (United Nations, 2015). This report examines SDG 3, Good Health and Wellbeing, and SDG 10, Reduced Inequalities. The two goals are closely linked because health is shaped not only by healthcare, but also by income, housing, education, work, discrimination and access to services (Marmot </w:t>
      </w:r>
      <w:r w:rsidRPr="009F443D">
        <w:rPr>
          <w:i/>
          <w:iCs/>
        </w:rPr>
        <w:t>et al</w:t>
      </w:r>
      <w:r>
        <w:t>., 2020; World Health Organization, 2025a). Therefore, progress on SDG 3 is unlikely without progress on SDG 10.</w:t>
      </w:r>
    </w:p>
    <w:p w14:paraId="6769A180" w14:textId="77777777" w:rsidR="003F5088" w:rsidRDefault="008C1CB7" w:rsidP="000603DE">
      <w:pPr>
        <w:jc w:val="both"/>
      </w:pPr>
      <w:r>
        <w:t xml:space="preserve">The report considers policy and practice at global, national and local levels. The national focus is England and the local example is Birmingham. It uses the biopsychosocial model, the social determinants of health model, Health in All Policies and the Health Belief Model to explain why health problems have personal, social and structural causes (Engel, 1977; World Health Organization, 2014). The report argues that current policies provide useful aims and examples of good practice. However, their impact is limited by poverty, unequal access, staff shortages, short-term funding and weak evaluation (Marmot </w:t>
      </w:r>
      <w:r w:rsidRPr="009F443D">
        <w:rPr>
          <w:i/>
          <w:iCs/>
        </w:rPr>
        <w:t>et al</w:t>
      </w:r>
      <w:r>
        <w:t>., 2020). It evaluates universal health coverage, national NHS policy, Core20PLUS5, integrated care, social prescribing and Birmingham’s health and wellbeing strategy. It then gives practical recommendations for improvement.</w:t>
      </w:r>
    </w:p>
    <w:p w14:paraId="5A65A9AE" w14:textId="77777777" w:rsidR="003F5088" w:rsidRPr="006E4ABE" w:rsidRDefault="008C1CB7" w:rsidP="000603DE">
      <w:pPr>
        <w:pStyle w:val="Heading1"/>
        <w:rPr>
          <w:rFonts w:ascii="Arial" w:hAnsi="Arial" w:cs="Arial"/>
        </w:rPr>
      </w:pPr>
      <w:bookmarkStart w:id="1" w:name="_Toc235202064"/>
      <w:r w:rsidRPr="006E4ABE">
        <w:rPr>
          <w:rFonts w:ascii="Arial" w:hAnsi="Arial" w:cs="Arial"/>
        </w:rPr>
        <w:t>1. SDG 3: Good Health and Wellbeing</w:t>
      </w:r>
      <w:bookmarkEnd w:id="1"/>
    </w:p>
    <w:p w14:paraId="092B4D8F" w14:textId="77777777" w:rsidR="003F5088" w:rsidRDefault="008C1CB7" w:rsidP="000603DE">
      <w:pPr>
        <w:jc w:val="both"/>
      </w:pPr>
      <w:r>
        <w:t>SDG 3 aims to ensure healthy lives and promote wellbeing for people of all ages. Its targets include maternal and child health, infectious diseases, long-term illness, mental health, substance misuse, road safety, sexual health and universal health coverage (United Nations, 2015). This wide focus is a strength because health is more than the absence of disease. The World Health Organization (WHO, 1948) defines health as physical, mental and social wellbeing. Engel’s (1977) biopsychosocial model supports this view by showing that illness is affected by the body, the mind and the social environment.</w:t>
      </w:r>
    </w:p>
    <w:p w14:paraId="5D4B1627" w14:textId="77777777" w:rsidR="003F5088" w:rsidRDefault="008C1CB7" w:rsidP="000603DE">
      <w:pPr>
        <w:jc w:val="both"/>
      </w:pPr>
      <w:r>
        <w:t>At global level, there has been real progress. The global maternal mortality ratio fell from 228 deaths per 100,000 live births in 2015 to 197 in 2023. However, this remains far above the SDG target of fewer than 70 deaths by 2030 (United Nations, 2025a). Universal health coverage has also improved, but too slowly. The WHO reports that the global service coverage score rose from 54 in 2000 to 71 in 2023. On the current path, the world will not meet the 2030 target, and many people will still face financial hardship when using health services (WHO and World Bank, 2025). These figures show that SDG 3 has helped create common measures and political attention, but targets alone do not ensure fair delivery.</w:t>
      </w:r>
    </w:p>
    <w:p w14:paraId="249DC0A5" w14:textId="77777777" w:rsidR="003F5088" w:rsidRDefault="008C1CB7" w:rsidP="000603DE">
      <w:pPr>
        <w:jc w:val="both"/>
      </w:pPr>
      <w:r>
        <w:lastRenderedPageBreak/>
        <w:t xml:space="preserve">The social determinants of health model explains this gap. Health is shaped by the conditions in which people are born, grow, live, work and age (Marmot </w:t>
      </w:r>
      <w:r w:rsidRPr="009F443D">
        <w:rPr>
          <w:i/>
          <w:iCs/>
        </w:rPr>
        <w:t>et al</w:t>
      </w:r>
      <w:r>
        <w:t>., 2020; WHO, 2025a). Poor housing, low income, unsafe work and weak social protection increase illness and reduce access to care. Global health policy can therefore fail when it focuses mainly on treatment. Health in All Policies offers a stronger approach because it asks all government areas, including housing, transport and education, to consider health effects (WHO, 2014). Its weakness is that responsibility can become unclear when many organisations are involved.</w:t>
      </w:r>
    </w:p>
    <w:p w14:paraId="52F431B0" w14:textId="77777777" w:rsidR="003F5088" w:rsidRDefault="008C1CB7" w:rsidP="000603DE">
      <w:pPr>
        <w:jc w:val="both"/>
      </w:pPr>
      <w:r>
        <w:t>In England, the NHS gives wide access to healthcare without direct charges for most services. This supports SDG 3. The NHS Long Term Plan also placed more focus on prevention, mental health, personalised care and joined-up services (NHS England, 2019). More recent policy, including the 10 Year Health Plan for England, continues the move from hospital care to community care, from paper to digital systems, and from treatment to prevention (Department of Health and Social Care, 2025). These aims are sensible because early support can reduce illness and pressure on hospitals. Yet policy ambition is greater than current capacity. Long waiting times, staff shortages and pressure in primary care make prevention difficult when services are dealing with urgent demand.</w:t>
      </w:r>
    </w:p>
    <w:p w14:paraId="7D230C2B" w14:textId="2A722215" w:rsidR="003F5088" w:rsidRDefault="008C1CB7" w:rsidP="000603DE">
      <w:pPr>
        <w:jc w:val="both"/>
      </w:pPr>
      <w:r>
        <w:t>National health results also remain unequal. In 2022</w:t>
      </w:r>
      <w:r w:rsidR="00B170E6">
        <w:t>-</w:t>
      </w:r>
      <w:r>
        <w:t xml:space="preserve">2024, men in the most deprived parts of England had a life expectancy of 73.2 years, compared with 83.6 years in the least deprived areas. Healthy life expectancy was 49.8 years in the most deprived areas and 69.2 years in the least deprived areas. Similar gaps existed for women (Office for National Statistics, 2026). This is strong evidence that universal services do not automatically create equal outcomes. The Marmot principle of proportionate universalism is useful here: services should be open to everyone, but the amount of support should increase with the level of disadvantage (Marmot </w:t>
      </w:r>
      <w:r w:rsidRPr="009F443D">
        <w:rPr>
          <w:i/>
          <w:iCs/>
        </w:rPr>
        <w:t>et al</w:t>
      </w:r>
      <w:r>
        <w:t>., 2020).</w:t>
      </w:r>
    </w:p>
    <w:p w14:paraId="4496C8A7" w14:textId="77777777" w:rsidR="003F5088" w:rsidRDefault="008C1CB7" w:rsidP="000603DE">
      <w:pPr>
        <w:jc w:val="both"/>
      </w:pPr>
      <w:r>
        <w:t>Core20PLUS5 is a national NHS approach that tries to apply this principle. It focuses on the most deprived 20 per cent of the population, locally identified groups and five main clinical areas (NHS England, 2024a). Its strength is that it directs attention to people who are often missed. However, it mainly addresses healthcare inequalities. It cannot by itself remove low pay, poor housing or insecure work. Its effect also depends on accurate local data and stable funding.</w:t>
      </w:r>
    </w:p>
    <w:p w14:paraId="679C9265" w14:textId="77777777" w:rsidR="003F5088" w:rsidRDefault="008C1CB7" w:rsidP="000603DE">
      <w:pPr>
        <w:jc w:val="both"/>
      </w:pPr>
      <w:r>
        <w:t xml:space="preserve">Birmingham’s Creating a Bolder, Healthier City strategy is a practical local response. It aims to reduce health inequalities by acting earlier and tackling structural barriers (Birmingham City Council, 2022). Work includes community health champions, mental wellbeing action and partnership through the Birmingham and Solihull Integrated Care System. Community champions can build trust and share health messages through local networks (Birmingham City Council, </w:t>
      </w:r>
      <w:r>
        <w:lastRenderedPageBreak/>
        <w:t>2025a). This reflects the Health Belief Model because trusted information can increase awareness of risk, explain benefits and improve confidence to take action. However, information is not enough when residents cannot afford healthy food, heating or transport. The strategy’s annual reviews show useful partnership work, but local reports do not always provide clear long-term outcome data. This makes it hard to prove that activities have reduced the health gap (Birmingham City Council, 2024).</w:t>
      </w:r>
    </w:p>
    <w:p w14:paraId="7CA923D3" w14:textId="77777777" w:rsidR="003F5088" w:rsidRDefault="008C1CB7" w:rsidP="000603DE">
      <w:pPr>
        <w:jc w:val="both"/>
      </w:pPr>
      <w:r>
        <w:t>SDG 3 policy is therefore partly effective. It has widened the meaning of health, encouraged common targets and supported prevention. Its main limits are slow global progress, unequal national outcomes and local delivery pressures. Improvement requires stronger action on the causes of poor health, not only more health services.</w:t>
      </w:r>
    </w:p>
    <w:p w14:paraId="7FD04E82" w14:textId="77777777" w:rsidR="003F5088" w:rsidRDefault="008C1CB7" w:rsidP="000603DE">
      <w:pPr>
        <w:pStyle w:val="Heading1"/>
      </w:pPr>
      <w:bookmarkStart w:id="2" w:name="_Toc235202065"/>
      <w:r w:rsidRPr="006E4ABE">
        <w:rPr>
          <w:rFonts w:ascii="Arial" w:hAnsi="Arial" w:cs="Arial"/>
        </w:rPr>
        <w:t>2.</w:t>
      </w:r>
      <w:r>
        <w:t xml:space="preserve"> </w:t>
      </w:r>
      <w:r w:rsidRPr="006E4ABE">
        <w:rPr>
          <w:rFonts w:ascii="Arial" w:hAnsi="Arial" w:cs="Arial"/>
        </w:rPr>
        <w:t>SDG 10: Reduced Inequalities</w:t>
      </w:r>
      <w:bookmarkEnd w:id="2"/>
    </w:p>
    <w:p w14:paraId="7560D0FA" w14:textId="77777777" w:rsidR="003F5088" w:rsidRDefault="008C1CB7" w:rsidP="000603DE">
      <w:pPr>
        <w:jc w:val="both"/>
      </w:pPr>
      <w:r>
        <w:t>SDG 10 aims to reduce inequality within and between countries. It includes social, economic and political inclusion, fair opportunity, safer migration and better representation of lower-income countries (United Nations, 2015). It affects health because unequal societies expose some groups to more risk and fewer resources. Low income can limit healthy food, safe housing, leisure and transport. Discrimination can also reduce trust in services and lead to poorer care.</w:t>
      </w:r>
    </w:p>
    <w:p w14:paraId="1E3DFB7C" w14:textId="77777777" w:rsidR="003F5088" w:rsidRDefault="008C1CB7" w:rsidP="000603DE">
      <w:pPr>
        <w:jc w:val="both"/>
      </w:pPr>
      <w:r>
        <w:t>Globally, SDG 10 has had mixed results. Social protection expanded during the COVID-19 pandemic, but large gaps remain between and within countries. Many low-income countries also have less public money for health and welfare because of debt and weak tax systems (United Nations, 2025b). The SDG framework is valuable because it presents inequality as a shared policy problem rather than a personal failure. However, it has limited enforcement power. Governments can support the goal in public while continuing policies that widen income or service gaps.</w:t>
      </w:r>
    </w:p>
    <w:p w14:paraId="4AE596D8" w14:textId="77777777" w:rsidR="003F5088" w:rsidRDefault="008C1CB7" w:rsidP="000603DE">
      <w:pPr>
        <w:jc w:val="both"/>
      </w:pPr>
      <w:r>
        <w:t xml:space="preserve">The social determinants model gives a clear reason to link SDG 10 with SDG 3. Marmot </w:t>
      </w:r>
      <w:r w:rsidRPr="004011C9">
        <w:rPr>
          <w:i/>
          <w:iCs/>
        </w:rPr>
        <w:t>et al</w:t>
      </w:r>
      <w:r>
        <w:t>. (2020) argue that health follows a social gradient: health generally becomes worse at each lower level of social advantage. This means policy should not only help the very poorest. It should improve daily living conditions across society, while giving greater support where need is higher. The capabilities approach also adds value. Sen (1999) argues that development should expand what people are genuinely able to do and be. For health policy, a service is not truly accessible simply because it exists. People must have the time, money, language support, transport, digital access and confidence to use it.</w:t>
      </w:r>
    </w:p>
    <w:p w14:paraId="64D8AB4B" w14:textId="77777777" w:rsidR="003F5088" w:rsidRDefault="008C1CB7" w:rsidP="000603DE">
      <w:pPr>
        <w:jc w:val="both"/>
      </w:pPr>
      <w:r>
        <w:t xml:space="preserve">National policy in England recognises some of these issues. The Equality Act 2010 protects people from discrimination linked to characteristics such as disability, race, sex, age and religion. </w:t>
      </w:r>
      <w:r>
        <w:lastRenderedPageBreak/>
        <w:t>The Care Act 2014 places individual wellbeing at the centre of adult social care and requires action to prevent or delay care needs. Integrated Care Systems were created to join NHS bodies, councils and other partners around population health (Health and Care Act 2022). These policies support SDG 10 because they promote fair access and shared responsibility. Yet legal rights do not always become equal experiences. People may still face language barriers, inaccessible buildings, digital exclusion or long waits.</w:t>
      </w:r>
    </w:p>
    <w:p w14:paraId="67303961" w14:textId="77777777" w:rsidR="003F5088" w:rsidRDefault="008C1CB7" w:rsidP="000603DE">
      <w:pPr>
        <w:jc w:val="both"/>
      </w:pPr>
      <w:r>
        <w:t>Social prescribing is one example of joined-up practice. Link workers connect people with local groups, welfare advice, exercise, arts or befriending support (NHS England, 2024b). This can improve wellbeing by dealing with loneliness and practical problems that medicine cannot solve. Reviews suggest that social prescribing may improve wellbeing and, in some places, reduce use of health services. However, the evidence is uneven because schemes use different measures and often have no strong comparison group (National Academy for Social Prescribing, 2024). It may also shift demand to voluntary organisations that have insecure funding. Social prescribing is therefore helpful, but it is not a replacement for adequate mental health care, housing support or income protection.</w:t>
      </w:r>
    </w:p>
    <w:p w14:paraId="401635F9" w14:textId="77777777" w:rsidR="003F5088" w:rsidRDefault="008C1CB7" w:rsidP="000603DE">
      <w:pPr>
        <w:jc w:val="both"/>
      </w:pPr>
      <w:r>
        <w:t>Digital health creates a similar tension. Online appointments, apps and remote monitoring can save travel and make services easier for some people. They may also reduce carbon emissions, linking health with environmental sustainability. However, digital-first services can exclude people who lack devices, data, skills, privacy or accessible software. A policy can appear efficient while increasing inequality. Services should therefore keep phone and face-to-face routes and provide digital support.</w:t>
      </w:r>
    </w:p>
    <w:p w14:paraId="2F217556" w14:textId="77777777" w:rsidR="003F5088" w:rsidRDefault="008C1CB7" w:rsidP="000603DE">
      <w:pPr>
        <w:jc w:val="both"/>
      </w:pPr>
      <w:r>
        <w:t>Birmingham faces major inequality challenges linked to deprivation, ethnicity, housing and employment. The city’s strategy correctly focuses on early action, community power and the wider causes of health (Birmingham City Council, 2022). The Bolder Healthier Champions programme is a useful real-world example because it uses trusted local people rather than relying only on formal services (Birmingham City Council, 2025a). Birmingham’s mentally healthy city work also brings public services, employers and community groups together (Birmingham City Council, 2026). These initiatives fit the biopsychosocial model because they address social connection and daily life as well as symptoms.</w:t>
      </w:r>
    </w:p>
    <w:p w14:paraId="319F42F4" w14:textId="77777777" w:rsidR="003F5088" w:rsidRDefault="008C1CB7" w:rsidP="000603DE">
      <w:pPr>
        <w:jc w:val="both"/>
      </w:pPr>
      <w:r>
        <w:t xml:space="preserve">Their effectiveness is still limited by wider conditions. Birmingham City Council’s financial pressures may reduce prevention and community services at the same time as need rises. Local voluntary groups may also struggle with short grants and staff turnover. In addition, broad city-wide plans can hide differences between neighbourhoods. Better local data are needed on who </w:t>
      </w:r>
      <w:r>
        <w:lastRenderedPageBreak/>
        <w:t>uses services, who drops out and who reports improved health. Data should be broken down by deprivation, ethnicity, disability, sex and age, while protecting privacy.</w:t>
      </w:r>
    </w:p>
    <w:p w14:paraId="45D854E5" w14:textId="77777777" w:rsidR="003F5088" w:rsidRDefault="008C1CB7" w:rsidP="000603DE">
      <w:pPr>
        <w:jc w:val="both"/>
      </w:pPr>
      <w:r>
        <w:t>SDG 10 is therefore essential for health and wellbeing, but current action is not strong enough. Equality law and targeted NHS programmes improve access, yet they do not fully change the unequal distribution of money, power and healthy living conditions. Local partnership projects are promising, but they need secure funding and stronger evaluation.</w:t>
      </w:r>
    </w:p>
    <w:p w14:paraId="173DAF42" w14:textId="77777777" w:rsidR="003F5088" w:rsidRPr="006E4ABE" w:rsidRDefault="008C1CB7" w:rsidP="000603DE">
      <w:pPr>
        <w:pStyle w:val="Heading1"/>
        <w:rPr>
          <w:rFonts w:ascii="Arial" w:hAnsi="Arial" w:cs="Arial"/>
        </w:rPr>
      </w:pPr>
      <w:bookmarkStart w:id="3" w:name="_Toc235202066"/>
      <w:r w:rsidRPr="006E4ABE">
        <w:rPr>
          <w:rFonts w:ascii="Arial" w:hAnsi="Arial" w:cs="Arial"/>
        </w:rPr>
        <w:t>Recommendations</w:t>
      </w:r>
      <w:bookmarkEnd w:id="3"/>
    </w:p>
    <w:p w14:paraId="34793731" w14:textId="77777777" w:rsidR="003F5088" w:rsidRDefault="008C1CB7" w:rsidP="000603DE">
      <w:pPr>
        <w:jc w:val="both"/>
      </w:pPr>
      <w:r>
        <w:t>First, national and local bodies should use proportionate universalism. Core services should remain open to all, but more staff, outreach and money should go to neighbourhoods with the worst health outcomes. Funding decisions should use deprivation and healthy life expectancy data, not only population size.</w:t>
      </w:r>
    </w:p>
    <w:p w14:paraId="29471FD4" w14:textId="77777777" w:rsidR="003F5088" w:rsidRDefault="008C1CB7" w:rsidP="000603DE">
      <w:pPr>
        <w:jc w:val="both"/>
      </w:pPr>
      <w:r>
        <w:t>Second, Birmingham and the NHS should publish a small set of shared outcome measures. These should include healthy life expectancy, mental wellbeing, access, patient experience, preventable hospital use and carbon impact. Results should be reported by population group and neighbourhood so that unequal outcomes are visible.</w:t>
      </w:r>
    </w:p>
    <w:p w14:paraId="289CD75E" w14:textId="77777777" w:rsidR="003F5088" w:rsidRDefault="008C1CB7" w:rsidP="000603DE">
      <w:pPr>
        <w:jc w:val="both"/>
      </w:pPr>
      <w:r>
        <w:t>Third, community and voluntary organisations should receive longer contracts rather than short grants. This would improve staff stability, trust and evaluation. Residents should be paid for co-production work so that participation is not limited to people who can volunteer for free.</w:t>
      </w:r>
    </w:p>
    <w:p w14:paraId="23FEF257" w14:textId="77777777" w:rsidR="003F5088" w:rsidRDefault="008C1CB7" w:rsidP="000603DE">
      <w:pPr>
        <w:jc w:val="both"/>
      </w:pPr>
      <w:r>
        <w:t>Fourth, digital services should be offered as a choice, not the only route. Face-to-face and telephone access, interpreters and accessible information must remain available. Digital inclusion support should be built into service plans.</w:t>
      </w:r>
    </w:p>
    <w:p w14:paraId="06A3A822" w14:textId="77777777" w:rsidR="003F5088" w:rsidRDefault="008C1CB7" w:rsidP="000603DE">
      <w:pPr>
        <w:jc w:val="both"/>
      </w:pPr>
      <w:r>
        <w:t>Finally, Health in All Policies should be strengthened. Health impact assessments should be used for major decisions on housing, transport, planning, employment and council budgets. This would move prevention beyond the NHS and address the main causes shared by SDG 3 and SDG 10.</w:t>
      </w:r>
    </w:p>
    <w:p w14:paraId="4F75E07D" w14:textId="77777777" w:rsidR="003F5088" w:rsidRPr="006E4ABE" w:rsidRDefault="008C1CB7" w:rsidP="000603DE">
      <w:pPr>
        <w:pStyle w:val="Heading1"/>
        <w:rPr>
          <w:rFonts w:ascii="Arial" w:hAnsi="Arial" w:cs="Arial"/>
        </w:rPr>
      </w:pPr>
      <w:bookmarkStart w:id="4" w:name="_Toc235202067"/>
      <w:r w:rsidRPr="006E4ABE">
        <w:rPr>
          <w:rFonts w:ascii="Arial" w:hAnsi="Arial" w:cs="Arial"/>
        </w:rPr>
        <w:t>Conclusion</w:t>
      </w:r>
      <w:bookmarkEnd w:id="4"/>
    </w:p>
    <w:p w14:paraId="783207D4" w14:textId="77777777" w:rsidR="003F5088" w:rsidRDefault="008C1CB7" w:rsidP="000603DE">
      <w:pPr>
        <w:jc w:val="both"/>
      </w:pPr>
      <w:r>
        <w:t>SDG 3 and SDG 10 have a direct and important effect on citizens’ health and wellbeing. SDG 3 has encouraged action on a wide range of health needs and has supported universal coverage, prevention and joined-up care. However, global progress is too slow and large gaps remain. In England, access to NHS services is a major strength, but healthy life expectancy differs greatly between rich and poor areas.</w:t>
      </w:r>
    </w:p>
    <w:p w14:paraId="326349DA" w14:textId="77777777" w:rsidR="003F5088" w:rsidRDefault="008C1CB7" w:rsidP="000603DE">
      <w:pPr>
        <w:jc w:val="both"/>
      </w:pPr>
      <w:r>
        <w:lastRenderedPageBreak/>
        <w:t>SDG 10 explains why these gaps continue. Health is shaped by income, housing, work, discrimination and the ability to use services. National initiatives such as Core20PLUS5, integrated care and social prescribing show useful progress. Birmingham’s health strategy and community champions also provide practical local examples. Their impact is weakened by financial pressure, uneven access and limited long-term evidence.</w:t>
      </w:r>
    </w:p>
    <w:p w14:paraId="2614F129" w14:textId="77777777" w:rsidR="003F5088" w:rsidRDefault="008C1CB7" w:rsidP="000603DE">
      <w:pPr>
        <w:jc w:val="both"/>
      </w:pPr>
      <w:r>
        <w:t>The two goals should therefore be treated together. Better healthcare is necessary, but it cannot remove health inequality on its own. The strongest approach combines universal services, extra help based on need, action on wider living conditions and meaningful community involvement. Clear outcome measures and stable prevention funding are needed to turn policy aims into fair and lasting improvements.</w:t>
      </w:r>
    </w:p>
    <w:p w14:paraId="0C7477E2" w14:textId="77777777" w:rsidR="003F5088" w:rsidRDefault="008C1CB7">
      <w:r>
        <w:br w:type="page"/>
      </w:r>
    </w:p>
    <w:p w14:paraId="23B1AECE" w14:textId="51034ADC" w:rsidR="0098662E" w:rsidRPr="0098662E" w:rsidRDefault="008C1CB7" w:rsidP="00BB07F6">
      <w:pPr>
        <w:pStyle w:val="Heading1"/>
        <w:rPr>
          <w:rFonts w:ascii="Arial" w:hAnsi="Arial" w:cs="Arial"/>
        </w:rPr>
      </w:pPr>
      <w:bookmarkStart w:id="5" w:name="_Toc235202068"/>
      <w:r w:rsidRPr="006E4ABE">
        <w:rPr>
          <w:rFonts w:ascii="Arial" w:hAnsi="Arial" w:cs="Arial"/>
        </w:rPr>
        <w:lastRenderedPageBreak/>
        <w:t>Reference List</w:t>
      </w:r>
      <w:bookmarkEnd w:id="5"/>
    </w:p>
    <w:p w14:paraId="2F085576" w14:textId="400BC213" w:rsidR="006E4ABE" w:rsidRDefault="0098662E" w:rsidP="006E4ABE">
      <w:pPr>
        <w:spacing w:after="160"/>
        <w:contextualSpacing/>
        <w:rPr>
          <w:rFonts w:eastAsia="Aptos" w:cs="Arial"/>
          <w:kern w:val="2"/>
          <w:lang w:val="en-GB"/>
          <w14:ligatures w14:val="standardContextual"/>
        </w:rPr>
      </w:pPr>
      <w:r w:rsidRPr="0098662E">
        <w:rPr>
          <w:rFonts w:eastAsia="Aptos" w:cs="Arial"/>
          <w:kern w:val="2"/>
          <w:lang w:val="en-GB"/>
          <w14:ligatures w14:val="standardContextual"/>
        </w:rPr>
        <w:t xml:space="preserve">Birmingham City Council (2022) Creating a </w:t>
      </w:r>
      <w:proofErr w:type="gramStart"/>
      <w:r w:rsidRPr="0098662E">
        <w:rPr>
          <w:rFonts w:eastAsia="Aptos" w:cs="Arial"/>
          <w:kern w:val="2"/>
          <w:lang w:val="en-GB"/>
          <w14:ligatures w14:val="standardContextual"/>
        </w:rPr>
        <w:t>Bolder</w:t>
      </w:r>
      <w:proofErr w:type="gramEnd"/>
      <w:r w:rsidRPr="0098662E">
        <w:rPr>
          <w:rFonts w:eastAsia="Aptos" w:cs="Arial"/>
          <w:kern w:val="2"/>
          <w:lang w:val="en-GB"/>
          <w14:ligatures w14:val="standardContextual"/>
        </w:rPr>
        <w:t>, Healthier City 2022 to 2030. Birmingham: Birmingham City Council. Available at: https://www.birmingham.gov.uk/downloads/file/23756/creating_a_bolder_healthier_city_2022_to_2030 (Accessed: 13 July 2026).</w:t>
      </w:r>
    </w:p>
    <w:p w14:paraId="04AF05BA" w14:textId="77777777" w:rsidR="000603DE" w:rsidRPr="006E4ABE" w:rsidRDefault="000603DE" w:rsidP="006E4ABE">
      <w:pPr>
        <w:spacing w:after="160"/>
        <w:contextualSpacing/>
        <w:rPr>
          <w:rFonts w:eastAsia="Aptos" w:cs="Arial"/>
          <w:kern w:val="2"/>
          <w:lang w:val="en-GB"/>
          <w14:ligatures w14:val="standardContextual"/>
        </w:rPr>
      </w:pPr>
    </w:p>
    <w:p w14:paraId="7C647F1F"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Birmingham City Council (2024) </w:t>
      </w:r>
      <w:r w:rsidRPr="0098662E">
        <w:rPr>
          <w:rFonts w:eastAsia="Aptos" w:cs="Arial"/>
          <w:i/>
          <w:iCs/>
          <w:kern w:val="2"/>
          <w:lang w:val="en-GB"/>
          <w14:ligatures w14:val="standardContextual"/>
        </w:rPr>
        <w:t>Joint Health and Wellbeing Strategy Annual Review 2023–2024</w:t>
      </w:r>
      <w:r w:rsidRPr="0098662E">
        <w:rPr>
          <w:rFonts w:eastAsia="Aptos" w:cs="Arial"/>
          <w:kern w:val="2"/>
          <w:lang w:val="en-GB"/>
          <w14:ligatures w14:val="standardContextual"/>
        </w:rPr>
        <w:t xml:space="preserve">. Birmingham: Birmingham City Council. Available at: https://www.birmingham.gov.uk/downloads/file/30013/joint_health_and_wellbeing_strategy_annual_review_2023-2024 (Accessed: 13 July 2026). </w:t>
      </w:r>
    </w:p>
    <w:p w14:paraId="366DC0AC" w14:textId="77777777" w:rsidR="0098662E" w:rsidRPr="0098662E" w:rsidRDefault="0098662E" w:rsidP="006E4ABE">
      <w:pPr>
        <w:spacing w:after="160"/>
        <w:contextualSpacing/>
        <w:rPr>
          <w:rFonts w:eastAsia="Aptos" w:cs="Arial"/>
          <w:kern w:val="2"/>
          <w:lang w:val="en-GB"/>
          <w14:ligatures w14:val="standardContextual"/>
        </w:rPr>
      </w:pPr>
      <w:r w:rsidRPr="0098662E">
        <w:rPr>
          <w:rFonts w:eastAsia="Aptos" w:cs="Arial"/>
          <w:kern w:val="2"/>
          <w:lang w:val="en-GB"/>
          <w14:ligatures w14:val="standardContextual"/>
        </w:rPr>
        <w:t>Birmingham City Council (2025a) Bolder Healthier Champions. Available at: https://www.birmingham.gov.uk/info/50267/public_health_campaigns/2425/bolder_healthier_champions (Accessed: 13 July 2026).</w:t>
      </w:r>
    </w:p>
    <w:p w14:paraId="2B855C6E" w14:textId="77777777" w:rsidR="00BB07F6" w:rsidRPr="006E4ABE" w:rsidRDefault="00BB07F6" w:rsidP="006E4ABE">
      <w:pPr>
        <w:rPr>
          <w:rFonts w:cs="Arial"/>
        </w:rPr>
      </w:pPr>
      <w:r w:rsidRPr="006E4ABE">
        <w:rPr>
          <w:rFonts w:eastAsia="Aptos" w:cs="Arial"/>
          <w:kern w:val="2"/>
          <w:lang w:val="en-GB"/>
          <w14:ligatures w14:val="standardContextual"/>
        </w:rPr>
        <w:t xml:space="preserve">Birmingham City Council (2026) </w:t>
      </w:r>
      <w:r w:rsidRPr="006E4ABE">
        <w:rPr>
          <w:rFonts w:eastAsia="Aptos" w:cs="Arial"/>
          <w:i/>
          <w:iCs/>
          <w:kern w:val="2"/>
          <w:lang w:val="en-GB"/>
          <w14:ligatures w14:val="standardContextual"/>
        </w:rPr>
        <w:t>Creating a Mentally Healthy City Strategy</w:t>
      </w:r>
      <w:r w:rsidRPr="006E4ABE">
        <w:rPr>
          <w:rFonts w:eastAsia="Aptos" w:cs="Arial"/>
          <w:kern w:val="2"/>
          <w:lang w:val="en-GB"/>
          <w14:ligatures w14:val="standardContextual"/>
        </w:rPr>
        <w:t>. Available at: https://www.birmingham.gov.uk/info/50119/health_and_wellbeing_board/2415/creating_a_mentally_healthy_city_forum (Accessed: 17 July 2026)</w:t>
      </w:r>
    </w:p>
    <w:p w14:paraId="3637A88D"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Department of Health and Social Care (2025) </w:t>
      </w:r>
      <w:r w:rsidRPr="0098662E">
        <w:rPr>
          <w:rFonts w:eastAsia="Aptos" w:cs="Arial"/>
          <w:i/>
          <w:iCs/>
          <w:kern w:val="2"/>
          <w:lang w:val="en-GB"/>
          <w14:ligatures w14:val="standardContextual"/>
        </w:rPr>
        <w:t>10 Year Health Plan for England: fit for the future</w:t>
      </w:r>
      <w:r w:rsidRPr="0098662E">
        <w:rPr>
          <w:rFonts w:eastAsia="Aptos" w:cs="Arial"/>
          <w:kern w:val="2"/>
          <w:lang w:val="en-GB"/>
          <w14:ligatures w14:val="standardContextual"/>
        </w:rPr>
        <w:t xml:space="preserve">. London: Department of Health and Social Care. </w:t>
      </w:r>
    </w:p>
    <w:p w14:paraId="1049F2BB"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Engel, G.L. (1977) ‘The need for a new medical model: a challenge for biomedicine’, </w:t>
      </w:r>
      <w:r w:rsidRPr="0098662E">
        <w:rPr>
          <w:rFonts w:eastAsia="Aptos" w:cs="Arial"/>
          <w:i/>
          <w:iCs/>
          <w:kern w:val="2"/>
          <w:lang w:val="en-GB"/>
          <w14:ligatures w14:val="standardContextual"/>
        </w:rPr>
        <w:t>Science</w:t>
      </w:r>
      <w:r w:rsidRPr="0098662E">
        <w:rPr>
          <w:rFonts w:eastAsia="Aptos" w:cs="Arial"/>
          <w:kern w:val="2"/>
          <w:lang w:val="en-GB"/>
          <w14:ligatures w14:val="standardContextual"/>
        </w:rPr>
        <w:t xml:space="preserve">, 196(4286), pp. 129–136. </w:t>
      </w:r>
    </w:p>
    <w:p w14:paraId="7FF1AAAC"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Equality Act 2010 (c. 15). Available at: https://www.legislation.gov.uk/ukpga/2010/15/contents (Accessed: 17 July 2026)</w:t>
      </w:r>
    </w:p>
    <w:p w14:paraId="752D9845"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Health and Care Act 2022 (c. 31). Available at: https://www.legislation.gov.uk/ukpga/2022/31/contents (Accessed: 17 July 2026).</w:t>
      </w:r>
    </w:p>
    <w:p w14:paraId="71377EC8"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Marmot, M., Allen, J., Boyce, T., Goldblatt, P. and Morrison, J. (2020) </w:t>
      </w:r>
      <w:r w:rsidRPr="0098662E">
        <w:rPr>
          <w:rFonts w:eastAsia="Aptos" w:cs="Arial"/>
          <w:i/>
          <w:iCs/>
          <w:kern w:val="2"/>
          <w:lang w:val="en-GB"/>
          <w14:ligatures w14:val="standardContextual"/>
        </w:rPr>
        <w:t>Health Equity in England: The Marmot Review 10 Years On</w:t>
      </w:r>
      <w:r w:rsidRPr="0098662E">
        <w:rPr>
          <w:rFonts w:eastAsia="Aptos" w:cs="Arial"/>
          <w:kern w:val="2"/>
          <w:lang w:val="en-GB"/>
          <w14:ligatures w14:val="standardContextual"/>
        </w:rPr>
        <w:t xml:space="preserve">. London: Institute of Health Equity. </w:t>
      </w:r>
    </w:p>
    <w:p w14:paraId="7907B843"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National Academy for Social Prescribing (2024) </w:t>
      </w:r>
      <w:r w:rsidRPr="0098662E">
        <w:rPr>
          <w:rFonts w:eastAsia="Aptos" w:cs="Arial"/>
          <w:i/>
          <w:iCs/>
          <w:kern w:val="2"/>
          <w:lang w:val="en-GB"/>
          <w14:ligatures w14:val="standardContextual"/>
        </w:rPr>
        <w:t>The Impact of Social Prescribing on Health Service Use and Costs</w:t>
      </w:r>
      <w:r w:rsidRPr="0098662E">
        <w:rPr>
          <w:rFonts w:eastAsia="Aptos" w:cs="Arial"/>
          <w:kern w:val="2"/>
          <w:lang w:val="en-GB"/>
          <w14:ligatures w14:val="standardContextual"/>
        </w:rPr>
        <w:t xml:space="preserve">. London: National Academy for Social Prescribing. </w:t>
      </w:r>
    </w:p>
    <w:p w14:paraId="3834DB0D"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NHS England (2019) </w:t>
      </w:r>
      <w:r w:rsidRPr="0098662E">
        <w:rPr>
          <w:rFonts w:eastAsia="Aptos" w:cs="Arial"/>
          <w:i/>
          <w:iCs/>
          <w:kern w:val="2"/>
          <w:lang w:val="en-GB"/>
          <w14:ligatures w14:val="standardContextual"/>
        </w:rPr>
        <w:t>The NHS Long Term Plan</w:t>
      </w:r>
      <w:r w:rsidRPr="0098662E">
        <w:rPr>
          <w:rFonts w:eastAsia="Aptos" w:cs="Arial"/>
          <w:kern w:val="2"/>
          <w:lang w:val="en-GB"/>
          <w14:ligatures w14:val="standardContextual"/>
        </w:rPr>
        <w:t xml:space="preserve">. London: NHS England. </w:t>
      </w:r>
    </w:p>
    <w:p w14:paraId="5EC44D2D"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lastRenderedPageBreak/>
        <w:t xml:space="preserve">NHS England (2024a) </w:t>
      </w:r>
      <w:r w:rsidRPr="0098662E">
        <w:rPr>
          <w:rFonts w:eastAsia="Aptos" w:cs="Arial"/>
          <w:i/>
          <w:iCs/>
          <w:kern w:val="2"/>
          <w:lang w:val="en-GB"/>
          <w14:ligatures w14:val="standardContextual"/>
        </w:rPr>
        <w:t>Core20PLUS5 (Adults): An Approach to Reducing Healthcare Inequalities</w:t>
      </w:r>
      <w:r w:rsidRPr="0098662E">
        <w:rPr>
          <w:rFonts w:eastAsia="Aptos" w:cs="Arial"/>
          <w:kern w:val="2"/>
          <w:lang w:val="en-GB"/>
          <w14:ligatures w14:val="standardContextual"/>
        </w:rPr>
        <w:t xml:space="preserve">. Available at: https://www.england.nhs.uk/about/equality/equality-hub/national-healthcare-inequalities-improvement-programme/core20plus5/ (Accessed: 10 July 2026). </w:t>
      </w:r>
    </w:p>
    <w:p w14:paraId="2BD18DD1"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NHS England (2024b) </w:t>
      </w:r>
      <w:r w:rsidRPr="0098662E">
        <w:rPr>
          <w:rFonts w:eastAsia="Aptos" w:cs="Arial"/>
          <w:i/>
          <w:iCs/>
          <w:kern w:val="2"/>
          <w:lang w:val="en-GB"/>
          <w14:ligatures w14:val="standardContextual"/>
        </w:rPr>
        <w:t>Social Prescribing</w:t>
      </w:r>
      <w:r w:rsidRPr="0098662E">
        <w:rPr>
          <w:rFonts w:eastAsia="Aptos" w:cs="Arial"/>
          <w:kern w:val="2"/>
          <w:lang w:val="en-GB"/>
          <w14:ligatures w14:val="standardContextual"/>
        </w:rPr>
        <w:t xml:space="preserve">. Available at: https://www.england.nhs.uk/personalisedcare/social-prescribing/ (Accessed: 13 July 2026). </w:t>
      </w:r>
    </w:p>
    <w:p w14:paraId="213A55EE"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Office for National Statistics (2026) </w:t>
      </w:r>
      <w:r w:rsidRPr="0098662E">
        <w:rPr>
          <w:rFonts w:eastAsia="Aptos" w:cs="Arial"/>
          <w:i/>
          <w:iCs/>
          <w:kern w:val="2"/>
          <w:lang w:val="en-GB"/>
          <w14:ligatures w14:val="standardContextual"/>
        </w:rPr>
        <w:t>Healthy Life Expectancy by National Area Deprivation, England and Wales: 2022 to 2024</w:t>
      </w:r>
      <w:r w:rsidRPr="0098662E">
        <w:rPr>
          <w:rFonts w:eastAsia="Aptos" w:cs="Arial"/>
          <w:kern w:val="2"/>
          <w:lang w:val="en-GB"/>
          <w14:ligatures w14:val="standardContextual"/>
        </w:rPr>
        <w:t xml:space="preserve">. Newport: Office for National Statistics. </w:t>
      </w:r>
    </w:p>
    <w:p w14:paraId="55FF5E7B"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Sen, A. (1999) </w:t>
      </w:r>
      <w:r w:rsidRPr="0098662E">
        <w:rPr>
          <w:rFonts w:eastAsia="Aptos" w:cs="Arial"/>
          <w:i/>
          <w:iCs/>
          <w:kern w:val="2"/>
          <w:lang w:val="en-GB"/>
          <w14:ligatures w14:val="standardContextual"/>
        </w:rPr>
        <w:t>Development as Freedom</w:t>
      </w:r>
      <w:r w:rsidRPr="0098662E">
        <w:rPr>
          <w:rFonts w:eastAsia="Aptos" w:cs="Arial"/>
          <w:kern w:val="2"/>
          <w:lang w:val="en-GB"/>
          <w14:ligatures w14:val="standardContextual"/>
        </w:rPr>
        <w:t xml:space="preserve">. Oxford: Oxford University Press. </w:t>
      </w:r>
    </w:p>
    <w:p w14:paraId="40D8786A"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United Nations (2015) </w:t>
      </w:r>
      <w:r w:rsidRPr="0098662E">
        <w:rPr>
          <w:rFonts w:eastAsia="Aptos" w:cs="Arial"/>
          <w:i/>
          <w:iCs/>
          <w:kern w:val="2"/>
          <w:lang w:val="en-GB"/>
          <w14:ligatures w14:val="standardContextual"/>
        </w:rPr>
        <w:t>Transforming Our World: The 2030 Agenda for Sustainable Development</w:t>
      </w:r>
      <w:r w:rsidRPr="0098662E">
        <w:rPr>
          <w:rFonts w:eastAsia="Aptos" w:cs="Arial"/>
          <w:kern w:val="2"/>
          <w:lang w:val="en-GB"/>
          <w14:ligatures w14:val="standardContextual"/>
        </w:rPr>
        <w:t xml:space="preserve">. New York: United Nations. </w:t>
      </w:r>
    </w:p>
    <w:p w14:paraId="4B904B48"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United Nations (2025a) </w:t>
      </w:r>
      <w:r w:rsidRPr="0098662E">
        <w:rPr>
          <w:rFonts w:eastAsia="Aptos" w:cs="Arial"/>
          <w:i/>
          <w:iCs/>
          <w:kern w:val="2"/>
          <w:lang w:val="en-GB"/>
          <w14:ligatures w14:val="standardContextual"/>
        </w:rPr>
        <w:t>The Sustainable Development Goals Report 2025: Goal 3</w:t>
      </w:r>
      <w:r w:rsidRPr="0098662E">
        <w:rPr>
          <w:rFonts w:eastAsia="Aptos" w:cs="Arial"/>
          <w:kern w:val="2"/>
          <w:lang w:val="en-GB"/>
          <w14:ligatures w14:val="standardContextual"/>
        </w:rPr>
        <w:t xml:space="preserve">. New York: United Nations. </w:t>
      </w:r>
    </w:p>
    <w:p w14:paraId="79A4DBA6"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United Nations (2025b) </w:t>
      </w:r>
      <w:r w:rsidRPr="0098662E">
        <w:rPr>
          <w:rFonts w:eastAsia="Aptos" w:cs="Arial"/>
          <w:i/>
          <w:iCs/>
          <w:kern w:val="2"/>
          <w:lang w:val="en-GB"/>
          <w14:ligatures w14:val="standardContextual"/>
        </w:rPr>
        <w:t>The Sustainable Development Goals Report 2025: Goal 10</w:t>
      </w:r>
      <w:r w:rsidRPr="0098662E">
        <w:rPr>
          <w:rFonts w:eastAsia="Aptos" w:cs="Arial"/>
          <w:kern w:val="2"/>
          <w:lang w:val="en-GB"/>
          <w14:ligatures w14:val="standardContextual"/>
        </w:rPr>
        <w:t xml:space="preserve">. New York: United Nations. </w:t>
      </w:r>
    </w:p>
    <w:p w14:paraId="448B6EFC"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World Health Organization (1948) </w:t>
      </w:r>
      <w:r w:rsidRPr="0098662E">
        <w:rPr>
          <w:rFonts w:eastAsia="Aptos" w:cs="Arial"/>
          <w:i/>
          <w:iCs/>
          <w:kern w:val="2"/>
          <w:lang w:val="en-GB"/>
          <w14:ligatures w14:val="standardContextual"/>
        </w:rPr>
        <w:t>Constitution of the World Health Organization</w:t>
      </w:r>
      <w:r w:rsidRPr="0098662E">
        <w:rPr>
          <w:rFonts w:eastAsia="Aptos" w:cs="Arial"/>
          <w:kern w:val="2"/>
          <w:lang w:val="en-GB"/>
          <w14:ligatures w14:val="standardContextual"/>
        </w:rPr>
        <w:t xml:space="preserve">. Geneva: World Health Organization. </w:t>
      </w:r>
    </w:p>
    <w:p w14:paraId="342D80CE"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World Health Organization (2014) </w:t>
      </w:r>
      <w:r w:rsidRPr="0098662E">
        <w:rPr>
          <w:rFonts w:eastAsia="Aptos" w:cs="Arial"/>
          <w:i/>
          <w:iCs/>
          <w:kern w:val="2"/>
          <w:lang w:val="en-GB"/>
          <w14:ligatures w14:val="standardContextual"/>
        </w:rPr>
        <w:t>Health in All Policies: Helsinki Statement</w:t>
      </w:r>
      <w:r w:rsidRPr="0098662E">
        <w:rPr>
          <w:rFonts w:eastAsia="Aptos" w:cs="Arial"/>
          <w:kern w:val="2"/>
          <w:lang w:val="en-GB"/>
          <w14:ligatures w14:val="standardContextual"/>
        </w:rPr>
        <w:t xml:space="preserve">. Geneva: World Health Organization. </w:t>
      </w:r>
    </w:p>
    <w:p w14:paraId="50B32EB5"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World Health Organization (2025a) </w:t>
      </w:r>
      <w:r w:rsidRPr="0098662E">
        <w:rPr>
          <w:rFonts w:eastAsia="Aptos" w:cs="Arial"/>
          <w:i/>
          <w:iCs/>
          <w:kern w:val="2"/>
          <w:lang w:val="en-GB"/>
          <w14:ligatures w14:val="standardContextual"/>
        </w:rPr>
        <w:t>Social Determinants of Health Equity</w:t>
      </w:r>
      <w:r w:rsidRPr="0098662E">
        <w:rPr>
          <w:rFonts w:eastAsia="Aptos" w:cs="Arial"/>
          <w:kern w:val="2"/>
          <w:lang w:val="en-GB"/>
          <w14:ligatures w14:val="standardContextual"/>
        </w:rPr>
        <w:t xml:space="preserve">. Geneva: World Health Organization. </w:t>
      </w:r>
    </w:p>
    <w:p w14:paraId="0513C7B9" w14:textId="77777777" w:rsidR="00BB07F6" w:rsidRPr="0098662E" w:rsidRDefault="00BB07F6" w:rsidP="006E4ABE">
      <w:pPr>
        <w:spacing w:after="160"/>
        <w:rPr>
          <w:rFonts w:ascii="Aptos" w:eastAsia="Aptos" w:hAnsi="Aptos" w:cs="Times New Roman"/>
          <w:kern w:val="2"/>
          <w:sz w:val="24"/>
          <w:szCs w:val="24"/>
          <w:lang w:val="en-GB"/>
          <w14:ligatures w14:val="standardContextual"/>
        </w:rPr>
      </w:pPr>
      <w:r w:rsidRPr="0098662E">
        <w:rPr>
          <w:rFonts w:eastAsia="Aptos" w:cs="Arial"/>
          <w:kern w:val="2"/>
          <w:lang w:val="en-GB"/>
          <w14:ligatures w14:val="standardContextual"/>
        </w:rPr>
        <w:t xml:space="preserve">World Health Organization and World Bank (2025) </w:t>
      </w:r>
      <w:r w:rsidRPr="0098662E">
        <w:rPr>
          <w:rFonts w:eastAsia="Aptos" w:cs="Arial"/>
          <w:i/>
          <w:iCs/>
          <w:kern w:val="2"/>
          <w:lang w:val="en-GB"/>
          <w14:ligatures w14:val="standardContextual"/>
        </w:rPr>
        <w:t>Tracking Universal Health Coverage: 2025 Global Monitoring Report</w:t>
      </w:r>
      <w:r w:rsidRPr="0098662E">
        <w:rPr>
          <w:rFonts w:eastAsia="Aptos" w:cs="Arial"/>
          <w:kern w:val="2"/>
          <w:lang w:val="en-GB"/>
          <w14:ligatures w14:val="standardContextual"/>
        </w:rPr>
        <w:t>. Geneva: World Health Organization.</w:t>
      </w:r>
      <w:r w:rsidRPr="0098662E">
        <w:rPr>
          <w:rFonts w:ascii="Aptos" w:eastAsia="Aptos" w:hAnsi="Aptos" w:cs="Times New Roman"/>
          <w:kern w:val="2"/>
          <w:sz w:val="24"/>
          <w:szCs w:val="24"/>
          <w:lang w:val="en-GB"/>
          <w14:ligatures w14:val="standardContextual"/>
        </w:rPr>
        <w:t xml:space="preserve"> </w:t>
      </w:r>
    </w:p>
    <w:sectPr w:rsidR="00BB07F6" w:rsidRPr="0098662E" w:rsidSect="00034616">
      <w:footerReference w:type="default" r:id="rId8"/>
      <w:pgSz w:w="12240" w:h="15840"/>
      <w:pgMar w:top="1152" w:right="1440" w:bottom="1152"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08BE95" w14:textId="77777777" w:rsidR="008B7CC2" w:rsidRDefault="008B7CC2">
      <w:pPr>
        <w:spacing w:after="0" w:line="240" w:lineRule="auto"/>
      </w:pPr>
      <w:r>
        <w:separator/>
      </w:r>
    </w:p>
  </w:endnote>
  <w:endnote w:type="continuationSeparator" w:id="0">
    <w:p w14:paraId="185D7331" w14:textId="77777777" w:rsidR="008B7CC2" w:rsidRDefault="008B7C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7802501"/>
      <w:docPartObj>
        <w:docPartGallery w:val="Page Numbers (Bottom of Page)"/>
        <w:docPartUnique/>
      </w:docPartObj>
    </w:sdtPr>
    <w:sdtEndPr>
      <w:rPr>
        <w:noProof/>
      </w:rPr>
    </w:sdtEndPr>
    <w:sdtContent>
      <w:p w14:paraId="08730CC8" w14:textId="60A35146" w:rsidR="000603DE" w:rsidRDefault="000603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EE0F68" w14:textId="00459508" w:rsidR="003F5088" w:rsidRDefault="003F5088">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C52B91" w14:textId="77777777" w:rsidR="008B7CC2" w:rsidRDefault="008B7CC2">
      <w:pPr>
        <w:spacing w:after="0" w:line="240" w:lineRule="auto"/>
      </w:pPr>
      <w:r>
        <w:separator/>
      </w:r>
    </w:p>
  </w:footnote>
  <w:footnote w:type="continuationSeparator" w:id="0">
    <w:p w14:paraId="7499E28C" w14:textId="77777777" w:rsidR="008B7CC2" w:rsidRDefault="008B7C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2580750"/>
    <w:multiLevelType w:val="multilevel"/>
    <w:tmpl w:val="6AB2A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77450413">
    <w:abstractNumId w:val="8"/>
  </w:num>
  <w:num w:numId="2" w16cid:durableId="7294474">
    <w:abstractNumId w:val="6"/>
  </w:num>
  <w:num w:numId="3" w16cid:durableId="1642224485">
    <w:abstractNumId w:val="5"/>
  </w:num>
  <w:num w:numId="4" w16cid:durableId="1557619525">
    <w:abstractNumId w:val="4"/>
  </w:num>
  <w:num w:numId="5" w16cid:durableId="1898008272">
    <w:abstractNumId w:val="7"/>
  </w:num>
  <w:num w:numId="6" w16cid:durableId="50080225">
    <w:abstractNumId w:val="3"/>
  </w:num>
  <w:num w:numId="7" w16cid:durableId="1257403333">
    <w:abstractNumId w:val="2"/>
  </w:num>
  <w:num w:numId="8" w16cid:durableId="1694456381">
    <w:abstractNumId w:val="1"/>
  </w:num>
  <w:num w:numId="9" w16cid:durableId="822936819">
    <w:abstractNumId w:val="0"/>
  </w:num>
  <w:num w:numId="10" w16cid:durableId="76345868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3DE"/>
    <w:rsid w:val="0006063C"/>
    <w:rsid w:val="00074C02"/>
    <w:rsid w:val="000D0099"/>
    <w:rsid w:val="000F486D"/>
    <w:rsid w:val="0015074B"/>
    <w:rsid w:val="0029639D"/>
    <w:rsid w:val="002D690D"/>
    <w:rsid w:val="00326F90"/>
    <w:rsid w:val="003C11EA"/>
    <w:rsid w:val="003F5088"/>
    <w:rsid w:val="004011C9"/>
    <w:rsid w:val="006E4ABE"/>
    <w:rsid w:val="008B7CC2"/>
    <w:rsid w:val="008C1CB7"/>
    <w:rsid w:val="008C385F"/>
    <w:rsid w:val="00932270"/>
    <w:rsid w:val="0098662E"/>
    <w:rsid w:val="009F443D"/>
    <w:rsid w:val="00A04220"/>
    <w:rsid w:val="00A1467D"/>
    <w:rsid w:val="00AA1D8D"/>
    <w:rsid w:val="00B170E6"/>
    <w:rsid w:val="00B47730"/>
    <w:rsid w:val="00BB07F6"/>
    <w:rsid w:val="00BD3E7C"/>
    <w:rsid w:val="00C73948"/>
    <w:rsid w:val="00C873AA"/>
    <w:rsid w:val="00CB0664"/>
    <w:rsid w:val="00CD3F88"/>
    <w:rsid w:val="00CE561B"/>
    <w:rsid w:val="00DE1EC7"/>
    <w:rsid w:val="00FC693F"/>
    <w:rsid w:val="00FF22E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25B97D2"/>
  <w14:defaultImageDpi w14:val="300"/>
  <w15:docId w15:val="{032C4231-18A5-425E-880B-78850781E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2D690D"/>
    <w:pPr>
      <w:spacing w:after="100"/>
    </w:pPr>
  </w:style>
  <w:style w:type="character" w:styleId="Hyperlink">
    <w:name w:val="Hyperlink"/>
    <w:basedOn w:val="DefaultParagraphFont"/>
    <w:uiPriority w:val="99"/>
    <w:unhideWhenUsed/>
    <w:rsid w:val="002D690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2795</Words>
  <Characters>15938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18696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Jabeen</dc:creator>
  <cp:keywords/>
  <dc:description>generated by python-docx</dc:description>
  <cp:lastModifiedBy>Shazad Shah</cp:lastModifiedBy>
  <cp:revision>5</cp:revision>
  <cp:lastPrinted>2026-07-17T16:34:00Z</cp:lastPrinted>
  <dcterms:created xsi:type="dcterms:W3CDTF">2026-07-17T16:38:00Z</dcterms:created>
  <dcterms:modified xsi:type="dcterms:W3CDTF">2026-07-17T19:03:00Z</dcterms:modified>
  <cp:category/>
</cp:coreProperties>
</file>