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08260A" w14:textId="423D5491" w:rsidR="00111693" w:rsidRDefault="00111693" w:rsidP="00111693">
      <w:pPr>
        <w:jc w:val="center"/>
        <w:rPr>
          <w:b/>
          <w:bCs/>
          <w:u w:val="single"/>
        </w:rPr>
      </w:pPr>
      <w:r w:rsidRPr="00111693">
        <w:rPr>
          <w:b/>
          <w:bCs/>
          <w:u w:val="single"/>
        </w:rPr>
        <w:t>Dissertation Synopsis</w:t>
      </w:r>
    </w:p>
    <w:p w14:paraId="0C6C01CB" w14:textId="0726D960" w:rsidR="00111693" w:rsidRDefault="00111693" w:rsidP="00111693">
      <w:r w:rsidRPr="00111693">
        <w:rPr>
          <w:b/>
          <w:bCs/>
        </w:rPr>
        <w:t xml:space="preserve">Title </w:t>
      </w:r>
      <w:r>
        <w:rPr>
          <w:b/>
          <w:bCs/>
        </w:rPr>
        <w:t>–</w:t>
      </w:r>
      <w:r w:rsidRPr="00111693">
        <w:rPr>
          <w:b/>
          <w:bCs/>
        </w:rPr>
        <w:t xml:space="preserve"> </w:t>
      </w:r>
      <w:r w:rsidRPr="00111693">
        <w:t>T</w:t>
      </w:r>
      <w:r>
        <w:t>o what extent does higher material quality justify increased initial costs in terms of long-term building performance and value?</w:t>
      </w:r>
    </w:p>
    <w:p w14:paraId="09B9B080" w14:textId="77777777" w:rsidR="00111693" w:rsidRDefault="00111693" w:rsidP="00111693">
      <w:r>
        <w:t xml:space="preserve">This dissertation investigates whether investing in higher-quality construction materials produces measurable long-term benefits that justify their increased upfront costs. In an era shaped by sustainability imperatives, lifecycle thinking, and performance-based design, the traditional prioritisation of low initial costs increasingly contested. This research argues that although high-quality materials require greater capital investment, their contribution to durability, operational efficiency, and asset value frequently offsets and may surpass these initial expenditures. </w:t>
      </w:r>
    </w:p>
    <w:p w14:paraId="2C9445BD" w14:textId="6F9889DF" w:rsidR="00111693" w:rsidRDefault="00111693" w:rsidP="00111693">
      <w:r>
        <w:t>The central argument is that material quality is a key determinant of long-term building performance, particularly in relation to maintenance cycles, energy efficiency, and resistance to environmental degradation. However, the extent of this justification is conditional rather than universal. It depends on factors such as building typology, occupancy patterns, climat</w:t>
      </w:r>
      <w:r w:rsidR="00380FF7">
        <w:t xml:space="preserve">ic conditions, and investment horizons. The dissertation will therefore critically assess when and to what degree higher material quality constitutes a rational economic and environmental decision. </w:t>
      </w:r>
    </w:p>
    <w:p w14:paraId="50ED890A" w14:textId="71A62798" w:rsidR="00380FF7" w:rsidRDefault="00380FF7" w:rsidP="00111693">
      <w:r w:rsidRPr="00380FF7">
        <w:t xml:space="preserve">A mixed methods </w:t>
      </w:r>
      <w:r>
        <w:t xml:space="preserve">approach will be employed, integrating quantitative lifecycle cost analysis (LCC) with qualitive case study evaluation. LCC frameworks will be used to compare scenarios where lower cost materials incur higher long term maintenance, repair, and replacement costs against higher quality materials with longer service lives and reduced operational demand. Analytical tools such as net present value (NPV), payback period, and whole life costing will provide a structural basis for evaluating cost performance relationships (Flanagan and Norman, 1983; ISO, 2017). </w:t>
      </w:r>
    </w:p>
    <w:p w14:paraId="4530D30E" w14:textId="2A0F1DDF" w:rsidR="00380FF7" w:rsidRDefault="007B6521" w:rsidP="00111693">
      <w:r>
        <w:t xml:space="preserve">To ground the analysis in practical evidence, the study will examine case studies from both residential and commercial sectors. </w:t>
      </w:r>
      <w:r w:rsidR="004201D2">
        <w:t>For example</w:t>
      </w:r>
      <w:r w:rsidR="00113688">
        <w:t xml:space="preserve">, comparisons between conventional glazing and higher performance </w:t>
      </w:r>
      <w:r w:rsidR="00D8602B">
        <w:t xml:space="preserve">glazing systems will demonstrate how material upgrades can reduce </w:t>
      </w:r>
      <w:r w:rsidR="00F65E49">
        <w:t>energy consumption and improve thermal comfort (Ash</w:t>
      </w:r>
      <w:r w:rsidR="00864E96">
        <w:t xml:space="preserve">by, 2013). Similarly, façade systems using durable materials such as </w:t>
      </w:r>
      <w:r w:rsidR="00370587">
        <w:t xml:space="preserve">stone, aluminium </w:t>
      </w:r>
      <w:r w:rsidR="0034646D">
        <w:t xml:space="preserve">composites, or treated timber will be evaluated against lower grade alternatives that deteriorate more rapidly, leading to increased lifecycle costs </w:t>
      </w:r>
      <w:r w:rsidR="00EB42DD">
        <w:t xml:space="preserve">(Kirkham, 2018). These examples will highlight </w:t>
      </w:r>
      <w:r w:rsidR="00F22CB8">
        <w:t xml:space="preserve">how material choices directly influence building longevity and operational efficiency. </w:t>
      </w:r>
    </w:p>
    <w:p w14:paraId="3B9F3B78" w14:textId="77777777" w:rsidR="006475EE" w:rsidRDefault="00825F04" w:rsidP="00111693">
      <w:r>
        <w:t xml:space="preserve">Beyond economic metrics, the dissertation </w:t>
      </w:r>
      <w:r w:rsidR="007444FB">
        <w:t>will explore how material quality contributes to broader definition</w:t>
      </w:r>
      <w:r w:rsidR="000B1F99">
        <w:t xml:space="preserve">s of value, including environmental sustainability and market perception. High quality </w:t>
      </w:r>
      <w:r w:rsidR="007715F6">
        <w:t xml:space="preserve">materials often reduce embodied carbon over the building </w:t>
      </w:r>
      <w:r w:rsidR="00957088">
        <w:t xml:space="preserve">lifecycle by limiting the frequency </w:t>
      </w:r>
      <w:r w:rsidR="00434BBE">
        <w:t>of replacement and waste generation (</w:t>
      </w:r>
      <w:r w:rsidR="00A55930">
        <w:t xml:space="preserve">Cabeza et al., 2014). Additionally, buildings constructed </w:t>
      </w:r>
      <w:r w:rsidR="008F0B04">
        <w:t xml:space="preserve">with durable and aesthetically enduring </w:t>
      </w:r>
      <w:r w:rsidR="008F0B04">
        <w:lastRenderedPageBreak/>
        <w:t xml:space="preserve">materials </w:t>
      </w:r>
      <w:r w:rsidR="003860A7">
        <w:t>may achieve higher rental and resale values, reflecting market p</w:t>
      </w:r>
      <w:r w:rsidR="006475EE">
        <w:t xml:space="preserve">references for quality and long term reliability (RICS, 2016). </w:t>
      </w:r>
    </w:p>
    <w:p w14:paraId="13B41D3B" w14:textId="77777777" w:rsidR="00214F44" w:rsidRDefault="00060499" w:rsidP="00111693">
      <w:r>
        <w:t>N</w:t>
      </w:r>
      <w:r w:rsidR="008E57B9">
        <w:t>ever</w:t>
      </w:r>
      <w:r>
        <w:t xml:space="preserve">theless, the research </w:t>
      </w:r>
      <w:r w:rsidR="00BA3B10">
        <w:t>will address important limitations. In short term development</w:t>
      </w:r>
      <w:r w:rsidR="00466F34">
        <w:t xml:space="preserve">s or speculative projects, higher initial costs may </w:t>
      </w:r>
      <w:r w:rsidR="00D15FC5">
        <w:t xml:space="preserve">not be recoverable within the investment timeframe. </w:t>
      </w:r>
      <w:r w:rsidR="0002056F">
        <w:t>M</w:t>
      </w:r>
      <w:r w:rsidR="00D15FC5">
        <w:t>oreover</w:t>
      </w:r>
      <w:r w:rsidR="0002056F">
        <w:t xml:space="preserve">, diminishing returns may arise when material performance exceeds functional </w:t>
      </w:r>
      <w:r w:rsidR="009350EC">
        <w:t xml:space="preserve">requirements, leading to over specification. These considerations </w:t>
      </w:r>
      <w:r w:rsidR="005E5A9A">
        <w:t>underscore the importance of context sensitive decision making rather than blanket assumptions</w:t>
      </w:r>
      <w:r w:rsidR="00214F44">
        <w:t xml:space="preserve"> about material quality.</w:t>
      </w:r>
    </w:p>
    <w:p w14:paraId="626BAFD7" w14:textId="4BB9E13C" w:rsidR="00DF0A81" w:rsidRDefault="00A8167D" w:rsidP="00111693">
      <w:r>
        <w:t xml:space="preserve">In conclusion, this dissertation aims to provide a nuanced evaluation </w:t>
      </w:r>
      <w:r w:rsidR="007E599E">
        <w:t xml:space="preserve">of the relationship between material quality </w:t>
      </w:r>
      <w:r w:rsidR="00557297">
        <w:t xml:space="preserve">and long term building value. By combining economic analysis </w:t>
      </w:r>
      <w:r w:rsidR="00B409A6">
        <w:t xml:space="preserve">with real world case studies, it will demonstrate </w:t>
      </w:r>
      <w:r w:rsidR="0042631C">
        <w:t xml:space="preserve">that higher material quality often but not invariably justifies increased initial costs. The findings will offer practical insights </w:t>
      </w:r>
      <w:r w:rsidR="0028167C">
        <w:t xml:space="preserve">for </w:t>
      </w:r>
      <w:r w:rsidR="00DF0A81">
        <w:t>architects</w:t>
      </w:r>
      <w:r w:rsidR="0028167C">
        <w:t xml:space="preserve">, developers, and policymakers seeking to balance financial </w:t>
      </w:r>
      <w:r w:rsidR="008F5FEA">
        <w:t xml:space="preserve">constraints with sustainable and high performance </w:t>
      </w:r>
      <w:r w:rsidR="00DF0A81">
        <w:t>building outcomes.</w:t>
      </w:r>
    </w:p>
    <w:p w14:paraId="40B94F9E" w14:textId="77777777" w:rsidR="00DF0A81" w:rsidRDefault="00DF0A81" w:rsidP="00111693"/>
    <w:p w14:paraId="751D28FE" w14:textId="52C2380F" w:rsidR="00DF0A81" w:rsidRDefault="009928CA" w:rsidP="00111693">
      <w:pPr>
        <w:rPr>
          <w:b/>
          <w:bCs/>
        </w:rPr>
      </w:pPr>
      <w:r w:rsidRPr="009928CA">
        <w:rPr>
          <w:b/>
          <w:bCs/>
        </w:rPr>
        <w:t xml:space="preserve">References (Harvard Style) </w:t>
      </w:r>
    </w:p>
    <w:p w14:paraId="53FD4B98" w14:textId="52C3D790" w:rsidR="009928CA" w:rsidRDefault="002E5EDF" w:rsidP="00111693">
      <w:r w:rsidRPr="004F2240">
        <w:t>Ashby, M. (2013) Materials and the Environment: Eco</w:t>
      </w:r>
      <w:r w:rsidR="007F518A" w:rsidRPr="004F2240">
        <w:t>-informed Material Choice. 2</w:t>
      </w:r>
      <w:r w:rsidR="009142D1" w:rsidRPr="004F2240">
        <w:rPr>
          <w:vertAlign w:val="superscript"/>
        </w:rPr>
        <w:t xml:space="preserve">nd </w:t>
      </w:r>
      <w:proofErr w:type="spellStart"/>
      <w:r w:rsidR="009142D1" w:rsidRPr="004F2240">
        <w:t>edn</w:t>
      </w:r>
      <w:proofErr w:type="spellEnd"/>
      <w:r w:rsidR="009142D1" w:rsidRPr="004F2240">
        <w:t>. Oxford: Butterworth</w:t>
      </w:r>
      <w:r w:rsidR="004F2240" w:rsidRPr="004F2240">
        <w:t xml:space="preserve">-Heinemann. </w:t>
      </w:r>
    </w:p>
    <w:p w14:paraId="0A804EAC" w14:textId="711959E4" w:rsidR="00CA4C9C" w:rsidRDefault="00CA4C9C" w:rsidP="00111693">
      <w:r w:rsidRPr="008F2934">
        <w:t>Cabeza, L.F, Rincon, L., Vilarino, V</w:t>
      </w:r>
      <w:r w:rsidR="00853233" w:rsidRPr="008F2934">
        <w:t>., Perez, G. and Castell, A</w:t>
      </w:r>
      <w:r w:rsidR="008F2934" w:rsidRPr="008F2934">
        <w:t>. (2014) ‘Life cycle</w:t>
      </w:r>
      <w:r w:rsidR="008F2934">
        <w:t xml:space="preserve"> assessment (LCA) and life cycle energy </w:t>
      </w:r>
      <w:r w:rsidR="00D90BBC">
        <w:t>analysis (LCEA) of buildings and the building</w:t>
      </w:r>
      <w:r w:rsidR="00491B92">
        <w:t xml:space="preserve"> sector: A review’, Renewable and Sustainable </w:t>
      </w:r>
      <w:r w:rsidR="00972341">
        <w:t>Energy Reviews, 29, pp</w:t>
      </w:r>
      <w:r w:rsidR="002B1CA0">
        <w:t xml:space="preserve">. 394-416. </w:t>
      </w:r>
    </w:p>
    <w:p w14:paraId="62269301" w14:textId="529131E9" w:rsidR="002B1CA0" w:rsidRDefault="009A5E19" w:rsidP="00111693">
      <w:r>
        <w:t>Flanagan, R. Norman</w:t>
      </w:r>
      <w:r w:rsidR="009C4B37">
        <w:t xml:space="preserve">, G. (1983) Life Cycle Costing </w:t>
      </w:r>
      <w:r w:rsidR="00D21E1F">
        <w:t xml:space="preserve">for construction. London: Surveyors Publications. </w:t>
      </w:r>
    </w:p>
    <w:p w14:paraId="03B1720C" w14:textId="102293EF" w:rsidR="00064EBE" w:rsidRDefault="00763109" w:rsidP="00111693">
      <w:r>
        <w:t>ISO (2017) ISO 15</w:t>
      </w:r>
      <w:r w:rsidR="00064EBE">
        <w:t xml:space="preserve">686-5: Buildings and </w:t>
      </w:r>
      <w:r w:rsidR="007850BF">
        <w:t xml:space="preserve">constructed assets-Service Life Planning-Part </w:t>
      </w:r>
      <w:r w:rsidR="005B6415">
        <w:t xml:space="preserve">5: Life-cycle </w:t>
      </w:r>
      <w:r w:rsidR="00496B14">
        <w:t xml:space="preserve">costing. Geneva: international Organisation </w:t>
      </w:r>
      <w:r w:rsidR="008639E2">
        <w:t>for Standardisation.</w:t>
      </w:r>
    </w:p>
    <w:p w14:paraId="2BF7BF73" w14:textId="7EC26F1B" w:rsidR="005E5E94" w:rsidRDefault="008639E2" w:rsidP="00111693">
      <w:r>
        <w:t xml:space="preserve">Kirkham, R. </w:t>
      </w:r>
      <w:r w:rsidR="007301A7">
        <w:t xml:space="preserve">(2018) Ferry and Brandon’s </w:t>
      </w:r>
      <w:r w:rsidR="00116CA6">
        <w:t>Cost Planning of Buildings</w:t>
      </w:r>
      <w:r w:rsidR="00ED69D8">
        <w:t>. 10</w:t>
      </w:r>
      <w:r w:rsidR="00ED69D8" w:rsidRPr="00ED69D8">
        <w:rPr>
          <w:vertAlign w:val="superscript"/>
        </w:rPr>
        <w:t>th</w:t>
      </w:r>
      <w:r w:rsidR="00ED69D8">
        <w:t xml:space="preserve"> </w:t>
      </w:r>
      <w:proofErr w:type="spellStart"/>
      <w:r w:rsidR="00ED69D8">
        <w:t>edn</w:t>
      </w:r>
      <w:proofErr w:type="spellEnd"/>
      <w:r w:rsidR="00ED69D8">
        <w:t>. Oxford: Wil</w:t>
      </w:r>
      <w:r w:rsidR="005E5E94">
        <w:t xml:space="preserve">ey-Blackwell. </w:t>
      </w:r>
    </w:p>
    <w:p w14:paraId="5BD96574" w14:textId="0CD2DBE7" w:rsidR="005E5E94" w:rsidRPr="008F2934" w:rsidRDefault="005E5E94" w:rsidP="00111693">
      <w:r>
        <w:t xml:space="preserve">RICS (2016) Global </w:t>
      </w:r>
      <w:r w:rsidR="005E6F23">
        <w:t>Professional</w:t>
      </w:r>
      <w:r>
        <w:t xml:space="preserve"> </w:t>
      </w:r>
      <w:r w:rsidR="005E6F23">
        <w:t xml:space="preserve">Statement: Life Cycle Costing. London: Royal Institution of Charted Surveyors. </w:t>
      </w:r>
    </w:p>
    <w:p w14:paraId="2A4583EF" w14:textId="77777777" w:rsidR="00380FF7" w:rsidRPr="008F2934" w:rsidRDefault="00380FF7" w:rsidP="00111693"/>
    <w:sectPr w:rsidR="00380FF7" w:rsidRPr="008F2934">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E3694" w14:textId="77777777" w:rsidR="00627DB8" w:rsidRDefault="00627DB8" w:rsidP="00111693">
      <w:pPr>
        <w:spacing w:after="0" w:line="240" w:lineRule="auto"/>
      </w:pPr>
      <w:r>
        <w:separator/>
      </w:r>
    </w:p>
  </w:endnote>
  <w:endnote w:type="continuationSeparator" w:id="0">
    <w:p w14:paraId="64B25C77" w14:textId="77777777" w:rsidR="00627DB8" w:rsidRDefault="00627DB8" w:rsidP="001116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63E7DD" w14:textId="77777777" w:rsidR="00627DB8" w:rsidRDefault="00627DB8" w:rsidP="00111693">
      <w:pPr>
        <w:spacing w:after="0" w:line="240" w:lineRule="auto"/>
      </w:pPr>
      <w:r>
        <w:separator/>
      </w:r>
    </w:p>
  </w:footnote>
  <w:footnote w:type="continuationSeparator" w:id="0">
    <w:p w14:paraId="4E310D0E" w14:textId="77777777" w:rsidR="00627DB8" w:rsidRDefault="00627DB8" w:rsidP="001116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5516B" w14:textId="77777777" w:rsidR="00111693" w:rsidRDefault="00111693" w:rsidP="00111693">
    <w:pPr>
      <w:pStyle w:val="Header"/>
    </w:pPr>
    <w:r>
      <w:t>Leo Davies                                                                                                                                               2317069</w:t>
    </w:r>
  </w:p>
  <w:p w14:paraId="09AC1D05" w14:textId="77777777" w:rsidR="00111693" w:rsidRDefault="0011169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693"/>
    <w:rsid w:val="0002056F"/>
    <w:rsid w:val="00060499"/>
    <w:rsid w:val="00064EBE"/>
    <w:rsid w:val="000B1F99"/>
    <w:rsid w:val="00111693"/>
    <w:rsid w:val="00113688"/>
    <w:rsid w:val="00116CA6"/>
    <w:rsid w:val="00214F44"/>
    <w:rsid w:val="0028167C"/>
    <w:rsid w:val="002B1CA0"/>
    <w:rsid w:val="002E5EDF"/>
    <w:rsid w:val="0034646D"/>
    <w:rsid w:val="00370587"/>
    <w:rsid w:val="00380FF7"/>
    <w:rsid w:val="003860A7"/>
    <w:rsid w:val="004201D2"/>
    <w:rsid w:val="0042631C"/>
    <w:rsid w:val="00434BBE"/>
    <w:rsid w:val="00466F34"/>
    <w:rsid w:val="00491B92"/>
    <w:rsid w:val="00496B14"/>
    <w:rsid w:val="004F2240"/>
    <w:rsid w:val="00557297"/>
    <w:rsid w:val="005B6415"/>
    <w:rsid w:val="005E5A9A"/>
    <w:rsid w:val="005E5E94"/>
    <w:rsid w:val="005E6F23"/>
    <w:rsid w:val="00627DB8"/>
    <w:rsid w:val="006475EE"/>
    <w:rsid w:val="007301A7"/>
    <w:rsid w:val="007444FB"/>
    <w:rsid w:val="00763109"/>
    <w:rsid w:val="007715F6"/>
    <w:rsid w:val="007850BF"/>
    <w:rsid w:val="007B6521"/>
    <w:rsid w:val="007E599E"/>
    <w:rsid w:val="007F518A"/>
    <w:rsid w:val="00825F04"/>
    <w:rsid w:val="00853233"/>
    <w:rsid w:val="008639E2"/>
    <w:rsid w:val="00864E96"/>
    <w:rsid w:val="008E57B9"/>
    <w:rsid w:val="008F0B04"/>
    <w:rsid w:val="008F2934"/>
    <w:rsid w:val="008F5FEA"/>
    <w:rsid w:val="009142D1"/>
    <w:rsid w:val="009350EC"/>
    <w:rsid w:val="00957088"/>
    <w:rsid w:val="00972341"/>
    <w:rsid w:val="009928CA"/>
    <w:rsid w:val="009A5E19"/>
    <w:rsid w:val="009C4B37"/>
    <w:rsid w:val="00A55930"/>
    <w:rsid w:val="00A8167D"/>
    <w:rsid w:val="00B409A6"/>
    <w:rsid w:val="00BA3B10"/>
    <w:rsid w:val="00C72931"/>
    <w:rsid w:val="00CA4C9C"/>
    <w:rsid w:val="00D15FC5"/>
    <w:rsid w:val="00D21E1F"/>
    <w:rsid w:val="00D8602B"/>
    <w:rsid w:val="00D90BBC"/>
    <w:rsid w:val="00DF0A81"/>
    <w:rsid w:val="00EB42DD"/>
    <w:rsid w:val="00ED69D8"/>
    <w:rsid w:val="00F22CB8"/>
    <w:rsid w:val="00F65E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BA895"/>
  <w15:chartTrackingRefBased/>
  <w15:docId w15:val="{913B25D7-A1EE-495A-89FF-D278CE142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16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16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16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16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16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16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16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16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16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16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16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16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16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16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16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16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16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1693"/>
    <w:rPr>
      <w:rFonts w:eastAsiaTheme="majorEastAsia" w:cstheme="majorBidi"/>
      <w:color w:val="272727" w:themeColor="text1" w:themeTint="D8"/>
    </w:rPr>
  </w:style>
  <w:style w:type="paragraph" w:styleId="Title">
    <w:name w:val="Title"/>
    <w:basedOn w:val="Normal"/>
    <w:next w:val="Normal"/>
    <w:link w:val="TitleChar"/>
    <w:uiPriority w:val="10"/>
    <w:qFormat/>
    <w:rsid w:val="001116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16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16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16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1693"/>
    <w:pPr>
      <w:spacing w:before="160"/>
      <w:jc w:val="center"/>
    </w:pPr>
    <w:rPr>
      <w:i/>
      <w:iCs/>
      <w:color w:val="404040" w:themeColor="text1" w:themeTint="BF"/>
    </w:rPr>
  </w:style>
  <w:style w:type="character" w:customStyle="1" w:styleId="QuoteChar">
    <w:name w:val="Quote Char"/>
    <w:basedOn w:val="DefaultParagraphFont"/>
    <w:link w:val="Quote"/>
    <w:uiPriority w:val="29"/>
    <w:rsid w:val="00111693"/>
    <w:rPr>
      <w:i/>
      <w:iCs/>
      <w:color w:val="404040" w:themeColor="text1" w:themeTint="BF"/>
    </w:rPr>
  </w:style>
  <w:style w:type="paragraph" w:styleId="ListParagraph">
    <w:name w:val="List Paragraph"/>
    <w:basedOn w:val="Normal"/>
    <w:uiPriority w:val="34"/>
    <w:qFormat/>
    <w:rsid w:val="00111693"/>
    <w:pPr>
      <w:ind w:left="720"/>
      <w:contextualSpacing/>
    </w:pPr>
  </w:style>
  <w:style w:type="character" w:styleId="IntenseEmphasis">
    <w:name w:val="Intense Emphasis"/>
    <w:basedOn w:val="DefaultParagraphFont"/>
    <w:uiPriority w:val="21"/>
    <w:qFormat/>
    <w:rsid w:val="00111693"/>
    <w:rPr>
      <w:i/>
      <w:iCs/>
      <w:color w:val="0F4761" w:themeColor="accent1" w:themeShade="BF"/>
    </w:rPr>
  </w:style>
  <w:style w:type="paragraph" w:styleId="IntenseQuote">
    <w:name w:val="Intense Quote"/>
    <w:basedOn w:val="Normal"/>
    <w:next w:val="Normal"/>
    <w:link w:val="IntenseQuoteChar"/>
    <w:uiPriority w:val="30"/>
    <w:qFormat/>
    <w:rsid w:val="001116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1693"/>
    <w:rPr>
      <w:i/>
      <w:iCs/>
      <w:color w:val="0F4761" w:themeColor="accent1" w:themeShade="BF"/>
    </w:rPr>
  </w:style>
  <w:style w:type="character" w:styleId="IntenseReference">
    <w:name w:val="Intense Reference"/>
    <w:basedOn w:val="DefaultParagraphFont"/>
    <w:uiPriority w:val="32"/>
    <w:qFormat/>
    <w:rsid w:val="00111693"/>
    <w:rPr>
      <w:b/>
      <w:bCs/>
      <w:smallCaps/>
      <w:color w:val="0F4761" w:themeColor="accent1" w:themeShade="BF"/>
      <w:spacing w:val="5"/>
    </w:rPr>
  </w:style>
  <w:style w:type="paragraph" w:styleId="Header">
    <w:name w:val="header"/>
    <w:basedOn w:val="Normal"/>
    <w:link w:val="HeaderChar"/>
    <w:uiPriority w:val="99"/>
    <w:unhideWhenUsed/>
    <w:rsid w:val="001116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1693"/>
  </w:style>
  <w:style w:type="paragraph" w:styleId="Footer">
    <w:name w:val="footer"/>
    <w:basedOn w:val="Normal"/>
    <w:link w:val="FooterChar"/>
    <w:uiPriority w:val="99"/>
    <w:unhideWhenUsed/>
    <w:rsid w:val="001116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16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742</Words>
  <Characters>4235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 Davies</dc:creator>
  <cp:keywords/>
  <dc:description/>
  <cp:lastModifiedBy>Leo Davies</cp:lastModifiedBy>
  <cp:revision>63</cp:revision>
  <dcterms:created xsi:type="dcterms:W3CDTF">2026-05-04T20:51:00Z</dcterms:created>
  <dcterms:modified xsi:type="dcterms:W3CDTF">2026-05-04T22:13:00Z</dcterms:modified>
</cp:coreProperties>
</file>