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EC5907" w14:textId="77777777" w:rsidR="00C246DC" w:rsidRPr="000E688A" w:rsidRDefault="00C246DC" w:rsidP="000E688A">
      <w:pPr>
        <w:spacing w:line="480" w:lineRule="auto"/>
        <w:rPr>
          <w:rFonts w:ascii="Arial" w:hAnsi="Arial" w:cs="Arial"/>
        </w:rPr>
      </w:pPr>
    </w:p>
    <w:p w14:paraId="0CA484F8" w14:textId="05460448" w:rsidR="00DB4B69" w:rsidRPr="000E688A" w:rsidRDefault="00DB4B69" w:rsidP="00BB4C8E">
      <w:pPr>
        <w:spacing w:line="480" w:lineRule="auto"/>
        <w:jc w:val="center"/>
        <w:rPr>
          <w:rFonts w:ascii="Arial" w:hAnsi="Arial" w:cs="Arial"/>
          <w:b/>
          <w:bCs/>
          <w:sz w:val="36"/>
          <w:szCs w:val="44"/>
        </w:rPr>
      </w:pPr>
      <w:r w:rsidRPr="000E688A">
        <w:rPr>
          <w:rFonts w:ascii="Arial" w:hAnsi="Arial" w:cs="Arial"/>
          <w:b/>
          <w:bCs/>
          <w:sz w:val="36"/>
          <w:szCs w:val="44"/>
        </w:rPr>
        <w:t>BMIH5004</w:t>
      </w:r>
      <w:r w:rsidR="00BB4C8E">
        <w:rPr>
          <w:rFonts w:ascii="Arial" w:hAnsi="Arial" w:cs="Arial"/>
          <w:b/>
          <w:bCs/>
          <w:sz w:val="36"/>
          <w:szCs w:val="44"/>
        </w:rPr>
        <w:t xml:space="preserve"> </w:t>
      </w:r>
      <w:r w:rsidRPr="000E688A">
        <w:rPr>
          <w:rFonts w:ascii="Arial" w:hAnsi="Arial" w:cs="Arial"/>
          <w:b/>
          <w:bCs/>
          <w:sz w:val="36"/>
          <w:szCs w:val="44"/>
        </w:rPr>
        <w:t>Management &amp; Organisational Behaviour</w:t>
      </w:r>
    </w:p>
    <w:p w14:paraId="7B385EFC" w14:textId="6FFE01CD" w:rsidR="00DB4B69" w:rsidRDefault="00DB4B69" w:rsidP="000E688A">
      <w:pPr>
        <w:spacing w:line="480" w:lineRule="auto"/>
        <w:jc w:val="center"/>
        <w:rPr>
          <w:rFonts w:ascii="Arial" w:hAnsi="Arial" w:cs="Arial"/>
          <w:b/>
          <w:bCs/>
          <w:sz w:val="36"/>
          <w:szCs w:val="44"/>
        </w:rPr>
      </w:pPr>
      <w:r w:rsidRPr="000E688A">
        <w:rPr>
          <w:rFonts w:ascii="Arial" w:hAnsi="Arial" w:cs="Arial"/>
          <w:b/>
          <w:bCs/>
          <w:sz w:val="36"/>
          <w:szCs w:val="44"/>
        </w:rPr>
        <w:t>Academic Essay</w:t>
      </w:r>
    </w:p>
    <w:p w14:paraId="7E9816DF" w14:textId="12AFF34A" w:rsidR="00BB4C8E" w:rsidRDefault="00BB4C8E" w:rsidP="000E688A">
      <w:pPr>
        <w:spacing w:line="480" w:lineRule="auto"/>
        <w:jc w:val="center"/>
        <w:rPr>
          <w:rFonts w:ascii="Arial" w:hAnsi="Arial" w:cs="Arial"/>
          <w:b/>
          <w:bCs/>
          <w:sz w:val="36"/>
          <w:szCs w:val="44"/>
        </w:rPr>
      </w:pPr>
    </w:p>
    <w:p w14:paraId="03150E98" w14:textId="5C0A53A6" w:rsidR="00BB4C8E" w:rsidRDefault="00BB4C8E" w:rsidP="000E688A">
      <w:pPr>
        <w:spacing w:line="480" w:lineRule="auto"/>
        <w:jc w:val="center"/>
        <w:rPr>
          <w:rFonts w:ascii="Arial" w:hAnsi="Arial" w:cs="Arial"/>
          <w:b/>
          <w:bCs/>
          <w:sz w:val="36"/>
          <w:szCs w:val="44"/>
        </w:rPr>
      </w:pPr>
    </w:p>
    <w:p w14:paraId="1337F6A7" w14:textId="77777777" w:rsidR="00BB4C8E" w:rsidRPr="000E688A" w:rsidRDefault="00BB4C8E" w:rsidP="000E688A">
      <w:pPr>
        <w:spacing w:line="480" w:lineRule="auto"/>
        <w:jc w:val="center"/>
        <w:rPr>
          <w:rFonts w:ascii="Arial" w:hAnsi="Arial" w:cs="Arial"/>
          <w:b/>
          <w:bCs/>
          <w:sz w:val="36"/>
          <w:szCs w:val="44"/>
        </w:rPr>
      </w:pPr>
    </w:p>
    <w:p w14:paraId="3641BA44" w14:textId="47554D89" w:rsidR="00B61E99" w:rsidRPr="000E688A" w:rsidRDefault="723518C7" w:rsidP="000E688A">
      <w:pPr>
        <w:spacing w:line="480" w:lineRule="auto"/>
        <w:jc w:val="center"/>
        <w:rPr>
          <w:rFonts w:ascii="Arial" w:hAnsi="Arial" w:cs="Arial"/>
          <w:b/>
          <w:bCs/>
          <w:sz w:val="36"/>
          <w:szCs w:val="36"/>
        </w:rPr>
      </w:pPr>
      <w:r w:rsidRPr="723518C7">
        <w:rPr>
          <w:rFonts w:ascii="Arial" w:hAnsi="Arial" w:cs="Arial"/>
          <w:b/>
          <w:bCs/>
          <w:sz w:val="36"/>
          <w:szCs w:val="36"/>
        </w:rPr>
        <w:t>Student Name: Rezaul Rabbani</w:t>
      </w:r>
    </w:p>
    <w:p w14:paraId="6C573000" w14:textId="0C24034D" w:rsidR="00B61E99" w:rsidRPr="000E688A" w:rsidRDefault="723518C7" w:rsidP="000E688A">
      <w:pPr>
        <w:spacing w:line="480" w:lineRule="auto"/>
        <w:jc w:val="center"/>
        <w:rPr>
          <w:rFonts w:ascii="Arial" w:hAnsi="Arial" w:cs="Arial"/>
          <w:b/>
          <w:bCs/>
          <w:sz w:val="36"/>
          <w:szCs w:val="36"/>
        </w:rPr>
      </w:pPr>
      <w:r w:rsidRPr="723518C7">
        <w:rPr>
          <w:rFonts w:ascii="Arial" w:hAnsi="Arial" w:cs="Arial"/>
          <w:b/>
          <w:bCs/>
          <w:sz w:val="36"/>
          <w:szCs w:val="36"/>
        </w:rPr>
        <w:t>Student ID: 1813391</w:t>
      </w:r>
    </w:p>
    <w:p w14:paraId="7D9C6229" w14:textId="51AE33BD" w:rsidR="723518C7" w:rsidRDefault="723518C7" w:rsidP="723518C7">
      <w:pPr>
        <w:spacing w:line="480" w:lineRule="auto"/>
        <w:jc w:val="center"/>
        <w:rPr>
          <w:rFonts w:ascii="Arial" w:hAnsi="Arial" w:cs="Arial"/>
          <w:b/>
          <w:bCs/>
          <w:sz w:val="36"/>
          <w:szCs w:val="36"/>
        </w:rPr>
      </w:pPr>
      <w:r w:rsidRPr="723518C7">
        <w:rPr>
          <w:rFonts w:ascii="Arial" w:hAnsi="Arial" w:cs="Arial"/>
          <w:b/>
          <w:bCs/>
          <w:sz w:val="36"/>
          <w:szCs w:val="36"/>
        </w:rPr>
        <w:t xml:space="preserve">Lecturers: </w:t>
      </w:r>
      <w:r w:rsidR="003622A9" w:rsidRPr="003622A9">
        <w:rPr>
          <w:rFonts w:ascii="Arial" w:hAnsi="Arial" w:cs="Arial"/>
          <w:b/>
          <w:bCs/>
          <w:sz w:val="36"/>
          <w:szCs w:val="36"/>
        </w:rPr>
        <w:t>Daniel Payne</w:t>
      </w:r>
    </w:p>
    <w:p w14:paraId="104A1E41" w14:textId="3BD4345F" w:rsidR="00B61E99" w:rsidRPr="000E688A" w:rsidRDefault="00C42E4A" w:rsidP="723518C7">
      <w:pPr>
        <w:spacing w:line="480" w:lineRule="auto"/>
        <w:rPr>
          <w:rFonts w:ascii="Arial" w:hAnsi="Arial" w:cs="Arial"/>
        </w:rPr>
      </w:pPr>
      <w:r w:rsidRPr="723518C7">
        <w:rPr>
          <w:rFonts w:ascii="Arial" w:hAnsi="Arial" w:cs="Arial"/>
        </w:rPr>
        <w:br w:type="page"/>
      </w:r>
    </w:p>
    <w:p w14:paraId="3F5996C0" w14:textId="1089CDF6" w:rsidR="723518C7" w:rsidRDefault="723518C7" w:rsidP="723518C7">
      <w:pPr>
        <w:pBdr>
          <w:bottom w:val="single" w:sz="4" w:space="1" w:color="auto"/>
        </w:pBdr>
        <w:spacing w:line="480" w:lineRule="auto"/>
        <w:rPr>
          <w:rFonts w:ascii="Arial" w:hAnsi="Arial" w:cs="Arial"/>
          <w:b/>
          <w:bCs/>
          <w:color w:val="17365D" w:themeColor="text2" w:themeShade="BF"/>
          <w:sz w:val="32"/>
          <w:szCs w:val="32"/>
        </w:rPr>
      </w:pPr>
      <w:r w:rsidRPr="723518C7">
        <w:rPr>
          <w:rFonts w:ascii="Arial" w:hAnsi="Arial" w:cs="Arial"/>
          <w:b/>
          <w:bCs/>
          <w:color w:val="17365D" w:themeColor="text2" w:themeShade="BF"/>
          <w:sz w:val="32"/>
          <w:szCs w:val="32"/>
        </w:rPr>
        <w:lastRenderedPageBreak/>
        <w:t>Critically Evaluation of The Different Approaches to Leadership And Their Effectiveness Within The Hotel Industry</w:t>
      </w:r>
    </w:p>
    <w:p w14:paraId="499FF7BC" w14:textId="67ED41B2" w:rsidR="00090FF8" w:rsidRPr="000E688A" w:rsidRDefault="723518C7" w:rsidP="000E688A">
      <w:pPr>
        <w:spacing w:line="480" w:lineRule="auto"/>
        <w:rPr>
          <w:rFonts w:ascii="Arial" w:hAnsi="Arial" w:cs="Arial"/>
        </w:rPr>
      </w:pPr>
      <w:r w:rsidRPr="723518C7">
        <w:rPr>
          <w:rFonts w:ascii="Arial" w:hAnsi="Arial" w:cs="Arial"/>
        </w:rPr>
        <w:t>The hotel industry prospers due to the implementation of service practices and the satisfaction of the customers hence the need for leadership that is not ordinary but is based on conventional management practices. The complex hotel operations rendered with its ability to swiftly handle an array of clients and a multi-faceted workforce call for leaders who are not only capable of task delegation and management but also knowledgeable in creating a workspace that is both conducive and inclusive (Akhtar and Khan, 2017). Through these precise leadership skills, managerial morale comes about in good terms plus the hotel service standards and these aspects are directly related to the profitability and customers' reputation of a hotel. Many leadership approaches believe in the effectiveness of creating classifications that look at styles and their concern for people and their concern for production; this is called the Blake and Mouton Managerial Grid (Armstrong, 2012). Another major area we gaze into is Adair’s Action-Centred Leadership approach which factors in the need to manage the team, task, and individual factors well. We also consider the contrasting themes of McGregor’s Theory X/Y which proposes stereotypes of employee motivation and the resultant way a leader will deal with them (</w:t>
      </w:r>
      <w:proofErr w:type="spellStart"/>
      <w:r w:rsidRPr="723518C7">
        <w:rPr>
          <w:rFonts w:ascii="Arial" w:hAnsi="Arial" w:cs="Arial"/>
        </w:rPr>
        <w:t>Bloisi</w:t>
      </w:r>
      <w:proofErr w:type="spellEnd"/>
      <w:r w:rsidRPr="723518C7">
        <w:rPr>
          <w:rFonts w:ascii="Arial" w:hAnsi="Arial" w:cs="Arial"/>
        </w:rPr>
        <w:t>, 2007). Such theories create a basis that helps to explain how each style of the hotel industry leadership can be implemented to deal with his basic principles.</w:t>
      </w:r>
    </w:p>
    <w:p w14:paraId="5B6630AD" w14:textId="33743CD5" w:rsidR="00090FF8" w:rsidRPr="000E688A" w:rsidRDefault="723518C7" w:rsidP="000E688A">
      <w:pPr>
        <w:spacing w:line="480" w:lineRule="auto"/>
        <w:rPr>
          <w:rFonts w:ascii="Arial" w:hAnsi="Arial" w:cs="Arial"/>
        </w:rPr>
      </w:pPr>
      <w:r w:rsidRPr="723518C7">
        <w:rPr>
          <w:rFonts w:ascii="Arial" w:hAnsi="Arial" w:cs="Arial"/>
        </w:rPr>
        <w:t xml:space="preserve">With an intricate summary analysis in comparison of both theories, the essay will highlight the positive attributes and weaknesses of these theories which are used as management tools in lodges. Moreover, this paper will bring its philosophy close to reality by referring </w:t>
      </w:r>
      <w:r w:rsidRPr="723518C7">
        <w:rPr>
          <w:rFonts w:ascii="Arial" w:hAnsi="Arial" w:cs="Arial"/>
        </w:rPr>
        <w:lastRenderedPageBreak/>
        <w:t>to notable and influential leaders in the hospitality industry, for example, emerging hotel chain leaders and exciting leaders (Arnold, 2005). Such reference links theory to practice. Through this synthesis and reflection on the core leadership element that influences managerial effectiveness and overall organizational performance and competitiveness in the most complex, dynamic, and cutting-edge nature of the hospitality industry. Blake and Mouton's grid's Managerial model is very effective in understanding leadership styles due to its being based on balancing people and production problems simultaneously (</w:t>
      </w:r>
      <w:proofErr w:type="spellStart"/>
      <w:r w:rsidRPr="723518C7">
        <w:rPr>
          <w:rFonts w:ascii="Arial" w:hAnsi="Arial" w:cs="Arial"/>
        </w:rPr>
        <w:t>Barchiesi</w:t>
      </w:r>
      <w:proofErr w:type="spellEnd"/>
      <w:r w:rsidRPr="723518C7">
        <w:rPr>
          <w:rFonts w:ascii="Arial" w:hAnsi="Arial" w:cs="Arial"/>
        </w:rPr>
        <w:t xml:space="preserve"> and La Bella, 2017). The hospitality niche is in the know of the fact that exceptional service is what ensures customer satisfaction and, consequently, business success, so the model's applicability here becomes evident. A leader who serves in the capacity of the "People and Production Principle" best meets the hotel industry's requirements, since this principle is aimed at finding a balance between the operations and people in the hotel industry (Boddy, 2014). This leadership style strengthens teamwork by giving the highest importance to the people ensuring that the operational plans are getting met in such an environment. Which in turn is creating a very friendly and harmonized relationship between the employees and the guests.</w:t>
      </w:r>
    </w:p>
    <w:p w14:paraId="1955BFAA" w14:textId="4A029345" w:rsidR="00090FF8" w:rsidRPr="000E688A" w:rsidRDefault="723518C7" w:rsidP="000E688A">
      <w:pPr>
        <w:spacing w:line="480" w:lineRule="auto"/>
        <w:rPr>
          <w:rFonts w:ascii="Arial" w:hAnsi="Arial" w:cs="Arial"/>
        </w:rPr>
      </w:pPr>
      <w:r w:rsidRPr="723518C7">
        <w:rPr>
          <w:rFonts w:ascii="Arial" w:hAnsi="Arial" w:cs="Arial"/>
        </w:rPr>
        <w:t xml:space="preserve">In real life of hotel managers, the "Team Leader" style translates to the ways hotel managers work with their teams and supervise the services as well. That is to say, (Hotel) managers apply the "Team Leader" style through the means of their interactions with their subordinates and, therefore, the supervision of services, too (Foti and Hauenstein, 2017). Therefore, a hotel executive using the participative style does not just establish clear objectives for housekeeping, front desk, and related operations, but also must be active in supporting the groups to meet their goals. This may be realized via regular training </w:t>
      </w:r>
      <w:r w:rsidRPr="723518C7">
        <w:rPr>
          <w:rFonts w:ascii="Arial" w:hAnsi="Arial" w:cs="Arial"/>
        </w:rPr>
        <w:lastRenderedPageBreak/>
        <w:t xml:space="preserve">sessions, an open channel of communication that will permit the establishment of feedback, and a recognition program for the employees who excel in service delivery thus making sure you have an inspired workforce that is always striving to meet high standards of customer service (Gannon and </w:t>
      </w:r>
      <w:proofErr w:type="spellStart"/>
      <w:r w:rsidRPr="723518C7">
        <w:rPr>
          <w:rFonts w:ascii="Arial" w:hAnsi="Arial" w:cs="Arial"/>
        </w:rPr>
        <w:t>Boguszak</w:t>
      </w:r>
      <w:proofErr w:type="spellEnd"/>
      <w:r w:rsidRPr="723518C7">
        <w:rPr>
          <w:rFonts w:ascii="Arial" w:hAnsi="Arial" w:cs="Arial"/>
        </w:rPr>
        <w:t>, 2016). Another perk of this leadership style is its appropriateness for handling customer situations as well. A hotel manager who is talented on 2nd level style should have what it takes to deliver the best services to the guests and take care of their complaints. To make sure the hotel still enjoys its reputation of giving the best customer care. This dual strategy in terms of streamlining operations as well as empathy develops a well-returning clientele that results in the growth of its brand value.</w:t>
      </w:r>
    </w:p>
    <w:p w14:paraId="39D6B804" w14:textId="1E72465D" w:rsidR="00090FF8" w:rsidRPr="000E688A" w:rsidRDefault="723518C7" w:rsidP="000E688A">
      <w:pPr>
        <w:spacing w:line="480" w:lineRule="auto"/>
        <w:rPr>
          <w:rFonts w:ascii="Arial" w:hAnsi="Arial" w:cs="Arial"/>
        </w:rPr>
      </w:pPr>
      <w:r w:rsidRPr="723518C7">
        <w:rPr>
          <w:rFonts w:ascii="Arial" w:hAnsi="Arial" w:cs="Arial"/>
        </w:rPr>
        <w:t>The hotel environment is as such that it is influenced by varied cultures and personal experiences that coexist among the hotel guests and employees. These may require considering more diverse leadership styles especially those acknowledged by the grid provided (Harris, 2016). The Managerial Grid Grid's Textbook gives the foundational idea about leadership in the hotel in which the application should be kept in mind for specific demands as of the different situations and rapidly changing industry trends. Implementing a "Team Leader" behaviour pattern by hotel managers as a rule might prove beneficial but they should stay flexible allowing for pragmatic transitions between different styles in specific practical situations (</w:t>
      </w:r>
      <w:proofErr w:type="spellStart"/>
      <w:r w:rsidRPr="723518C7">
        <w:rPr>
          <w:rFonts w:ascii="Arial" w:hAnsi="Arial" w:cs="Arial"/>
        </w:rPr>
        <w:t>Bloisi</w:t>
      </w:r>
      <w:proofErr w:type="spellEnd"/>
      <w:r w:rsidRPr="723518C7">
        <w:rPr>
          <w:rFonts w:ascii="Arial" w:hAnsi="Arial" w:cs="Arial"/>
        </w:rPr>
        <w:t xml:space="preserve">, 2007). John Adair’s ACL model regards leadership as an action-centred process and therefore this model possesses certain attributes which make it especially useful in the highly dynamic and people-centred service industry. This model encapsulates the essence of effective management by focusing on three critical areas: the responsibilities span from extremely technical, to the team- and of the </w:t>
      </w:r>
      <w:r w:rsidRPr="723518C7">
        <w:rPr>
          <w:rFonts w:ascii="Arial" w:hAnsi="Arial" w:cs="Arial"/>
        </w:rPr>
        <w:lastRenderedPageBreak/>
        <w:t>individual. Although each part of the whole is important on its own, it is the relating and combining of them that promotes and enhances the efficiency and effectiveness of a hotel operation (Hill, 2017).</w:t>
      </w:r>
    </w:p>
    <w:p w14:paraId="6E5579D1" w14:textId="41E781F5" w:rsidR="00090FF8" w:rsidRPr="000E688A" w:rsidRDefault="723518C7" w:rsidP="000E688A">
      <w:pPr>
        <w:spacing w:line="480" w:lineRule="auto"/>
        <w:rPr>
          <w:rFonts w:ascii="Arial" w:hAnsi="Arial" w:cs="Arial"/>
        </w:rPr>
      </w:pPr>
      <w:r w:rsidRPr="723518C7">
        <w:rPr>
          <w:rFonts w:ascii="Arial" w:hAnsi="Arial" w:cs="Arial"/>
        </w:rPr>
        <w:t>In the hotel environment, providing the right service means that activities like room service, check-in, and maintenance should be carried out competently, in good time, and synced. Along the same lines, it is pivotal to create a mutual understanding and cohesion among the different departments such as housekeeping, food services, and front office (Huczynski and Buchanan, 2009). In his model, Adair illustrates that leaders should not only control the completion of these tasks but also develop arousal of the entire team and inter-relations that better facilitate service delivery. For example, the hotel manager whom ACL implements will regularly do team meetings, where departmental goals will be discussed, ongoing issues will be addressed and alternatives will be found sustainably, forming stronger team spirit and functionality (Huczynski, Carter and Buchanan, 2013). First, at the personal level, Adair’s model underscores the importance of both the professional's personal growth and the underlying reasons of each team member. Such a method can be concluded from the experience that emphasizes the Marriott International employee's empowerment with the targeted training programs (John Eric Adair, 2009). It not only develops employees’ abilities but also contributes to deciding whether workers and for sure they will be more loyal to the company and a lower turnover rate motivates the more committed workforce.</w:t>
      </w:r>
    </w:p>
    <w:p w14:paraId="4D4C2020" w14:textId="1BCA5639" w:rsidR="00090FF8" w:rsidRPr="000E688A" w:rsidRDefault="723518C7" w:rsidP="000E688A">
      <w:pPr>
        <w:spacing w:line="480" w:lineRule="auto"/>
        <w:rPr>
          <w:rFonts w:ascii="Arial" w:hAnsi="Arial" w:cs="Arial"/>
        </w:rPr>
      </w:pPr>
      <w:r w:rsidRPr="723518C7">
        <w:rPr>
          <w:rFonts w:ascii="Arial" w:hAnsi="Arial" w:cs="Arial"/>
        </w:rPr>
        <w:t xml:space="preserve">It is most important to be aware that in the context of hotel management, we can observe the differences between the theories of T. Douglas McGregor – Theory X and Theory Y. McGregor’s model divides leadership attitudes toward employee motivation into two </w:t>
      </w:r>
      <w:r w:rsidRPr="723518C7">
        <w:rPr>
          <w:rFonts w:ascii="Arial" w:hAnsi="Arial" w:cs="Arial"/>
        </w:rPr>
        <w:lastRenderedPageBreak/>
        <w:t>broad categories: Theory X and Theory Y (Theory X assumes that employees for the major part, are lazy and always need close supervision and direction to work and such approach is pretty much similar to the bureaucracy) (Foti and Hauenstein, 2017). This method could be crucial in situations where critical compliance is set, and universally recognized principles are involved particularly in luxury hotels where one should find very strict outputs and almost precise levels of consistent and inefficient service delivery.</w:t>
      </w:r>
    </w:p>
    <w:p w14:paraId="6B6AE925" w14:textId="6C065B65" w:rsidR="00090FF8" w:rsidRPr="000E688A" w:rsidRDefault="00090FF8" w:rsidP="000E688A">
      <w:pPr>
        <w:spacing w:line="480" w:lineRule="auto"/>
        <w:rPr>
          <w:rFonts w:ascii="Arial" w:hAnsi="Arial" w:cs="Arial"/>
        </w:rPr>
      </w:pPr>
      <w:r w:rsidRPr="000E688A">
        <w:rPr>
          <w:rFonts w:ascii="Arial" w:hAnsi="Arial" w:cs="Arial"/>
        </w:rPr>
        <w:t>Theory X proposes that employees are more likely self-motivated and are always seeking more responsibilities, which in fact they can achieve with good leadership that gives them opportunities to arise</w:t>
      </w:r>
      <w:r w:rsidR="00361A42" w:rsidRPr="000E688A">
        <w:rPr>
          <w:rFonts w:ascii="Arial" w:hAnsi="Arial" w:cs="Arial"/>
        </w:rPr>
        <w:t xml:space="preserve"> (</w:t>
      </w:r>
      <w:proofErr w:type="spellStart"/>
      <w:r w:rsidR="00361A42" w:rsidRPr="000E688A">
        <w:rPr>
          <w:rFonts w:ascii="Arial" w:hAnsi="Arial" w:cs="Arial"/>
        </w:rPr>
        <w:t>Barchiesi</w:t>
      </w:r>
      <w:proofErr w:type="spellEnd"/>
      <w:r w:rsidR="00361A42" w:rsidRPr="000E688A">
        <w:rPr>
          <w:rFonts w:ascii="Arial" w:hAnsi="Arial" w:cs="Arial"/>
        </w:rPr>
        <w:t xml:space="preserve"> and La Bella, 2017)</w:t>
      </w:r>
      <w:r w:rsidRPr="000E688A">
        <w:rPr>
          <w:rFonts w:ascii="Arial" w:hAnsi="Arial" w:cs="Arial"/>
        </w:rPr>
        <w:t>. As we generally observed, this approach is nowadays becoming more and more customary in modern hotels which are extremely interested in ensuring that attributes such as innovation and individual employee development are well balanced</w:t>
      </w:r>
      <w:r w:rsidR="000E688A" w:rsidRPr="000E688A">
        <w:rPr>
          <w:rFonts w:ascii="Arial" w:hAnsi="Arial" w:cs="Arial"/>
        </w:rPr>
        <w:t xml:space="preserve"> (Huczynski and Buchanan, 2009)</w:t>
      </w:r>
      <w:r w:rsidRPr="000E688A">
        <w:rPr>
          <w:rFonts w:ascii="Arial" w:hAnsi="Arial" w:cs="Arial"/>
        </w:rPr>
        <w:t>. For instance, for Hilton</w:t>
      </w:r>
      <w:r w:rsidR="00265C2F" w:rsidRPr="000E688A">
        <w:rPr>
          <w:rFonts w:ascii="Arial" w:hAnsi="Arial" w:cs="Arial"/>
        </w:rPr>
        <w:t>,</w:t>
      </w:r>
      <w:r w:rsidRPr="000E688A">
        <w:rPr>
          <w:rFonts w:ascii="Arial" w:hAnsi="Arial" w:cs="Arial"/>
        </w:rPr>
        <w:t xml:space="preserve"> the appliance of Theory Y’s philosophy promoted a workplace where employee feedback and creative thinking </w:t>
      </w:r>
      <w:r w:rsidR="00265C2F" w:rsidRPr="000E688A">
        <w:rPr>
          <w:rFonts w:ascii="Arial" w:hAnsi="Arial" w:cs="Arial"/>
        </w:rPr>
        <w:t>have</w:t>
      </w:r>
      <w:r w:rsidRPr="000E688A">
        <w:rPr>
          <w:rFonts w:ascii="Arial" w:hAnsi="Arial" w:cs="Arial"/>
        </w:rPr>
        <w:t xml:space="preserve"> become the focus and </w:t>
      </w:r>
      <w:r w:rsidR="00A8664B" w:rsidRPr="000E688A">
        <w:rPr>
          <w:rFonts w:ascii="Arial" w:hAnsi="Arial" w:cs="Arial"/>
        </w:rPr>
        <w:t>were</w:t>
      </w:r>
      <w:r w:rsidRPr="000E688A">
        <w:rPr>
          <w:rFonts w:ascii="Arial" w:hAnsi="Arial" w:cs="Arial"/>
        </w:rPr>
        <w:t xml:space="preserve"> the reason </w:t>
      </w:r>
      <w:r w:rsidR="00A8664B" w:rsidRPr="000E688A">
        <w:rPr>
          <w:rFonts w:ascii="Arial" w:hAnsi="Arial" w:cs="Arial"/>
        </w:rPr>
        <w:t>for</w:t>
      </w:r>
      <w:r w:rsidRPr="000E688A">
        <w:rPr>
          <w:rFonts w:ascii="Arial" w:hAnsi="Arial" w:cs="Arial"/>
        </w:rPr>
        <w:t xml:space="preserve"> the significant rises in productivity and job satisfaction. It is a great way for such a workplace where the new recruits and the already working participants receive the best is at the same time their employer stimulates the proactive approach</w:t>
      </w:r>
      <w:r w:rsidR="00361A42" w:rsidRPr="000E688A">
        <w:rPr>
          <w:rFonts w:ascii="Arial" w:hAnsi="Arial" w:cs="Arial"/>
        </w:rPr>
        <w:t xml:space="preserve"> (Boddy, 2014)</w:t>
      </w:r>
      <w:r w:rsidRPr="000E688A">
        <w:rPr>
          <w:rFonts w:ascii="Arial" w:hAnsi="Arial" w:cs="Arial"/>
        </w:rPr>
        <w:t>. However, the isolation of necessary either-or in McGregor's theories neglects the entire breadth of possible differences between the human characters in an organization.</w:t>
      </w:r>
    </w:p>
    <w:p w14:paraId="6A3DACCF" w14:textId="7A66B261" w:rsidR="00090FF8" w:rsidRPr="000E688A" w:rsidRDefault="723518C7" w:rsidP="000E688A">
      <w:pPr>
        <w:spacing w:line="480" w:lineRule="auto"/>
        <w:rPr>
          <w:rFonts w:ascii="Arial" w:hAnsi="Arial" w:cs="Arial"/>
        </w:rPr>
      </w:pPr>
      <w:r w:rsidRPr="723518C7">
        <w:rPr>
          <w:rFonts w:ascii="Arial" w:hAnsi="Arial" w:cs="Arial"/>
        </w:rPr>
        <w:t xml:space="preserve">Action Centred Leadership by Adair and Theory X and Y by McGregor constitute a valuable contribution to leadership in the hospitality industry, nonetheless, one must remember the need for development and a higher level of hospitality-oriented adjustments (Justis, 2019). In this kind of leadership, the leaders must possess the skill </w:t>
      </w:r>
      <w:r w:rsidRPr="723518C7">
        <w:rPr>
          <w:rFonts w:ascii="Arial" w:hAnsi="Arial" w:cs="Arial"/>
        </w:rPr>
        <w:lastRenderedPageBreak/>
        <w:t>of assessing and reacting to the large array of the needs that relate to their particular assignments, identifying the entire membership of the team and the individuals they lead, setting various styles of leadership which are flexibly and diversified as the surrounding environment in which they find themselves operating (Miljus et al., 2018). The comparison of these theories reveals various pros and cons when applied to the hotel industry:</w:t>
      </w:r>
    </w:p>
    <w:tbl>
      <w:tblPr>
        <w:tblStyle w:val="PlainTable5"/>
        <w:tblW w:w="0" w:type="auto"/>
        <w:tblLook w:val="04A0" w:firstRow="1" w:lastRow="0" w:firstColumn="1" w:lastColumn="0" w:noHBand="0" w:noVBand="1"/>
      </w:tblPr>
      <w:tblGrid>
        <w:gridCol w:w="3116"/>
        <w:gridCol w:w="3117"/>
        <w:gridCol w:w="3117"/>
      </w:tblGrid>
      <w:tr w:rsidR="009B63B4" w:rsidRPr="000E688A" w14:paraId="1497AB9C" w14:textId="77777777" w:rsidTr="00BB4C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6" w:type="dxa"/>
            <w:tcBorders>
              <w:top w:val="single" w:sz="4" w:space="0" w:color="auto"/>
              <w:left w:val="single" w:sz="4" w:space="0" w:color="auto"/>
            </w:tcBorders>
          </w:tcPr>
          <w:p w14:paraId="387E30F0" w14:textId="1A0D4652" w:rsidR="009B63B4" w:rsidRPr="000E688A" w:rsidRDefault="009B63B4" w:rsidP="000E688A">
            <w:pPr>
              <w:spacing w:line="480" w:lineRule="auto"/>
              <w:rPr>
                <w:rFonts w:ascii="Arial" w:hAnsi="Arial" w:cs="Arial"/>
              </w:rPr>
            </w:pPr>
            <w:r w:rsidRPr="000E688A">
              <w:rPr>
                <w:rFonts w:ascii="Arial" w:hAnsi="Arial" w:cs="Arial"/>
              </w:rPr>
              <w:t>Leadership Theory</w:t>
            </w:r>
          </w:p>
        </w:tc>
        <w:tc>
          <w:tcPr>
            <w:tcW w:w="3117" w:type="dxa"/>
            <w:tcBorders>
              <w:top w:val="single" w:sz="4" w:space="0" w:color="auto"/>
            </w:tcBorders>
          </w:tcPr>
          <w:p w14:paraId="5C28418D" w14:textId="0A4F64AD" w:rsidR="009B63B4" w:rsidRPr="000E688A" w:rsidRDefault="009B63B4" w:rsidP="000E688A">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E688A">
              <w:rPr>
                <w:rFonts w:ascii="Arial" w:hAnsi="Arial" w:cs="Arial"/>
              </w:rPr>
              <w:t>Pros</w:t>
            </w:r>
          </w:p>
        </w:tc>
        <w:tc>
          <w:tcPr>
            <w:tcW w:w="3117" w:type="dxa"/>
            <w:tcBorders>
              <w:top w:val="single" w:sz="4" w:space="0" w:color="auto"/>
              <w:right w:val="single" w:sz="4" w:space="0" w:color="auto"/>
            </w:tcBorders>
          </w:tcPr>
          <w:p w14:paraId="0F679A50" w14:textId="22D5ECC2" w:rsidR="009B63B4" w:rsidRPr="000E688A" w:rsidRDefault="009B63B4" w:rsidP="000E688A">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0E688A">
              <w:rPr>
                <w:rFonts w:ascii="Arial" w:hAnsi="Arial" w:cs="Arial"/>
              </w:rPr>
              <w:t>Cons</w:t>
            </w:r>
          </w:p>
        </w:tc>
      </w:tr>
      <w:tr w:rsidR="009B63B4" w:rsidRPr="000E688A" w14:paraId="1ACB5303" w14:textId="77777777" w:rsidTr="00BB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Borders>
              <w:left w:val="single" w:sz="4" w:space="0" w:color="auto"/>
            </w:tcBorders>
          </w:tcPr>
          <w:p w14:paraId="199F2A29" w14:textId="03E892E4" w:rsidR="009B63B4" w:rsidRPr="000E688A" w:rsidRDefault="009B63B4" w:rsidP="000E688A">
            <w:pPr>
              <w:spacing w:line="480" w:lineRule="auto"/>
              <w:rPr>
                <w:rFonts w:ascii="Arial" w:hAnsi="Arial" w:cs="Arial"/>
              </w:rPr>
            </w:pPr>
            <w:r w:rsidRPr="000E688A">
              <w:rPr>
                <w:rFonts w:ascii="Arial" w:hAnsi="Arial" w:cs="Arial"/>
              </w:rPr>
              <w:t>Blake and Mouton’s Managerial Grid</w:t>
            </w:r>
          </w:p>
        </w:tc>
        <w:tc>
          <w:tcPr>
            <w:tcW w:w="3117" w:type="dxa"/>
          </w:tcPr>
          <w:p w14:paraId="0A211A00" w14:textId="0C57E217" w:rsidR="009B63B4" w:rsidRPr="000E688A" w:rsidRDefault="009B63B4" w:rsidP="000E688A">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E688A">
              <w:rPr>
                <w:rFonts w:ascii="Arial" w:hAnsi="Arial" w:cs="Arial"/>
              </w:rPr>
              <w:t>Encourages balanced focus on people and tasks</w:t>
            </w:r>
          </w:p>
        </w:tc>
        <w:tc>
          <w:tcPr>
            <w:tcW w:w="3117" w:type="dxa"/>
            <w:tcBorders>
              <w:right w:val="single" w:sz="4" w:space="0" w:color="auto"/>
            </w:tcBorders>
          </w:tcPr>
          <w:p w14:paraId="32EF20D5" w14:textId="228934BE" w:rsidR="009B63B4" w:rsidRPr="000E688A" w:rsidRDefault="009B63B4" w:rsidP="000E688A">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E688A">
              <w:rPr>
                <w:rFonts w:ascii="Arial" w:hAnsi="Arial" w:cs="Arial"/>
              </w:rPr>
              <w:t>May be too rigid for dynamic situations</w:t>
            </w:r>
          </w:p>
        </w:tc>
      </w:tr>
      <w:tr w:rsidR="009B63B4" w:rsidRPr="000E688A" w14:paraId="0E6F0AD4" w14:textId="77777777" w:rsidTr="00BB4C8E">
        <w:tc>
          <w:tcPr>
            <w:cnfStyle w:val="001000000000" w:firstRow="0" w:lastRow="0" w:firstColumn="1" w:lastColumn="0" w:oddVBand="0" w:evenVBand="0" w:oddHBand="0" w:evenHBand="0" w:firstRowFirstColumn="0" w:firstRowLastColumn="0" w:lastRowFirstColumn="0" w:lastRowLastColumn="0"/>
            <w:tcW w:w="3116" w:type="dxa"/>
            <w:tcBorders>
              <w:left w:val="single" w:sz="4" w:space="0" w:color="auto"/>
            </w:tcBorders>
          </w:tcPr>
          <w:p w14:paraId="053C6672" w14:textId="04B93332" w:rsidR="009B63B4" w:rsidRPr="000E688A" w:rsidRDefault="009B63B4" w:rsidP="000E688A">
            <w:pPr>
              <w:spacing w:line="480" w:lineRule="auto"/>
              <w:rPr>
                <w:rFonts w:ascii="Arial" w:hAnsi="Arial" w:cs="Arial"/>
              </w:rPr>
            </w:pPr>
            <w:r w:rsidRPr="000E688A">
              <w:rPr>
                <w:rFonts w:ascii="Arial" w:hAnsi="Arial" w:cs="Arial"/>
              </w:rPr>
              <w:t>Adair’s ACL</w:t>
            </w:r>
          </w:p>
        </w:tc>
        <w:tc>
          <w:tcPr>
            <w:tcW w:w="3117" w:type="dxa"/>
          </w:tcPr>
          <w:p w14:paraId="7932DA69" w14:textId="4FEDB44B" w:rsidR="009B63B4" w:rsidRPr="000E688A" w:rsidRDefault="009B63B4" w:rsidP="000E688A">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E688A">
              <w:rPr>
                <w:rFonts w:ascii="Arial" w:hAnsi="Arial" w:cs="Arial"/>
              </w:rPr>
              <w:t>Promotes holistic management approach</w:t>
            </w:r>
          </w:p>
        </w:tc>
        <w:tc>
          <w:tcPr>
            <w:tcW w:w="3117" w:type="dxa"/>
            <w:tcBorders>
              <w:right w:val="single" w:sz="4" w:space="0" w:color="auto"/>
            </w:tcBorders>
          </w:tcPr>
          <w:p w14:paraId="2EF1D46C" w14:textId="6D2A84C0" w:rsidR="009B63B4" w:rsidRPr="000E688A" w:rsidRDefault="009B63B4" w:rsidP="000E688A">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E688A">
              <w:rPr>
                <w:rFonts w:ascii="Arial" w:hAnsi="Arial" w:cs="Arial"/>
              </w:rPr>
              <w:t>Might oversimplify individual complexities</w:t>
            </w:r>
          </w:p>
        </w:tc>
      </w:tr>
      <w:tr w:rsidR="009B63B4" w:rsidRPr="000E688A" w14:paraId="44476324" w14:textId="77777777" w:rsidTr="00BB4C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Borders>
              <w:left w:val="single" w:sz="4" w:space="0" w:color="auto"/>
              <w:bottom w:val="single" w:sz="4" w:space="0" w:color="auto"/>
            </w:tcBorders>
          </w:tcPr>
          <w:p w14:paraId="54FF2774" w14:textId="13339BFC" w:rsidR="009B63B4" w:rsidRPr="000E688A" w:rsidRDefault="009B63B4" w:rsidP="000E688A">
            <w:pPr>
              <w:spacing w:line="480" w:lineRule="auto"/>
              <w:rPr>
                <w:rFonts w:ascii="Arial" w:hAnsi="Arial" w:cs="Arial"/>
              </w:rPr>
            </w:pPr>
            <w:r w:rsidRPr="000E688A">
              <w:rPr>
                <w:rFonts w:ascii="Arial" w:hAnsi="Arial" w:cs="Arial"/>
              </w:rPr>
              <w:t>McGregor’s Theory X and Y</w:t>
            </w:r>
          </w:p>
        </w:tc>
        <w:tc>
          <w:tcPr>
            <w:tcW w:w="3117" w:type="dxa"/>
            <w:tcBorders>
              <w:bottom w:val="single" w:sz="4" w:space="0" w:color="auto"/>
            </w:tcBorders>
          </w:tcPr>
          <w:p w14:paraId="5B996F12" w14:textId="3DF3CB1E" w:rsidR="009B63B4" w:rsidRPr="000E688A" w:rsidRDefault="009B63B4" w:rsidP="000E688A">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E688A">
              <w:rPr>
                <w:rFonts w:ascii="Arial" w:hAnsi="Arial" w:cs="Arial"/>
              </w:rPr>
              <w:t>Encourages adaptation to modern participative approaches</w:t>
            </w:r>
          </w:p>
        </w:tc>
        <w:tc>
          <w:tcPr>
            <w:tcW w:w="3117" w:type="dxa"/>
            <w:tcBorders>
              <w:bottom w:val="single" w:sz="4" w:space="0" w:color="auto"/>
              <w:right w:val="single" w:sz="4" w:space="0" w:color="auto"/>
            </w:tcBorders>
          </w:tcPr>
          <w:p w14:paraId="2846EEE4" w14:textId="4CC41D0F" w:rsidR="009B63B4" w:rsidRPr="000E688A" w:rsidRDefault="009B63B4" w:rsidP="000E688A">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E688A">
              <w:rPr>
                <w:rFonts w:ascii="Arial" w:hAnsi="Arial" w:cs="Arial"/>
              </w:rPr>
              <w:t>Binary nature may not fit all contexts</w:t>
            </w:r>
          </w:p>
        </w:tc>
      </w:tr>
    </w:tbl>
    <w:p w14:paraId="629214E9" w14:textId="77777777" w:rsidR="009B63B4" w:rsidRPr="000E688A" w:rsidRDefault="009B63B4" w:rsidP="000E688A">
      <w:pPr>
        <w:spacing w:line="480" w:lineRule="auto"/>
        <w:rPr>
          <w:rFonts w:ascii="Arial" w:hAnsi="Arial" w:cs="Arial"/>
        </w:rPr>
      </w:pPr>
    </w:p>
    <w:p w14:paraId="749F822D" w14:textId="750CECBC" w:rsidR="00090FF8" w:rsidRPr="000E688A" w:rsidRDefault="00090FF8" w:rsidP="000E688A">
      <w:pPr>
        <w:spacing w:line="480" w:lineRule="auto"/>
        <w:rPr>
          <w:rFonts w:ascii="Arial" w:hAnsi="Arial" w:cs="Arial"/>
        </w:rPr>
      </w:pPr>
      <w:r w:rsidRPr="000E688A">
        <w:rPr>
          <w:rFonts w:ascii="Arial" w:hAnsi="Arial" w:cs="Arial"/>
        </w:rPr>
        <w:t xml:space="preserve">In the sector of hospitality, the performance of the managerial styles is interrelated and plays a big role in </w:t>
      </w:r>
      <w:r w:rsidR="00A8664B" w:rsidRPr="000E688A">
        <w:rPr>
          <w:rFonts w:ascii="Arial" w:hAnsi="Arial" w:cs="Arial"/>
        </w:rPr>
        <w:t>customer</w:t>
      </w:r>
      <w:r w:rsidRPr="000E688A">
        <w:rPr>
          <w:rFonts w:ascii="Arial" w:hAnsi="Arial" w:cs="Arial"/>
        </w:rPr>
        <w:t xml:space="preserve"> satisfaction and organizational efficiency. Those in this </w:t>
      </w:r>
      <w:r w:rsidR="00A8664B" w:rsidRPr="000E688A">
        <w:rPr>
          <w:rFonts w:ascii="Arial" w:hAnsi="Arial" w:cs="Arial"/>
        </w:rPr>
        <w:t>sector</w:t>
      </w:r>
      <w:r w:rsidRPr="000E688A">
        <w:rPr>
          <w:rFonts w:ascii="Arial" w:hAnsi="Arial" w:cs="Arial"/>
        </w:rPr>
        <w:t xml:space="preserve"> usually synthesize many leadership fields- to result </w:t>
      </w:r>
      <w:r w:rsidR="00265C2F" w:rsidRPr="000E688A">
        <w:rPr>
          <w:rFonts w:ascii="Arial" w:hAnsi="Arial" w:cs="Arial"/>
        </w:rPr>
        <w:t>in</w:t>
      </w:r>
      <w:r w:rsidRPr="000E688A">
        <w:rPr>
          <w:rFonts w:ascii="Arial" w:hAnsi="Arial" w:cs="Arial"/>
        </w:rPr>
        <w:t xml:space="preserve"> a blended way that addresses the tightly woven requirements of their surrounding</w:t>
      </w:r>
      <w:r w:rsidR="000E688A" w:rsidRPr="000E688A">
        <w:rPr>
          <w:rFonts w:ascii="Arial" w:hAnsi="Arial" w:cs="Arial"/>
        </w:rPr>
        <w:t xml:space="preserve"> (Mullins, 2016)</w:t>
      </w:r>
      <w:r w:rsidRPr="000E688A">
        <w:rPr>
          <w:rFonts w:ascii="Arial" w:hAnsi="Arial" w:cs="Arial"/>
        </w:rPr>
        <w:t>. Such leaders, by way of instance, may apply Blake and Mouton’s Managerial grid and in turn, opt to keep the necessary balance between employee wellbeing and task management. This equilibrium enables</w:t>
      </w:r>
      <w:r w:rsidR="00A8664B" w:rsidRPr="000E688A">
        <w:rPr>
          <w:rFonts w:ascii="Arial" w:hAnsi="Arial" w:cs="Arial"/>
        </w:rPr>
        <w:t>,</w:t>
      </w:r>
      <w:r w:rsidRPr="000E688A">
        <w:rPr>
          <w:rFonts w:ascii="Arial" w:hAnsi="Arial" w:cs="Arial"/>
        </w:rPr>
        <w:t xml:space="preserve"> on one hand, meeting the operational demands, and on the other, taking care of the welfare and happiness of the staff as they are the primary conduit for the guests on matters pertaining </w:t>
      </w:r>
      <w:r w:rsidR="00A8664B" w:rsidRPr="000E688A">
        <w:rPr>
          <w:rFonts w:ascii="Arial" w:hAnsi="Arial" w:cs="Arial"/>
        </w:rPr>
        <w:t xml:space="preserve">to </w:t>
      </w:r>
      <w:r w:rsidRPr="000E688A">
        <w:rPr>
          <w:rFonts w:ascii="Arial" w:hAnsi="Arial" w:cs="Arial"/>
        </w:rPr>
        <w:t>services.</w:t>
      </w:r>
    </w:p>
    <w:p w14:paraId="43AB2E55" w14:textId="1CBC6C2A" w:rsidR="009B63B4" w:rsidRPr="000E688A" w:rsidRDefault="723518C7" w:rsidP="000E688A">
      <w:pPr>
        <w:spacing w:line="480" w:lineRule="auto"/>
        <w:rPr>
          <w:rFonts w:ascii="Arial" w:hAnsi="Arial" w:cs="Arial"/>
        </w:rPr>
      </w:pPr>
      <w:r w:rsidRPr="723518C7">
        <w:rPr>
          <w:rFonts w:ascii="Arial" w:hAnsi="Arial" w:cs="Arial"/>
        </w:rPr>
        <w:lastRenderedPageBreak/>
        <w:t xml:space="preserve">Also, the Action-Centred Leadership (ACL) model developed by Adair further builds on the cohesiveness of such multi-faceted teams by fulfilling the organization’s higher goals and at the same time putting emphasis on personal development (Mullins, 2020). Besides, the strategy in question does not only make it possible to achieve the goals but also, as a result, builds a powerful and unified team of employees capable of coping with the difficulties that the hospitality sector brings. It is notable that McGregor’s Theories X and Y are geared towards providing a business environment that encourages public engagement and stimulates innovation. By recognizing the drivers of the staff, managers can make them stronger and more fulfilling, which then means guest satisfaction is a lot higher leading to a better guest experience overall (Mullins and </w:t>
      </w:r>
      <w:proofErr w:type="spellStart"/>
      <w:r w:rsidRPr="723518C7">
        <w:rPr>
          <w:rFonts w:ascii="Arial" w:hAnsi="Arial" w:cs="Arial"/>
        </w:rPr>
        <w:t>Dossor</w:t>
      </w:r>
      <w:proofErr w:type="spellEnd"/>
      <w:r w:rsidRPr="723518C7">
        <w:rPr>
          <w:rFonts w:ascii="Arial" w:hAnsi="Arial" w:cs="Arial"/>
        </w:rPr>
        <w:t xml:space="preserve">, 2013)l. A theoretical model reproducing meaningful achievement is the one of Arne Sorenson formerly CEO of Rosemont International Hotel, that uses the competence elements of different leadership styles. Sorenson considered the human approach of the leader as a team member and himself as more aligned with Blake and Mouton’s team leadership grid and promoted McGregor’s Theory Y approach that stresses the importance of respecting people's needs, dignity, and self-esteem of the workers (Rosete and </w:t>
      </w:r>
      <w:proofErr w:type="spellStart"/>
      <w:r w:rsidRPr="723518C7">
        <w:rPr>
          <w:rFonts w:ascii="Arial" w:hAnsi="Arial" w:cs="Arial"/>
        </w:rPr>
        <w:t>Ciarrochi</w:t>
      </w:r>
      <w:proofErr w:type="spellEnd"/>
      <w:r w:rsidRPr="723518C7">
        <w:rPr>
          <w:rFonts w:ascii="Arial" w:hAnsi="Arial" w:cs="Arial"/>
        </w:rPr>
        <w:t>, 2019). Therefore, he created an environment where employees felt really appreciated.</w:t>
      </w:r>
    </w:p>
    <w:p w14:paraId="155CE520" w14:textId="26DD8FCF" w:rsidR="00D97AE5" w:rsidRPr="000E688A" w:rsidRDefault="723518C7" w:rsidP="000E688A">
      <w:pPr>
        <w:spacing w:line="480" w:lineRule="auto"/>
        <w:rPr>
          <w:rFonts w:ascii="Arial" w:hAnsi="Arial" w:cs="Arial"/>
        </w:rPr>
      </w:pPr>
      <w:bookmarkStart w:id="0" w:name="_Toc164152542"/>
      <w:r w:rsidRPr="723518C7">
        <w:rPr>
          <w:rFonts w:ascii="Arial" w:hAnsi="Arial" w:cs="Arial"/>
        </w:rPr>
        <w:t xml:space="preserve">To sum up, hotel management being distinctive from other businesses dies the need for a leadership behaviour that is dynamic, and people centred. This fashionable approach not only tackles the distinctive operational issues of hospitality management but also provides a better realization of a successful implementation of these theoretical findings into practical development. In the changing environment of hotels which is supplemented by technical progress and modifications in consumer expectations, so control options </w:t>
      </w:r>
      <w:r w:rsidRPr="723518C7">
        <w:rPr>
          <w:rFonts w:ascii="Arial" w:hAnsi="Arial" w:cs="Arial"/>
        </w:rPr>
        <w:lastRenderedPageBreak/>
        <w:t>similarly should change (Boddy, 2014). Nonetheless, since the final bar of envisaging a marvellous guest experience completely manifests in the way the leaders adjust the theories, to ensure both employee gratification and operational excellence, the goal remains the same (Zaccaro, Rittman, and Marks, 2017). By nimbly changing headcount in parallel with business volumes, this unique union fast-tracks us not only to excel in our host city but also to stand out from the crowd in the hospitality market of this potent city.</w:t>
      </w:r>
    </w:p>
    <w:p w14:paraId="4A05758C" w14:textId="6AC2500D" w:rsidR="00090FF8" w:rsidRPr="000E688A" w:rsidRDefault="00D97AE5" w:rsidP="000E688A">
      <w:pPr>
        <w:spacing w:line="480" w:lineRule="auto"/>
        <w:rPr>
          <w:rFonts w:ascii="Arial" w:hAnsi="Arial" w:cs="Arial"/>
        </w:rPr>
      </w:pPr>
      <w:r w:rsidRPr="000E688A">
        <w:rPr>
          <w:rFonts w:ascii="Arial" w:hAnsi="Arial" w:cs="Arial"/>
        </w:rPr>
        <w:br w:type="page"/>
      </w:r>
    </w:p>
    <w:p w14:paraId="384D5274" w14:textId="3B86003A" w:rsidR="00971B6F" w:rsidRPr="000E688A" w:rsidRDefault="00971B6F" w:rsidP="000E688A">
      <w:pPr>
        <w:pStyle w:val="Heading1"/>
        <w:spacing w:line="480" w:lineRule="auto"/>
        <w:rPr>
          <w:rFonts w:ascii="Arial" w:hAnsi="Arial" w:cs="Arial"/>
        </w:rPr>
      </w:pPr>
      <w:r w:rsidRPr="000E688A">
        <w:rPr>
          <w:rFonts w:ascii="Arial" w:hAnsi="Arial" w:cs="Arial"/>
        </w:rPr>
        <w:lastRenderedPageBreak/>
        <w:t>References</w:t>
      </w:r>
      <w:bookmarkEnd w:id="0"/>
    </w:p>
    <w:p w14:paraId="13F927B7"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Akhtar, P. and Khan, Z. (2017). The linkages between leadership approaches and coordination effectiveness. </w:t>
      </w:r>
      <w:r w:rsidRPr="000E688A">
        <w:rPr>
          <w:rFonts w:ascii="Arial" w:hAnsi="Arial" w:cs="Arial"/>
          <w:i/>
          <w:iCs/>
        </w:rPr>
        <w:t>British Food Journal</w:t>
      </w:r>
      <w:r w:rsidRPr="000E688A">
        <w:rPr>
          <w:rFonts w:ascii="Arial" w:hAnsi="Arial" w:cs="Arial"/>
        </w:rPr>
        <w:t xml:space="preserve">, 117(1), pp.443–460. </w:t>
      </w:r>
      <w:proofErr w:type="spellStart"/>
      <w:r w:rsidRPr="000E688A">
        <w:rPr>
          <w:rFonts w:ascii="Arial" w:hAnsi="Arial" w:cs="Arial"/>
        </w:rPr>
        <w:t>doi:https</w:t>
      </w:r>
      <w:proofErr w:type="spellEnd"/>
      <w:r w:rsidRPr="000E688A">
        <w:rPr>
          <w:rFonts w:ascii="Arial" w:hAnsi="Arial" w:cs="Arial"/>
        </w:rPr>
        <w:t>://doi.org/10.1108/bfj-12-2013-0357.</w:t>
      </w:r>
    </w:p>
    <w:p w14:paraId="58755751" w14:textId="5779A67F"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Armstrong, M. (2012). </w:t>
      </w:r>
      <w:r w:rsidRPr="000E688A">
        <w:rPr>
          <w:rFonts w:ascii="Arial" w:hAnsi="Arial" w:cs="Arial"/>
          <w:i/>
          <w:iCs/>
        </w:rPr>
        <w:t>Armstrong’s handbook of management and leadership</w:t>
      </w:r>
      <w:r w:rsidRPr="000E688A">
        <w:rPr>
          <w:rFonts w:ascii="Arial" w:hAnsi="Arial" w:cs="Arial"/>
        </w:rPr>
        <w:t>. London: Kogan Page.</w:t>
      </w:r>
    </w:p>
    <w:p w14:paraId="28A3B557"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Arnold, J. (2005). </w:t>
      </w:r>
      <w:r w:rsidRPr="000E688A">
        <w:rPr>
          <w:rFonts w:ascii="Arial" w:hAnsi="Arial" w:cs="Arial"/>
          <w:i/>
          <w:iCs/>
        </w:rPr>
        <w:t>Work psychology</w:t>
      </w:r>
      <w:r w:rsidRPr="000E688A">
        <w:rPr>
          <w:rFonts w:ascii="Arial" w:hAnsi="Arial" w:cs="Arial"/>
        </w:rPr>
        <w:t>. 4th ed. Harlow: Prentice Hall.</w:t>
      </w:r>
    </w:p>
    <w:p w14:paraId="2B708833" w14:textId="635786A3" w:rsidR="00361A42" w:rsidRPr="000E688A" w:rsidRDefault="00361A42" w:rsidP="000E688A">
      <w:pPr>
        <w:pStyle w:val="NormalWeb"/>
        <w:spacing w:before="0" w:beforeAutospacing="0" w:after="240" w:afterAutospacing="0" w:line="480" w:lineRule="auto"/>
        <w:jc w:val="both"/>
        <w:rPr>
          <w:rFonts w:ascii="Arial" w:hAnsi="Arial" w:cs="Arial"/>
        </w:rPr>
      </w:pPr>
      <w:proofErr w:type="spellStart"/>
      <w:r w:rsidRPr="000E688A">
        <w:rPr>
          <w:rFonts w:ascii="Arial" w:hAnsi="Arial" w:cs="Arial"/>
        </w:rPr>
        <w:t>Barchiesi</w:t>
      </w:r>
      <w:proofErr w:type="spellEnd"/>
      <w:r w:rsidRPr="000E688A">
        <w:rPr>
          <w:rFonts w:ascii="Arial" w:hAnsi="Arial" w:cs="Arial"/>
        </w:rPr>
        <w:t xml:space="preserve">, M.A. and La Bella, A. (2017). Leadership Styles of </w:t>
      </w:r>
      <w:r w:rsidR="000E688A" w:rsidRPr="000E688A">
        <w:rPr>
          <w:rFonts w:ascii="Arial" w:hAnsi="Arial" w:cs="Arial"/>
        </w:rPr>
        <w:t xml:space="preserve">the </w:t>
      </w:r>
      <w:r w:rsidRPr="000E688A">
        <w:rPr>
          <w:rFonts w:ascii="Arial" w:hAnsi="Arial" w:cs="Arial"/>
        </w:rPr>
        <w:t xml:space="preserve">World’s </w:t>
      </w:r>
      <w:r w:rsidR="000E688A" w:rsidRPr="000E688A">
        <w:rPr>
          <w:rFonts w:ascii="Arial" w:hAnsi="Arial" w:cs="Arial"/>
        </w:rPr>
        <w:t>Most</w:t>
      </w:r>
      <w:r w:rsidRPr="000E688A">
        <w:rPr>
          <w:rFonts w:ascii="Arial" w:hAnsi="Arial" w:cs="Arial"/>
        </w:rPr>
        <w:t xml:space="preserve"> Admired Companies A Holistic Approach to Measuring Leadership Effectiveness. </w:t>
      </w:r>
      <w:r w:rsidRPr="000E688A">
        <w:rPr>
          <w:rFonts w:ascii="Arial" w:hAnsi="Arial" w:cs="Arial"/>
          <w:i/>
          <w:iCs/>
        </w:rPr>
        <w:t>2007 International Conference on Management Science and Engineering</w:t>
      </w:r>
      <w:r w:rsidRPr="000E688A">
        <w:rPr>
          <w:rFonts w:ascii="Arial" w:hAnsi="Arial" w:cs="Arial"/>
        </w:rPr>
        <w:t xml:space="preserve">, 76(8). </w:t>
      </w:r>
      <w:proofErr w:type="spellStart"/>
      <w:r w:rsidRPr="000E688A">
        <w:rPr>
          <w:rFonts w:ascii="Arial" w:hAnsi="Arial" w:cs="Arial"/>
        </w:rPr>
        <w:t>doi:https</w:t>
      </w:r>
      <w:proofErr w:type="spellEnd"/>
      <w:r w:rsidRPr="000E688A">
        <w:rPr>
          <w:rFonts w:ascii="Arial" w:hAnsi="Arial" w:cs="Arial"/>
        </w:rPr>
        <w:t>://doi.org/10.1109/icmse.2007.4422046.</w:t>
      </w:r>
    </w:p>
    <w:p w14:paraId="1725CBD8" w14:textId="1B7BB56E" w:rsidR="00361A42" w:rsidRPr="000E688A" w:rsidRDefault="00361A42" w:rsidP="000E688A">
      <w:pPr>
        <w:pStyle w:val="NormalWeb"/>
        <w:spacing w:before="0" w:beforeAutospacing="0" w:after="240" w:afterAutospacing="0" w:line="480" w:lineRule="auto"/>
        <w:jc w:val="both"/>
        <w:rPr>
          <w:rFonts w:ascii="Arial" w:hAnsi="Arial" w:cs="Arial"/>
        </w:rPr>
      </w:pPr>
      <w:proofErr w:type="spellStart"/>
      <w:r w:rsidRPr="000E688A">
        <w:rPr>
          <w:rFonts w:ascii="Arial" w:hAnsi="Arial" w:cs="Arial"/>
        </w:rPr>
        <w:t>Bloisi</w:t>
      </w:r>
      <w:proofErr w:type="spellEnd"/>
      <w:r w:rsidRPr="000E688A">
        <w:rPr>
          <w:rFonts w:ascii="Arial" w:hAnsi="Arial" w:cs="Arial"/>
        </w:rPr>
        <w:t xml:space="preserve">, W. (2007). </w:t>
      </w:r>
      <w:r w:rsidRPr="000E688A">
        <w:rPr>
          <w:rFonts w:ascii="Arial" w:hAnsi="Arial" w:cs="Arial"/>
          <w:i/>
          <w:iCs/>
        </w:rPr>
        <w:t xml:space="preserve">Management and </w:t>
      </w:r>
      <w:r w:rsidR="000E688A" w:rsidRPr="000E688A">
        <w:rPr>
          <w:rFonts w:ascii="Arial" w:hAnsi="Arial" w:cs="Arial"/>
          <w:i/>
          <w:iCs/>
        </w:rPr>
        <w:t>organizational</w:t>
      </w:r>
      <w:r w:rsidRPr="000E688A">
        <w:rPr>
          <w:rFonts w:ascii="Arial" w:hAnsi="Arial" w:cs="Arial"/>
          <w:i/>
          <w:iCs/>
        </w:rPr>
        <w:t xml:space="preserve"> </w:t>
      </w:r>
      <w:r w:rsidR="000E688A" w:rsidRPr="000E688A">
        <w:rPr>
          <w:rFonts w:ascii="Arial" w:hAnsi="Arial" w:cs="Arial"/>
          <w:i/>
          <w:iCs/>
        </w:rPr>
        <w:t>behavior</w:t>
      </w:r>
      <w:r w:rsidRPr="000E688A">
        <w:rPr>
          <w:rFonts w:ascii="Arial" w:hAnsi="Arial" w:cs="Arial"/>
        </w:rPr>
        <w:t xml:space="preserve">. 2nd ed. New York: </w:t>
      </w:r>
      <w:r w:rsidR="000E688A" w:rsidRPr="000E688A">
        <w:rPr>
          <w:rFonts w:ascii="Arial" w:hAnsi="Arial" w:cs="Arial"/>
        </w:rPr>
        <w:t>McGraw-Hill</w:t>
      </w:r>
      <w:r w:rsidRPr="000E688A">
        <w:rPr>
          <w:rFonts w:ascii="Arial" w:hAnsi="Arial" w:cs="Arial"/>
        </w:rPr>
        <w:t>, Cop.</w:t>
      </w:r>
    </w:p>
    <w:p w14:paraId="2009E39B"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Boddy, D. (2014). </w:t>
      </w:r>
      <w:r w:rsidRPr="000E688A">
        <w:rPr>
          <w:rFonts w:ascii="Arial" w:hAnsi="Arial" w:cs="Arial"/>
          <w:i/>
          <w:iCs/>
        </w:rPr>
        <w:t>Management: An Introduction</w:t>
      </w:r>
      <w:r w:rsidRPr="000E688A">
        <w:rPr>
          <w:rFonts w:ascii="Arial" w:hAnsi="Arial" w:cs="Arial"/>
        </w:rPr>
        <w:t>. 6th ed. Harlow: Pearson.</w:t>
      </w:r>
    </w:p>
    <w:p w14:paraId="366D6562"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Foti, R.J. and Hauenstein, N.M.A. (2017). Pattern and variable approaches in leadership emergence and effectiveness. </w:t>
      </w:r>
      <w:r w:rsidRPr="000E688A">
        <w:rPr>
          <w:rFonts w:ascii="Arial" w:hAnsi="Arial" w:cs="Arial"/>
          <w:i/>
          <w:iCs/>
        </w:rPr>
        <w:t>Journal of Applied Psychology</w:t>
      </w:r>
      <w:r w:rsidRPr="000E688A">
        <w:rPr>
          <w:rFonts w:ascii="Arial" w:hAnsi="Arial" w:cs="Arial"/>
        </w:rPr>
        <w:t xml:space="preserve">, 92(2), pp.347–355. </w:t>
      </w:r>
      <w:proofErr w:type="spellStart"/>
      <w:r w:rsidRPr="000E688A">
        <w:rPr>
          <w:rFonts w:ascii="Arial" w:hAnsi="Arial" w:cs="Arial"/>
        </w:rPr>
        <w:t>doi:https</w:t>
      </w:r>
      <w:proofErr w:type="spellEnd"/>
      <w:r w:rsidRPr="000E688A">
        <w:rPr>
          <w:rFonts w:ascii="Arial" w:hAnsi="Arial" w:cs="Arial"/>
        </w:rPr>
        <w:t>://doi.org/10.1037/0021-9010.92.2.347.</w:t>
      </w:r>
    </w:p>
    <w:p w14:paraId="1DD743A9"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Gannon, D. and </w:t>
      </w:r>
      <w:proofErr w:type="spellStart"/>
      <w:r w:rsidRPr="000E688A">
        <w:rPr>
          <w:rFonts w:ascii="Arial" w:hAnsi="Arial" w:cs="Arial"/>
        </w:rPr>
        <w:t>Boguszak</w:t>
      </w:r>
      <w:proofErr w:type="spellEnd"/>
      <w:r w:rsidRPr="000E688A">
        <w:rPr>
          <w:rFonts w:ascii="Arial" w:hAnsi="Arial" w:cs="Arial"/>
        </w:rPr>
        <w:t xml:space="preserve">, A. (2016). DOUGLAS MCGREGOR’S THEORY X AND THEORY Y. </w:t>
      </w:r>
      <w:r w:rsidRPr="000E688A">
        <w:rPr>
          <w:rFonts w:ascii="Arial" w:hAnsi="Arial" w:cs="Arial"/>
          <w:i/>
          <w:iCs/>
        </w:rPr>
        <w:t>CRIS - Bulletin of the Centre for Research and Interdisciplinary Study</w:t>
      </w:r>
      <w:r w:rsidRPr="000E688A">
        <w:rPr>
          <w:rFonts w:ascii="Arial" w:hAnsi="Arial" w:cs="Arial"/>
        </w:rPr>
        <w:t xml:space="preserve">, [online] 2013(2), pp.85–93. </w:t>
      </w:r>
      <w:proofErr w:type="spellStart"/>
      <w:r w:rsidRPr="000E688A">
        <w:rPr>
          <w:rFonts w:ascii="Arial" w:hAnsi="Arial" w:cs="Arial"/>
        </w:rPr>
        <w:t>doi:https</w:t>
      </w:r>
      <w:proofErr w:type="spellEnd"/>
      <w:r w:rsidRPr="000E688A">
        <w:rPr>
          <w:rFonts w:ascii="Arial" w:hAnsi="Arial" w:cs="Arial"/>
        </w:rPr>
        <w:t>://doi.org/10.2478/cris-2013-0012.</w:t>
      </w:r>
    </w:p>
    <w:p w14:paraId="664B62D0"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lastRenderedPageBreak/>
        <w:t xml:space="preserve">Harris, A. (2016). Distributed leadership: According to the Evidence. </w:t>
      </w:r>
      <w:r w:rsidRPr="000E688A">
        <w:rPr>
          <w:rFonts w:ascii="Arial" w:hAnsi="Arial" w:cs="Arial"/>
          <w:i/>
          <w:iCs/>
        </w:rPr>
        <w:t>Journal of Educational Administration</w:t>
      </w:r>
      <w:r w:rsidRPr="000E688A">
        <w:rPr>
          <w:rFonts w:ascii="Arial" w:hAnsi="Arial" w:cs="Arial"/>
        </w:rPr>
        <w:t>, 46(2), pp.172–188.</w:t>
      </w:r>
    </w:p>
    <w:p w14:paraId="751ABD25"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Hill, W. (2017). A situational approach to leadership effectiveness. </w:t>
      </w:r>
      <w:r w:rsidRPr="000E688A">
        <w:rPr>
          <w:rFonts w:ascii="Arial" w:hAnsi="Arial" w:cs="Arial"/>
          <w:i/>
          <w:iCs/>
        </w:rPr>
        <w:t>Journal of Applied Psychology</w:t>
      </w:r>
      <w:r w:rsidRPr="000E688A">
        <w:rPr>
          <w:rFonts w:ascii="Arial" w:hAnsi="Arial" w:cs="Arial"/>
        </w:rPr>
        <w:t xml:space="preserve">, 53(6), pp.513–517. </w:t>
      </w:r>
      <w:proofErr w:type="spellStart"/>
      <w:r w:rsidRPr="000E688A">
        <w:rPr>
          <w:rFonts w:ascii="Arial" w:hAnsi="Arial" w:cs="Arial"/>
        </w:rPr>
        <w:t>doi:https</w:t>
      </w:r>
      <w:proofErr w:type="spellEnd"/>
      <w:r w:rsidRPr="000E688A">
        <w:rPr>
          <w:rFonts w:ascii="Arial" w:hAnsi="Arial" w:cs="Arial"/>
        </w:rPr>
        <w:t>://doi.org/10.1037/h0028667.</w:t>
      </w:r>
    </w:p>
    <w:p w14:paraId="1DD730C0" w14:textId="417B1400"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Huczynski, A.A. and Buchanan, D.A. (2009). </w:t>
      </w:r>
      <w:r w:rsidRPr="000E688A">
        <w:rPr>
          <w:rFonts w:ascii="Arial" w:hAnsi="Arial" w:cs="Arial"/>
          <w:i/>
          <w:iCs/>
        </w:rPr>
        <w:t xml:space="preserve">Organizational </w:t>
      </w:r>
      <w:r w:rsidR="000E688A" w:rsidRPr="000E688A">
        <w:rPr>
          <w:rFonts w:ascii="Arial" w:hAnsi="Arial" w:cs="Arial"/>
          <w:i/>
          <w:iCs/>
        </w:rPr>
        <w:t>behavior</w:t>
      </w:r>
      <w:r w:rsidRPr="000E688A">
        <w:rPr>
          <w:rFonts w:ascii="Arial" w:hAnsi="Arial" w:cs="Arial"/>
          <w:i/>
          <w:iCs/>
        </w:rPr>
        <w:t>: an introductory text</w:t>
      </w:r>
      <w:r w:rsidRPr="000E688A">
        <w:rPr>
          <w:rFonts w:ascii="Arial" w:hAnsi="Arial" w:cs="Arial"/>
        </w:rPr>
        <w:t>. 6th ed. New York; London: Prentice Hall.</w:t>
      </w:r>
    </w:p>
    <w:p w14:paraId="6375F669"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Huczynski, A.A., Carter, G.W. and Buchanan, D.A. (2013). </w:t>
      </w:r>
      <w:r w:rsidRPr="000E688A">
        <w:rPr>
          <w:rFonts w:ascii="Arial" w:hAnsi="Arial" w:cs="Arial"/>
          <w:i/>
          <w:iCs/>
        </w:rPr>
        <w:t xml:space="preserve">Organizational </w:t>
      </w:r>
      <w:proofErr w:type="spellStart"/>
      <w:r w:rsidRPr="000E688A">
        <w:rPr>
          <w:rFonts w:ascii="Arial" w:hAnsi="Arial" w:cs="Arial"/>
          <w:i/>
          <w:iCs/>
        </w:rPr>
        <w:t>Behaviour</w:t>
      </w:r>
      <w:proofErr w:type="spellEnd"/>
      <w:r w:rsidRPr="000E688A">
        <w:rPr>
          <w:rFonts w:ascii="Arial" w:hAnsi="Arial" w:cs="Arial"/>
        </w:rPr>
        <w:t>. 8th ed. Harlow: Pearson.</w:t>
      </w:r>
    </w:p>
    <w:p w14:paraId="3F7B10FB" w14:textId="73EBF528"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John Eric Adair (2009). </w:t>
      </w:r>
      <w:r w:rsidRPr="000E688A">
        <w:rPr>
          <w:rFonts w:ascii="Arial" w:hAnsi="Arial" w:cs="Arial"/>
          <w:i/>
          <w:iCs/>
        </w:rPr>
        <w:t>The inspirational leader</w:t>
      </w:r>
      <w:r w:rsidRPr="000E688A">
        <w:rPr>
          <w:rFonts w:ascii="Arial" w:hAnsi="Arial" w:cs="Arial"/>
        </w:rPr>
        <w:t>. 2nd ed. London: Kogan Page.</w:t>
      </w:r>
    </w:p>
    <w:p w14:paraId="6F474A2B"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Justis, R.T. (2019). LEADERSHIP EFFECTIVENESS: A CONTINGENCY APPROACH. </w:t>
      </w:r>
      <w:r w:rsidRPr="000E688A">
        <w:rPr>
          <w:rFonts w:ascii="Arial" w:hAnsi="Arial" w:cs="Arial"/>
          <w:i/>
          <w:iCs/>
        </w:rPr>
        <w:t>Academy of Management Journal</w:t>
      </w:r>
      <w:r w:rsidRPr="000E688A">
        <w:rPr>
          <w:rFonts w:ascii="Arial" w:hAnsi="Arial" w:cs="Arial"/>
        </w:rPr>
        <w:t xml:space="preserve">, 18(1), pp.160–167. </w:t>
      </w:r>
      <w:proofErr w:type="spellStart"/>
      <w:r w:rsidRPr="000E688A">
        <w:rPr>
          <w:rFonts w:ascii="Arial" w:hAnsi="Arial" w:cs="Arial"/>
        </w:rPr>
        <w:t>doi:https</w:t>
      </w:r>
      <w:proofErr w:type="spellEnd"/>
      <w:r w:rsidRPr="000E688A">
        <w:rPr>
          <w:rFonts w:ascii="Arial" w:hAnsi="Arial" w:cs="Arial"/>
        </w:rPr>
        <w:t>://doi.org/10.2307/255636.</w:t>
      </w:r>
    </w:p>
    <w:p w14:paraId="1CF53D6C"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Miljus, R.C., Campbell, J.P., </w:t>
      </w:r>
      <w:proofErr w:type="spellStart"/>
      <w:r w:rsidRPr="000E688A">
        <w:rPr>
          <w:rFonts w:ascii="Arial" w:hAnsi="Arial" w:cs="Arial"/>
        </w:rPr>
        <w:t>Dunnette</w:t>
      </w:r>
      <w:proofErr w:type="spellEnd"/>
      <w:r w:rsidRPr="000E688A">
        <w:rPr>
          <w:rFonts w:ascii="Arial" w:hAnsi="Arial" w:cs="Arial"/>
        </w:rPr>
        <w:t xml:space="preserve">, M.D., Lawler, E.E. and Weick, K.E. (2018). Managerial Behavior, Performance, and Effectiveness. </w:t>
      </w:r>
      <w:r w:rsidRPr="000E688A">
        <w:rPr>
          <w:rFonts w:ascii="Arial" w:hAnsi="Arial" w:cs="Arial"/>
          <w:i/>
          <w:iCs/>
        </w:rPr>
        <w:t>Industrial and Labor Relations Review</w:t>
      </w:r>
      <w:r w:rsidRPr="000E688A">
        <w:rPr>
          <w:rFonts w:ascii="Arial" w:hAnsi="Arial" w:cs="Arial"/>
        </w:rPr>
        <w:t xml:space="preserve">, 24(3), p.487. </w:t>
      </w:r>
      <w:proofErr w:type="spellStart"/>
      <w:r w:rsidRPr="000E688A">
        <w:rPr>
          <w:rFonts w:ascii="Arial" w:hAnsi="Arial" w:cs="Arial"/>
        </w:rPr>
        <w:t>doi:https</w:t>
      </w:r>
      <w:proofErr w:type="spellEnd"/>
      <w:r w:rsidRPr="000E688A">
        <w:rPr>
          <w:rFonts w:ascii="Arial" w:hAnsi="Arial" w:cs="Arial"/>
        </w:rPr>
        <w:t>://doi.org/10.2307/2521540.</w:t>
      </w:r>
    </w:p>
    <w:p w14:paraId="07421DFF"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Mullins, L.J. (2016). </w:t>
      </w:r>
      <w:r w:rsidRPr="000E688A">
        <w:rPr>
          <w:rFonts w:ascii="Arial" w:hAnsi="Arial" w:cs="Arial"/>
          <w:i/>
          <w:iCs/>
        </w:rPr>
        <w:t xml:space="preserve">Management and </w:t>
      </w:r>
      <w:proofErr w:type="spellStart"/>
      <w:r w:rsidRPr="000E688A">
        <w:rPr>
          <w:rFonts w:ascii="Arial" w:hAnsi="Arial" w:cs="Arial"/>
          <w:i/>
          <w:iCs/>
        </w:rPr>
        <w:t>Organisational</w:t>
      </w:r>
      <w:proofErr w:type="spellEnd"/>
      <w:r w:rsidRPr="000E688A">
        <w:rPr>
          <w:rFonts w:ascii="Arial" w:hAnsi="Arial" w:cs="Arial"/>
          <w:i/>
          <w:iCs/>
        </w:rPr>
        <w:t xml:space="preserve"> </w:t>
      </w:r>
      <w:proofErr w:type="spellStart"/>
      <w:r w:rsidRPr="000E688A">
        <w:rPr>
          <w:rFonts w:ascii="Arial" w:hAnsi="Arial" w:cs="Arial"/>
          <w:i/>
          <w:iCs/>
        </w:rPr>
        <w:t>Behaviour</w:t>
      </w:r>
      <w:proofErr w:type="spellEnd"/>
      <w:r w:rsidRPr="000E688A">
        <w:rPr>
          <w:rFonts w:ascii="Arial" w:hAnsi="Arial" w:cs="Arial"/>
        </w:rPr>
        <w:t>. 11th ed. Upper Saddle River: Pearson.</w:t>
      </w:r>
    </w:p>
    <w:p w14:paraId="0E85773D" w14:textId="078C144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Mullins, L.J. (2020). </w:t>
      </w:r>
      <w:r w:rsidR="000E688A" w:rsidRPr="000E688A">
        <w:rPr>
          <w:rFonts w:ascii="Arial" w:hAnsi="Arial" w:cs="Arial"/>
          <w:i/>
          <w:iCs/>
        </w:rPr>
        <w:t>Organizational</w:t>
      </w:r>
      <w:r w:rsidRPr="000E688A">
        <w:rPr>
          <w:rFonts w:ascii="Arial" w:hAnsi="Arial" w:cs="Arial"/>
          <w:i/>
          <w:iCs/>
        </w:rPr>
        <w:t xml:space="preserve"> </w:t>
      </w:r>
      <w:proofErr w:type="spellStart"/>
      <w:r w:rsidRPr="000E688A">
        <w:rPr>
          <w:rFonts w:ascii="Arial" w:hAnsi="Arial" w:cs="Arial"/>
          <w:i/>
          <w:iCs/>
        </w:rPr>
        <w:t>Behaviour</w:t>
      </w:r>
      <w:proofErr w:type="spellEnd"/>
      <w:r w:rsidRPr="000E688A">
        <w:rPr>
          <w:rFonts w:ascii="Arial" w:hAnsi="Arial" w:cs="Arial"/>
          <w:i/>
          <w:iCs/>
        </w:rPr>
        <w:t xml:space="preserve"> in the Workplace</w:t>
      </w:r>
      <w:r w:rsidRPr="000E688A">
        <w:rPr>
          <w:rFonts w:ascii="Arial" w:hAnsi="Arial" w:cs="Arial"/>
        </w:rPr>
        <w:t>. 12th ed. Harlow: Pearson.</w:t>
      </w:r>
    </w:p>
    <w:p w14:paraId="313C0A18" w14:textId="092CC848"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lastRenderedPageBreak/>
        <w:t xml:space="preserve">Mullins, L.J. and </w:t>
      </w:r>
      <w:proofErr w:type="spellStart"/>
      <w:r w:rsidRPr="000E688A">
        <w:rPr>
          <w:rFonts w:ascii="Arial" w:hAnsi="Arial" w:cs="Arial"/>
        </w:rPr>
        <w:t>Dossor</w:t>
      </w:r>
      <w:proofErr w:type="spellEnd"/>
      <w:r w:rsidRPr="000E688A">
        <w:rPr>
          <w:rFonts w:ascii="Arial" w:hAnsi="Arial" w:cs="Arial"/>
        </w:rPr>
        <w:t xml:space="preserve">, P. (2013). </w:t>
      </w:r>
      <w:r w:rsidRPr="000E688A">
        <w:rPr>
          <w:rFonts w:ascii="Arial" w:hAnsi="Arial" w:cs="Arial"/>
          <w:i/>
          <w:iCs/>
        </w:rPr>
        <w:t xml:space="preserve">Hospitality management and </w:t>
      </w:r>
      <w:r w:rsidR="000E688A" w:rsidRPr="000E688A">
        <w:rPr>
          <w:rFonts w:ascii="Arial" w:hAnsi="Arial" w:cs="Arial"/>
          <w:i/>
          <w:iCs/>
        </w:rPr>
        <w:t>organizational</w:t>
      </w:r>
      <w:r w:rsidRPr="000E688A">
        <w:rPr>
          <w:rFonts w:ascii="Arial" w:hAnsi="Arial" w:cs="Arial"/>
          <w:i/>
          <w:iCs/>
        </w:rPr>
        <w:t xml:space="preserve"> </w:t>
      </w:r>
      <w:r w:rsidR="000E688A" w:rsidRPr="000E688A">
        <w:rPr>
          <w:rFonts w:ascii="Arial" w:hAnsi="Arial" w:cs="Arial"/>
          <w:i/>
          <w:iCs/>
        </w:rPr>
        <w:t>behavior</w:t>
      </w:r>
      <w:r w:rsidRPr="000E688A">
        <w:rPr>
          <w:rFonts w:ascii="Arial" w:hAnsi="Arial" w:cs="Arial"/>
          <w:i/>
          <w:iCs/>
        </w:rPr>
        <w:t>.</w:t>
      </w:r>
      <w:r w:rsidRPr="000E688A">
        <w:rPr>
          <w:rFonts w:ascii="Arial" w:hAnsi="Arial" w:cs="Arial"/>
        </w:rPr>
        <w:t xml:space="preserve"> 5th ed. Harlow: Pearson.</w:t>
      </w:r>
    </w:p>
    <w:p w14:paraId="675C17A1"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Rosete, D. and </w:t>
      </w:r>
      <w:proofErr w:type="spellStart"/>
      <w:r w:rsidRPr="000E688A">
        <w:rPr>
          <w:rFonts w:ascii="Arial" w:hAnsi="Arial" w:cs="Arial"/>
        </w:rPr>
        <w:t>Ciarrochi</w:t>
      </w:r>
      <w:proofErr w:type="spellEnd"/>
      <w:r w:rsidRPr="000E688A">
        <w:rPr>
          <w:rFonts w:ascii="Arial" w:hAnsi="Arial" w:cs="Arial"/>
        </w:rPr>
        <w:t xml:space="preserve">, J. (2019). Emotional intelligence and its relationship to workplace performance outcomes of leadership effectiveness. </w:t>
      </w:r>
      <w:r w:rsidRPr="000E688A">
        <w:rPr>
          <w:rFonts w:ascii="Arial" w:hAnsi="Arial" w:cs="Arial"/>
          <w:i/>
          <w:iCs/>
        </w:rPr>
        <w:t>Leadership &amp; Organization Development Journal</w:t>
      </w:r>
      <w:r w:rsidRPr="000E688A">
        <w:rPr>
          <w:rFonts w:ascii="Arial" w:hAnsi="Arial" w:cs="Arial"/>
        </w:rPr>
        <w:t xml:space="preserve">, 26(5), pp.388–399. </w:t>
      </w:r>
      <w:proofErr w:type="spellStart"/>
      <w:r w:rsidRPr="000E688A">
        <w:rPr>
          <w:rFonts w:ascii="Arial" w:hAnsi="Arial" w:cs="Arial"/>
        </w:rPr>
        <w:t>doi:https</w:t>
      </w:r>
      <w:proofErr w:type="spellEnd"/>
      <w:r w:rsidRPr="000E688A">
        <w:rPr>
          <w:rFonts w:ascii="Arial" w:hAnsi="Arial" w:cs="Arial"/>
        </w:rPr>
        <w:t>://doi.org/10.1108/01437730510607871.</w:t>
      </w:r>
    </w:p>
    <w:p w14:paraId="53035E51" w14:textId="77777777" w:rsidR="00361A42" w:rsidRPr="000E688A" w:rsidRDefault="00361A42" w:rsidP="000E688A">
      <w:pPr>
        <w:pStyle w:val="NormalWeb"/>
        <w:spacing w:before="0" w:beforeAutospacing="0" w:after="240" w:afterAutospacing="0" w:line="480" w:lineRule="auto"/>
        <w:jc w:val="both"/>
        <w:rPr>
          <w:rFonts w:ascii="Arial" w:hAnsi="Arial" w:cs="Arial"/>
        </w:rPr>
      </w:pPr>
      <w:r w:rsidRPr="000E688A">
        <w:rPr>
          <w:rFonts w:ascii="Arial" w:hAnsi="Arial" w:cs="Arial"/>
        </w:rPr>
        <w:t xml:space="preserve">Zaccaro, S.J., Rittman, A.L. and Marks, M.A. (2017). Team Leadership. </w:t>
      </w:r>
      <w:r w:rsidRPr="000E688A">
        <w:rPr>
          <w:rFonts w:ascii="Arial" w:hAnsi="Arial" w:cs="Arial"/>
          <w:i/>
          <w:iCs/>
        </w:rPr>
        <w:t>The Leadership Quarterly</w:t>
      </w:r>
      <w:r w:rsidRPr="000E688A">
        <w:rPr>
          <w:rFonts w:ascii="Arial" w:hAnsi="Arial" w:cs="Arial"/>
        </w:rPr>
        <w:t xml:space="preserve">, 12(4), pp.451–483. </w:t>
      </w:r>
      <w:proofErr w:type="spellStart"/>
      <w:r w:rsidRPr="000E688A">
        <w:rPr>
          <w:rFonts w:ascii="Arial" w:hAnsi="Arial" w:cs="Arial"/>
        </w:rPr>
        <w:t>doi:https</w:t>
      </w:r>
      <w:proofErr w:type="spellEnd"/>
      <w:r w:rsidRPr="000E688A">
        <w:rPr>
          <w:rFonts w:ascii="Arial" w:hAnsi="Arial" w:cs="Arial"/>
        </w:rPr>
        <w:t>://doi.org/10.1016/s1048-9843(01)00093-5.</w:t>
      </w:r>
    </w:p>
    <w:p w14:paraId="1EC3946D" w14:textId="77777777" w:rsidR="00D97AE5" w:rsidRPr="000E688A" w:rsidRDefault="00D97AE5" w:rsidP="000E688A">
      <w:pPr>
        <w:spacing w:line="480" w:lineRule="auto"/>
        <w:rPr>
          <w:rFonts w:ascii="Arial" w:hAnsi="Arial" w:cs="Arial"/>
        </w:rPr>
      </w:pPr>
    </w:p>
    <w:p w14:paraId="7557DDF7" w14:textId="77777777" w:rsidR="006F79B2" w:rsidRPr="000E688A" w:rsidRDefault="006F79B2" w:rsidP="000E688A">
      <w:pPr>
        <w:spacing w:line="480" w:lineRule="auto"/>
        <w:rPr>
          <w:rFonts w:ascii="Arial" w:hAnsi="Arial" w:cs="Arial"/>
        </w:rPr>
      </w:pPr>
    </w:p>
    <w:sectPr w:rsidR="006F79B2" w:rsidRPr="000E688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2C44B" w14:textId="77777777" w:rsidR="00B34926" w:rsidRDefault="00B34926">
      <w:pPr>
        <w:spacing w:after="0" w:line="240" w:lineRule="auto"/>
      </w:pPr>
      <w:r>
        <w:separator/>
      </w:r>
    </w:p>
  </w:endnote>
  <w:endnote w:type="continuationSeparator" w:id="0">
    <w:p w14:paraId="164A947B" w14:textId="77777777" w:rsidR="00B34926" w:rsidRDefault="00B3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3871476"/>
      <w:docPartObj>
        <w:docPartGallery w:val="Page Numbers (Bottom of Page)"/>
        <w:docPartUnique/>
      </w:docPartObj>
    </w:sdtPr>
    <w:sdtEndPr>
      <w:rPr>
        <w:noProof/>
      </w:rPr>
    </w:sdtEndPr>
    <w:sdtContent>
      <w:p w14:paraId="66A5F02B" w14:textId="28B9B3C4" w:rsidR="00F505C1" w:rsidRDefault="00C42E4A">
        <w:pPr>
          <w:pStyle w:val="Footer"/>
          <w:jc w:val="right"/>
        </w:pPr>
        <w:r>
          <w:fldChar w:fldCharType="begin"/>
        </w:r>
        <w:r>
          <w:instrText xml:space="preserve"> PAGE   \* MERGEFORMAT </w:instrText>
        </w:r>
        <w:r>
          <w:fldChar w:fldCharType="separate"/>
        </w:r>
        <w:r w:rsidR="00BB4C8E">
          <w:rPr>
            <w:noProof/>
          </w:rPr>
          <w:t>6</w:t>
        </w:r>
        <w:r>
          <w:rPr>
            <w:noProof/>
          </w:rPr>
          <w:fldChar w:fldCharType="end"/>
        </w:r>
      </w:p>
    </w:sdtContent>
  </w:sdt>
  <w:p w14:paraId="06FB983D" w14:textId="77777777" w:rsidR="00F505C1" w:rsidRDefault="00F505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766C1" w14:textId="77777777" w:rsidR="00B34926" w:rsidRDefault="00B34926">
      <w:pPr>
        <w:spacing w:after="0" w:line="240" w:lineRule="auto"/>
      </w:pPr>
      <w:r>
        <w:separator/>
      </w:r>
    </w:p>
  </w:footnote>
  <w:footnote w:type="continuationSeparator" w:id="0">
    <w:p w14:paraId="52D7478F" w14:textId="77777777" w:rsidR="00B34926" w:rsidRDefault="00B34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B577A"/>
    <w:multiLevelType w:val="hybridMultilevel"/>
    <w:tmpl w:val="4FACFBE0"/>
    <w:lvl w:ilvl="0" w:tplc="FD345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06CF1"/>
    <w:multiLevelType w:val="hybridMultilevel"/>
    <w:tmpl w:val="2D02E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2684D"/>
    <w:multiLevelType w:val="hybridMultilevel"/>
    <w:tmpl w:val="4238DC52"/>
    <w:lvl w:ilvl="0" w:tplc="D8C6CADC">
      <w:start w:val="1"/>
      <w:numFmt w:val="bullet"/>
      <w:lvlText w:val=""/>
      <w:lvlJc w:val="left"/>
      <w:pPr>
        <w:ind w:left="720" w:hanging="360"/>
      </w:pPr>
      <w:rPr>
        <w:rFonts w:ascii="Symbol" w:hAnsi="Symbol" w:hint="default"/>
      </w:rPr>
    </w:lvl>
    <w:lvl w:ilvl="1" w:tplc="FFDC32AE" w:tentative="1">
      <w:start w:val="1"/>
      <w:numFmt w:val="bullet"/>
      <w:lvlText w:val="o"/>
      <w:lvlJc w:val="left"/>
      <w:pPr>
        <w:ind w:left="1440" w:hanging="360"/>
      </w:pPr>
      <w:rPr>
        <w:rFonts w:ascii="Courier New" w:hAnsi="Courier New" w:cs="Courier New" w:hint="default"/>
      </w:rPr>
    </w:lvl>
    <w:lvl w:ilvl="2" w:tplc="89CAA38C" w:tentative="1">
      <w:start w:val="1"/>
      <w:numFmt w:val="bullet"/>
      <w:lvlText w:val=""/>
      <w:lvlJc w:val="left"/>
      <w:pPr>
        <w:ind w:left="2160" w:hanging="360"/>
      </w:pPr>
      <w:rPr>
        <w:rFonts w:ascii="Wingdings" w:hAnsi="Wingdings" w:hint="default"/>
      </w:rPr>
    </w:lvl>
    <w:lvl w:ilvl="3" w:tplc="9D568F02" w:tentative="1">
      <w:start w:val="1"/>
      <w:numFmt w:val="bullet"/>
      <w:lvlText w:val=""/>
      <w:lvlJc w:val="left"/>
      <w:pPr>
        <w:ind w:left="2880" w:hanging="360"/>
      </w:pPr>
      <w:rPr>
        <w:rFonts w:ascii="Symbol" w:hAnsi="Symbol" w:hint="default"/>
      </w:rPr>
    </w:lvl>
    <w:lvl w:ilvl="4" w:tplc="BC46753A" w:tentative="1">
      <w:start w:val="1"/>
      <w:numFmt w:val="bullet"/>
      <w:lvlText w:val="o"/>
      <w:lvlJc w:val="left"/>
      <w:pPr>
        <w:ind w:left="3600" w:hanging="360"/>
      </w:pPr>
      <w:rPr>
        <w:rFonts w:ascii="Courier New" w:hAnsi="Courier New" w:cs="Courier New" w:hint="default"/>
      </w:rPr>
    </w:lvl>
    <w:lvl w:ilvl="5" w:tplc="C192AF70" w:tentative="1">
      <w:start w:val="1"/>
      <w:numFmt w:val="bullet"/>
      <w:lvlText w:val=""/>
      <w:lvlJc w:val="left"/>
      <w:pPr>
        <w:ind w:left="4320" w:hanging="360"/>
      </w:pPr>
      <w:rPr>
        <w:rFonts w:ascii="Wingdings" w:hAnsi="Wingdings" w:hint="default"/>
      </w:rPr>
    </w:lvl>
    <w:lvl w:ilvl="6" w:tplc="06C4D284" w:tentative="1">
      <w:start w:val="1"/>
      <w:numFmt w:val="bullet"/>
      <w:lvlText w:val=""/>
      <w:lvlJc w:val="left"/>
      <w:pPr>
        <w:ind w:left="5040" w:hanging="360"/>
      </w:pPr>
      <w:rPr>
        <w:rFonts w:ascii="Symbol" w:hAnsi="Symbol" w:hint="default"/>
      </w:rPr>
    </w:lvl>
    <w:lvl w:ilvl="7" w:tplc="90603D36" w:tentative="1">
      <w:start w:val="1"/>
      <w:numFmt w:val="bullet"/>
      <w:lvlText w:val="o"/>
      <w:lvlJc w:val="left"/>
      <w:pPr>
        <w:ind w:left="5760" w:hanging="360"/>
      </w:pPr>
      <w:rPr>
        <w:rFonts w:ascii="Courier New" w:hAnsi="Courier New" w:cs="Courier New" w:hint="default"/>
      </w:rPr>
    </w:lvl>
    <w:lvl w:ilvl="8" w:tplc="BE00BEBA" w:tentative="1">
      <w:start w:val="1"/>
      <w:numFmt w:val="bullet"/>
      <w:lvlText w:val=""/>
      <w:lvlJc w:val="left"/>
      <w:pPr>
        <w:ind w:left="6480" w:hanging="360"/>
      </w:pPr>
      <w:rPr>
        <w:rFonts w:ascii="Wingdings" w:hAnsi="Wingdings" w:hint="default"/>
      </w:rPr>
    </w:lvl>
  </w:abstractNum>
  <w:abstractNum w:abstractNumId="3" w15:restartNumberingAfterBreak="0">
    <w:nsid w:val="0C183245"/>
    <w:multiLevelType w:val="hybridMultilevel"/>
    <w:tmpl w:val="4FACFBE0"/>
    <w:lvl w:ilvl="0" w:tplc="FD345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88603B"/>
    <w:multiLevelType w:val="hybridMultilevel"/>
    <w:tmpl w:val="4FACFBE0"/>
    <w:lvl w:ilvl="0" w:tplc="FD345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400A9"/>
    <w:multiLevelType w:val="hybridMultilevel"/>
    <w:tmpl w:val="E3DAD136"/>
    <w:lvl w:ilvl="0" w:tplc="F50A049C">
      <w:start w:val="1"/>
      <w:numFmt w:val="bullet"/>
      <w:lvlText w:val=""/>
      <w:lvlJc w:val="left"/>
      <w:pPr>
        <w:ind w:left="720" w:hanging="360"/>
      </w:pPr>
      <w:rPr>
        <w:rFonts w:ascii="Symbol" w:hAnsi="Symbol" w:hint="default"/>
      </w:rPr>
    </w:lvl>
    <w:lvl w:ilvl="1" w:tplc="38EE4A12" w:tentative="1">
      <w:start w:val="1"/>
      <w:numFmt w:val="bullet"/>
      <w:lvlText w:val="o"/>
      <w:lvlJc w:val="left"/>
      <w:pPr>
        <w:ind w:left="1440" w:hanging="360"/>
      </w:pPr>
      <w:rPr>
        <w:rFonts w:ascii="Courier New" w:hAnsi="Courier New" w:cs="Courier New" w:hint="default"/>
      </w:rPr>
    </w:lvl>
    <w:lvl w:ilvl="2" w:tplc="F3F4A2C8" w:tentative="1">
      <w:start w:val="1"/>
      <w:numFmt w:val="bullet"/>
      <w:lvlText w:val=""/>
      <w:lvlJc w:val="left"/>
      <w:pPr>
        <w:ind w:left="2160" w:hanging="360"/>
      </w:pPr>
      <w:rPr>
        <w:rFonts w:ascii="Wingdings" w:hAnsi="Wingdings" w:hint="default"/>
      </w:rPr>
    </w:lvl>
    <w:lvl w:ilvl="3" w:tplc="5AFCF494" w:tentative="1">
      <w:start w:val="1"/>
      <w:numFmt w:val="bullet"/>
      <w:lvlText w:val=""/>
      <w:lvlJc w:val="left"/>
      <w:pPr>
        <w:ind w:left="2880" w:hanging="360"/>
      </w:pPr>
      <w:rPr>
        <w:rFonts w:ascii="Symbol" w:hAnsi="Symbol" w:hint="default"/>
      </w:rPr>
    </w:lvl>
    <w:lvl w:ilvl="4" w:tplc="71149ECA" w:tentative="1">
      <w:start w:val="1"/>
      <w:numFmt w:val="bullet"/>
      <w:lvlText w:val="o"/>
      <w:lvlJc w:val="left"/>
      <w:pPr>
        <w:ind w:left="3600" w:hanging="360"/>
      </w:pPr>
      <w:rPr>
        <w:rFonts w:ascii="Courier New" w:hAnsi="Courier New" w:cs="Courier New" w:hint="default"/>
      </w:rPr>
    </w:lvl>
    <w:lvl w:ilvl="5" w:tplc="1F4032C8" w:tentative="1">
      <w:start w:val="1"/>
      <w:numFmt w:val="bullet"/>
      <w:lvlText w:val=""/>
      <w:lvlJc w:val="left"/>
      <w:pPr>
        <w:ind w:left="4320" w:hanging="360"/>
      </w:pPr>
      <w:rPr>
        <w:rFonts w:ascii="Wingdings" w:hAnsi="Wingdings" w:hint="default"/>
      </w:rPr>
    </w:lvl>
    <w:lvl w:ilvl="6" w:tplc="7EAE4C90" w:tentative="1">
      <w:start w:val="1"/>
      <w:numFmt w:val="bullet"/>
      <w:lvlText w:val=""/>
      <w:lvlJc w:val="left"/>
      <w:pPr>
        <w:ind w:left="5040" w:hanging="360"/>
      </w:pPr>
      <w:rPr>
        <w:rFonts w:ascii="Symbol" w:hAnsi="Symbol" w:hint="default"/>
      </w:rPr>
    </w:lvl>
    <w:lvl w:ilvl="7" w:tplc="8376E7D4" w:tentative="1">
      <w:start w:val="1"/>
      <w:numFmt w:val="bullet"/>
      <w:lvlText w:val="o"/>
      <w:lvlJc w:val="left"/>
      <w:pPr>
        <w:ind w:left="5760" w:hanging="360"/>
      </w:pPr>
      <w:rPr>
        <w:rFonts w:ascii="Courier New" w:hAnsi="Courier New" w:cs="Courier New" w:hint="default"/>
      </w:rPr>
    </w:lvl>
    <w:lvl w:ilvl="8" w:tplc="7108E124" w:tentative="1">
      <w:start w:val="1"/>
      <w:numFmt w:val="bullet"/>
      <w:lvlText w:val=""/>
      <w:lvlJc w:val="left"/>
      <w:pPr>
        <w:ind w:left="6480" w:hanging="360"/>
      </w:pPr>
      <w:rPr>
        <w:rFonts w:ascii="Wingdings" w:hAnsi="Wingdings" w:hint="default"/>
      </w:rPr>
    </w:lvl>
  </w:abstractNum>
  <w:abstractNum w:abstractNumId="6" w15:restartNumberingAfterBreak="0">
    <w:nsid w:val="283E0B26"/>
    <w:multiLevelType w:val="hybridMultilevel"/>
    <w:tmpl w:val="4FACFBE0"/>
    <w:lvl w:ilvl="0" w:tplc="FD345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A90802"/>
    <w:multiLevelType w:val="multilevel"/>
    <w:tmpl w:val="B65C6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CCA5473"/>
    <w:multiLevelType w:val="hybridMultilevel"/>
    <w:tmpl w:val="2F8A3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B366FD"/>
    <w:multiLevelType w:val="hybridMultilevel"/>
    <w:tmpl w:val="6E321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414F22"/>
    <w:multiLevelType w:val="hybridMultilevel"/>
    <w:tmpl w:val="2C0E6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EF1E2D"/>
    <w:multiLevelType w:val="hybridMultilevel"/>
    <w:tmpl w:val="BD1C4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9D28B9"/>
    <w:multiLevelType w:val="hybridMultilevel"/>
    <w:tmpl w:val="E6E44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3B5315"/>
    <w:multiLevelType w:val="hybridMultilevel"/>
    <w:tmpl w:val="4FACFBE0"/>
    <w:lvl w:ilvl="0" w:tplc="FD345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0F1981"/>
    <w:multiLevelType w:val="hybridMultilevel"/>
    <w:tmpl w:val="4A086200"/>
    <w:lvl w:ilvl="0" w:tplc="26201C0A">
      <w:start w:val="1"/>
      <w:numFmt w:val="bullet"/>
      <w:lvlText w:val=""/>
      <w:lvlJc w:val="left"/>
      <w:pPr>
        <w:ind w:left="720" w:hanging="360"/>
      </w:pPr>
      <w:rPr>
        <w:rFonts w:ascii="Symbol" w:hAnsi="Symbol" w:hint="default"/>
      </w:rPr>
    </w:lvl>
    <w:lvl w:ilvl="1" w:tplc="25CECD9C" w:tentative="1">
      <w:start w:val="1"/>
      <w:numFmt w:val="bullet"/>
      <w:lvlText w:val="o"/>
      <w:lvlJc w:val="left"/>
      <w:pPr>
        <w:ind w:left="1440" w:hanging="360"/>
      </w:pPr>
      <w:rPr>
        <w:rFonts w:ascii="Courier New" w:hAnsi="Courier New" w:cs="Courier New" w:hint="default"/>
      </w:rPr>
    </w:lvl>
    <w:lvl w:ilvl="2" w:tplc="55120E86" w:tentative="1">
      <w:start w:val="1"/>
      <w:numFmt w:val="bullet"/>
      <w:lvlText w:val=""/>
      <w:lvlJc w:val="left"/>
      <w:pPr>
        <w:ind w:left="2160" w:hanging="360"/>
      </w:pPr>
      <w:rPr>
        <w:rFonts w:ascii="Wingdings" w:hAnsi="Wingdings" w:hint="default"/>
      </w:rPr>
    </w:lvl>
    <w:lvl w:ilvl="3" w:tplc="9926D2C0" w:tentative="1">
      <w:start w:val="1"/>
      <w:numFmt w:val="bullet"/>
      <w:lvlText w:val=""/>
      <w:lvlJc w:val="left"/>
      <w:pPr>
        <w:ind w:left="2880" w:hanging="360"/>
      </w:pPr>
      <w:rPr>
        <w:rFonts w:ascii="Symbol" w:hAnsi="Symbol" w:hint="default"/>
      </w:rPr>
    </w:lvl>
    <w:lvl w:ilvl="4" w:tplc="C28C06BA" w:tentative="1">
      <w:start w:val="1"/>
      <w:numFmt w:val="bullet"/>
      <w:lvlText w:val="o"/>
      <w:lvlJc w:val="left"/>
      <w:pPr>
        <w:ind w:left="3600" w:hanging="360"/>
      </w:pPr>
      <w:rPr>
        <w:rFonts w:ascii="Courier New" w:hAnsi="Courier New" w:cs="Courier New" w:hint="default"/>
      </w:rPr>
    </w:lvl>
    <w:lvl w:ilvl="5" w:tplc="78642B28" w:tentative="1">
      <w:start w:val="1"/>
      <w:numFmt w:val="bullet"/>
      <w:lvlText w:val=""/>
      <w:lvlJc w:val="left"/>
      <w:pPr>
        <w:ind w:left="4320" w:hanging="360"/>
      </w:pPr>
      <w:rPr>
        <w:rFonts w:ascii="Wingdings" w:hAnsi="Wingdings" w:hint="default"/>
      </w:rPr>
    </w:lvl>
    <w:lvl w:ilvl="6" w:tplc="1A406D7A" w:tentative="1">
      <w:start w:val="1"/>
      <w:numFmt w:val="bullet"/>
      <w:lvlText w:val=""/>
      <w:lvlJc w:val="left"/>
      <w:pPr>
        <w:ind w:left="5040" w:hanging="360"/>
      </w:pPr>
      <w:rPr>
        <w:rFonts w:ascii="Symbol" w:hAnsi="Symbol" w:hint="default"/>
      </w:rPr>
    </w:lvl>
    <w:lvl w:ilvl="7" w:tplc="41E21194" w:tentative="1">
      <w:start w:val="1"/>
      <w:numFmt w:val="bullet"/>
      <w:lvlText w:val="o"/>
      <w:lvlJc w:val="left"/>
      <w:pPr>
        <w:ind w:left="5760" w:hanging="360"/>
      </w:pPr>
      <w:rPr>
        <w:rFonts w:ascii="Courier New" w:hAnsi="Courier New" w:cs="Courier New" w:hint="default"/>
      </w:rPr>
    </w:lvl>
    <w:lvl w:ilvl="8" w:tplc="C38432AA" w:tentative="1">
      <w:start w:val="1"/>
      <w:numFmt w:val="bullet"/>
      <w:lvlText w:val=""/>
      <w:lvlJc w:val="left"/>
      <w:pPr>
        <w:ind w:left="6480" w:hanging="360"/>
      </w:pPr>
      <w:rPr>
        <w:rFonts w:ascii="Wingdings" w:hAnsi="Wingdings" w:hint="default"/>
      </w:rPr>
    </w:lvl>
  </w:abstractNum>
  <w:abstractNum w:abstractNumId="15" w15:restartNumberingAfterBreak="0">
    <w:nsid w:val="6FBD7EEE"/>
    <w:multiLevelType w:val="hybridMultilevel"/>
    <w:tmpl w:val="998AEE1E"/>
    <w:lvl w:ilvl="0" w:tplc="10F01954">
      <w:start w:val="1"/>
      <w:numFmt w:val="bullet"/>
      <w:lvlText w:val=""/>
      <w:lvlJc w:val="left"/>
      <w:pPr>
        <w:ind w:left="720" w:hanging="360"/>
      </w:pPr>
      <w:rPr>
        <w:rFonts w:ascii="Symbol" w:hAnsi="Symbol" w:hint="default"/>
      </w:rPr>
    </w:lvl>
    <w:lvl w:ilvl="1" w:tplc="30BAC7B8" w:tentative="1">
      <w:start w:val="1"/>
      <w:numFmt w:val="bullet"/>
      <w:lvlText w:val="o"/>
      <w:lvlJc w:val="left"/>
      <w:pPr>
        <w:ind w:left="1440" w:hanging="360"/>
      </w:pPr>
      <w:rPr>
        <w:rFonts w:ascii="Courier New" w:hAnsi="Courier New" w:cs="Courier New" w:hint="default"/>
      </w:rPr>
    </w:lvl>
    <w:lvl w:ilvl="2" w:tplc="831079C8" w:tentative="1">
      <w:start w:val="1"/>
      <w:numFmt w:val="bullet"/>
      <w:lvlText w:val=""/>
      <w:lvlJc w:val="left"/>
      <w:pPr>
        <w:ind w:left="2160" w:hanging="360"/>
      </w:pPr>
      <w:rPr>
        <w:rFonts w:ascii="Wingdings" w:hAnsi="Wingdings" w:hint="default"/>
      </w:rPr>
    </w:lvl>
    <w:lvl w:ilvl="3" w:tplc="587AC6D8" w:tentative="1">
      <w:start w:val="1"/>
      <w:numFmt w:val="bullet"/>
      <w:lvlText w:val=""/>
      <w:lvlJc w:val="left"/>
      <w:pPr>
        <w:ind w:left="2880" w:hanging="360"/>
      </w:pPr>
      <w:rPr>
        <w:rFonts w:ascii="Symbol" w:hAnsi="Symbol" w:hint="default"/>
      </w:rPr>
    </w:lvl>
    <w:lvl w:ilvl="4" w:tplc="D2244910" w:tentative="1">
      <w:start w:val="1"/>
      <w:numFmt w:val="bullet"/>
      <w:lvlText w:val="o"/>
      <w:lvlJc w:val="left"/>
      <w:pPr>
        <w:ind w:left="3600" w:hanging="360"/>
      </w:pPr>
      <w:rPr>
        <w:rFonts w:ascii="Courier New" w:hAnsi="Courier New" w:cs="Courier New" w:hint="default"/>
      </w:rPr>
    </w:lvl>
    <w:lvl w:ilvl="5" w:tplc="759409EE" w:tentative="1">
      <w:start w:val="1"/>
      <w:numFmt w:val="bullet"/>
      <w:lvlText w:val=""/>
      <w:lvlJc w:val="left"/>
      <w:pPr>
        <w:ind w:left="4320" w:hanging="360"/>
      </w:pPr>
      <w:rPr>
        <w:rFonts w:ascii="Wingdings" w:hAnsi="Wingdings" w:hint="default"/>
      </w:rPr>
    </w:lvl>
    <w:lvl w:ilvl="6" w:tplc="6BF8A18E" w:tentative="1">
      <w:start w:val="1"/>
      <w:numFmt w:val="bullet"/>
      <w:lvlText w:val=""/>
      <w:lvlJc w:val="left"/>
      <w:pPr>
        <w:ind w:left="5040" w:hanging="360"/>
      </w:pPr>
      <w:rPr>
        <w:rFonts w:ascii="Symbol" w:hAnsi="Symbol" w:hint="default"/>
      </w:rPr>
    </w:lvl>
    <w:lvl w:ilvl="7" w:tplc="5912A3F2" w:tentative="1">
      <w:start w:val="1"/>
      <w:numFmt w:val="bullet"/>
      <w:lvlText w:val="o"/>
      <w:lvlJc w:val="left"/>
      <w:pPr>
        <w:ind w:left="5760" w:hanging="360"/>
      </w:pPr>
      <w:rPr>
        <w:rFonts w:ascii="Courier New" w:hAnsi="Courier New" w:cs="Courier New" w:hint="default"/>
      </w:rPr>
    </w:lvl>
    <w:lvl w:ilvl="8" w:tplc="EF4E13CE" w:tentative="1">
      <w:start w:val="1"/>
      <w:numFmt w:val="bullet"/>
      <w:lvlText w:val=""/>
      <w:lvlJc w:val="left"/>
      <w:pPr>
        <w:ind w:left="6480" w:hanging="360"/>
      </w:pPr>
      <w:rPr>
        <w:rFonts w:ascii="Wingdings" w:hAnsi="Wingdings" w:hint="default"/>
      </w:rPr>
    </w:lvl>
  </w:abstractNum>
  <w:abstractNum w:abstractNumId="16" w15:restartNumberingAfterBreak="0">
    <w:nsid w:val="74F773C7"/>
    <w:multiLevelType w:val="hybridMultilevel"/>
    <w:tmpl w:val="BCC45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471640"/>
    <w:multiLevelType w:val="hybridMultilevel"/>
    <w:tmpl w:val="71D47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4C31D4"/>
    <w:multiLevelType w:val="hybridMultilevel"/>
    <w:tmpl w:val="B746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0837035">
    <w:abstractNumId w:val="7"/>
  </w:num>
  <w:num w:numId="2" w16cid:durableId="1341813691">
    <w:abstractNumId w:val="14"/>
  </w:num>
  <w:num w:numId="3" w16cid:durableId="1951745089">
    <w:abstractNumId w:val="15"/>
  </w:num>
  <w:num w:numId="4" w16cid:durableId="1869879252">
    <w:abstractNumId w:val="5"/>
  </w:num>
  <w:num w:numId="5" w16cid:durableId="1138035629">
    <w:abstractNumId w:val="2"/>
  </w:num>
  <w:num w:numId="6" w16cid:durableId="725839205">
    <w:abstractNumId w:val="4"/>
  </w:num>
  <w:num w:numId="7" w16cid:durableId="931820695">
    <w:abstractNumId w:val="6"/>
  </w:num>
  <w:num w:numId="8" w16cid:durableId="1783914299">
    <w:abstractNumId w:val="0"/>
  </w:num>
  <w:num w:numId="9" w16cid:durableId="859853192">
    <w:abstractNumId w:val="13"/>
  </w:num>
  <w:num w:numId="10" w16cid:durableId="439228481">
    <w:abstractNumId w:val="3"/>
  </w:num>
  <w:num w:numId="11" w16cid:durableId="2037075100">
    <w:abstractNumId w:val="1"/>
  </w:num>
  <w:num w:numId="12" w16cid:durableId="1098528248">
    <w:abstractNumId w:val="10"/>
  </w:num>
  <w:num w:numId="13" w16cid:durableId="1944340566">
    <w:abstractNumId w:val="8"/>
  </w:num>
  <w:num w:numId="14" w16cid:durableId="147599788">
    <w:abstractNumId w:val="18"/>
  </w:num>
  <w:num w:numId="15" w16cid:durableId="109787283">
    <w:abstractNumId w:val="9"/>
  </w:num>
  <w:num w:numId="16" w16cid:durableId="1918905657">
    <w:abstractNumId w:val="12"/>
  </w:num>
  <w:num w:numId="17" w16cid:durableId="480779900">
    <w:abstractNumId w:val="16"/>
  </w:num>
  <w:num w:numId="18" w16cid:durableId="1459184455">
    <w:abstractNumId w:val="11"/>
  </w:num>
  <w:num w:numId="19" w16cid:durableId="19562058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961"/>
    <w:rsid w:val="00010110"/>
    <w:rsid w:val="00010A9D"/>
    <w:rsid w:val="000140F0"/>
    <w:rsid w:val="000169A7"/>
    <w:rsid w:val="00016E85"/>
    <w:rsid w:val="00020A1D"/>
    <w:rsid w:val="00024024"/>
    <w:rsid w:val="00032077"/>
    <w:rsid w:val="00032EC3"/>
    <w:rsid w:val="00037352"/>
    <w:rsid w:val="00043508"/>
    <w:rsid w:val="00044BDC"/>
    <w:rsid w:val="0005528C"/>
    <w:rsid w:val="00063575"/>
    <w:rsid w:val="00070C66"/>
    <w:rsid w:val="00076CBD"/>
    <w:rsid w:val="00086294"/>
    <w:rsid w:val="00090FF8"/>
    <w:rsid w:val="00093BD4"/>
    <w:rsid w:val="000A2BFB"/>
    <w:rsid w:val="000A5AE2"/>
    <w:rsid w:val="000A605A"/>
    <w:rsid w:val="000B2F34"/>
    <w:rsid w:val="000B4451"/>
    <w:rsid w:val="000C205A"/>
    <w:rsid w:val="000C30C9"/>
    <w:rsid w:val="000C3EEC"/>
    <w:rsid w:val="000C5294"/>
    <w:rsid w:val="000E2DC0"/>
    <w:rsid w:val="000E3CC4"/>
    <w:rsid w:val="000E688A"/>
    <w:rsid w:val="000F76EB"/>
    <w:rsid w:val="00101BDE"/>
    <w:rsid w:val="00102F4B"/>
    <w:rsid w:val="00105C99"/>
    <w:rsid w:val="0011748C"/>
    <w:rsid w:val="00121AB2"/>
    <w:rsid w:val="00123FF2"/>
    <w:rsid w:val="00133A97"/>
    <w:rsid w:val="00145D77"/>
    <w:rsid w:val="00155B9E"/>
    <w:rsid w:val="001666CE"/>
    <w:rsid w:val="00182BD5"/>
    <w:rsid w:val="001928E9"/>
    <w:rsid w:val="0019405B"/>
    <w:rsid w:val="001A35F9"/>
    <w:rsid w:val="001A393B"/>
    <w:rsid w:val="001A42EC"/>
    <w:rsid w:val="001B0329"/>
    <w:rsid w:val="001B142F"/>
    <w:rsid w:val="001C2E91"/>
    <w:rsid w:val="001C5FF1"/>
    <w:rsid w:val="001D3821"/>
    <w:rsid w:val="001D66DD"/>
    <w:rsid w:val="001E165E"/>
    <w:rsid w:val="001E26A3"/>
    <w:rsid w:val="001E4F04"/>
    <w:rsid w:val="001F32DE"/>
    <w:rsid w:val="001F5874"/>
    <w:rsid w:val="001F6731"/>
    <w:rsid w:val="001F6ECD"/>
    <w:rsid w:val="002039C3"/>
    <w:rsid w:val="00213DA0"/>
    <w:rsid w:val="00213E2B"/>
    <w:rsid w:val="00215319"/>
    <w:rsid w:val="00223D31"/>
    <w:rsid w:val="00226F01"/>
    <w:rsid w:val="00234ED2"/>
    <w:rsid w:val="00235716"/>
    <w:rsid w:val="00236737"/>
    <w:rsid w:val="002519D4"/>
    <w:rsid w:val="00255D5A"/>
    <w:rsid w:val="00255F8F"/>
    <w:rsid w:val="00265C2F"/>
    <w:rsid w:val="00275C91"/>
    <w:rsid w:val="00276A87"/>
    <w:rsid w:val="002870BC"/>
    <w:rsid w:val="002877D6"/>
    <w:rsid w:val="0029410F"/>
    <w:rsid w:val="00295F03"/>
    <w:rsid w:val="002A0DF9"/>
    <w:rsid w:val="002A20D2"/>
    <w:rsid w:val="002A2C59"/>
    <w:rsid w:val="002B1F87"/>
    <w:rsid w:val="002B4670"/>
    <w:rsid w:val="002B6497"/>
    <w:rsid w:val="002C1D16"/>
    <w:rsid w:val="002C78B5"/>
    <w:rsid w:val="002D18A9"/>
    <w:rsid w:val="002D7043"/>
    <w:rsid w:val="002E1949"/>
    <w:rsid w:val="002F509F"/>
    <w:rsid w:val="00316220"/>
    <w:rsid w:val="00326ABD"/>
    <w:rsid w:val="00330A0D"/>
    <w:rsid w:val="003334DB"/>
    <w:rsid w:val="00335951"/>
    <w:rsid w:val="0033705F"/>
    <w:rsid w:val="00345D6A"/>
    <w:rsid w:val="00361A42"/>
    <w:rsid w:val="003622A9"/>
    <w:rsid w:val="00363C17"/>
    <w:rsid w:val="00366F9A"/>
    <w:rsid w:val="00382A74"/>
    <w:rsid w:val="00384B97"/>
    <w:rsid w:val="00390F9E"/>
    <w:rsid w:val="003A0B46"/>
    <w:rsid w:val="003A65E1"/>
    <w:rsid w:val="003B00D9"/>
    <w:rsid w:val="003B059A"/>
    <w:rsid w:val="003B30BF"/>
    <w:rsid w:val="003C1143"/>
    <w:rsid w:val="003C611D"/>
    <w:rsid w:val="003D432D"/>
    <w:rsid w:val="003E1C2D"/>
    <w:rsid w:val="003E5231"/>
    <w:rsid w:val="003F399D"/>
    <w:rsid w:val="003F51D4"/>
    <w:rsid w:val="003F5F2B"/>
    <w:rsid w:val="00405217"/>
    <w:rsid w:val="004077A8"/>
    <w:rsid w:val="004138F2"/>
    <w:rsid w:val="00414DEB"/>
    <w:rsid w:val="00420333"/>
    <w:rsid w:val="004264A1"/>
    <w:rsid w:val="00433232"/>
    <w:rsid w:val="00443B60"/>
    <w:rsid w:val="00444458"/>
    <w:rsid w:val="00455BD0"/>
    <w:rsid w:val="00457D8F"/>
    <w:rsid w:val="00457F8A"/>
    <w:rsid w:val="00465374"/>
    <w:rsid w:val="00465651"/>
    <w:rsid w:val="004704C6"/>
    <w:rsid w:val="00472D4C"/>
    <w:rsid w:val="00475C21"/>
    <w:rsid w:val="0048251E"/>
    <w:rsid w:val="00493456"/>
    <w:rsid w:val="00494FE0"/>
    <w:rsid w:val="0049620E"/>
    <w:rsid w:val="004B3961"/>
    <w:rsid w:val="004B6285"/>
    <w:rsid w:val="004C1483"/>
    <w:rsid w:val="004C3C15"/>
    <w:rsid w:val="004C69F7"/>
    <w:rsid w:val="004C6FCC"/>
    <w:rsid w:val="004C72B5"/>
    <w:rsid w:val="004D6090"/>
    <w:rsid w:val="004D6205"/>
    <w:rsid w:val="004E4EA6"/>
    <w:rsid w:val="004E787E"/>
    <w:rsid w:val="004F2037"/>
    <w:rsid w:val="00505C37"/>
    <w:rsid w:val="00510445"/>
    <w:rsid w:val="00510870"/>
    <w:rsid w:val="00522E05"/>
    <w:rsid w:val="00527CB3"/>
    <w:rsid w:val="00546047"/>
    <w:rsid w:val="0055353A"/>
    <w:rsid w:val="00553909"/>
    <w:rsid w:val="00565CAF"/>
    <w:rsid w:val="005676CA"/>
    <w:rsid w:val="00573C3A"/>
    <w:rsid w:val="00577AE1"/>
    <w:rsid w:val="00581032"/>
    <w:rsid w:val="00584325"/>
    <w:rsid w:val="0059107F"/>
    <w:rsid w:val="005C0C09"/>
    <w:rsid w:val="005D3B71"/>
    <w:rsid w:val="005D7217"/>
    <w:rsid w:val="005E1573"/>
    <w:rsid w:val="005E5EC8"/>
    <w:rsid w:val="005E7710"/>
    <w:rsid w:val="005F0431"/>
    <w:rsid w:val="005F0A08"/>
    <w:rsid w:val="00602016"/>
    <w:rsid w:val="0060268E"/>
    <w:rsid w:val="0060332F"/>
    <w:rsid w:val="006144C2"/>
    <w:rsid w:val="00623927"/>
    <w:rsid w:val="00626884"/>
    <w:rsid w:val="006367DD"/>
    <w:rsid w:val="006403F8"/>
    <w:rsid w:val="006411AC"/>
    <w:rsid w:val="0065051F"/>
    <w:rsid w:val="006525AD"/>
    <w:rsid w:val="00660C14"/>
    <w:rsid w:val="00660F84"/>
    <w:rsid w:val="00670603"/>
    <w:rsid w:val="0067792D"/>
    <w:rsid w:val="00681A5C"/>
    <w:rsid w:val="00681D23"/>
    <w:rsid w:val="0068626A"/>
    <w:rsid w:val="00690B53"/>
    <w:rsid w:val="00696C31"/>
    <w:rsid w:val="006A1DAF"/>
    <w:rsid w:val="006B14B4"/>
    <w:rsid w:val="006B152A"/>
    <w:rsid w:val="006C085E"/>
    <w:rsid w:val="006C62D2"/>
    <w:rsid w:val="006D0963"/>
    <w:rsid w:val="006D4FE8"/>
    <w:rsid w:val="006E5845"/>
    <w:rsid w:val="006F3208"/>
    <w:rsid w:val="006F353A"/>
    <w:rsid w:val="006F48DC"/>
    <w:rsid w:val="006F70F6"/>
    <w:rsid w:val="006F79B2"/>
    <w:rsid w:val="00700455"/>
    <w:rsid w:val="00715898"/>
    <w:rsid w:val="00736455"/>
    <w:rsid w:val="007368FB"/>
    <w:rsid w:val="007427D1"/>
    <w:rsid w:val="007527E4"/>
    <w:rsid w:val="00763D35"/>
    <w:rsid w:val="00771048"/>
    <w:rsid w:val="00786749"/>
    <w:rsid w:val="007A4EA6"/>
    <w:rsid w:val="007B247D"/>
    <w:rsid w:val="007B6BA2"/>
    <w:rsid w:val="007B7D16"/>
    <w:rsid w:val="007C3607"/>
    <w:rsid w:val="007D746D"/>
    <w:rsid w:val="007E16C6"/>
    <w:rsid w:val="007E2566"/>
    <w:rsid w:val="007E7452"/>
    <w:rsid w:val="007F61F7"/>
    <w:rsid w:val="00811CA4"/>
    <w:rsid w:val="00814F24"/>
    <w:rsid w:val="00820C40"/>
    <w:rsid w:val="00835CB5"/>
    <w:rsid w:val="0083765F"/>
    <w:rsid w:val="00846671"/>
    <w:rsid w:val="00846C82"/>
    <w:rsid w:val="00856C8B"/>
    <w:rsid w:val="00866498"/>
    <w:rsid w:val="00877E4C"/>
    <w:rsid w:val="00892DF4"/>
    <w:rsid w:val="008967A1"/>
    <w:rsid w:val="00897B75"/>
    <w:rsid w:val="008A1663"/>
    <w:rsid w:val="008B30D7"/>
    <w:rsid w:val="008C221D"/>
    <w:rsid w:val="008C7A92"/>
    <w:rsid w:val="008D1DDF"/>
    <w:rsid w:val="008D1F48"/>
    <w:rsid w:val="008E4C78"/>
    <w:rsid w:val="008E6940"/>
    <w:rsid w:val="008F2F71"/>
    <w:rsid w:val="008F5802"/>
    <w:rsid w:val="008F6E03"/>
    <w:rsid w:val="009007AE"/>
    <w:rsid w:val="00907C46"/>
    <w:rsid w:val="00937727"/>
    <w:rsid w:val="009463F7"/>
    <w:rsid w:val="009501C0"/>
    <w:rsid w:val="0095639D"/>
    <w:rsid w:val="00964ED6"/>
    <w:rsid w:val="009703FF"/>
    <w:rsid w:val="00971B6F"/>
    <w:rsid w:val="0098219C"/>
    <w:rsid w:val="00987B0A"/>
    <w:rsid w:val="00994C7A"/>
    <w:rsid w:val="009A04B4"/>
    <w:rsid w:val="009A064A"/>
    <w:rsid w:val="009A4134"/>
    <w:rsid w:val="009A5FDA"/>
    <w:rsid w:val="009B0B66"/>
    <w:rsid w:val="009B3352"/>
    <w:rsid w:val="009B63B4"/>
    <w:rsid w:val="009C0549"/>
    <w:rsid w:val="009C4AC1"/>
    <w:rsid w:val="009C7563"/>
    <w:rsid w:val="009E505B"/>
    <w:rsid w:val="009F000C"/>
    <w:rsid w:val="009F00D0"/>
    <w:rsid w:val="009F0713"/>
    <w:rsid w:val="009F2572"/>
    <w:rsid w:val="009F5A6C"/>
    <w:rsid w:val="00A0269D"/>
    <w:rsid w:val="00A035AA"/>
    <w:rsid w:val="00A04AB8"/>
    <w:rsid w:val="00A05674"/>
    <w:rsid w:val="00A0617C"/>
    <w:rsid w:val="00A167CD"/>
    <w:rsid w:val="00A16B29"/>
    <w:rsid w:val="00A233C9"/>
    <w:rsid w:val="00A277C9"/>
    <w:rsid w:val="00A40F52"/>
    <w:rsid w:val="00A4242B"/>
    <w:rsid w:val="00A479DE"/>
    <w:rsid w:val="00A47BAC"/>
    <w:rsid w:val="00A641BD"/>
    <w:rsid w:val="00A67F84"/>
    <w:rsid w:val="00A7328A"/>
    <w:rsid w:val="00A763C9"/>
    <w:rsid w:val="00A82097"/>
    <w:rsid w:val="00A8664B"/>
    <w:rsid w:val="00A91271"/>
    <w:rsid w:val="00A962B9"/>
    <w:rsid w:val="00AA65BD"/>
    <w:rsid w:val="00AB204D"/>
    <w:rsid w:val="00AB22D5"/>
    <w:rsid w:val="00AB625B"/>
    <w:rsid w:val="00AB6C57"/>
    <w:rsid w:val="00AC3760"/>
    <w:rsid w:val="00AC46FB"/>
    <w:rsid w:val="00AD442F"/>
    <w:rsid w:val="00AD5D16"/>
    <w:rsid w:val="00AE3A71"/>
    <w:rsid w:val="00AF3416"/>
    <w:rsid w:val="00AF6895"/>
    <w:rsid w:val="00B04AB3"/>
    <w:rsid w:val="00B05859"/>
    <w:rsid w:val="00B129A4"/>
    <w:rsid w:val="00B132DD"/>
    <w:rsid w:val="00B17061"/>
    <w:rsid w:val="00B2593A"/>
    <w:rsid w:val="00B307A5"/>
    <w:rsid w:val="00B34926"/>
    <w:rsid w:val="00B50DE1"/>
    <w:rsid w:val="00B531F8"/>
    <w:rsid w:val="00B61E99"/>
    <w:rsid w:val="00B72BC2"/>
    <w:rsid w:val="00BA1B83"/>
    <w:rsid w:val="00BA53EA"/>
    <w:rsid w:val="00BB4C8E"/>
    <w:rsid w:val="00BC7D24"/>
    <w:rsid w:val="00BD1651"/>
    <w:rsid w:val="00BD41B5"/>
    <w:rsid w:val="00BE324D"/>
    <w:rsid w:val="00BF323A"/>
    <w:rsid w:val="00BF6CE9"/>
    <w:rsid w:val="00C01B8B"/>
    <w:rsid w:val="00C106DA"/>
    <w:rsid w:val="00C162DC"/>
    <w:rsid w:val="00C246DC"/>
    <w:rsid w:val="00C32195"/>
    <w:rsid w:val="00C33B8F"/>
    <w:rsid w:val="00C34D03"/>
    <w:rsid w:val="00C36830"/>
    <w:rsid w:val="00C42E4A"/>
    <w:rsid w:val="00C80992"/>
    <w:rsid w:val="00C82C7D"/>
    <w:rsid w:val="00C85F96"/>
    <w:rsid w:val="00C91DF9"/>
    <w:rsid w:val="00C97E6D"/>
    <w:rsid w:val="00CA68DE"/>
    <w:rsid w:val="00CB1C36"/>
    <w:rsid w:val="00CB7801"/>
    <w:rsid w:val="00CB7D95"/>
    <w:rsid w:val="00CC22BC"/>
    <w:rsid w:val="00CC530A"/>
    <w:rsid w:val="00CC7A25"/>
    <w:rsid w:val="00D06240"/>
    <w:rsid w:val="00D4285A"/>
    <w:rsid w:val="00D467F0"/>
    <w:rsid w:val="00D5113F"/>
    <w:rsid w:val="00D52A08"/>
    <w:rsid w:val="00D538D2"/>
    <w:rsid w:val="00D6152A"/>
    <w:rsid w:val="00D63533"/>
    <w:rsid w:val="00D64C44"/>
    <w:rsid w:val="00D65903"/>
    <w:rsid w:val="00D65D95"/>
    <w:rsid w:val="00D67C44"/>
    <w:rsid w:val="00D732F2"/>
    <w:rsid w:val="00D738EC"/>
    <w:rsid w:val="00D744AE"/>
    <w:rsid w:val="00D90208"/>
    <w:rsid w:val="00D93524"/>
    <w:rsid w:val="00D97AE5"/>
    <w:rsid w:val="00DA0011"/>
    <w:rsid w:val="00DA2C4E"/>
    <w:rsid w:val="00DB31F6"/>
    <w:rsid w:val="00DB4B69"/>
    <w:rsid w:val="00DD40CB"/>
    <w:rsid w:val="00DE26BF"/>
    <w:rsid w:val="00DE327A"/>
    <w:rsid w:val="00DE3E5E"/>
    <w:rsid w:val="00DE7656"/>
    <w:rsid w:val="00DF3136"/>
    <w:rsid w:val="00DF41FF"/>
    <w:rsid w:val="00DF7008"/>
    <w:rsid w:val="00DF7094"/>
    <w:rsid w:val="00DF7F77"/>
    <w:rsid w:val="00E01C03"/>
    <w:rsid w:val="00E028FE"/>
    <w:rsid w:val="00E069C2"/>
    <w:rsid w:val="00E06AB8"/>
    <w:rsid w:val="00E121F1"/>
    <w:rsid w:val="00E13D05"/>
    <w:rsid w:val="00E1624C"/>
    <w:rsid w:val="00E232D3"/>
    <w:rsid w:val="00E2476E"/>
    <w:rsid w:val="00E25DD2"/>
    <w:rsid w:val="00E26701"/>
    <w:rsid w:val="00E37C90"/>
    <w:rsid w:val="00E47212"/>
    <w:rsid w:val="00E534F3"/>
    <w:rsid w:val="00E5410E"/>
    <w:rsid w:val="00E56D3B"/>
    <w:rsid w:val="00E651E6"/>
    <w:rsid w:val="00E71B6C"/>
    <w:rsid w:val="00E73398"/>
    <w:rsid w:val="00E77619"/>
    <w:rsid w:val="00EA3E1F"/>
    <w:rsid w:val="00EA4E93"/>
    <w:rsid w:val="00EB57E9"/>
    <w:rsid w:val="00EB7D72"/>
    <w:rsid w:val="00ED6184"/>
    <w:rsid w:val="00EE3AC0"/>
    <w:rsid w:val="00F0073A"/>
    <w:rsid w:val="00F03E30"/>
    <w:rsid w:val="00F17C1E"/>
    <w:rsid w:val="00F263CF"/>
    <w:rsid w:val="00F263E4"/>
    <w:rsid w:val="00F30B10"/>
    <w:rsid w:val="00F46055"/>
    <w:rsid w:val="00F46683"/>
    <w:rsid w:val="00F505C1"/>
    <w:rsid w:val="00F543C2"/>
    <w:rsid w:val="00F86193"/>
    <w:rsid w:val="00F869FD"/>
    <w:rsid w:val="00F93211"/>
    <w:rsid w:val="00F970E1"/>
    <w:rsid w:val="00FA238B"/>
    <w:rsid w:val="00FA7562"/>
    <w:rsid w:val="00FB4E94"/>
    <w:rsid w:val="00FC0E79"/>
    <w:rsid w:val="00FC4692"/>
    <w:rsid w:val="00FE292B"/>
    <w:rsid w:val="00FE5EFB"/>
    <w:rsid w:val="00FE7B05"/>
    <w:rsid w:val="00FF067D"/>
    <w:rsid w:val="00FF6DC8"/>
    <w:rsid w:val="72351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56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C6"/>
  </w:style>
  <w:style w:type="paragraph" w:styleId="Heading1">
    <w:name w:val="heading 1"/>
    <w:basedOn w:val="Normal"/>
    <w:next w:val="Normal"/>
    <w:uiPriority w:val="9"/>
    <w:qFormat/>
    <w:rsid w:val="007E16C6"/>
    <w:pPr>
      <w:keepNext/>
      <w:keepLines/>
      <w:spacing w:after="0"/>
      <w:outlineLvl w:val="0"/>
    </w:pPr>
    <w:rPr>
      <w:b/>
      <w:color w:val="17365D" w:themeColor="text2" w:themeShade="BF"/>
      <w:sz w:val="32"/>
      <w:szCs w:val="32"/>
    </w:rPr>
  </w:style>
  <w:style w:type="paragraph" w:styleId="Heading2">
    <w:name w:val="heading 2"/>
    <w:basedOn w:val="Normal"/>
    <w:next w:val="Normal"/>
    <w:uiPriority w:val="9"/>
    <w:unhideWhenUsed/>
    <w:qFormat/>
    <w:rsid w:val="003334DB"/>
    <w:pPr>
      <w:keepNext/>
      <w:keepLines/>
      <w:spacing w:before="40" w:after="0"/>
      <w:outlineLvl w:val="1"/>
    </w:pPr>
    <w:rPr>
      <w:b/>
      <w:color w:val="000000"/>
      <w:sz w:val="28"/>
      <w:szCs w:val="28"/>
    </w:rPr>
  </w:style>
  <w:style w:type="paragraph" w:styleId="Heading3">
    <w:name w:val="heading 3"/>
    <w:basedOn w:val="Normal"/>
    <w:next w:val="Normal"/>
    <w:uiPriority w:val="9"/>
    <w:unhideWhenUsed/>
    <w:qFormat/>
    <w:pPr>
      <w:keepNext/>
      <w:keepLines/>
      <w:spacing w:before="40" w:after="0"/>
      <w:outlineLvl w:val="2"/>
    </w:pPr>
    <w:rPr>
      <w:b/>
      <w:color w:val="1F3863"/>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F869FD"/>
    <w:pPr>
      <w:tabs>
        <w:tab w:val="right" w:leader="dot" w:pos="9350"/>
      </w:tabs>
      <w:spacing w:after="100"/>
    </w:pPr>
  </w:style>
  <w:style w:type="character" w:styleId="Hyperlink">
    <w:name w:val="Hyperlink"/>
    <w:basedOn w:val="DefaultParagraphFont"/>
    <w:uiPriority w:val="99"/>
    <w:unhideWhenUsed/>
    <w:rsid w:val="00E25DD2"/>
    <w:rPr>
      <w:color w:val="0000FF" w:themeColor="hyperlink"/>
      <w:u w:val="single"/>
    </w:rPr>
  </w:style>
  <w:style w:type="paragraph" w:styleId="NormalWeb">
    <w:name w:val="Normal (Web)"/>
    <w:basedOn w:val="Normal"/>
    <w:uiPriority w:val="99"/>
    <w:unhideWhenUsed/>
    <w:rsid w:val="0098219C"/>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105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C99"/>
  </w:style>
  <w:style w:type="paragraph" w:styleId="Footer">
    <w:name w:val="footer"/>
    <w:basedOn w:val="Normal"/>
    <w:link w:val="FooterChar"/>
    <w:uiPriority w:val="99"/>
    <w:unhideWhenUsed/>
    <w:rsid w:val="00105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C99"/>
  </w:style>
  <w:style w:type="paragraph" w:styleId="TOC2">
    <w:name w:val="toc 2"/>
    <w:basedOn w:val="Normal"/>
    <w:next w:val="Normal"/>
    <w:autoRedefine/>
    <w:uiPriority w:val="39"/>
    <w:unhideWhenUsed/>
    <w:rsid w:val="00B2593A"/>
    <w:pPr>
      <w:spacing w:after="100"/>
      <w:ind w:left="240"/>
    </w:pPr>
  </w:style>
  <w:style w:type="paragraph" w:styleId="TOC3">
    <w:name w:val="toc 3"/>
    <w:basedOn w:val="Normal"/>
    <w:next w:val="Normal"/>
    <w:autoRedefine/>
    <w:uiPriority w:val="39"/>
    <w:unhideWhenUsed/>
    <w:rsid w:val="000C5294"/>
    <w:pPr>
      <w:spacing w:after="100"/>
      <w:ind w:left="480"/>
    </w:pPr>
  </w:style>
  <w:style w:type="paragraph" w:styleId="Caption">
    <w:name w:val="caption"/>
    <w:basedOn w:val="Normal"/>
    <w:next w:val="Normal"/>
    <w:uiPriority w:val="35"/>
    <w:unhideWhenUsed/>
    <w:qFormat/>
    <w:rsid w:val="00E71B6C"/>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DF41FF"/>
    <w:pPr>
      <w:spacing w:after="0"/>
    </w:pPr>
  </w:style>
  <w:style w:type="character" w:customStyle="1" w:styleId="TitleChar">
    <w:name w:val="Title Char"/>
    <w:basedOn w:val="DefaultParagraphFont"/>
    <w:link w:val="Title"/>
    <w:uiPriority w:val="10"/>
    <w:rsid w:val="00037352"/>
    <w:rPr>
      <w:b/>
      <w:sz w:val="72"/>
      <w:szCs w:val="72"/>
    </w:rPr>
  </w:style>
  <w:style w:type="paragraph" w:styleId="ListParagraph">
    <w:name w:val="List Paragraph"/>
    <w:basedOn w:val="Normal"/>
    <w:uiPriority w:val="34"/>
    <w:qFormat/>
    <w:rsid w:val="00E121F1"/>
    <w:pPr>
      <w:ind w:left="720"/>
      <w:contextualSpacing/>
    </w:pPr>
  </w:style>
  <w:style w:type="table" w:styleId="TableGrid">
    <w:name w:val="Table Grid"/>
    <w:basedOn w:val="TableNormal"/>
    <w:uiPriority w:val="59"/>
    <w:rsid w:val="00752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213DA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E13D05"/>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table" w:styleId="GridTable1Light-Accent5">
    <w:name w:val="Grid Table 1 Light Accent 5"/>
    <w:basedOn w:val="TableNormal"/>
    <w:uiPriority w:val="46"/>
    <w:rsid w:val="00AC376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361A42"/>
    <w:rPr>
      <w:sz w:val="16"/>
      <w:szCs w:val="16"/>
    </w:rPr>
  </w:style>
  <w:style w:type="paragraph" w:styleId="CommentText">
    <w:name w:val="annotation text"/>
    <w:basedOn w:val="Normal"/>
    <w:link w:val="CommentTextChar"/>
    <w:uiPriority w:val="99"/>
    <w:semiHidden/>
    <w:unhideWhenUsed/>
    <w:rsid w:val="00361A42"/>
    <w:pPr>
      <w:spacing w:line="240" w:lineRule="auto"/>
    </w:pPr>
    <w:rPr>
      <w:sz w:val="20"/>
      <w:szCs w:val="20"/>
    </w:rPr>
  </w:style>
  <w:style w:type="character" w:customStyle="1" w:styleId="CommentTextChar">
    <w:name w:val="Comment Text Char"/>
    <w:basedOn w:val="DefaultParagraphFont"/>
    <w:link w:val="CommentText"/>
    <w:uiPriority w:val="99"/>
    <w:semiHidden/>
    <w:rsid w:val="00361A42"/>
    <w:rPr>
      <w:sz w:val="20"/>
      <w:szCs w:val="20"/>
    </w:rPr>
  </w:style>
  <w:style w:type="paragraph" w:styleId="CommentSubject">
    <w:name w:val="annotation subject"/>
    <w:basedOn w:val="CommentText"/>
    <w:next w:val="CommentText"/>
    <w:link w:val="CommentSubjectChar"/>
    <w:uiPriority w:val="99"/>
    <w:semiHidden/>
    <w:unhideWhenUsed/>
    <w:rsid w:val="00361A42"/>
    <w:rPr>
      <w:b/>
      <w:bCs/>
    </w:rPr>
  </w:style>
  <w:style w:type="character" w:customStyle="1" w:styleId="CommentSubjectChar">
    <w:name w:val="Comment Subject Char"/>
    <w:basedOn w:val="CommentTextChar"/>
    <w:link w:val="CommentSubject"/>
    <w:uiPriority w:val="99"/>
    <w:semiHidden/>
    <w:rsid w:val="00361A42"/>
    <w:rPr>
      <w:b/>
      <w:bCs/>
      <w:sz w:val="20"/>
      <w:szCs w:val="20"/>
    </w:rPr>
  </w:style>
  <w:style w:type="paragraph" w:styleId="BalloonText">
    <w:name w:val="Balloon Text"/>
    <w:basedOn w:val="Normal"/>
    <w:link w:val="BalloonTextChar"/>
    <w:uiPriority w:val="99"/>
    <w:semiHidden/>
    <w:unhideWhenUsed/>
    <w:rsid w:val="00361A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A42"/>
    <w:rPr>
      <w:rFonts w:ascii="Segoe UI" w:hAnsi="Segoe UI" w:cs="Segoe UI"/>
      <w:sz w:val="18"/>
      <w:szCs w:val="18"/>
    </w:rPr>
  </w:style>
  <w:style w:type="table" w:styleId="PlainTable5">
    <w:name w:val="Plain Table 5"/>
    <w:basedOn w:val="TableNormal"/>
    <w:uiPriority w:val="45"/>
    <w:rsid w:val="00BB4C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34946">
      <w:bodyDiv w:val="1"/>
      <w:marLeft w:val="0"/>
      <w:marRight w:val="0"/>
      <w:marTop w:val="0"/>
      <w:marBottom w:val="0"/>
      <w:divBdr>
        <w:top w:val="none" w:sz="0" w:space="0" w:color="auto"/>
        <w:left w:val="none" w:sz="0" w:space="0" w:color="auto"/>
        <w:bottom w:val="none" w:sz="0" w:space="0" w:color="auto"/>
        <w:right w:val="none" w:sz="0" w:space="0" w:color="auto"/>
      </w:divBdr>
      <w:divsChild>
        <w:div w:id="1241022350">
          <w:marLeft w:val="0"/>
          <w:marRight w:val="0"/>
          <w:marTop w:val="0"/>
          <w:marBottom w:val="0"/>
          <w:divBdr>
            <w:top w:val="single" w:sz="6" w:space="0" w:color="auto"/>
            <w:left w:val="single" w:sz="6" w:space="0" w:color="auto"/>
            <w:bottom w:val="single" w:sz="6" w:space="0" w:color="auto"/>
            <w:right w:val="single" w:sz="6" w:space="0" w:color="auto"/>
          </w:divBdr>
        </w:div>
      </w:divsChild>
    </w:div>
    <w:div w:id="218905757">
      <w:bodyDiv w:val="1"/>
      <w:marLeft w:val="0"/>
      <w:marRight w:val="0"/>
      <w:marTop w:val="0"/>
      <w:marBottom w:val="0"/>
      <w:divBdr>
        <w:top w:val="none" w:sz="0" w:space="0" w:color="auto"/>
        <w:left w:val="none" w:sz="0" w:space="0" w:color="auto"/>
        <w:bottom w:val="none" w:sz="0" w:space="0" w:color="auto"/>
        <w:right w:val="none" w:sz="0" w:space="0" w:color="auto"/>
      </w:divBdr>
      <w:divsChild>
        <w:div w:id="1104417837">
          <w:marLeft w:val="0"/>
          <w:marRight w:val="0"/>
          <w:marTop w:val="0"/>
          <w:marBottom w:val="0"/>
          <w:divBdr>
            <w:top w:val="none" w:sz="0" w:space="0" w:color="auto"/>
            <w:left w:val="none" w:sz="0" w:space="0" w:color="auto"/>
            <w:bottom w:val="none" w:sz="0" w:space="0" w:color="auto"/>
            <w:right w:val="none" w:sz="0" w:space="0" w:color="auto"/>
          </w:divBdr>
        </w:div>
      </w:divsChild>
    </w:div>
    <w:div w:id="376398271">
      <w:bodyDiv w:val="1"/>
      <w:marLeft w:val="0"/>
      <w:marRight w:val="0"/>
      <w:marTop w:val="0"/>
      <w:marBottom w:val="0"/>
      <w:divBdr>
        <w:top w:val="none" w:sz="0" w:space="0" w:color="auto"/>
        <w:left w:val="none" w:sz="0" w:space="0" w:color="auto"/>
        <w:bottom w:val="none" w:sz="0" w:space="0" w:color="auto"/>
        <w:right w:val="none" w:sz="0" w:space="0" w:color="auto"/>
      </w:divBdr>
      <w:divsChild>
        <w:div w:id="1903640177">
          <w:marLeft w:val="0"/>
          <w:marRight w:val="0"/>
          <w:marTop w:val="0"/>
          <w:marBottom w:val="0"/>
          <w:divBdr>
            <w:top w:val="none" w:sz="0" w:space="0" w:color="auto"/>
            <w:left w:val="none" w:sz="0" w:space="0" w:color="auto"/>
            <w:bottom w:val="none" w:sz="0" w:space="0" w:color="auto"/>
            <w:right w:val="none" w:sz="0" w:space="0" w:color="auto"/>
          </w:divBdr>
        </w:div>
      </w:divsChild>
    </w:div>
    <w:div w:id="500311754">
      <w:bodyDiv w:val="1"/>
      <w:marLeft w:val="0"/>
      <w:marRight w:val="0"/>
      <w:marTop w:val="0"/>
      <w:marBottom w:val="0"/>
      <w:divBdr>
        <w:top w:val="none" w:sz="0" w:space="0" w:color="auto"/>
        <w:left w:val="none" w:sz="0" w:space="0" w:color="auto"/>
        <w:bottom w:val="none" w:sz="0" w:space="0" w:color="auto"/>
        <w:right w:val="none" w:sz="0" w:space="0" w:color="auto"/>
      </w:divBdr>
      <w:divsChild>
        <w:div w:id="2066832725">
          <w:marLeft w:val="0"/>
          <w:marRight w:val="0"/>
          <w:marTop w:val="0"/>
          <w:marBottom w:val="0"/>
          <w:divBdr>
            <w:top w:val="none" w:sz="0" w:space="0" w:color="auto"/>
            <w:left w:val="none" w:sz="0" w:space="0" w:color="auto"/>
            <w:bottom w:val="none" w:sz="0" w:space="0" w:color="auto"/>
            <w:right w:val="none" w:sz="0" w:space="0" w:color="auto"/>
          </w:divBdr>
        </w:div>
      </w:divsChild>
    </w:div>
    <w:div w:id="758452358">
      <w:bodyDiv w:val="1"/>
      <w:marLeft w:val="0"/>
      <w:marRight w:val="0"/>
      <w:marTop w:val="0"/>
      <w:marBottom w:val="0"/>
      <w:divBdr>
        <w:top w:val="none" w:sz="0" w:space="0" w:color="auto"/>
        <w:left w:val="none" w:sz="0" w:space="0" w:color="auto"/>
        <w:bottom w:val="none" w:sz="0" w:space="0" w:color="auto"/>
        <w:right w:val="none" w:sz="0" w:space="0" w:color="auto"/>
      </w:divBdr>
      <w:divsChild>
        <w:div w:id="1926066465">
          <w:marLeft w:val="0"/>
          <w:marRight w:val="0"/>
          <w:marTop w:val="0"/>
          <w:marBottom w:val="0"/>
          <w:divBdr>
            <w:top w:val="none" w:sz="0" w:space="0" w:color="auto"/>
            <w:left w:val="none" w:sz="0" w:space="0" w:color="auto"/>
            <w:bottom w:val="none" w:sz="0" w:space="0" w:color="auto"/>
            <w:right w:val="none" w:sz="0" w:space="0" w:color="auto"/>
          </w:divBdr>
        </w:div>
      </w:divsChild>
    </w:div>
    <w:div w:id="1097169019">
      <w:bodyDiv w:val="1"/>
      <w:marLeft w:val="0"/>
      <w:marRight w:val="0"/>
      <w:marTop w:val="0"/>
      <w:marBottom w:val="0"/>
      <w:divBdr>
        <w:top w:val="none" w:sz="0" w:space="0" w:color="auto"/>
        <w:left w:val="none" w:sz="0" w:space="0" w:color="auto"/>
        <w:bottom w:val="none" w:sz="0" w:space="0" w:color="auto"/>
        <w:right w:val="none" w:sz="0" w:space="0" w:color="auto"/>
      </w:divBdr>
      <w:divsChild>
        <w:div w:id="326178502">
          <w:marLeft w:val="0"/>
          <w:marRight w:val="0"/>
          <w:marTop w:val="0"/>
          <w:marBottom w:val="0"/>
          <w:divBdr>
            <w:top w:val="none" w:sz="0" w:space="0" w:color="auto"/>
            <w:left w:val="none" w:sz="0" w:space="0" w:color="auto"/>
            <w:bottom w:val="none" w:sz="0" w:space="0" w:color="auto"/>
            <w:right w:val="none" w:sz="0" w:space="0" w:color="auto"/>
          </w:divBdr>
        </w:div>
      </w:divsChild>
    </w:div>
    <w:div w:id="1154419122">
      <w:bodyDiv w:val="1"/>
      <w:marLeft w:val="0"/>
      <w:marRight w:val="0"/>
      <w:marTop w:val="0"/>
      <w:marBottom w:val="0"/>
      <w:divBdr>
        <w:top w:val="none" w:sz="0" w:space="0" w:color="auto"/>
        <w:left w:val="none" w:sz="0" w:space="0" w:color="auto"/>
        <w:bottom w:val="none" w:sz="0" w:space="0" w:color="auto"/>
        <w:right w:val="none" w:sz="0" w:space="0" w:color="auto"/>
      </w:divBdr>
      <w:divsChild>
        <w:div w:id="966819454">
          <w:marLeft w:val="0"/>
          <w:marRight w:val="0"/>
          <w:marTop w:val="0"/>
          <w:marBottom w:val="0"/>
          <w:divBdr>
            <w:top w:val="none" w:sz="0" w:space="0" w:color="auto"/>
            <w:left w:val="none" w:sz="0" w:space="0" w:color="auto"/>
            <w:bottom w:val="none" w:sz="0" w:space="0" w:color="auto"/>
            <w:right w:val="none" w:sz="0" w:space="0" w:color="auto"/>
          </w:divBdr>
        </w:div>
      </w:divsChild>
    </w:div>
    <w:div w:id="1287277302">
      <w:bodyDiv w:val="1"/>
      <w:marLeft w:val="0"/>
      <w:marRight w:val="0"/>
      <w:marTop w:val="0"/>
      <w:marBottom w:val="0"/>
      <w:divBdr>
        <w:top w:val="none" w:sz="0" w:space="0" w:color="auto"/>
        <w:left w:val="none" w:sz="0" w:space="0" w:color="auto"/>
        <w:bottom w:val="none" w:sz="0" w:space="0" w:color="auto"/>
        <w:right w:val="none" w:sz="0" w:space="0" w:color="auto"/>
      </w:divBdr>
      <w:divsChild>
        <w:div w:id="114640736">
          <w:marLeft w:val="0"/>
          <w:marRight w:val="0"/>
          <w:marTop w:val="0"/>
          <w:marBottom w:val="0"/>
          <w:divBdr>
            <w:top w:val="none" w:sz="0" w:space="0" w:color="auto"/>
            <w:left w:val="none" w:sz="0" w:space="0" w:color="auto"/>
            <w:bottom w:val="none" w:sz="0" w:space="0" w:color="auto"/>
            <w:right w:val="none" w:sz="0" w:space="0" w:color="auto"/>
          </w:divBdr>
        </w:div>
      </w:divsChild>
    </w:div>
    <w:div w:id="1349604268">
      <w:bodyDiv w:val="1"/>
      <w:marLeft w:val="0"/>
      <w:marRight w:val="0"/>
      <w:marTop w:val="0"/>
      <w:marBottom w:val="0"/>
      <w:divBdr>
        <w:top w:val="none" w:sz="0" w:space="0" w:color="auto"/>
        <w:left w:val="none" w:sz="0" w:space="0" w:color="auto"/>
        <w:bottom w:val="none" w:sz="0" w:space="0" w:color="auto"/>
        <w:right w:val="none" w:sz="0" w:space="0" w:color="auto"/>
      </w:divBdr>
      <w:divsChild>
        <w:div w:id="458231691">
          <w:marLeft w:val="0"/>
          <w:marRight w:val="0"/>
          <w:marTop w:val="0"/>
          <w:marBottom w:val="0"/>
          <w:divBdr>
            <w:top w:val="none" w:sz="0" w:space="0" w:color="auto"/>
            <w:left w:val="none" w:sz="0" w:space="0" w:color="auto"/>
            <w:bottom w:val="none" w:sz="0" w:space="0" w:color="auto"/>
            <w:right w:val="none" w:sz="0" w:space="0" w:color="auto"/>
          </w:divBdr>
        </w:div>
      </w:divsChild>
    </w:div>
    <w:div w:id="1374960312">
      <w:bodyDiv w:val="1"/>
      <w:marLeft w:val="0"/>
      <w:marRight w:val="0"/>
      <w:marTop w:val="0"/>
      <w:marBottom w:val="0"/>
      <w:divBdr>
        <w:top w:val="none" w:sz="0" w:space="0" w:color="auto"/>
        <w:left w:val="none" w:sz="0" w:space="0" w:color="auto"/>
        <w:bottom w:val="none" w:sz="0" w:space="0" w:color="auto"/>
        <w:right w:val="none" w:sz="0" w:space="0" w:color="auto"/>
      </w:divBdr>
      <w:divsChild>
        <w:div w:id="1808619772">
          <w:marLeft w:val="0"/>
          <w:marRight w:val="0"/>
          <w:marTop w:val="0"/>
          <w:marBottom w:val="0"/>
          <w:divBdr>
            <w:top w:val="none" w:sz="0" w:space="0" w:color="auto"/>
            <w:left w:val="none" w:sz="0" w:space="0" w:color="auto"/>
            <w:bottom w:val="none" w:sz="0" w:space="0" w:color="auto"/>
            <w:right w:val="none" w:sz="0" w:space="0" w:color="auto"/>
          </w:divBdr>
        </w:div>
      </w:divsChild>
    </w:div>
    <w:div w:id="1616524246">
      <w:bodyDiv w:val="1"/>
      <w:marLeft w:val="0"/>
      <w:marRight w:val="0"/>
      <w:marTop w:val="0"/>
      <w:marBottom w:val="0"/>
      <w:divBdr>
        <w:top w:val="none" w:sz="0" w:space="0" w:color="auto"/>
        <w:left w:val="none" w:sz="0" w:space="0" w:color="auto"/>
        <w:bottom w:val="none" w:sz="0" w:space="0" w:color="auto"/>
        <w:right w:val="none" w:sz="0" w:space="0" w:color="auto"/>
      </w:divBdr>
      <w:divsChild>
        <w:div w:id="211625082">
          <w:marLeft w:val="-720"/>
          <w:marRight w:val="0"/>
          <w:marTop w:val="0"/>
          <w:marBottom w:val="0"/>
          <w:divBdr>
            <w:top w:val="none" w:sz="0" w:space="0" w:color="auto"/>
            <w:left w:val="none" w:sz="0" w:space="0" w:color="auto"/>
            <w:bottom w:val="none" w:sz="0" w:space="0" w:color="auto"/>
            <w:right w:val="none" w:sz="0" w:space="0" w:color="auto"/>
          </w:divBdr>
        </w:div>
      </w:divsChild>
    </w:div>
    <w:div w:id="1666325187">
      <w:bodyDiv w:val="1"/>
      <w:marLeft w:val="0"/>
      <w:marRight w:val="0"/>
      <w:marTop w:val="0"/>
      <w:marBottom w:val="0"/>
      <w:divBdr>
        <w:top w:val="none" w:sz="0" w:space="0" w:color="auto"/>
        <w:left w:val="none" w:sz="0" w:space="0" w:color="auto"/>
        <w:bottom w:val="none" w:sz="0" w:space="0" w:color="auto"/>
        <w:right w:val="none" w:sz="0" w:space="0" w:color="auto"/>
      </w:divBdr>
      <w:divsChild>
        <w:div w:id="330719465">
          <w:marLeft w:val="0"/>
          <w:marRight w:val="0"/>
          <w:marTop w:val="0"/>
          <w:marBottom w:val="0"/>
          <w:divBdr>
            <w:top w:val="none" w:sz="0" w:space="0" w:color="auto"/>
            <w:left w:val="none" w:sz="0" w:space="0" w:color="auto"/>
            <w:bottom w:val="none" w:sz="0" w:space="0" w:color="auto"/>
            <w:right w:val="none" w:sz="0" w:space="0" w:color="auto"/>
          </w:divBdr>
        </w:div>
      </w:divsChild>
    </w:div>
    <w:div w:id="1752005210">
      <w:bodyDiv w:val="1"/>
      <w:marLeft w:val="0"/>
      <w:marRight w:val="0"/>
      <w:marTop w:val="0"/>
      <w:marBottom w:val="0"/>
      <w:divBdr>
        <w:top w:val="none" w:sz="0" w:space="0" w:color="auto"/>
        <w:left w:val="none" w:sz="0" w:space="0" w:color="auto"/>
        <w:bottom w:val="none" w:sz="0" w:space="0" w:color="auto"/>
        <w:right w:val="none" w:sz="0" w:space="0" w:color="auto"/>
      </w:divBdr>
    </w:div>
    <w:div w:id="1848589821">
      <w:bodyDiv w:val="1"/>
      <w:marLeft w:val="0"/>
      <w:marRight w:val="0"/>
      <w:marTop w:val="0"/>
      <w:marBottom w:val="0"/>
      <w:divBdr>
        <w:top w:val="none" w:sz="0" w:space="0" w:color="auto"/>
        <w:left w:val="none" w:sz="0" w:space="0" w:color="auto"/>
        <w:bottom w:val="none" w:sz="0" w:space="0" w:color="auto"/>
        <w:right w:val="none" w:sz="0" w:space="0" w:color="auto"/>
      </w:divBdr>
      <w:divsChild>
        <w:div w:id="1014069016">
          <w:marLeft w:val="0"/>
          <w:marRight w:val="0"/>
          <w:marTop w:val="0"/>
          <w:marBottom w:val="0"/>
          <w:divBdr>
            <w:top w:val="none" w:sz="0" w:space="0" w:color="auto"/>
            <w:left w:val="none" w:sz="0" w:space="0" w:color="auto"/>
            <w:bottom w:val="none" w:sz="0" w:space="0" w:color="auto"/>
            <w:right w:val="none" w:sz="0" w:space="0" w:color="auto"/>
          </w:divBdr>
        </w:div>
      </w:divsChild>
    </w:div>
    <w:div w:id="1895696625">
      <w:bodyDiv w:val="1"/>
      <w:marLeft w:val="0"/>
      <w:marRight w:val="0"/>
      <w:marTop w:val="0"/>
      <w:marBottom w:val="0"/>
      <w:divBdr>
        <w:top w:val="none" w:sz="0" w:space="0" w:color="auto"/>
        <w:left w:val="none" w:sz="0" w:space="0" w:color="auto"/>
        <w:bottom w:val="none" w:sz="0" w:space="0" w:color="auto"/>
        <w:right w:val="none" w:sz="0" w:space="0" w:color="auto"/>
      </w:divBdr>
      <w:divsChild>
        <w:div w:id="400909145">
          <w:marLeft w:val="0"/>
          <w:marRight w:val="0"/>
          <w:marTop w:val="0"/>
          <w:marBottom w:val="0"/>
          <w:divBdr>
            <w:top w:val="none" w:sz="0" w:space="0" w:color="auto"/>
            <w:left w:val="none" w:sz="0" w:space="0" w:color="auto"/>
            <w:bottom w:val="none" w:sz="0" w:space="0" w:color="auto"/>
            <w:right w:val="none" w:sz="0" w:space="0" w:color="auto"/>
          </w:divBdr>
        </w:div>
      </w:divsChild>
    </w:div>
    <w:div w:id="2001998907">
      <w:bodyDiv w:val="1"/>
      <w:marLeft w:val="0"/>
      <w:marRight w:val="0"/>
      <w:marTop w:val="0"/>
      <w:marBottom w:val="0"/>
      <w:divBdr>
        <w:top w:val="none" w:sz="0" w:space="0" w:color="auto"/>
        <w:left w:val="none" w:sz="0" w:space="0" w:color="auto"/>
        <w:bottom w:val="none" w:sz="0" w:space="0" w:color="auto"/>
        <w:right w:val="none" w:sz="0" w:space="0" w:color="auto"/>
      </w:divBdr>
      <w:divsChild>
        <w:div w:id="787743263">
          <w:marLeft w:val="0"/>
          <w:marRight w:val="0"/>
          <w:marTop w:val="0"/>
          <w:marBottom w:val="0"/>
          <w:divBdr>
            <w:top w:val="none" w:sz="0" w:space="0" w:color="auto"/>
            <w:left w:val="none" w:sz="0" w:space="0" w:color="auto"/>
            <w:bottom w:val="none" w:sz="0" w:space="0" w:color="auto"/>
            <w:right w:val="none" w:sz="0" w:space="0" w:color="auto"/>
          </w:divBdr>
        </w:div>
      </w:divsChild>
    </w:div>
    <w:div w:id="2134708800">
      <w:bodyDiv w:val="1"/>
      <w:marLeft w:val="0"/>
      <w:marRight w:val="0"/>
      <w:marTop w:val="0"/>
      <w:marBottom w:val="0"/>
      <w:divBdr>
        <w:top w:val="none" w:sz="0" w:space="0" w:color="auto"/>
        <w:left w:val="none" w:sz="0" w:space="0" w:color="auto"/>
        <w:bottom w:val="none" w:sz="0" w:space="0" w:color="auto"/>
        <w:right w:val="none" w:sz="0" w:space="0" w:color="auto"/>
      </w:divBdr>
      <w:divsChild>
        <w:div w:id="5680800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91621-5758-4B12-BAB0-79E1D9446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2508</Words>
  <Characters>14299</Characters>
  <Application>Microsoft Office Word</Application>
  <DocSecurity>0</DocSecurity>
  <Lines>119</Lines>
  <Paragraphs>33</Paragraphs>
  <ScaleCrop>false</ScaleCrop>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2024-04-30T09:06:00Z</dcterms:created>
  <dcterms:modified xsi:type="dcterms:W3CDTF">2024-04-30T09:12:00Z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fb012a862f089aebe57e319d6f0985849f843fbc3ed98421cb36b870862b7b5a</vt:lpwstr>
  </property>
</Properties>
</file>