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1416" w:rsidRDefault="00D60DE8">
      <w:r>
        <w:t>Name:</w:t>
      </w:r>
      <w:r w:rsidR="00A91B54">
        <w:t xml:space="preserve"> Michael McNally </w:t>
      </w:r>
    </w:p>
    <w:p w:rsidR="00D60DE8" w:rsidRDefault="00D60DE8">
      <w:r>
        <w:t>PC 6848</w:t>
      </w:r>
    </w:p>
    <w:p w:rsidR="00A91B54" w:rsidRDefault="00D60DE8">
      <w:r>
        <w:t>Student No: 2</w:t>
      </w:r>
      <w:r w:rsidR="00A91B54">
        <w:t>02</w:t>
      </w:r>
      <w:r>
        <w:t>3881</w:t>
      </w:r>
    </w:p>
    <w:p w:rsidR="00D60DE8" w:rsidRDefault="00D60DE8">
      <w:r>
        <w:t>Exam 2</w:t>
      </w:r>
    </w:p>
    <w:p w:rsidR="00D60DE8" w:rsidRDefault="00D60DE8"/>
    <w:p w:rsidR="00D60DE8" w:rsidRDefault="00D60DE8" w:rsidP="00D60DE8">
      <w:pPr>
        <w:pStyle w:val="ListParagraph"/>
        <w:numPr>
          <w:ilvl w:val="0"/>
          <w:numId w:val="1"/>
        </w:numPr>
      </w:pPr>
      <w:r>
        <w:t>Any person driving a mechanically propelled vehicle on a road or other public place must stop when instructed to by a police constable or traffic officer in full uniform.</w:t>
      </w:r>
    </w:p>
    <w:p w:rsidR="00D60DE8" w:rsidRDefault="00D60DE8" w:rsidP="00D60DE8">
      <w:r>
        <w:t>Any person who fails to stop is guilty under section 16</w:t>
      </w:r>
      <w:r w:rsidR="00803820">
        <w:t>3.3 of the road traffic act 1988</w:t>
      </w:r>
    </w:p>
    <w:p w:rsidR="00D60DE8" w:rsidRDefault="00D60DE8" w:rsidP="00D60DE8"/>
    <w:p w:rsidR="00D60DE8" w:rsidRDefault="00D60DE8" w:rsidP="00D60DE8">
      <w:pPr>
        <w:pStyle w:val="ListParagraph"/>
        <w:numPr>
          <w:ilvl w:val="0"/>
          <w:numId w:val="1"/>
        </w:numPr>
      </w:pPr>
      <w:r>
        <w:t>Under section</w:t>
      </w:r>
      <w:r w:rsidR="00803820">
        <w:t xml:space="preserve"> 6.4 of the road traffic at 1988</w:t>
      </w:r>
      <w:r>
        <w:t xml:space="preserve"> if a constable has reasonable ground to suspect that someone is driving or has been driving whilst under the influence of drink/drugs they can require preliminary test to be carried out. Roadside test can be carried out with either a breath test or drug swab.</w:t>
      </w:r>
    </w:p>
    <w:p w:rsidR="007A6E15" w:rsidRDefault="007A6E15" w:rsidP="007A6E15"/>
    <w:p w:rsidR="007A6E15" w:rsidRDefault="007A6E15" w:rsidP="007A6E15">
      <w:pPr>
        <w:pStyle w:val="ListParagraph"/>
        <w:numPr>
          <w:ilvl w:val="0"/>
          <w:numId w:val="1"/>
        </w:numPr>
      </w:pPr>
      <w:r>
        <w:t>Driving without due care and attention</w:t>
      </w:r>
      <w:r w:rsidR="00803820">
        <w:t xml:space="preserve"> section 3 road traffic act 1988</w:t>
      </w:r>
    </w:p>
    <w:p w:rsidR="007A6E15" w:rsidRDefault="007A6E15" w:rsidP="007A6E15">
      <w:pPr>
        <w:pStyle w:val="ListParagraph"/>
      </w:pPr>
      <w:r>
        <w:t>A person who drives a mechanically propelled vehicle on a road or other public place without due care and attention or reasonable consideration for other person on the road or public place is guilty of the offence.</w:t>
      </w:r>
    </w:p>
    <w:p w:rsidR="007A6E15" w:rsidRDefault="007A6E15" w:rsidP="007A6E15"/>
    <w:p w:rsidR="007A6E15" w:rsidRDefault="007A6E15" w:rsidP="007A6E15">
      <w:pPr>
        <w:pStyle w:val="ListParagraph"/>
        <w:numPr>
          <w:ilvl w:val="0"/>
          <w:numId w:val="1"/>
        </w:numPr>
      </w:pPr>
      <w:r>
        <w:t xml:space="preserve">Under </w:t>
      </w:r>
      <w:r w:rsidR="00803820">
        <w:t>section 3 of the RTA 1988</w:t>
      </w:r>
      <w:r>
        <w:t xml:space="preserve"> defences include.</w:t>
      </w:r>
    </w:p>
    <w:p w:rsidR="007A6E15" w:rsidRDefault="007A6E15" w:rsidP="007A6E15">
      <w:pPr>
        <w:pStyle w:val="ListParagraph"/>
      </w:pPr>
      <w:r>
        <w:t>Automatism. Example Sneezing, coughing.</w:t>
      </w:r>
    </w:p>
    <w:p w:rsidR="007A6E15" w:rsidRDefault="007A6E15" w:rsidP="007A6E15">
      <w:pPr>
        <w:pStyle w:val="ListParagraph"/>
      </w:pPr>
      <w:r>
        <w:t>Medical episode/unconsciousness . Example fainting</w:t>
      </w:r>
    </w:p>
    <w:p w:rsidR="007A6E15" w:rsidRDefault="007A6E15" w:rsidP="007A6E15">
      <w:pPr>
        <w:pStyle w:val="ListParagraph"/>
      </w:pPr>
      <w:r>
        <w:t>Mechanical failure. Example tyre blow out</w:t>
      </w:r>
    </w:p>
    <w:p w:rsidR="007A6E15" w:rsidRDefault="007A6E15" w:rsidP="007A6E15">
      <w:pPr>
        <w:pStyle w:val="ListParagraph"/>
      </w:pPr>
      <w:r>
        <w:t>Duress . Example being held at knife point, “do this or else.”</w:t>
      </w:r>
    </w:p>
    <w:p w:rsidR="007A6E15" w:rsidRDefault="007A6E15" w:rsidP="007A6E15">
      <w:pPr>
        <w:pStyle w:val="ListParagraph"/>
      </w:pPr>
      <w:r>
        <w:t>Pursuit of person wanted at large.</w:t>
      </w:r>
    </w:p>
    <w:p w:rsidR="007A6E15" w:rsidRDefault="007A6E15" w:rsidP="007A6E15">
      <w:pPr>
        <w:pStyle w:val="ListParagraph"/>
      </w:pPr>
    </w:p>
    <w:p w:rsidR="007A6E15" w:rsidRDefault="007A6E15" w:rsidP="007A6E15">
      <w:pPr>
        <w:pStyle w:val="ListParagraph"/>
      </w:pPr>
    </w:p>
    <w:p w:rsidR="007A6E15" w:rsidRDefault="00E25022" w:rsidP="007A6E15">
      <w:pPr>
        <w:pStyle w:val="ListParagraph"/>
        <w:numPr>
          <w:ilvl w:val="0"/>
          <w:numId w:val="1"/>
        </w:numPr>
      </w:pPr>
      <w:r>
        <w:t xml:space="preserve">165.a. RTA 1988 </w:t>
      </w:r>
    </w:p>
    <w:p w:rsidR="00E25022" w:rsidRDefault="00E25022" w:rsidP="00E25022">
      <w:pPr>
        <w:pStyle w:val="ListParagraph"/>
      </w:pPr>
      <w:r>
        <w:t>A constable may seize any motor vehicle that has been driven on a road or other public place if the driver fails to provide proof of valid motor insurance or vehicle certificates or fails to provide name.</w:t>
      </w:r>
    </w:p>
    <w:p w:rsidR="007A6E15" w:rsidRDefault="007A6E15" w:rsidP="007A6E15"/>
    <w:p w:rsidR="007A6E15" w:rsidRDefault="00803820" w:rsidP="007A6E15">
      <w:pPr>
        <w:pStyle w:val="ListParagraph"/>
        <w:numPr>
          <w:ilvl w:val="0"/>
          <w:numId w:val="1"/>
        </w:numPr>
      </w:pPr>
      <w:r>
        <w:t>Any person driving a mechanically propelled vehicle on a road or other public place must stop and provide details after a traffic collision with another vehicle, animal, property, or person. They must attempt to ascertain details from the involved person or property/animal owner where practically possible.</w:t>
      </w:r>
    </w:p>
    <w:p w:rsidR="007A6E15" w:rsidRDefault="007A6E15" w:rsidP="007A6E15"/>
    <w:p w:rsidR="00803820" w:rsidRDefault="00803820" w:rsidP="007A6E15">
      <w:pPr>
        <w:pStyle w:val="ListParagraph"/>
        <w:numPr>
          <w:ilvl w:val="0"/>
          <w:numId w:val="1"/>
        </w:numPr>
      </w:pPr>
      <w:r>
        <w:t>Road – any highway or road including bridges pathways an bridal ways.</w:t>
      </w:r>
    </w:p>
    <w:p w:rsidR="00803820" w:rsidRDefault="00803820" w:rsidP="00803820">
      <w:pPr>
        <w:pStyle w:val="ListParagraph"/>
      </w:pPr>
    </w:p>
    <w:p w:rsidR="007A6E15" w:rsidRDefault="00803820" w:rsidP="00803820">
      <w:pPr>
        <w:pStyle w:val="ListParagraph"/>
      </w:pPr>
      <w:r>
        <w:lastRenderedPageBreak/>
        <w:t>Public place – any place that the public has access to.</w:t>
      </w:r>
    </w:p>
    <w:p w:rsidR="00803820" w:rsidRDefault="00803820" w:rsidP="00803820">
      <w:pPr>
        <w:pStyle w:val="ListParagraph"/>
      </w:pPr>
    </w:p>
    <w:p w:rsidR="00803820" w:rsidRDefault="00803820" w:rsidP="00803820">
      <w:pPr>
        <w:pStyle w:val="ListParagraph"/>
      </w:pPr>
      <w:r>
        <w:t>Mechanically propelled vehicle- Any MPV constructed or adapted for use on the road.</w:t>
      </w:r>
    </w:p>
    <w:p w:rsidR="00803820" w:rsidRDefault="00803820" w:rsidP="00803820">
      <w:pPr>
        <w:pStyle w:val="ListParagraph"/>
      </w:pPr>
      <w:r>
        <w:t>Animal- any livestock animal including sheep horses cows deer, this also includes dogs but not cats.</w:t>
      </w:r>
    </w:p>
    <w:p w:rsidR="00803820" w:rsidRDefault="00803820" w:rsidP="00803820">
      <w:pPr>
        <w:pStyle w:val="ListParagraph"/>
      </w:pPr>
    </w:p>
    <w:p w:rsidR="00803820" w:rsidRDefault="00E25022" w:rsidP="00803820">
      <w:pPr>
        <w:pStyle w:val="ListParagraph"/>
        <w:numPr>
          <w:ilvl w:val="0"/>
          <w:numId w:val="1"/>
        </w:numPr>
      </w:pPr>
      <w:r>
        <w:t>Any person that is involved in a road traffic collision under section 170 RTA 1988 must take all reasonable steps to give details to the involved persons or to take all reasonable steps to provide their details to any property or animal owner that is involved. An example of this would be if someone run over a dog, they would be required to ask witnesses or knock the surrounding houses to see who owned the dog. If it is not possible to find the involved owners/person it must be reported to the local police station within 24 hours ideally as soon as possible.</w:t>
      </w:r>
    </w:p>
    <w:p w:rsidR="00E25022" w:rsidRDefault="00E25022" w:rsidP="00E25022"/>
    <w:p w:rsidR="00E25022" w:rsidRDefault="00E25022" w:rsidP="00E25022">
      <w:pPr>
        <w:pStyle w:val="ListParagraph"/>
        <w:numPr>
          <w:ilvl w:val="0"/>
          <w:numId w:val="1"/>
        </w:numPr>
      </w:pPr>
      <w:r>
        <w:t>Section 6E RTA 1988 powers of entry.</w:t>
      </w:r>
    </w:p>
    <w:p w:rsidR="00E25022" w:rsidRDefault="00E25022" w:rsidP="00E25022">
      <w:pPr>
        <w:pStyle w:val="ListParagraph"/>
      </w:pPr>
      <w:r>
        <w:t xml:space="preserve">A constable may enter a property if he reasonably believes that the driver of a motor propelled vehicle </w:t>
      </w:r>
      <w:r w:rsidR="0035181C">
        <w:t>is driving or has been driving or has the in his power the control of a vehicle and is over the prescribed limit of alcohol or drugs. For example if a constable sees a vehicle park up and enter a house and the constable suspects that the driver is under the influence or over the prescribed limit of drink/drugs, the constable may enter the property to require preliminary test. The constable has to leave if he is asked to by the owner of the property.</w:t>
      </w:r>
    </w:p>
    <w:p w:rsidR="0035181C" w:rsidRDefault="0035181C" w:rsidP="00E25022">
      <w:pPr>
        <w:pStyle w:val="ListParagraph"/>
      </w:pPr>
    </w:p>
    <w:p w:rsidR="0035181C" w:rsidRDefault="0035181C" w:rsidP="0035181C">
      <w:pPr>
        <w:pStyle w:val="ListParagraph"/>
        <w:numPr>
          <w:ilvl w:val="0"/>
          <w:numId w:val="1"/>
        </w:numPr>
      </w:pPr>
      <w:r>
        <w:t xml:space="preserve">Section 1 RTA 1988. Any person who causes the death of another person whilst driving a mechanically propelled vehicle dangerously on a road or other public place is guilty of the offence. </w:t>
      </w:r>
    </w:p>
    <w:p w:rsidR="0035181C" w:rsidRDefault="0035181C" w:rsidP="0035181C">
      <w:r>
        <w:t>The death has to be as a result of the incident and there is no timeframe to the death.</w:t>
      </w:r>
    </w:p>
    <w:p w:rsidR="0035181C" w:rsidRDefault="0035181C" w:rsidP="0035181C"/>
    <w:p w:rsidR="0035181C" w:rsidRDefault="0035181C" w:rsidP="0035181C">
      <w:pPr>
        <w:pStyle w:val="ListParagraph"/>
        <w:numPr>
          <w:ilvl w:val="0"/>
          <w:numId w:val="1"/>
        </w:numPr>
      </w:pPr>
      <w:r>
        <w:t>The proscribed limit can be taken from Breath, blood or urine.</w:t>
      </w:r>
      <w:r w:rsidR="00054570">
        <w:t xml:space="preserve"> Units are measure in Micro grams for alcohol in the breath per 100ml, blood and urine are tested in milligrams per 100 ml. </w:t>
      </w:r>
    </w:p>
    <w:p w:rsidR="00054570" w:rsidRDefault="00054570" w:rsidP="00054570"/>
    <w:p w:rsidR="00054570" w:rsidRDefault="00054570" w:rsidP="00054570">
      <w:pPr>
        <w:pStyle w:val="ListParagraph"/>
        <w:numPr>
          <w:ilvl w:val="0"/>
          <w:numId w:val="1"/>
        </w:numPr>
      </w:pPr>
      <w:r>
        <w:t>A person that is present in the suspect interview that is there to either assist in the communication barriers that may exist, for an example an interpreter if the suspect or police do not speak the same language, or an appropriate adult if the suspect is under the age of 18 or has some form of disability that the appropriate adult may help with facilitating the interview and help the suspect understand what is being asked of the. The suspect is also aloud to have legal advice whether from a solicitor or legal representative. The relevant others role is not to answer the questions for the suspect but to either facilitate or give guidance.</w:t>
      </w:r>
    </w:p>
    <w:p w:rsidR="00054570" w:rsidRDefault="00054570" w:rsidP="00054570">
      <w:pPr>
        <w:pStyle w:val="ListParagraph"/>
      </w:pPr>
    </w:p>
    <w:p w:rsidR="00054570" w:rsidRDefault="00054570" w:rsidP="00054570"/>
    <w:p w:rsidR="00054570" w:rsidRDefault="00054570" w:rsidP="00054570">
      <w:pPr>
        <w:pStyle w:val="ListParagraph"/>
        <w:numPr>
          <w:ilvl w:val="0"/>
          <w:numId w:val="1"/>
        </w:numPr>
      </w:pPr>
      <w:r>
        <w:t>An pneumonic used for the national police interview model P</w:t>
      </w:r>
      <w:r w:rsidR="001C7A60">
        <w:t>E</w:t>
      </w:r>
      <w:r>
        <w:t>ACE</w:t>
      </w:r>
      <w:r w:rsidR="001C7A60">
        <w:t>.</w:t>
      </w:r>
    </w:p>
    <w:p w:rsidR="001C7A60" w:rsidRDefault="001C7A60" w:rsidP="001C7A60">
      <w:r>
        <w:lastRenderedPageBreak/>
        <w:t>Planning ahead of the interview. Righting down all the questions that you intend to ask. Preparing for a no comment interview and to get as much detail as possible.</w:t>
      </w:r>
    </w:p>
    <w:p w:rsidR="001C7A60" w:rsidRDefault="001C7A60" w:rsidP="001C7A60">
      <w:r>
        <w:t>Engage and explain – explain the process in a friendly and informative manner, a suspect or witness is more likely to be engaging if the feel at ease and is more likely to answer the questions you ask.</w:t>
      </w:r>
    </w:p>
    <w:p w:rsidR="001C7A60" w:rsidRDefault="001C7A60" w:rsidP="001C7A60">
      <w:r>
        <w:t xml:space="preserve">Account- ask for the persons account in their own words. Give them free narrative at the beginning and don’t in interrupt them unless they are going off subject. After the free narrative explore what they have said and ask questions in a chronological order from the beginning of the incident/account </w:t>
      </w:r>
    </w:p>
    <w:p w:rsidR="001C7A60" w:rsidRDefault="001C7A60" w:rsidP="001C7A60">
      <w:r>
        <w:t>Challenge – challenge the suspect/witness on what they have said and pick any anomalies out of their account or answers.</w:t>
      </w:r>
    </w:p>
    <w:p w:rsidR="001C7A60" w:rsidRDefault="001C7A60" w:rsidP="001C7A60">
      <w:r>
        <w:t xml:space="preserve"> Conclude- conclude the interview, explaining that this may be their only chance to speak and if they have anything further to add. </w:t>
      </w:r>
    </w:p>
    <w:p w:rsidR="001C7A60" w:rsidRDefault="001C7A60" w:rsidP="001C7A60">
      <w:r>
        <w:t>Evaluate- evaluate the interview and the answers form the suspect/witness to see what addition information has come to light and to see if there is more that needs to be looked at.</w:t>
      </w:r>
    </w:p>
    <w:p w:rsidR="001C7A60" w:rsidRDefault="001C7A60" w:rsidP="001C7A60"/>
    <w:p w:rsidR="001C7A60" w:rsidRDefault="00690AFC" w:rsidP="001C7A60">
      <w:pPr>
        <w:pStyle w:val="ListParagraph"/>
        <w:numPr>
          <w:ilvl w:val="0"/>
          <w:numId w:val="1"/>
        </w:numPr>
      </w:pPr>
      <w:r>
        <w:t xml:space="preserve">Section 76 of the serious crime act 2015 </w:t>
      </w:r>
    </w:p>
    <w:p w:rsidR="00690AFC" w:rsidRDefault="00690AFC" w:rsidP="00690AFC">
      <w:r>
        <w:t>Any behaviour that is controlling or cohesive to a person that is over the age of 16 and has or is in an intimate relationship or family member regardless of gender or sexual orientation factor of this include financial control, sexual control, threat of violence or violence against them or children.</w:t>
      </w:r>
    </w:p>
    <w:p w:rsidR="000F2758" w:rsidRDefault="000F2758" w:rsidP="00690AFC">
      <w:r>
        <w:t>The victim and the perpetrator do not have to live together.</w:t>
      </w:r>
    </w:p>
    <w:p w:rsidR="00690AFC" w:rsidRDefault="00690AFC" w:rsidP="00690AFC"/>
    <w:p w:rsidR="00690AFC" w:rsidRDefault="00690AFC" w:rsidP="00690AFC">
      <w:pPr>
        <w:pStyle w:val="ListParagraph"/>
        <w:numPr>
          <w:ilvl w:val="0"/>
          <w:numId w:val="1"/>
        </w:numPr>
      </w:pPr>
      <w:r>
        <w:t xml:space="preserve">It is important that cohesive control has is an offence in itself as the perpetrator is now able to get convicted more easily and for the specified offence. </w:t>
      </w:r>
      <w:r w:rsidR="00EE4188">
        <w:t>It offers a victim safeguard from the perpetrator and the police can issue DVPNs or DVPOs under this new offence.</w:t>
      </w:r>
    </w:p>
    <w:p w:rsidR="00690AFC" w:rsidRDefault="00690AFC" w:rsidP="00690AFC"/>
    <w:p w:rsidR="00690AFC" w:rsidRDefault="00690AFC" w:rsidP="00690AFC">
      <w:pPr>
        <w:pStyle w:val="ListParagraph"/>
        <w:numPr>
          <w:ilvl w:val="0"/>
          <w:numId w:val="1"/>
        </w:numPr>
      </w:pPr>
      <w:r>
        <w:t xml:space="preserve">Under section 46 of the children act 1989 a constable may remove a child from its parent/guardian or premises if the reasonably believe that the child may come to serious harm or is in harm. A constable is able to take the child to a </w:t>
      </w:r>
      <w:r w:rsidR="00EE4188">
        <w:t>place of safety ideally a registered place of safety and not a police station, and the constable can then hand the Childs care over to the appropriate agency. This has to be for the welfare and safeguarding of the child. A child cannot be at the police station for over 24 hours.</w:t>
      </w:r>
    </w:p>
    <w:p w:rsidR="00EE4188" w:rsidRDefault="00EE4188" w:rsidP="00EE4188">
      <w:pPr>
        <w:pStyle w:val="ListParagraph"/>
      </w:pPr>
    </w:p>
    <w:p w:rsidR="00EE4188" w:rsidRDefault="00EE4188" w:rsidP="00EE4188">
      <w:pPr>
        <w:pStyle w:val="ListParagraph"/>
        <w:numPr>
          <w:ilvl w:val="0"/>
          <w:numId w:val="1"/>
        </w:numPr>
      </w:pPr>
      <w:r>
        <w:t>A person is guilty of the offence if they use any threats of violence, violence, abuse or sexual abuse to a person under the age of 18. This includes Emotional abuse, physical abuse, sexual abuse, neglect.</w:t>
      </w:r>
    </w:p>
    <w:p w:rsidR="00EE4188" w:rsidRDefault="00EE4188" w:rsidP="00EE4188">
      <w:pPr>
        <w:pStyle w:val="ListParagraph"/>
      </w:pPr>
    </w:p>
    <w:p w:rsidR="00EE4188" w:rsidRDefault="00EE4188" w:rsidP="00EE4188">
      <w:pPr>
        <w:pStyle w:val="ListParagraph"/>
        <w:numPr>
          <w:ilvl w:val="0"/>
          <w:numId w:val="1"/>
        </w:numPr>
      </w:pPr>
      <w:r>
        <w:t>Risk factors include</w:t>
      </w:r>
    </w:p>
    <w:p w:rsidR="00EE4188" w:rsidRDefault="00EE4188" w:rsidP="00EE4188">
      <w:pPr>
        <w:pStyle w:val="ListParagraph"/>
      </w:pPr>
      <w:r>
        <w:t>Standard risk- there is no immediate risk of serious injury</w:t>
      </w:r>
    </w:p>
    <w:p w:rsidR="00EE4188" w:rsidRDefault="00EE4188" w:rsidP="00EE4188">
      <w:pPr>
        <w:pStyle w:val="ListParagraph"/>
      </w:pPr>
      <w:r>
        <w:t>Medium risk- there is risk of serious injury if the circumstances change.</w:t>
      </w:r>
    </w:p>
    <w:p w:rsidR="00EE4188" w:rsidRDefault="00EE4188" w:rsidP="00EE4188">
      <w:pPr>
        <w:pStyle w:val="ListParagraph"/>
      </w:pPr>
      <w:r>
        <w:t>High risk- there is likelihood that there will be serious injury and it can happen at any time</w:t>
      </w:r>
    </w:p>
    <w:p w:rsidR="00EE4188" w:rsidRDefault="00EE4188" w:rsidP="00EE4188"/>
    <w:p w:rsidR="00EE4188" w:rsidRDefault="00EE4188" w:rsidP="00EE4188">
      <w:pPr>
        <w:pStyle w:val="ListParagraph"/>
        <w:numPr>
          <w:ilvl w:val="0"/>
          <w:numId w:val="1"/>
        </w:numPr>
      </w:pPr>
      <w:r>
        <w:lastRenderedPageBreak/>
        <w:t xml:space="preserve">The PPN is a risk </w:t>
      </w:r>
      <w:r w:rsidR="000F2758">
        <w:t>of DASH</w:t>
      </w:r>
      <w:r>
        <w:t xml:space="preserve"> consisting of 29 questions for the vic</w:t>
      </w:r>
      <w:r w:rsidR="000F2758">
        <w:t>tim 18 of these questions evalu</w:t>
      </w:r>
      <w:r>
        <w:t>at</w:t>
      </w:r>
      <w:r w:rsidR="000F2758">
        <w:t>e</w:t>
      </w:r>
      <w:r>
        <w:t xml:space="preserve"> the high risk </w:t>
      </w:r>
      <w:r w:rsidR="000F2758">
        <w:t>factors. This is to be completed by the constable on before the end of the shift after any DASH occurrence. It evaluates the risk of the victim and it is a official report that is recorded and can be escalated for use of other agencies such as MARAC.</w:t>
      </w:r>
    </w:p>
    <w:p w:rsidR="000F2758" w:rsidRDefault="000F2758" w:rsidP="000F2758"/>
    <w:p w:rsidR="00200D6C" w:rsidRDefault="000F2758" w:rsidP="000F2758">
      <w:pPr>
        <w:pStyle w:val="ListParagraph"/>
        <w:numPr>
          <w:ilvl w:val="0"/>
          <w:numId w:val="1"/>
        </w:numPr>
      </w:pPr>
      <w:r>
        <w:t xml:space="preserve">A DVPN is a Domestic violence protection notice and is issued to the perpetrator when the constable reasonably believes that the victim is at risk but no charges to the perpetrator are possible. The DVPN is authorised by a superintendent or above and states that if the perpetrator and the victim live together the perpetrator must leave the property cannot evict the victim, must not have contact with or come in to any distance of the victim for 48 hours. This gives the police time to apply for a DVPO if necessary and the victim time to recover or to think about their options. If the DVPN is broken the person is in contempt of court and can be arrested without warrant </w:t>
      </w:r>
      <w:r w:rsidR="00200D6C">
        <w:t>remanded in custody for hearing within 24 hours</w:t>
      </w:r>
      <w:r w:rsidR="00061F42">
        <w:t xml:space="preserve"> (</w:t>
      </w:r>
      <w:r w:rsidR="00200D6C">
        <w:t>not including weekend or bank holidays) or can be fined £50 for each day it is broken.</w:t>
      </w:r>
    </w:p>
    <w:p w:rsidR="00200D6C" w:rsidRDefault="00200D6C" w:rsidP="00200D6C">
      <w:pPr>
        <w:pStyle w:val="ListParagraph"/>
      </w:pPr>
      <w:bookmarkStart w:id="0" w:name="_GoBack"/>
      <w:bookmarkEnd w:id="0"/>
    </w:p>
    <w:p w:rsidR="000F2758" w:rsidRDefault="00104634" w:rsidP="00200D6C">
      <w:pPr>
        <w:pStyle w:val="ListParagraph"/>
        <w:numPr>
          <w:ilvl w:val="0"/>
          <w:numId w:val="1"/>
        </w:numPr>
      </w:pPr>
      <w:r>
        <w:t>Sexual</w:t>
      </w:r>
      <w:r w:rsidR="000F2758">
        <w:t xml:space="preserve"> </w:t>
      </w:r>
      <w:r>
        <w:t>Exploitation of a</w:t>
      </w:r>
      <w:r w:rsidR="00B2360A">
        <w:t xml:space="preserve"> person under the age of 18</w:t>
      </w:r>
      <w:r>
        <w:t xml:space="preserve">. </w:t>
      </w:r>
      <w:r w:rsidR="00B2360A">
        <w:t>This may come in forms of rape or any sexual abuse including making the child partake in sexual acts for gratification of themselves or others. Consent can be given by a person aged 16 or above with the freedom and capacity to do so. There is no defence for a person under the age of 13. This can also include making a child watch or view images of a sexual nature.</w:t>
      </w:r>
    </w:p>
    <w:p w:rsidR="00E25022" w:rsidRDefault="00E25022" w:rsidP="00E25022">
      <w:pPr>
        <w:pStyle w:val="ListParagraph"/>
      </w:pPr>
    </w:p>
    <w:p w:rsidR="007A6E15" w:rsidRDefault="00200D6C" w:rsidP="00200D6C">
      <w:pPr>
        <w:pStyle w:val="ListParagraph"/>
        <w:numPr>
          <w:ilvl w:val="0"/>
          <w:numId w:val="1"/>
        </w:numPr>
      </w:pPr>
      <w:r>
        <w:t xml:space="preserve">A person (A) is guilty of rape if they intentionally penetrate the vagina, anus or mouth of another person  (B) and person (B) does not consent and person (A) does not reasonably believe that (B) has given consent. </w:t>
      </w:r>
    </w:p>
    <w:p w:rsidR="00200D6C" w:rsidRDefault="00200D6C" w:rsidP="00200D6C">
      <w:r>
        <w:t>Section 1 sexual offences at 2003</w:t>
      </w:r>
    </w:p>
    <w:p w:rsidR="00200D6C" w:rsidRDefault="00200D6C" w:rsidP="00200D6C"/>
    <w:p w:rsidR="00200D6C" w:rsidRDefault="00200D6C" w:rsidP="00200D6C">
      <w:pPr>
        <w:pStyle w:val="ListParagraph"/>
        <w:numPr>
          <w:ilvl w:val="0"/>
          <w:numId w:val="1"/>
        </w:numPr>
      </w:pPr>
      <w:r>
        <w:t xml:space="preserve">Under section 75 a,b of the sexual offences act evidential presumption with regards to consent is something that can be contested in court. Examples of this would be that the perpetrator believed that he had consent before and during the act. Or he wasn’t told to stop or not to do it. </w:t>
      </w:r>
    </w:p>
    <w:p w:rsidR="00104634" w:rsidRDefault="00104634" w:rsidP="00104634"/>
    <w:p w:rsidR="00104634" w:rsidRDefault="00104634" w:rsidP="00104634">
      <w:pPr>
        <w:pStyle w:val="ListParagraph"/>
        <w:numPr>
          <w:ilvl w:val="0"/>
          <w:numId w:val="1"/>
        </w:numPr>
      </w:pPr>
      <w:r>
        <w:t>A constable may enter any property with a warrant to arrest any person wanted or at large or to gather evidence in relation to an offence.</w:t>
      </w:r>
    </w:p>
    <w:p w:rsidR="00104634" w:rsidRDefault="00104634" w:rsidP="00104634">
      <w:pPr>
        <w:pStyle w:val="ListParagraph"/>
      </w:pPr>
    </w:p>
    <w:p w:rsidR="00104634" w:rsidRDefault="00104634" w:rsidP="00104634">
      <w:pPr>
        <w:pStyle w:val="ListParagraph"/>
        <w:numPr>
          <w:ilvl w:val="0"/>
          <w:numId w:val="1"/>
        </w:numPr>
      </w:pPr>
      <w:r>
        <w:t>When property is seized lawfully under a lawful search such as section 18 PACE or 17 PACE or 32 Misuse of dugs act, the constable has the right to remove any property if it is or will be evidence for the investigation or is a banned substance or illegal item such as a gun or weapon. These items will be bagged or boxed as evidence and placed at a registered police storage facility until such item is destroyed or no longer part of the investigation and can be returned to the rightful owner.  The items must be documented and any contact with the items must be recorded. Such as CSI testing or removal for court or interview.</w:t>
      </w:r>
    </w:p>
    <w:p w:rsidR="007A6E15" w:rsidRDefault="007A6E15" w:rsidP="007A6E15"/>
    <w:p w:rsidR="007A6E15" w:rsidRDefault="007A6E15" w:rsidP="007A6E15">
      <w:pPr>
        <w:pStyle w:val="ListParagraph"/>
      </w:pPr>
    </w:p>
    <w:p w:rsidR="007A6E15" w:rsidRDefault="007A6E15" w:rsidP="007A6E15">
      <w:pPr>
        <w:pStyle w:val="ListParagraph"/>
      </w:pPr>
    </w:p>
    <w:sectPr w:rsidR="007A6E15" w:rsidSect="00B2360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20CF" w:rsidRDefault="000E20CF" w:rsidP="00B2360A">
      <w:pPr>
        <w:spacing w:after="0" w:line="240" w:lineRule="auto"/>
      </w:pPr>
      <w:r>
        <w:separator/>
      </w:r>
    </w:p>
  </w:endnote>
  <w:endnote w:type="continuationSeparator" w:id="0">
    <w:p w:rsidR="000E20CF" w:rsidRDefault="000E20CF" w:rsidP="00B23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1F42" w:rsidRDefault="00061F42" w:rsidP="00061F42">
    <w:pPr>
      <w:pStyle w:val="Footer"/>
      <w:rPr>
        <w:color w:val="000000"/>
        <w:sz w:val="17"/>
      </w:rPr>
    </w:pPr>
    <w:bookmarkStart w:id="3" w:name="TITUS1FooterEvenPages"/>
    <w:r w:rsidRPr="00061F42">
      <w:rPr>
        <w:color w:val="000000"/>
        <w:sz w:val="17"/>
      </w:rPr>
      <w:t> </w:t>
    </w:r>
  </w:p>
  <w:bookmarkEnd w:id="3"/>
  <w:p w:rsidR="00061F42" w:rsidRDefault="00061F42" w:rsidP="00061F42">
    <w:pPr>
      <w:pStyle w:val="Footer"/>
    </w:pPr>
  </w:p>
  <w:p w:rsidR="00B2360A" w:rsidRDefault="00B236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360A" w:rsidRDefault="00061F42" w:rsidP="00061F42">
    <w:pPr>
      <w:pStyle w:val="Footer"/>
      <w:rPr>
        <w:color w:val="000000"/>
        <w:sz w:val="17"/>
      </w:rPr>
    </w:pPr>
    <w:bookmarkStart w:id="4" w:name="TITUS1FooterPrimary"/>
    <w:r>
      <w:rPr>
        <w:color w:val="000000"/>
        <w:sz w:val="17"/>
      </w:rPr>
      <w:t> </w:t>
    </w:r>
  </w:p>
  <w:bookmarkEnd w:id="4"/>
  <w:p w:rsidR="00B2360A" w:rsidRDefault="00B236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360A" w:rsidRDefault="00061F42" w:rsidP="00061F42">
    <w:pPr>
      <w:pStyle w:val="Footer"/>
      <w:rPr>
        <w:color w:val="000000"/>
        <w:sz w:val="17"/>
      </w:rPr>
    </w:pPr>
    <w:bookmarkStart w:id="6" w:name="TITUS1FooterFirstPage"/>
    <w:r>
      <w:rPr>
        <w:color w:val="000000"/>
        <w:sz w:val="17"/>
      </w:rPr>
      <w:t> </w:t>
    </w:r>
  </w:p>
  <w:bookmarkEnd w:id="6"/>
  <w:p w:rsidR="00B2360A" w:rsidRDefault="00B236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20CF" w:rsidRDefault="000E20CF" w:rsidP="00B2360A">
      <w:pPr>
        <w:spacing w:after="0" w:line="240" w:lineRule="auto"/>
      </w:pPr>
      <w:r>
        <w:separator/>
      </w:r>
    </w:p>
  </w:footnote>
  <w:footnote w:type="continuationSeparator" w:id="0">
    <w:p w:rsidR="000E20CF" w:rsidRDefault="000E20CF" w:rsidP="00B236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1F42" w:rsidRDefault="00061F42" w:rsidP="00061F42">
    <w:pPr>
      <w:pStyle w:val="Header"/>
      <w:rPr>
        <w:color w:val="000000"/>
        <w:sz w:val="17"/>
      </w:rPr>
    </w:pPr>
    <w:bookmarkStart w:id="1" w:name="TITUS1HeaderEvenPages"/>
    <w:r w:rsidRPr="00061F42">
      <w:rPr>
        <w:color w:val="000000"/>
        <w:sz w:val="17"/>
      </w:rPr>
      <w:t> </w:t>
    </w:r>
  </w:p>
  <w:bookmarkEnd w:id="1"/>
  <w:p w:rsidR="00061F42" w:rsidRDefault="00061F42" w:rsidP="00061F42">
    <w:pPr>
      <w:pStyle w:val="Header"/>
    </w:pPr>
  </w:p>
  <w:p w:rsidR="00B2360A" w:rsidRDefault="00B236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360A" w:rsidRDefault="00061F42" w:rsidP="00061F42">
    <w:pPr>
      <w:pStyle w:val="Header"/>
      <w:rPr>
        <w:color w:val="000000"/>
        <w:sz w:val="17"/>
      </w:rPr>
    </w:pPr>
    <w:bookmarkStart w:id="2" w:name="TITUS1HeaderPrimary"/>
    <w:r>
      <w:rPr>
        <w:color w:val="000000"/>
        <w:sz w:val="17"/>
      </w:rPr>
      <w:t> </w:t>
    </w:r>
  </w:p>
  <w:bookmarkEnd w:id="2"/>
  <w:p w:rsidR="00B2360A" w:rsidRDefault="00B236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360A" w:rsidRDefault="00061F42" w:rsidP="00061F42">
    <w:pPr>
      <w:pStyle w:val="Header"/>
      <w:rPr>
        <w:color w:val="000000"/>
        <w:sz w:val="17"/>
      </w:rPr>
    </w:pPr>
    <w:bookmarkStart w:id="5" w:name="TITUS1HeaderFirstPage"/>
    <w:r>
      <w:rPr>
        <w:color w:val="000000"/>
        <w:sz w:val="17"/>
      </w:rPr>
      <w:t> </w:t>
    </w:r>
  </w:p>
  <w:bookmarkEnd w:id="5"/>
  <w:p w:rsidR="00B2360A" w:rsidRDefault="00B236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F641965"/>
    <w:multiLevelType w:val="hybridMultilevel"/>
    <w:tmpl w:val="F4728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1B54"/>
    <w:rsid w:val="00054570"/>
    <w:rsid w:val="00061F42"/>
    <w:rsid w:val="00084CC8"/>
    <w:rsid w:val="000E20CF"/>
    <w:rsid w:val="000F2758"/>
    <w:rsid w:val="00104634"/>
    <w:rsid w:val="001C7A60"/>
    <w:rsid w:val="00200D6C"/>
    <w:rsid w:val="0035181C"/>
    <w:rsid w:val="00690AFC"/>
    <w:rsid w:val="007A6E15"/>
    <w:rsid w:val="00803820"/>
    <w:rsid w:val="00821416"/>
    <w:rsid w:val="00A91B54"/>
    <w:rsid w:val="00B2360A"/>
    <w:rsid w:val="00D60DE8"/>
    <w:rsid w:val="00E25022"/>
    <w:rsid w:val="00EE4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523A22"/>
  <w15:chartTrackingRefBased/>
  <w15:docId w15:val="{99AF48FC-A173-4881-8198-C138BFAEC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0DE8"/>
    <w:pPr>
      <w:ind w:left="720"/>
      <w:contextualSpacing/>
    </w:pPr>
  </w:style>
  <w:style w:type="paragraph" w:styleId="Header">
    <w:name w:val="header"/>
    <w:basedOn w:val="Normal"/>
    <w:link w:val="HeaderChar"/>
    <w:uiPriority w:val="99"/>
    <w:unhideWhenUsed/>
    <w:rsid w:val="00B236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60A"/>
  </w:style>
  <w:style w:type="paragraph" w:styleId="Footer">
    <w:name w:val="footer"/>
    <w:basedOn w:val="Normal"/>
    <w:link w:val="FooterChar"/>
    <w:uiPriority w:val="99"/>
    <w:unhideWhenUsed/>
    <w:rsid w:val="00B236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6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5</Pages>
  <Words>1499</Words>
  <Characters>8547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McNally,Michael swp6848</dc:creator>
  <cp:keywords/>
  <dc:description/>
  <cp:lastModifiedBy>McNally,Michael swp6848</cp:lastModifiedBy>
  <cp:revision>2</cp:revision>
  <dcterms:created xsi:type="dcterms:W3CDTF">2021-06-01T07:46:00Z</dcterms:created>
  <dcterms:modified xsi:type="dcterms:W3CDTF">2021-06-01T10:04:00Z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4404cb97-1f1c-44a3-8dce-01a31862d85f</vt:lpwstr>
  </property>
  <property fmtid="{D5CDD505-2E9C-101B-9397-08002B2CF9AE}" pid="3" name="Classification">
    <vt:lpwstr>OFFICIAL</vt:lpwstr>
  </property>
  <property fmtid="{D5CDD505-2E9C-101B-9397-08002B2CF9AE}" pid="4" name="Visibility">
    <vt:lpwstr>NOT VISIBLE</vt:lpwstr>
  </property>
</Properties>
</file>