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CD9CE" w14:textId="77777777" w:rsidR="00A665BE"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0" distB="0" distL="0" distR="0" wp14:anchorId="526F3F55" wp14:editId="10DD7D65">
            <wp:extent cx="3535549" cy="198723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535549" cy="1987236"/>
                    </a:xfrm>
                    <a:prstGeom prst="rect">
                      <a:avLst/>
                    </a:prstGeom>
                    <a:ln/>
                  </pic:spPr>
                </pic:pic>
              </a:graphicData>
            </a:graphic>
          </wp:inline>
        </w:drawing>
      </w:r>
      <w:r>
        <w:rPr>
          <w:rFonts w:ascii="Times New Roman" w:eastAsia="Times New Roman" w:hAnsi="Times New Roman" w:cs="Times New Roman"/>
          <w:b/>
          <w:sz w:val="24"/>
          <w:szCs w:val="24"/>
        </w:rPr>
        <w:t xml:space="preserve"> </w:t>
      </w:r>
    </w:p>
    <w:p w14:paraId="497C8B0D" w14:textId="5B32BB97" w:rsidR="00A665BE" w:rsidRDefault="00000000">
      <w:pPr>
        <w:spacing w:line="480" w:lineRule="auto"/>
        <w:jc w:val="center"/>
        <w:rPr>
          <w:rFonts w:ascii="Times New Roman" w:eastAsia="Times New Roman" w:hAnsi="Times New Roman" w:cs="Times New Roman"/>
          <w:b/>
          <w:sz w:val="36"/>
          <w:szCs w:val="36"/>
        </w:rPr>
      </w:pPr>
      <w:r w:rsidRPr="000D0E1E">
        <w:rPr>
          <w:rFonts w:ascii="Times New Roman" w:eastAsia="Times New Roman" w:hAnsi="Times New Roman" w:cs="Times New Roman"/>
          <w:b/>
          <w:sz w:val="36"/>
          <w:szCs w:val="36"/>
        </w:rPr>
        <w:t>Nike’s Internationalisation Strategy</w:t>
      </w:r>
    </w:p>
    <w:p w14:paraId="445380D9" w14:textId="77777777" w:rsidR="000D0E1E" w:rsidRPr="000D0E1E" w:rsidRDefault="000D0E1E">
      <w:pPr>
        <w:spacing w:line="480" w:lineRule="auto"/>
        <w:jc w:val="center"/>
        <w:rPr>
          <w:rFonts w:ascii="Times New Roman" w:eastAsia="Times New Roman" w:hAnsi="Times New Roman" w:cs="Times New Roman"/>
          <w:b/>
          <w:sz w:val="36"/>
          <w:szCs w:val="36"/>
        </w:rPr>
      </w:pPr>
    </w:p>
    <w:p w14:paraId="49EF5C0C" w14:textId="470718C7" w:rsidR="00A665BE" w:rsidRDefault="00000000">
      <w:pPr>
        <w:spacing w:line="480" w:lineRule="auto"/>
        <w:jc w:val="center"/>
        <w:rPr>
          <w:rFonts w:ascii="Times New Roman" w:eastAsia="Times New Roman" w:hAnsi="Times New Roman" w:cs="Times New Roman"/>
          <w:sz w:val="36"/>
          <w:szCs w:val="36"/>
        </w:rPr>
      </w:pPr>
      <w:r w:rsidRPr="000D0E1E">
        <w:rPr>
          <w:rFonts w:ascii="Times New Roman" w:eastAsia="Times New Roman" w:hAnsi="Times New Roman" w:cs="Times New Roman"/>
          <w:sz w:val="36"/>
          <w:szCs w:val="36"/>
        </w:rPr>
        <w:t xml:space="preserve">Student </w:t>
      </w:r>
      <w:proofErr w:type="spellStart"/>
      <w:proofErr w:type="gramStart"/>
      <w:r w:rsidRPr="000D0E1E">
        <w:rPr>
          <w:rFonts w:ascii="Times New Roman" w:eastAsia="Times New Roman" w:hAnsi="Times New Roman" w:cs="Times New Roman"/>
          <w:sz w:val="36"/>
          <w:szCs w:val="36"/>
        </w:rPr>
        <w:t>Name</w:t>
      </w:r>
      <w:r w:rsidR="000D0E1E" w:rsidRPr="000D0E1E">
        <w:rPr>
          <w:rFonts w:ascii="Times New Roman" w:eastAsia="Times New Roman" w:hAnsi="Times New Roman" w:cs="Times New Roman"/>
          <w:sz w:val="36"/>
          <w:szCs w:val="36"/>
        </w:rPr>
        <w:t>:Vasilena</w:t>
      </w:r>
      <w:proofErr w:type="spellEnd"/>
      <w:proofErr w:type="gramEnd"/>
      <w:r w:rsidR="000D0E1E" w:rsidRPr="000D0E1E">
        <w:rPr>
          <w:rFonts w:ascii="Times New Roman" w:eastAsia="Times New Roman" w:hAnsi="Times New Roman" w:cs="Times New Roman"/>
          <w:sz w:val="36"/>
          <w:szCs w:val="36"/>
        </w:rPr>
        <w:t xml:space="preserve"> </w:t>
      </w:r>
      <w:proofErr w:type="spellStart"/>
      <w:r w:rsidR="000D0E1E" w:rsidRPr="000D0E1E">
        <w:rPr>
          <w:rFonts w:ascii="Times New Roman" w:eastAsia="Times New Roman" w:hAnsi="Times New Roman" w:cs="Times New Roman"/>
          <w:sz w:val="36"/>
          <w:szCs w:val="36"/>
        </w:rPr>
        <w:t>Mersinkova</w:t>
      </w:r>
      <w:proofErr w:type="spellEnd"/>
      <w:r w:rsidR="000D0E1E" w:rsidRPr="000D0E1E">
        <w:rPr>
          <w:rFonts w:ascii="Times New Roman" w:eastAsia="Times New Roman" w:hAnsi="Times New Roman" w:cs="Times New Roman"/>
          <w:sz w:val="36"/>
          <w:szCs w:val="36"/>
        </w:rPr>
        <w:t xml:space="preserve"> </w:t>
      </w:r>
    </w:p>
    <w:p w14:paraId="764E6F85" w14:textId="4E2863B1" w:rsidR="007D032C" w:rsidRPr="000D0E1E" w:rsidRDefault="007D032C">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Student ID: 2014054</w:t>
      </w:r>
    </w:p>
    <w:p w14:paraId="7EAB0887" w14:textId="4100C089" w:rsidR="00A665BE" w:rsidRPr="000D0E1E" w:rsidRDefault="00000000">
      <w:pPr>
        <w:spacing w:line="480" w:lineRule="auto"/>
        <w:jc w:val="center"/>
        <w:rPr>
          <w:rFonts w:ascii="Times New Roman" w:eastAsia="Times New Roman" w:hAnsi="Times New Roman" w:cs="Times New Roman"/>
          <w:sz w:val="36"/>
          <w:szCs w:val="36"/>
        </w:rPr>
      </w:pPr>
      <w:r w:rsidRPr="000D0E1E">
        <w:rPr>
          <w:rFonts w:ascii="Times New Roman" w:eastAsia="Times New Roman" w:hAnsi="Times New Roman" w:cs="Times New Roman"/>
          <w:sz w:val="36"/>
          <w:szCs w:val="36"/>
        </w:rPr>
        <w:t>University</w:t>
      </w:r>
      <w:r w:rsidR="000D0E1E" w:rsidRPr="000D0E1E">
        <w:rPr>
          <w:rFonts w:ascii="Times New Roman" w:eastAsia="Times New Roman" w:hAnsi="Times New Roman" w:cs="Times New Roman"/>
          <w:sz w:val="36"/>
          <w:szCs w:val="36"/>
        </w:rPr>
        <w:t xml:space="preserve"> of Wales Trinity Saint David </w:t>
      </w:r>
    </w:p>
    <w:p w14:paraId="027330E3" w14:textId="396D7FF1" w:rsidR="00A665BE" w:rsidRPr="000D0E1E" w:rsidRDefault="00000000">
      <w:pPr>
        <w:spacing w:line="480" w:lineRule="auto"/>
        <w:jc w:val="center"/>
        <w:rPr>
          <w:rFonts w:ascii="Times New Roman" w:eastAsia="Times New Roman" w:hAnsi="Times New Roman" w:cs="Times New Roman"/>
          <w:sz w:val="36"/>
          <w:szCs w:val="36"/>
        </w:rPr>
      </w:pPr>
      <w:proofErr w:type="spellStart"/>
      <w:proofErr w:type="gramStart"/>
      <w:r w:rsidRPr="000D0E1E">
        <w:rPr>
          <w:rFonts w:ascii="Times New Roman" w:eastAsia="Times New Roman" w:hAnsi="Times New Roman" w:cs="Times New Roman"/>
          <w:sz w:val="36"/>
          <w:szCs w:val="36"/>
        </w:rPr>
        <w:t>Course</w:t>
      </w:r>
      <w:r w:rsidR="000D0E1E" w:rsidRPr="000D0E1E">
        <w:rPr>
          <w:rFonts w:ascii="Times New Roman" w:eastAsia="Times New Roman" w:hAnsi="Times New Roman" w:cs="Times New Roman"/>
          <w:sz w:val="36"/>
          <w:szCs w:val="36"/>
        </w:rPr>
        <w:t>:The</w:t>
      </w:r>
      <w:proofErr w:type="spellEnd"/>
      <w:proofErr w:type="gramEnd"/>
      <w:r w:rsidR="000D0E1E" w:rsidRPr="000D0E1E">
        <w:rPr>
          <w:rFonts w:ascii="Times New Roman" w:eastAsia="Times New Roman" w:hAnsi="Times New Roman" w:cs="Times New Roman"/>
          <w:sz w:val="36"/>
          <w:szCs w:val="36"/>
        </w:rPr>
        <w:t xml:space="preserve"> Global Business Environments </w:t>
      </w:r>
    </w:p>
    <w:p w14:paraId="18272219" w14:textId="1015FE10" w:rsidR="00A665BE" w:rsidRDefault="00FA07FC">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Lecture</w:t>
      </w:r>
      <w:r w:rsidRPr="000D0E1E">
        <w:rPr>
          <w:rFonts w:ascii="Times New Roman" w:eastAsia="Times New Roman" w:hAnsi="Times New Roman" w:cs="Times New Roman"/>
          <w:sz w:val="36"/>
          <w:szCs w:val="36"/>
        </w:rPr>
        <w:t xml:space="preserve"> </w:t>
      </w:r>
      <w:proofErr w:type="spellStart"/>
      <w:proofErr w:type="gramStart"/>
      <w:r w:rsidRPr="000D0E1E">
        <w:rPr>
          <w:rFonts w:ascii="Times New Roman" w:eastAsia="Times New Roman" w:hAnsi="Times New Roman" w:cs="Times New Roman"/>
          <w:sz w:val="36"/>
          <w:szCs w:val="36"/>
        </w:rPr>
        <w:t>Name</w:t>
      </w:r>
      <w:r w:rsidR="000D0E1E" w:rsidRPr="000D0E1E">
        <w:rPr>
          <w:rFonts w:ascii="Times New Roman" w:eastAsia="Times New Roman" w:hAnsi="Times New Roman" w:cs="Times New Roman"/>
          <w:sz w:val="36"/>
          <w:szCs w:val="36"/>
        </w:rPr>
        <w:t>:Nadeem</w:t>
      </w:r>
      <w:proofErr w:type="spellEnd"/>
      <w:proofErr w:type="gramEnd"/>
      <w:r w:rsidR="000D0E1E" w:rsidRPr="000D0E1E">
        <w:rPr>
          <w:rFonts w:ascii="Times New Roman" w:eastAsia="Times New Roman" w:hAnsi="Times New Roman" w:cs="Times New Roman"/>
          <w:sz w:val="36"/>
          <w:szCs w:val="36"/>
        </w:rPr>
        <w:t xml:space="preserve"> Mirza</w:t>
      </w:r>
    </w:p>
    <w:p w14:paraId="0126C3DA" w14:textId="77777777" w:rsidR="000D0E1E" w:rsidRPr="000D0E1E" w:rsidRDefault="000D0E1E">
      <w:pPr>
        <w:spacing w:line="480" w:lineRule="auto"/>
        <w:jc w:val="center"/>
        <w:rPr>
          <w:rFonts w:ascii="Times New Roman" w:eastAsia="Times New Roman" w:hAnsi="Times New Roman" w:cs="Times New Roman"/>
          <w:sz w:val="36"/>
          <w:szCs w:val="36"/>
        </w:rPr>
      </w:pPr>
    </w:p>
    <w:p w14:paraId="3053E450" w14:textId="650807A6" w:rsidR="00A665BE" w:rsidRPr="000D0E1E" w:rsidRDefault="00000000">
      <w:pPr>
        <w:spacing w:line="480" w:lineRule="auto"/>
        <w:jc w:val="center"/>
        <w:rPr>
          <w:rFonts w:ascii="Times New Roman" w:eastAsia="Times New Roman" w:hAnsi="Times New Roman" w:cs="Times New Roman"/>
          <w:sz w:val="36"/>
          <w:szCs w:val="36"/>
        </w:rPr>
      </w:pPr>
      <w:r w:rsidRPr="000D0E1E">
        <w:rPr>
          <w:rFonts w:ascii="Times New Roman" w:eastAsia="Times New Roman" w:hAnsi="Times New Roman" w:cs="Times New Roman"/>
          <w:sz w:val="36"/>
          <w:szCs w:val="36"/>
        </w:rPr>
        <w:t>Date</w:t>
      </w:r>
      <w:r w:rsidR="000D0E1E" w:rsidRPr="000D0E1E">
        <w:rPr>
          <w:rFonts w:ascii="Times New Roman" w:eastAsia="Times New Roman" w:hAnsi="Times New Roman" w:cs="Times New Roman"/>
          <w:sz w:val="36"/>
          <w:szCs w:val="36"/>
        </w:rPr>
        <w:t>:07.0</w:t>
      </w:r>
      <w:r w:rsidR="00FA07FC">
        <w:rPr>
          <w:rFonts w:ascii="Times New Roman" w:eastAsia="Times New Roman" w:hAnsi="Times New Roman" w:cs="Times New Roman"/>
          <w:sz w:val="36"/>
          <w:szCs w:val="36"/>
        </w:rPr>
        <w:t>9</w:t>
      </w:r>
      <w:r w:rsidR="000D0E1E" w:rsidRPr="000D0E1E">
        <w:rPr>
          <w:rFonts w:ascii="Times New Roman" w:eastAsia="Times New Roman" w:hAnsi="Times New Roman" w:cs="Times New Roman"/>
          <w:sz w:val="36"/>
          <w:szCs w:val="36"/>
        </w:rPr>
        <w:t>.2022</w:t>
      </w:r>
    </w:p>
    <w:p w14:paraId="1D6AA9A1" w14:textId="77777777" w:rsidR="00A665BE" w:rsidRDefault="00A665BE">
      <w:pPr>
        <w:spacing w:line="480" w:lineRule="auto"/>
        <w:jc w:val="center"/>
        <w:rPr>
          <w:rFonts w:ascii="Times New Roman" w:eastAsia="Times New Roman" w:hAnsi="Times New Roman" w:cs="Times New Roman"/>
          <w:b/>
          <w:sz w:val="24"/>
          <w:szCs w:val="24"/>
        </w:rPr>
      </w:pPr>
    </w:p>
    <w:p w14:paraId="24E2FFAA" w14:textId="77777777" w:rsidR="00A665BE" w:rsidRDefault="00A665BE">
      <w:pPr>
        <w:spacing w:line="480" w:lineRule="auto"/>
        <w:rPr>
          <w:rFonts w:ascii="Times New Roman" w:eastAsia="Times New Roman" w:hAnsi="Times New Roman" w:cs="Times New Roman"/>
          <w:b/>
          <w:sz w:val="24"/>
          <w:szCs w:val="24"/>
        </w:rPr>
      </w:pPr>
    </w:p>
    <w:p w14:paraId="3376E524" w14:textId="77777777" w:rsidR="00A665BE" w:rsidRDefault="00000000">
      <w:pPr>
        <w:pStyle w:val="Heading1"/>
        <w:spacing w:line="480" w:lineRule="auto"/>
        <w:rPr>
          <w:rFonts w:ascii="Times New Roman" w:eastAsia="Times New Roman" w:hAnsi="Times New Roman" w:cs="Times New Roman"/>
          <w:b/>
          <w:color w:val="000000"/>
          <w:sz w:val="28"/>
          <w:szCs w:val="28"/>
        </w:rPr>
      </w:pPr>
      <w:bookmarkStart w:id="0" w:name="_gjdgxs" w:colFirst="0" w:colLast="0"/>
      <w:bookmarkEnd w:id="0"/>
      <w:r>
        <w:rPr>
          <w:rFonts w:ascii="Times New Roman" w:eastAsia="Times New Roman" w:hAnsi="Times New Roman" w:cs="Times New Roman"/>
          <w:b/>
          <w:color w:val="000000"/>
          <w:sz w:val="28"/>
          <w:szCs w:val="28"/>
        </w:rPr>
        <w:t>Executive Summary</w:t>
      </w:r>
    </w:p>
    <w:p w14:paraId="73415B62"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focuses on reducing operational costs and increasing profitability by relocating its production facilities to China. Globalisation, foreign trade liberalisation, and high labour productivity make the Chinese market highly attractive to foreign investors. PESTLE analysis indicates that political stability, foreign trade liberalisation, and global political influence supports business operations in China. The market derives its strength from the rapid GDP growth, high FDI, and high engagement in international trade. Various social factors making the Chinese market highly attractive for foreign firms include online shopping, a high literacy rate, and growing consumerism culture. The Chinese government’s focus on creating a tech economy has offered businesses various important technologies for production, service delivery, and workplace collaboration. Succeeding in China requires business organisations to adhere to </w:t>
      </w:r>
      <w:proofErr w:type="gramStart"/>
      <w:r>
        <w:rPr>
          <w:rFonts w:ascii="Times New Roman" w:eastAsia="Times New Roman" w:hAnsi="Times New Roman" w:cs="Times New Roman"/>
          <w:sz w:val="24"/>
          <w:szCs w:val="24"/>
        </w:rPr>
        <w:t>various different</w:t>
      </w:r>
      <w:proofErr w:type="gramEnd"/>
      <w:r>
        <w:rPr>
          <w:rFonts w:ascii="Times New Roman" w:eastAsia="Times New Roman" w:hAnsi="Times New Roman" w:cs="Times New Roman"/>
          <w:sz w:val="24"/>
          <w:szCs w:val="24"/>
        </w:rPr>
        <w:t xml:space="preserve"> regulations, including the 1995 PRC Labour Law, 2007 PRC labour Contract Law, 2020 environmental protection tax law, 2019 Foreign Investment Law, and 2019 Administration Regulation Chen. Achieving competitiveness requires the company to address factors like factor conditions; strategy, rivalry, and structure; supporting industries, and demand conditions. Nike should adopt different strategies in relocating its production facilities to China successfully, including creating a culturally competent workforce creation, implementing a vertical integration model, and producing commonly consumed goods in society.</w:t>
      </w:r>
    </w:p>
    <w:p w14:paraId="2D5BBF7B" w14:textId="77777777" w:rsidR="00A665BE" w:rsidRDefault="00A665BE">
      <w:pPr>
        <w:spacing w:line="480" w:lineRule="auto"/>
        <w:jc w:val="center"/>
        <w:rPr>
          <w:rFonts w:ascii="Times New Roman" w:eastAsia="Times New Roman" w:hAnsi="Times New Roman" w:cs="Times New Roman"/>
          <w:b/>
          <w:sz w:val="24"/>
          <w:szCs w:val="24"/>
        </w:rPr>
      </w:pPr>
    </w:p>
    <w:p w14:paraId="33CD9558" w14:textId="77777777" w:rsidR="00A665BE" w:rsidRDefault="00A665BE">
      <w:pPr>
        <w:keepNext/>
        <w:keepLines/>
        <w:pBdr>
          <w:top w:val="nil"/>
          <w:left w:val="nil"/>
          <w:bottom w:val="nil"/>
          <w:right w:val="nil"/>
          <w:between w:val="nil"/>
        </w:pBdr>
        <w:spacing w:before="240" w:after="0"/>
        <w:rPr>
          <w:rFonts w:ascii="Times New Roman" w:eastAsia="Times New Roman" w:hAnsi="Times New Roman" w:cs="Times New Roman"/>
          <w:color w:val="2E75B5"/>
          <w:sz w:val="32"/>
          <w:szCs w:val="32"/>
        </w:rPr>
      </w:pPr>
    </w:p>
    <w:p w14:paraId="70E72BA1" w14:textId="77777777" w:rsidR="00A665BE" w:rsidRDefault="00A665BE">
      <w:pPr>
        <w:spacing w:line="480" w:lineRule="auto"/>
        <w:rPr>
          <w:rFonts w:ascii="Times New Roman" w:eastAsia="Times New Roman" w:hAnsi="Times New Roman" w:cs="Times New Roman"/>
          <w:b/>
          <w:sz w:val="24"/>
          <w:szCs w:val="24"/>
        </w:rPr>
      </w:pPr>
    </w:p>
    <w:p w14:paraId="6F81B772" w14:textId="77777777" w:rsidR="00A665BE" w:rsidRDefault="00A665BE">
      <w:pPr>
        <w:spacing w:line="480" w:lineRule="auto"/>
        <w:rPr>
          <w:rFonts w:ascii="Times New Roman" w:eastAsia="Times New Roman" w:hAnsi="Times New Roman" w:cs="Times New Roman"/>
          <w:b/>
          <w:sz w:val="24"/>
          <w:szCs w:val="24"/>
        </w:rPr>
      </w:pPr>
    </w:p>
    <w:p w14:paraId="5E678946" w14:textId="77777777" w:rsidR="00A665BE" w:rsidRDefault="00000000">
      <w:pPr>
        <w:keepNext/>
        <w:keepLines/>
        <w:pBdr>
          <w:top w:val="nil"/>
          <w:left w:val="nil"/>
          <w:bottom w:val="nil"/>
          <w:right w:val="nil"/>
          <w:between w:val="nil"/>
        </w:pBdr>
        <w:spacing w:before="240" w:after="0" w:line="48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167560478"/>
        <w:docPartObj>
          <w:docPartGallery w:val="Table of Contents"/>
          <w:docPartUnique/>
        </w:docPartObj>
      </w:sdtPr>
      <w:sdtContent>
        <w:p w14:paraId="450A1BD2" w14:textId="77777777" w:rsidR="00A665BE" w:rsidRDefault="00000000">
          <w:pPr>
            <w:tabs>
              <w:tab w:val="right" w:pos="9360"/>
            </w:tabs>
            <w:spacing w:before="80" w:line="24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sz w:val="24"/>
                <w:szCs w:val="24"/>
              </w:rPr>
              <w:t>Executive Summary</w:t>
            </w:r>
          </w:hyperlink>
          <w:r>
            <w:rPr>
              <w:rFonts w:ascii="Times New Roman" w:eastAsia="Times New Roman" w:hAnsi="Times New Roman" w:cs="Times New Roman"/>
              <w:color w:val="000000"/>
              <w:sz w:val="24"/>
              <w:szCs w:val="24"/>
            </w:rPr>
            <w:tab/>
          </w:r>
          <w:r>
            <w:fldChar w:fldCharType="begin"/>
          </w:r>
          <w:r>
            <w:instrText xml:space="preserve"> PAGEREF _gjdgxs \h </w:instrText>
          </w:r>
          <w:r>
            <w:fldChar w:fldCharType="separate"/>
          </w:r>
          <w:r>
            <w:rPr>
              <w:rFonts w:ascii="Times New Roman" w:eastAsia="Times New Roman" w:hAnsi="Times New Roman" w:cs="Times New Roman"/>
              <w:color w:val="000000"/>
              <w:sz w:val="24"/>
              <w:szCs w:val="24"/>
            </w:rPr>
            <w:t>2</w:t>
          </w:r>
          <w:r>
            <w:fldChar w:fldCharType="end"/>
          </w:r>
        </w:p>
        <w:p w14:paraId="2FDA1584" w14:textId="77777777" w:rsidR="00A665BE" w:rsidRDefault="00000000">
          <w:pPr>
            <w:tabs>
              <w:tab w:val="right" w:pos="9360"/>
            </w:tabs>
            <w:spacing w:before="200" w:line="240" w:lineRule="auto"/>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Introduction</w:t>
            </w:r>
          </w:hyperlink>
          <w:r>
            <w:rPr>
              <w:rFonts w:ascii="Times New Roman" w:eastAsia="Times New Roman" w:hAnsi="Times New Roman" w:cs="Times New Roman"/>
              <w:color w:val="000000"/>
              <w:sz w:val="24"/>
              <w:szCs w:val="24"/>
            </w:rPr>
            <w:tab/>
          </w:r>
          <w:r>
            <w:fldChar w:fldCharType="begin"/>
          </w:r>
          <w:r>
            <w:instrText xml:space="preserve"> PAGEREF _1fob9te \h </w:instrText>
          </w:r>
          <w:r>
            <w:fldChar w:fldCharType="separate"/>
          </w:r>
          <w:r>
            <w:rPr>
              <w:rFonts w:ascii="Times New Roman" w:eastAsia="Times New Roman" w:hAnsi="Times New Roman" w:cs="Times New Roman"/>
              <w:color w:val="000000"/>
              <w:sz w:val="24"/>
              <w:szCs w:val="24"/>
            </w:rPr>
            <w:t>4</w:t>
          </w:r>
          <w:r>
            <w:fldChar w:fldCharType="end"/>
          </w:r>
        </w:p>
        <w:p w14:paraId="5C7834B4" w14:textId="77777777" w:rsidR="00A665BE" w:rsidRDefault="00000000">
          <w:pPr>
            <w:tabs>
              <w:tab w:val="right" w:pos="9360"/>
            </w:tabs>
            <w:spacing w:before="200" w:line="240" w:lineRule="auto"/>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Overview of China</w:t>
            </w:r>
          </w:hyperlink>
          <w:r>
            <w:rPr>
              <w:rFonts w:ascii="Times New Roman" w:eastAsia="Times New Roman" w:hAnsi="Times New Roman" w:cs="Times New Roman"/>
              <w:color w:val="000000"/>
              <w:sz w:val="24"/>
              <w:szCs w:val="24"/>
            </w:rPr>
            <w:tab/>
          </w:r>
          <w:r>
            <w:fldChar w:fldCharType="begin"/>
          </w:r>
          <w:r>
            <w:instrText xml:space="preserve"> PAGEREF _3znysh7 \h </w:instrText>
          </w:r>
          <w:r>
            <w:fldChar w:fldCharType="separate"/>
          </w:r>
          <w:r>
            <w:rPr>
              <w:rFonts w:ascii="Times New Roman" w:eastAsia="Times New Roman" w:hAnsi="Times New Roman" w:cs="Times New Roman"/>
              <w:color w:val="000000"/>
              <w:sz w:val="24"/>
              <w:szCs w:val="24"/>
            </w:rPr>
            <w:t>4</w:t>
          </w:r>
          <w:r>
            <w:fldChar w:fldCharType="end"/>
          </w:r>
        </w:p>
        <w:p w14:paraId="0A8ACFBC" w14:textId="77777777" w:rsidR="00A665BE" w:rsidRDefault="00000000">
          <w:pPr>
            <w:tabs>
              <w:tab w:val="right" w:pos="9360"/>
            </w:tabs>
            <w:spacing w:before="200" w:line="240" w:lineRule="auto"/>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Analysing the Chinese Business Environment</w:t>
            </w:r>
          </w:hyperlink>
          <w:r>
            <w:rPr>
              <w:rFonts w:ascii="Times New Roman" w:eastAsia="Times New Roman" w:hAnsi="Times New Roman" w:cs="Times New Roman"/>
              <w:color w:val="000000"/>
              <w:sz w:val="24"/>
              <w:szCs w:val="24"/>
            </w:rPr>
            <w:tab/>
          </w:r>
          <w:r>
            <w:fldChar w:fldCharType="begin"/>
          </w:r>
          <w:r>
            <w:instrText xml:space="preserve"> PAGEREF _2et92p0 \h </w:instrText>
          </w:r>
          <w:r>
            <w:fldChar w:fldCharType="separate"/>
          </w:r>
          <w:r>
            <w:rPr>
              <w:rFonts w:ascii="Times New Roman" w:eastAsia="Times New Roman" w:hAnsi="Times New Roman" w:cs="Times New Roman"/>
              <w:color w:val="000000"/>
              <w:sz w:val="24"/>
              <w:szCs w:val="24"/>
            </w:rPr>
            <w:t>5</w:t>
          </w:r>
          <w:r>
            <w:fldChar w:fldCharType="end"/>
          </w:r>
        </w:p>
        <w:p w14:paraId="0A5019D2" w14:textId="77777777" w:rsidR="00A665BE" w:rsidRDefault="00000000">
          <w:pPr>
            <w:tabs>
              <w:tab w:val="right" w:pos="9360"/>
            </w:tabs>
            <w:spacing w:before="60" w:line="240" w:lineRule="auto"/>
            <w:ind w:left="360"/>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PESTLE Analysis</w:t>
            </w:r>
          </w:hyperlink>
          <w:r>
            <w:rPr>
              <w:rFonts w:ascii="Times New Roman" w:eastAsia="Times New Roman" w:hAnsi="Times New Roman" w:cs="Times New Roman"/>
              <w:color w:val="000000"/>
              <w:sz w:val="24"/>
              <w:szCs w:val="24"/>
            </w:rPr>
            <w:tab/>
          </w:r>
          <w:r>
            <w:fldChar w:fldCharType="begin"/>
          </w:r>
          <w:r>
            <w:instrText xml:space="preserve"> PAGEREF _tyjcwt \h </w:instrText>
          </w:r>
          <w:r>
            <w:fldChar w:fldCharType="separate"/>
          </w:r>
          <w:r>
            <w:rPr>
              <w:rFonts w:ascii="Times New Roman" w:eastAsia="Times New Roman" w:hAnsi="Times New Roman" w:cs="Times New Roman"/>
              <w:color w:val="000000"/>
              <w:sz w:val="24"/>
              <w:szCs w:val="24"/>
            </w:rPr>
            <w:t>6</w:t>
          </w:r>
          <w:r>
            <w:fldChar w:fldCharType="end"/>
          </w:r>
        </w:p>
        <w:p w14:paraId="3DFB3B72" w14:textId="77777777" w:rsidR="00A665BE" w:rsidRDefault="00000000">
          <w:pPr>
            <w:tabs>
              <w:tab w:val="right" w:pos="9360"/>
            </w:tabs>
            <w:spacing w:before="60" w:line="240" w:lineRule="auto"/>
            <w:ind w:left="720"/>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Political Factors</w:t>
            </w:r>
          </w:hyperlink>
          <w:r>
            <w:rPr>
              <w:rFonts w:ascii="Times New Roman" w:eastAsia="Times New Roman" w:hAnsi="Times New Roman" w:cs="Times New Roman"/>
              <w:color w:val="000000"/>
              <w:sz w:val="24"/>
              <w:szCs w:val="24"/>
            </w:rPr>
            <w:tab/>
          </w:r>
          <w:r>
            <w:fldChar w:fldCharType="begin"/>
          </w:r>
          <w:r>
            <w:instrText xml:space="preserve"> PAGEREF _3dy6vkm \h </w:instrText>
          </w:r>
          <w:r>
            <w:fldChar w:fldCharType="separate"/>
          </w:r>
          <w:r>
            <w:rPr>
              <w:rFonts w:ascii="Times New Roman" w:eastAsia="Times New Roman" w:hAnsi="Times New Roman" w:cs="Times New Roman"/>
              <w:color w:val="000000"/>
              <w:sz w:val="24"/>
              <w:szCs w:val="24"/>
            </w:rPr>
            <w:t>7</w:t>
          </w:r>
          <w:r>
            <w:fldChar w:fldCharType="end"/>
          </w:r>
        </w:p>
        <w:p w14:paraId="6A245A0E" w14:textId="77777777" w:rsidR="00A665BE" w:rsidRDefault="00000000">
          <w:pPr>
            <w:tabs>
              <w:tab w:val="right" w:pos="9360"/>
            </w:tabs>
            <w:spacing w:before="60" w:line="240" w:lineRule="auto"/>
            <w:ind w:left="720"/>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Economic Factors</w:t>
            </w:r>
          </w:hyperlink>
          <w:r>
            <w:rPr>
              <w:rFonts w:ascii="Times New Roman" w:eastAsia="Times New Roman" w:hAnsi="Times New Roman" w:cs="Times New Roman"/>
              <w:color w:val="000000"/>
              <w:sz w:val="24"/>
              <w:szCs w:val="24"/>
            </w:rPr>
            <w:tab/>
          </w:r>
          <w:r>
            <w:fldChar w:fldCharType="begin"/>
          </w:r>
          <w:r>
            <w:instrText xml:space="preserve"> PAGEREF _1t3h5sf \h </w:instrText>
          </w:r>
          <w:r>
            <w:fldChar w:fldCharType="separate"/>
          </w:r>
          <w:r>
            <w:rPr>
              <w:rFonts w:ascii="Times New Roman" w:eastAsia="Times New Roman" w:hAnsi="Times New Roman" w:cs="Times New Roman"/>
              <w:color w:val="000000"/>
              <w:sz w:val="24"/>
              <w:szCs w:val="24"/>
            </w:rPr>
            <w:t>7</w:t>
          </w:r>
          <w:r>
            <w:fldChar w:fldCharType="end"/>
          </w:r>
        </w:p>
        <w:p w14:paraId="0F9FBC88" w14:textId="77777777" w:rsidR="00A665BE" w:rsidRDefault="00000000">
          <w:pPr>
            <w:tabs>
              <w:tab w:val="right" w:pos="9360"/>
            </w:tabs>
            <w:spacing w:before="60" w:line="240" w:lineRule="auto"/>
            <w:ind w:left="720"/>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rPr>
              <w:t>Social Factors</w:t>
            </w:r>
          </w:hyperlink>
          <w:r>
            <w:rPr>
              <w:rFonts w:ascii="Times New Roman" w:eastAsia="Times New Roman" w:hAnsi="Times New Roman" w:cs="Times New Roman"/>
              <w:color w:val="000000"/>
              <w:sz w:val="24"/>
              <w:szCs w:val="24"/>
            </w:rPr>
            <w:tab/>
          </w:r>
          <w:r>
            <w:fldChar w:fldCharType="begin"/>
          </w:r>
          <w:r>
            <w:instrText xml:space="preserve"> PAGEREF _4d34og8 \h </w:instrText>
          </w:r>
          <w:r>
            <w:fldChar w:fldCharType="separate"/>
          </w:r>
          <w:r>
            <w:rPr>
              <w:rFonts w:ascii="Times New Roman" w:eastAsia="Times New Roman" w:hAnsi="Times New Roman" w:cs="Times New Roman"/>
              <w:color w:val="000000"/>
              <w:sz w:val="24"/>
              <w:szCs w:val="24"/>
            </w:rPr>
            <w:t>8</w:t>
          </w:r>
          <w:r>
            <w:fldChar w:fldCharType="end"/>
          </w:r>
        </w:p>
        <w:p w14:paraId="7E106107" w14:textId="77777777" w:rsidR="00A665BE" w:rsidRDefault="00000000">
          <w:pPr>
            <w:tabs>
              <w:tab w:val="right" w:pos="9360"/>
            </w:tabs>
            <w:spacing w:before="60" w:line="240" w:lineRule="auto"/>
            <w:ind w:left="720"/>
            <w:rPr>
              <w:rFonts w:ascii="Times New Roman" w:eastAsia="Times New Roman" w:hAnsi="Times New Roman" w:cs="Times New Roman"/>
              <w:color w:val="000000"/>
              <w:sz w:val="24"/>
              <w:szCs w:val="24"/>
            </w:rPr>
          </w:pPr>
          <w:hyperlink w:anchor="_2s8eyo1">
            <w:r>
              <w:rPr>
                <w:rFonts w:ascii="Times New Roman" w:eastAsia="Times New Roman" w:hAnsi="Times New Roman" w:cs="Times New Roman"/>
                <w:color w:val="000000"/>
                <w:sz w:val="24"/>
                <w:szCs w:val="24"/>
              </w:rPr>
              <w:t>Technological Factors</w:t>
            </w:r>
          </w:hyperlink>
          <w:r>
            <w:rPr>
              <w:rFonts w:ascii="Times New Roman" w:eastAsia="Times New Roman" w:hAnsi="Times New Roman" w:cs="Times New Roman"/>
              <w:color w:val="000000"/>
              <w:sz w:val="24"/>
              <w:szCs w:val="24"/>
            </w:rPr>
            <w:tab/>
          </w:r>
          <w:r>
            <w:fldChar w:fldCharType="begin"/>
          </w:r>
          <w:r>
            <w:instrText xml:space="preserve"> PAGEREF _2s8eyo1 \h </w:instrText>
          </w:r>
          <w:r>
            <w:fldChar w:fldCharType="separate"/>
          </w:r>
          <w:r>
            <w:rPr>
              <w:rFonts w:ascii="Times New Roman" w:eastAsia="Times New Roman" w:hAnsi="Times New Roman" w:cs="Times New Roman"/>
              <w:color w:val="000000"/>
              <w:sz w:val="24"/>
              <w:szCs w:val="24"/>
            </w:rPr>
            <w:t>9</w:t>
          </w:r>
          <w:r>
            <w:fldChar w:fldCharType="end"/>
          </w:r>
        </w:p>
        <w:p w14:paraId="55674F84" w14:textId="77777777" w:rsidR="00A665BE" w:rsidRDefault="00000000">
          <w:pPr>
            <w:tabs>
              <w:tab w:val="right" w:pos="9360"/>
            </w:tabs>
            <w:spacing w:before="60" w:line="240" w:lineRule="auto"/>
            <w:ind w:left="720"/>
            <w:rPr>
              <w:rFonts w:ascii="Times New Roman" w:eastAsia="Times New Roman" w:hAnsi="Times New Roman" w:cs="Times New Roman"/>
              <w:color w:val="000000"/>
              <w:sz w:val="24"/>
              <w:szCs w:val="24"/>
            </w:rPr>
          </w:pPr>
          <w:hyperlink w:anchor="_17dp8vu">
            <w:r>
              <w:rPr>
                <w:rFonts w:ascii="Times New Roman" w:eastAsia="Times New Roman" w:hAnsi="Times New Roman" w:cs="Times New Roman"/>
                <w:color w:val="000000"/>
                <w:sz w:val="24"/>
                <w:szCs w:val="24"/>
              </w:rPr>
              <w:t>Environmental Factors</w:t>
            </w:r>
          </w:hyperlink>
          <w:r>
            <w:rPr>
              <w:rFonts w:ascii="Times New Roman" w:eastAsia="Times New Roman" w:hAnsi="Times New Roman" w:cs="Times New Roman"/>
              <w:color w:val="000000"/>
              <w:sz w:val="24"/>
              <w:szCs w:val="24"/>
            </w:rPr>
            <w:tab/>
          </w:r>
          <w:r>
            <w:fldChar w:fldCharType="begin"/>
          </w:r>
          <w:r>
            <w:instrText xml:space="preserve"> PAGEREF _17dp8vu \h </w:instrText>
          </w:r>
          <w:r>
            <w:fldChar w:fldCharType="separate"/>
          </w:r>
          <w:r>
            <w:rPr>
              <w:rFonts w:ascii="Times New Roman" w:eastAsia="Times New Roman" w:hAnsi="Times New Roman" w:cs="Times New Roman"/>
              <w:color w:val="000000"/>
              <w:sz w:val="24"/>
              <w:szCs w:val="24"/>
            </w:rPr>
            <w:t>9</w:t>
          </w:r>
          <w:r>
            <w:fldChar w:fldCharType="end"/>
          </w:r>
        </w:p>
        <w:p w14:paraId="77624C19" w14:textId="77777777" w:rsidR="00A665BE" w:rsidRDefault="00000000">
          <w:pPr>
            <w:tabs>
              <w:tab w:val="right" w:pos="9360"/>
            </w:tabs>
            <w:spacing w:before="60" w:line="240" w:lineRule="auto"/>
            <w:ind w:left="720"/>
            <w:rPr>
              <w:rFonts w:ascii="Times New Roman" w:eastAsia="Times New Roman" w:hAnsi="Times New Roman" w:cs="Times New Roman"/>
              <w:color w:val="000000"/>
              <w:sz w:val="24"/>
              <w:szCs w:val="24"/>
            </w:rPr>
          </w:pPr>
          <w:hyperlink w:anchor="_3rdcrjn">
            <w:r>
              <w:rPr>
                <w:rFonts w:ascii="Times New Roman" w:eastAsia="Times New Roman" w:hAnsi="Times New Roman" w:cs="Times New Roman"/>
                <w:color w:val="000000"/>
                <w:sz w:val="24"/>
                <w:szCs w:val="24"/>
              </w:rPr>
              <w:t>Legal Factors</w:t>
            </w:r>
          </w:hyperlink>
          <w:r>
            <w:rPr>
              <w:rFonts w:ascii="Times New Roman" w:eastAsia="Times New Roman" w:hAnsi="Times New Roman" w:cs="Times New Roman"/>
              <w:color w:val="000000"/>
              <w:sz w:val="24"/>
              <w:szCs w:val="24"/>
            </w:rPr>
            <w:tab/>
          </w:r>
          <w:r>
            <w:fldChar w:fldCharType="begin"/>
          </w:r>
          <w:r>
            <w:instrText xml:space="preserve"> PAGEREF _3rdcrjn \h </w:instrText>
          </w:r>
          <w:r>
            <w:fldChar w:fldCharType="separate"/>
          </w:r>
          <w:r>
            <w:rPr>
              <w:rFonts w:ascii="Times New Roman" w:eastAsia="Times New Roman" w:hAnsi="Times New Roman" w:cs="Times New Roman"/>
              <w:color w:val="000000"/>
              <w:sz w:val="24"/>
              <w:szCs w:val="24"/>
            </w:rPr>
            <w:t>10</w:t>
          </w:r>
          <w:r>
            <w:fldChar w:fldCharType="end"/>
          </w:r>
        </w:p>
        <w:p w14:paraId="110E506C" w14:textId="77777777" w:rsidR="00A665BE" w:rsidRDefault="00000000">
          <w:pPr>
            <w:tabs>
              <w:tab w:val="right" w:pos="9360"/>
            </w:tabs>
            <w:spacing w:before="60" w:line="240" w:lineRule="auto"/>
            <w:ind w:left="360"/>
            <w:rPr>
              <w:rFonts w:ascii="Times New Roman" w:eastAsia="Times New Roman" w:hAnsi="Times New Roman" w:cs="Times New Roman"/>
              <w:color w:val="000000"/>
              <w:sz w:val="24"/>
              <w:szCs w:val="24"/>
            </w:rPr>
          </w:pPr>
          <w:hyperlink w:anchor="_26in1rg">
            <w:r>
              <w:rPr>
                <w:rFonts w:ascii="Times New Roman" w:eastAsia="Times New Roman" w:hAnsi="Times New Roman" w:cs="Times New Roman"/>
                <w:color w:val="000000"/>
                <w:sz w:val="24"/>
                <w:szCs w:val="24"/>
              </w:rPr>
              <w:t>Porter's Diamond Model</w:t>
            </w:r>
          </w:hyperlink>
          <w:r>
            <w:rPr>
              <w:rFonts w:ascii="Times New Roman" w:eastAsia="Times New Roman" w:hAnsi="Times New Roman" w:cs="Times New Roman"/>
              <w:color w:val="000000"/>
              <w:sz w:val="24"/>
              <w:szCs w:val="24"/>
            </w:rPr>
            <w:tab/>
          </w:r>
          <w:r>
            <w:fldChar w:fldCharType="begin"/>
          </w:r>
          <w:r>
            <w:instrText xml:space="preserve"> PAGEREF _26in1rg \h </w:instrText>
          </w:r>
          <w:r>
            <w:fldChar w:fldCharType="separate"/>
          </w:r>
          <w:r>
            <w:rPr>
              <w:rFonts w:ascii="Times New Roman" w:eastAsia="Times New Roman" w:hAnsi="Times New Roman" w:cs="Times New Roman"/>
              <w:color w:val="000000"/>
              <w:sz w:val="24"/>
              <w:szCs w:val="24"/>
            </w:rPr>
            <w:t>11</w:t>
          </w:r>
          <w:r>
            <w:fldChar w:fldCharType="end"/>
          </w:r>
        </w:p>
        <w:p w14:paraId="6D300417" w14:textId="77777777" w:rsidR="00A665BE" w:rsidRDefault="00000000">
          <w:pPr>
            <w:tabs>
              <w:tab w:val="right" w:pos="9360"/>
            </w:tabs>
            <w:spacing w:before="60" w:line="240" w:lineRule="auto"/>
            <w:ind w:left="720"/>
            <w:rPr>
              <w:rFonts w:ascii="Times New Roman" w:eastAsia="Times New Roman" w:hAnsi="Times New Roman" w:cs="Times New Roman"/>
              <w:color w:val="000000"/>
              <w:sz w:val="24"/>
              <w:szCs w:val="24"/>
            </w:rPr>
          </w:pPr>
          <w:hyperlink w:anchor="_lnxbz9">
            <w:r>
              <w:rPr>
                <w:rFonts w:ascii="Times New Roman" w:eastAsia="Times New Roman" w:hAnsi="Times New Roman" w:cs="Times New Roman"/>
                <w:color w:val="000000"/>
                <w:sz w:val="24"/>
                <w:szCs w:val="24"/>
              </w:rPr>
              <w:t>Factor Conditions</w:t>
            </w:r>
          </w:hyperlink>
          <w:r>
            <w:rPr>
              <w:rFonts w:ascii="Times New Roman" w:eastAsia="Times New Roman" w:hAnsi="Times New Roman" w:cs="Times New Roman"/>
              <w:color w:val="000000"/>
              <w:sz w:val="24"/>
              <w:szCs w:val="24"/>
            </w:rPr>
            <w:tab/>
          </w:r>
          <w:r>
            <w:fldChar w:fldCharType="begin"/>
          </w:r>
          <w:r>
            <w:instrText xml:space="preserve"> PAGEREF _lnxbz9 \h </w:instrText>
          </w:r>
          <w:r>
            <w:fldChar w:fldCharType="separate"/>
          </w:r>
          <w:r>
            <w:rPr>
              <w:rFonts w:ascii="Times New Roman" w:eastAsia="Times New Roman" w:hAnsi="Times New Roman" w:cs="Times New Roman"/>
              <w:color w:val="000000"/>
              <w:sz w:val="24"/>
              <w:szCs w:val="24"/>
            </w:rPr>
            <w:t>11</w:t>
          </w:r>
          <w:r>
            <w:fldChar w:fldCharType="end"/>
          </w:r>
        </w:p>
        <w:p w14:paraId="6619E3C9" w14:textId="77777777" w:rsidR="00A665BE" w:rsidRDefault="00000000">
          <w:pPr>
            <w:tabs>
              <w:tab w:val="right" w:pos="9360"/>
            </w:tabs>
            <w:spacing w:before="60" w:line="240" w:lineRule="auto"/>
            <w:ind w:left="720"/>
            <w:rPr>
              <w:rFonts w:ascii="Times New Roman" w:eastAsia="Times New Roman" w:hAnsi="Times New Roman" w:cs="Times New Roman"/>
              <w:color w:val="000000"/>
              <w:sz w:val="24"/>
              <w:szCs w:val="24"/>
            </w:rPr>
          </w:pPr>
          <w:hyperlink w:anchor="_35nkun2">
            <w:r>
              <w:rPr>
                <w:rFonts w:ascii="Times New Roman" w:eastAsia="Times New Roman" w:hAnsi="Times New Roman" w:cs="Times New Roman"/>
                <w:color w:val="000000"/>
                <w:sz w:val="24"/>
                <w:szCs w:val="24"/>
              </w:rPr>
              <w:t>Demand Conditions</w:t>
            </w:r>
          </w:hyperlink>
          <w:r>
            <w:rPr>
              <w:rFonts w:ascii="Times New Roman" w:eastAsia="Times New Roman" w:hAnsi="Times New Roman" w:cs="Times New Roman"/>
              <w:color w:val="000000"/>
              <w:sz w:val="24"/>
              <w:szCs w:val="24"/>
            </w:rPr>
            <w:tab/>
          </w:r>
          <w:r>
            <w:fldChar w:fldCharType="begin"/>
          </w:r>
          <w:r>
            <w:instrText xml:space="preserve"> PAGEREF _35nkun2 \h </w:instrText>
          </w:r>
          <w:r>
            <w:fldChar w:fldCharType="separate"/>
          </w:r>
          <w:r>
            <w:rPr>
              <w:rFonts w:ascii="Times New Roman" w:eastAsia="Times New Roman" w:hAnsi="Times New Roman" w:cs="Times New Roman"/>
              <w:color w:val="000000"/>
              <w:sz w:val="24"/>
              <w:szCs w:val="24"/>
            </w:rPr>
            <w:t>12</w:t>
          </w:r>
          <w:r>
            <w:fldChar w:fldCharType="end"/>
          </w:r>
        </w:p>
        <w:p w14:paraId="0A44728F" w14:textId="77777777" w:rsidR="00A665BE" w:rsidRDefault="00000000">
          <w:pPr>
            <w:tabs>
              <w:tab w:val="right" w:pos="9360"/>
            </w:tabs>
            <w:spacing w:before="60" w:line="240" w:lineRule="auto"/>
            <w:ind w:left="720"/>
            <w:rPr>
              <w:rFonts w:ascii="Times New Roman" w:eastAsia="Times New Roman" w:hAnsi="Times New Roman" w:cs="Times New Roman"/>
              <w:color w:val="000000"/>
              <w:sz w:val="24"/>
              <w:szCs w:val="24"/>
            </w:rPr>
          </w:pPr>
          <w:hyperlink w:anchor="_1ksv4uv">
            <w:r>
              <w:rPr>
                <w:rFonts w:ascii="Times New Roman" w:eastAsia="Times New Roman" w:hAnsi="Times New Roman" w:cs="Times New Roman"/>
                <w:color w:val="000000"/>
                <w:sz w:val="24"/>
                <w:szCs w:val="24"/>
              </w:rPr>
              <w:t>Supporting Industries</w:t>
            </w:r>
          </w:hyperlink>
          <w:r>
            <w:rPr>
              <w:rFonts w:ascii="Times New Roman" w:eastAsia="Times New Roman" w:hAnsi="Times New Roman" w:cs="Times New Roman"/>
              <w:color w:val="000000"/>
              <w:sz w:val="24"/>
              <w:szCs w:val="24"/>
            </w:rPr>
            <w:tab/>
          </w:r>
          <w:r>
            <w:fldChar w:fldCharType="begin"/>
          </w:r>
          <w:r>
            <w:instrText xml:space="preserve"> PAGEREF _1ksv4uv \h </w:instrText>
          </w:r>
          <w:r>
            <w:fldChar w:fldCharType="separate"/>
          </w:r>
          <w:r>
            <w:rPr>
              <w:rFonts w:ascii="Times New Roman" w:eastAsia="Times New Roman" w:hAnsi="Times New Roman" w:cs="Times New Roman"/>
              <w:color w:val="000000"/>
              <w:sz w:val="24"/>
              <w:szCs w:val="24"/>
            </w:rPr>
            <w:t>13</w:t>
          </w:r>
          <w:r>
            <w:fldChar w:fldCharType="end"/>
          </w:r>
        </w:p>
        <w:p w14:paraId="7EEB97EF" w14:textId="77777777" w:rsidR="00A665BE" w:rsidRDefault="00000000">
          <w:pPr>
            <w:tabs>
              <w:tab w:val="right" w:pos="9360"/>
            </w:tabs>
            <w:spacing w:before="60" w:line="240" w:lineRule="auto"/>
            <w:ind w:left="720"/>
            <w:rPr>
              <w:rFonts w:ascii="Times New Roman" w:eastAsia="Times New Roman" w:hAnsi="Times New Roman" w:cs="Times New Roman"/>
              <w:color w:val="000000"/>
              <w:sz w:val="24"/>
              <w:szCs w:val="24"/>
            </w:rPr>
          </w:pPr>
          <w:hyperlink w:anchor="_44sinio">
            <w:r>
              <w:rPr>
                <w:rFonts w:ascii="Times New Roman" w:eastAsia="Times New Roman" w:hAnsi="Times New Roman" w:cs="Times New Roman"/>
                <w:color w:val="000000"/>
                <w:sz w:val="24"/>
                <w:szCs w:val="24"/>
              </w:rPr>
              <w:t>Firm Strategy, Rivalry, and Structure</w:t>
            </w:r>
          </w:hyperlink>
          <w:r>
            <w:rPr>
              <w:rFonts w:ascii="Times New Roman" w:eastAsia="Times New Roman" w:hAnsi="Times New Roman" w:cs="Times New Roman"/>
              <w:color w:val="000000"/>
              <w:sz w:val="24"/>
              <w:szCs w:val="24"/>
            </w:rPr>
            <w:tab/>
          </w:r>
          <w:r>
            <w:fldChar w:fldCharType="begin"/>
          </w:r>
          <w:r>
            <w:instrText xml:space="preserve"> PAGEREF _44sinio \h </w:instrText>
          </w:r>
          <w:r>
            <w:fldChar w:fldCharType="separate"/>
          </w:r>
          <w:r>
            <w:rPr>
              <w:rFonts w:ascii="Times New Roman" w:eastAsia="Times New Roman" w:hAnsi="Times New Roman" w:cs="Times New Roman"/>
              <w:color w:val="000000"/>
              <w:sz w:val="24"/>
              <w:szCs w:val="24"/>
            </w:rPr>
            <w:t>13</w:t>
          </w:r>
          <w:r>
            <w:fldChar w:fldCharType="end"/>
          </w:r>
        </w:p>
        <w:p w14:paraId="2F30B0AC" w14:textId="77777777" w:rsidR="00A665BE" w:rsidRDefault="00000000">
          <w:pPr>
            <w:tabs>
              <w:tab w:val="right" w:pos="9360"/>
            </w:tabs>
            <w:spacing w:before="200" w:line="240" w:lineRule="auto"/>
            <w:rPr>
              <w:rFonts w:ascii="Times New Roman" w:eastAsia="Times New Roman" w:hAnsi="Times New Roman" w:cs="Times New Roman"/>
              <w:color w:val="000000"/>
              <w:sz w:val="24"/>
              <w:szCs w:val="24"/>
            </w:rPr>
          </w:pPr>
          <w:hyperlink w:anchor="_2jxsxqh">
            <w:r>
              <w:rPr>
                <w:rFonts w:ascii="Times New Roman" w:eastAsia="Times New Roman" w:hAnsi="Times New Roman" w:cs="Times New Roman"/>
                <w:color w:val="000000"/>
                <w:sz w:val="24"/>
                <w:szCs w:val="24"/>
              </w:rPr>
              <w:t>Exploiting Opportunities and Addressing Challenges associated with the Chinese Market</w:t>
            </w:r>
          </w:hyperlink>
          <w:r>
            <w:rPr>
              <w:rFonts w:ascii="Times New Roman" w:eastAsia="Times New Roman" w:hAnsi="Times New Roman" w:cs="Times New Roman"/>
              <w:color w:val="000000"/>
              <w:sz w:val="24"/>
              <w:szCs w:val="24"/>
            </w:rPr>
            <w:tab/>
          </w:r>
          <w:r>
            <w:fldChar w:fldCharType="begin"/>
          </w:r>
          <w:r>
            <w:instrText xml:space="preserve"> PAGEREF _2jxsxqh \h </w:instrText>
          </w:r>
          <w:r>
            <w:fldChar w:fldCharType="separate"/>
          </w:r>
          <w:r>
            <w:rPr>
              <w:rFonts w:ascii="Times New Roman" w:eastAsia="Times New Roman" w:hAnsi="Times New Roman" w:cs="Times New Roman"/>
              <w:color w:val="000000"/>
              <w:sz w:val="24"/>
              <w:szCs w:val="24"/>
            </w:rPr>
            <w:t>14</w:t>
          </w:r>
          <w:r>
            <w:fldChar w:fldCharType="end"/>
          </w:r>
        </w:p>
        <w:p w14:paraId="79F69245" w14:textId="77777777" w:rsidR="00A665BE" w:rsidRDefault="00000000">
          <w:pPr>
            <w:tabs>
              <w:tab w:val="right" w:pos="9360"/>
            </w:tabs>
            <w:spacing w:before="200" w:line="240" w:lineRule="auto"/>
            <w:rPr>
              <w:rFonts w:ascii="Times New Roman" w:eastAsia="Times New Roman" w:hAnsi="Times New Roman" w:cs="Times New Roman"/>
              <w:color w:val="000000"/>
              <w:sz w:val="24"/>
              <w:szCs w:val="24"/>
            </w:rPr>
          </w:pPr>
          <w:hyperlink w:anchor="_z337ya">
            <w:r>
              <w:rPr>
                <w:rFonts w:ascii="Times New Roman" w:eastAsia="Times New Roman" w:hAnsi="Times New Roman" w:cs="Times New Roman"/>
                <w:color w:val="000000"/>
                <w:sz w:val="24"/>
                <w:szCs w:val="24"/>
              </w:rPr>
              <w:t>Overcoming Barriers in the Chinese Sportswear Market</w:t>
            </w:r>
          </w:hyperlink>
          <w:r>
            <w:rPr>
              <w:rFonts w:ascii="Times New Roman" w:eastAsia="Times New Roman" w:hAnsi="Times New Roman" w:cs="Times New Roman"/>
              <w:color w:val="000000"/>
              <w:sz w:val="24"/>
              <w:szCs w:val="24"/>
            </w:rPr>
            <w:tab/>
          </w:r>
          <w:r>
            <w:fldChar w:fldCharType="begin"/>
          </w:r>
          <w:r>
            <w:instrText xml:space="preserve"> PAGEREF _z337ya \h </w:instrText>
          </w:r>
          <w:r>
            <w:fldChar w:fldCharType="separate"/>
          </w:r>
          <w:r>
            <w:rPr>
              <w:rFonts w:ascii="Times New Roman" w:eastAsia="Times New Roman" w:hAnsi="Times New Roman" w:cs="Times New Roman"/>
              <w:color w:val="000000"/>
              <w:sz w:val="24"/>
              <w:szCs w:val="24"/>
            </w:rPr>
            <w:t>15</w:t>
          </w:r>
          <w:r>
            <w:fldChar w:fldCharType="end"/>
          </w:r>
        </w:p>
        <w:p w14:paraId="03564E77" w14:textId="77777777" w:rsidR="00A665BE" w:rsidRDefault="00000000">
          <w:pPr>
            <w:tabs>
              <w:tab w:val="right" w:pos="9360"/>
            </w:tabs>
            <w:spacing w:before="200" w:line="240" w:lineRule="auto"/>
            <w:rPr>
              <w:rFonts w:ascii="Times New Roman" w:eastAsia="Times New Roman" w:hAnsi="Times New Roman" w:cs="Times New Roman"/>
              <w:color w:val="000000"/>
              <w:sz w:val="24"/>
              <w:szCs w:val="24"/>
            </w:rPr>
          </w:pPr>
          <w:hyperlink w:anchor="_3j2qqm3">
            <w:r>
              <w:rPr>
                <w:rFonts w:ascii="Times New Roman" w:eastAsia="Times New Roman" w:hAnsi="Times New Roman" w:cs="Times New Roman"/>
                <w:color w:val="000000"/>
                <w:sz w:val="24"/>
                <w:szCs w:val="24"/>
              </w:rPr>
              <w:t>Conclusion</w:t>
            </w:r>
          </w:hyperlink>
          <w:r>
            <w:rPr>
              <w:rFonts w:ascii="Times New Roman" w:eastAsia="Times New Roman" w:hAnsi="Times New Roman" w:cs="Times New Roman"/>
              <w:color w:val="000000"/>
              <w:sz w:val="24"/>
              <w:szCs w:val="24"/>
            </w:rPr>
            <w:tab/>
          </w:r>
          <w:r>
            <w:fldChar w:fldCharType="begin"/>
          </w:r>
          <w:r>
            <w:instrText xml:space="preserve"> PAGEREF _3j2qqm3 \h </w:instrText>
          </w:r>
          <w:r>
            <w:fldChar w:fldCharType="separate"/>
          </w:r>
          <w:r>
            <w:rPr>
              <w:rFonts w:ascii="Times New Roman" w:eastAsia="Times New Roman" w:hAnsi="Times New Roman" w:cs="Times New Roman"/>
              <w:color w:val="000000"/>
              <w:sz w:val="24"/>
              <w:szCs w:val="24"/>
            </w:rPr>
            <w:t>16</w:t>
          </w:r>
          <w:r>
            <w:fldChar w:fldCharType="end"/>
          </w:r>
        </w:p>
        <w:p w14:paraId="210CE634" w14:textId="77777777" w:rsidR="00A665BE" w:rsidRDefault="00000000">
          <w:pPr>
            <w:tabs>
              <w:tab w:val="right" w:pos="9360"/>
            </w:tabs>
            <w:spacing w:before="200" w:line="240" w:lineRule="auto"/>
            <w:rPr>
              <w:rFonts w:ascii="Times New Roman" w:eastAsia="Times New Roman" w:hAnsi="Times New Roman" w:cs="Times New Roman"/>
              <w:color w:val="000000"/>
              <w:sz w:val="24"/>
              <w:szCs w:val="24"/>
            </w:rPr>
          </w:pPr>
          <w:hyperlink w:anchor="_1y810tw">
            <w:r>
              <w:rPr>
                <w:rFonts w:ascii="Times New Roman" w:eastAsia="Times New Roman" w:hAnsi="Times New Roman" w:cs="Times New Roman"/>
                <w:color w:val="000000"/>
                <w:sz w:val="24"/>
                <w:szCs w:val="24"/>
              </w:rPr>
              <w:t>Recommendation</w:t>
            </w:r>
          </w:hyperlink>
          <w:r>
            <w:rPr>
              <w:rFonts w:ascii="Times New Roman" w:eastAsia="Times New Roman" w:hAnsi="Times New Roman" w:cs="Times New Roman"/>
              <w:color w:val="000000"/>
              <w:sz w:val="24"/>
              <w:szCs w:val="24"/>
            </w:rPr>
            <w:tab/>
          </w:r>
          <w:r>
            <w:fldChar w:fldCharType="begin"/>
          </w:r>
          <w:r>
            <w:instrText xml:space="preserve"> PAGEREF _1y810tw \h </w:instrText>
          </w:r>
          <w:r>
            <w:fldChar w:fldCharType="separate"/>
          </w:r>
          <w:r>
            <w:rPr>
              <w:rFonts w:ascii="Times New Roman" w:eastAsia="Times New Roman" w:hAnsi="Times New Roman" w:cs="Times New Roman"/>
              <w:color w:val="000000"/>
              <w:sz w:val="24"/>
              <w:szCs w:val="24"/>
            </w:rPr>
            <w:t>17</w:t>
          </w:r>
          <w:r>
            <w:fldChar w:fldCharType="end"/>
          </w:r>
        </w:p>
        <w:p w14:paraId="74201367" w14:textId="7A5D3A45" w:rsidR="00822F71" w:rsidRPr="00822F71" w:rsidRDefault="00000000">
          <w:pPr>
            <w:tabs>
              <w:tab w:val="right" w:pos="9360"/>
            </w:tabs>
            <w:spacing w:before="200" w:after="80" w:line="240" w:lineRule="auto"/>
            <w:rPr>
              <w:rFonts w:ascii="Times New Roman" w:eastAsia="Times New Roman" w:hAnsi="Times New Roman" w:cs="Times New Roman"/>
              <w:color w:val="000000"/>
              <w:sz w:val="24"/>
              <w:szCs w:val="24"/>
            </w:rPr>
          </w:pPr>
          <w:hyperlink w:anchor="_4i7ojhp">
            <w:r>
              <w:rPr>
                <w:rFonts w:ascii="Times New Roman" w:eastAsia="Times New Roman" w:hAnsi="Times New Roman" w:cs="Times New Roman"/>
                <w:color w:val="000000"/>
                <w:sz w:val="24"/>
                <w:szCs w:val="24"/>
              </w:rPr>
              <w:t>References</w:t>
            </w:r>
          </w:hyperlink>
          <w:r>
            <w:rPr>
              <w:rFonts w:ascii="Times New Roman" w:eastAsia="Times New Roman" w:hAnsi="Times New Roman" w:cs="Times New Roman"/>
              <w:color w:val="000000"/>
              <w:sz w:val="24"/>
              <w:szCs w:val="24"/>
            </w:rPr>
            <w:tab/>
          </w:r>
          <w:r>
            <w:fldChar w:fldCharType="begin"/>
          </w:r>
          <w:r>
            <w:instrText xml:space="preserve"> PAGEREF _4i7ojhp \h </w:instrText>
          </w:r>
          <w:r>
            <w:fldChar w:fldCharType="separate"/>
          </w:r>
          <w:r>
            <w:rPr>
              <w:rFonts w:ascii="Times New Roman" w:eastAsia="Times New Roman" w:hAnsi="Times New Roman" w:cs="Times New Roman"/>
              <w:color w:val="000000"/>
              <w:sz w:val="24"/>
              <w:szCs w:val="24"/>
            </w:rPr>
            <w:t>18</w:t>
          </w:r>
          <w:r>
            <w:fldChar w:fldCharType="end"/>
          </w:r>
          <w:r>
            <w:fldChar w:fldCharType="end"/>
          </w:r>
        </w:p>
        <w:p w14:paraId="06E80A7F" w14:textId="5CCF2ADB" w:rsidR="00A665BE" w:rsidRDefault="00822F71">
          <w:pPr>
            <w:tabs>
              <w:tab w:val="right" w:pos="9360"/>
            </w:tabs>
            <w:spacing w:before="200" w:after="80" w:line="240" w:lineRule="auto"/>
            <w:rPr>
              <w:rFonts w:ascii="Times New Roman" w:eastAsia="Times New Roman" w:hAnsi="Times New Roman" w:cs="Times New Roman"/>
              <w:color w:val="000000"/>
              <w:sz w:val="24"/>
              <w:szCs w:val="24"/>
            </w:rPr>
          </w:pPr>
          <w:r>
            <w:t xml:space="preserve">                                                                                                                                                                </w:t>
          </w:r>
        </w:p>
      </w:sdtContent>
    </w:sdt>
    <w:p w14:paraId="0EE7670F" w14:textId="77777777" w:rsidR="00A665BE" w:rsidRDefault="00A665BE">
      <w:pPr>
        <w:spacing w:line="480" w:lineRule="auto"/>
        <w:rPr>
          <w:rFonts w:ascii="Times New Roman" w:eastAsia="Times New Roman" w:hAnsi="Times New Roman" w:cs="Times New Roman"/>
          <w:b/>
          <w:sz w:val="24"/>
          <w:szCs w:val="24"/>
        </w:rPr>
      </w:pPr>
      <w:bookmarkStart w:id="1" w:name="_z0sb27a7khy4" w:colFirst="0" w:colLast="0"/>
      <w:bookmarkEnd w:id="1"/>
    </w:p>
    <w:p w14:paraId="5E695169" w14:textId="77777777" w:rsidR="00A665BE" w:rsidRDefault="00A665BE">
      <w:pPr>
        <w:spacing w:line="480" w:lineRule="auto"/>
        <w:rPr>
          <w:rFonts w:ascii="Times New Roman" w:eastAsia="Times New Roman" w:hAnsi="Times New Roman" w:cs="Times New Roman"/>
          <w:b/>
          <w:sz w:val="24"/>
          <w:szCs w:val="24"/>
        </w:rPr>
      </w:pPr>
    </w:p>
    <w:p w14:paraId="0965145F" w14:textId="77777777" w:rsidR="00A665BE" w:rsidRDefault="00A665BE">
      <w:pPr>
        <w:spacing w:line="480" w:lineRule="auto"/>
        <w:rPr>
          <w:rFonts w:ascii="Times New Roman" w:eastAsia="Times New Roman" w:hAnsi="Times New Roman" w:cs="Times New Roman"/>
          <w:b/>
          <w:sz w:val="24"/>
          <w:szCs w:val="24"/>
        </w:rPr>
      </w:pPr>
    </w:p>
    <w:p w14:paraId="05CB3138" w14:textId="77777777" w:rsidR="00A665BE" w:rsidRDefault="00A665BE">
      <w:pPr>
        <w:spacing w:line="480" w:lineRule="auto"/>
        <w:rPr>
          <w:rFonts w:ascii="Times New Roman" w:eastAsia="Times New Roman" w:hAnsi="Times New Roman" w:cs="Times New Roman"/>
          <w:b/>
          <w:sz w:val="24"/>
          <w:szCs w:val="24"/>
        </w:rPr>
      </w:pPr>
    </w:p>
    <w:p w14:paraId="5F2BE75E" w14:textId="77777777" w:rsidR="00A665BE" w:rsidRDefault="00000000">
      <w:pPr>
        <w:pStyle w:val="Heading1"/>
        <w:spacing w:line="480" w:lineRule="auto"/>
        <w:rPr>
          <w:rFonts w:ascii="Times New Roman" w:eastAsia="Times New Roman" w:hAnsi="Times New Roman" w:cs="Times New Roman"/>
          <w:b/>
          <w:color w:val="000000"/>
          <w:sz w:val="28"/>
          <w:szCs w:val="28"/>
        </w:rPr>
      </w:pPr>
      <w:bookmarkStart w:id="2" w:name="_1fob9te" w:colFirst="0" w:colLast="0"/>
      <w:bookmarkEnd w:id="2"/>
      <w:r>
        <w:rPr>
          <w:rFonts w:ascii="Times New Roman" w:eastAsia="Times New Roman" w:hAnsi="Times New Roman" w:cs="Times New Roman"/>
          <w:b/>
          <w:color w:val="000000"/>
          <w:sz w:val="28"/>
          <w:szCs w:val="28"/>
        </w:rPr>
        <w:t xml:space="preserve">Introduction </w:t>
      </w:r>
    </w:p>
    <w:p w14:paraId="3257D991"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market globalisation trend has offered business organisations opportunities for continuous growth, competitiveness enhancement, and profit maximisation. Successful internationalisation requires companies to address political, economic, and social challenges associated with overseas markets. The situation means that Nike must address different challenges in its attempt to move its production facilities to China. Notably, Nike refers to a US-based multinational company that designs, produces, and sells diverse athletics products, including sports balls, sports apparel, protective equipment, sports shoes, footwear, and bags. The company operates more than 700 production facilities and employs over 70,000 employees internationally (Maarten &amp; Parisa, 2021). The multinational company has maintained dominance in the international sportswear market using strategies like strong organisational culture, quality maximisation, innovation, and an effective logistical approach</w:t>
      </w:r>
      <w:r>
        <w:rPr>
          <w:rFonts w:ascii="Times New Roman" w:eastAsia="Times New Roman" w:hAnsi="Times New Roman" w:cs="Times New Roman"/>
        </w:rPr>
        <w:t xml:space="preserve"> (</w:t>
      </w:r>
      <w:proofErr w:type="spellStart"/>
      <w:r>
        <w:rPr>
          <w:rFonts w:ascii="Times New Roman" w:eastAsia="Times New Roman" w:hAnsi="Times New Roman" w:cs="Times New Roman"/>
          <w:sz w:val="24"/>
          <w:szCs w:val="24"/>
        </w:rPr>
        <w:t>Su</w:t>
      </w:r>
      <w:proofErr w:type="spellEnd"/>
      <w:r>
        <w:rPr>
          <w:rFonts w:ascii="Times New Roman" w:eastAsia="Times New Roman" w:hAnsi="Times New Roman" w:cs="Times New Roman"/>
          <w:sz w:val="24"/>
          <w:szCs w:val="24"/>
        </w:rPr>
        <w:t xml:space="preserve"> &amp; Tong, 2015). The multinational sportswear company focuses on reducing operational costs and increasing profitability using its Chinese production facilities. The management can acquire comprehensive details about the Chinese market using the Porter Diamond model and PESTLE analysis tool. </w:t>
      </w:r>
    </w:p>
    <w:p w14:paraId="6F425009" w14:textId="77777777" w:rsidR="00A665BE" w:rsidRDefault="00A665BE">
      <w:pPr>
        <w:spacing w:line="480" w:lineRule="auto"/>
        <w:ind w:firstLine="720"/>
        <w:rPr>
          <w:rFonts w:ascii="Times New Roman" w:eastAsia="Times New Roman" w:hAnsi="Times New Roman" w:cs="Times New Roman"/>
          <w:sz w:val="24"/>
          <w:szCs w:val="24"/>
        </w:rPr>
      </w:pPr>
    </w:p>
    <w:p w14:paraId="5E056A98" w14:textId="77777777" w:rsidR="00A665BE" w:rsidRDefault="00000000">
      <w:pPr>
        <w:pStyle w:val="Heading1"/>
        <w:spacing w:line="480" w:lineRule="auto"/>
        <w:rPr>
          <w:rFonts w:ascii="Times New Roman" w:eastAsia="Times New Roman" w:hAnsi="Times New Roman" w:cs="Times New Roman"/>
          <w:b/>
          <w:color w:val="000000"/>
          <w:sz w:val="28"/>
          <w:szCs w:val="28"/>
        </w:rPr>
      </w:pPr>
      <w:bookmarkStart w:id="3" w:name="_3znysh7" w:colFirst="0" w:colLast="0"/>
      <w:bookmarkEnd w:id="3"/>
      <w:r>
        <w:rPr>
          <w:rFonts w:ascii="Times New Roman" w:eastAsia="Times New Roman" w:hAnsi="Times New Roman" w:cs="Times New Roman"/>
          <w:b/>
          <w:color w:val="000000"/>
          <w:sz w:val="28"/>
          <w:szCs w:val="28"/>
        </w:rPr>
        <w:t xml:space="preserve">Overview of China </w:t>
      </w:r>
    </w:p>
    <w:p w14:paraId="10D736D8"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 refers to a huge and populous East Asia nation bordering fourteen sovereign states, the South China Sea, Korea Bay, and the East China Sea. Countries neighbouring the nation include Tajikistan, Myanmar, Bhutan, Kazakhstan, Laos, Mongolia, Nepal, North Korea, Russia, </w:t>
      </w:r>
      <w:r>
        <w:rPr>
          <w:rFonts w:ascii="Times New Roman" w:eastAsia="Times New Roman" w:hAnsi="Times New Roman" w:cs="Times New Roman"/>
          <w:sz w:val="24"/>
          <w:szCs w:val="24"/>
        </w:rPr>
        <w:lastRenderedPageBreak/>
        <w:t>Afghanistan, Kyrgyzstan, Pakistan, India, and Mongolia. China covers an area of around 9.597 million square kilometres and has approximately 1.4 billion inhabitants (</w:t>
      </w:r>
      <w:proofErr w:type="spellStart"/>
      <w:r>
        <w:rPr>
          <w:rFonts w:ascii="Times New Roman" w:eastAsia="Times New Roman" w:hAnsi="Times New Roman" w:cs="Times New Roman"/>
          <w:sz w:val="24"/>
          <w:szCs w:val="24"/>
        </w:rPr>
        <w:t>FinlandChinaGo</w:t>
      </w:r>
      <w:proofErr w:type="spellEnd"/>
      <w:r>
        <w:rPr>
          <w:rFonts w:ascii="Times New Roman" w:eastAsia="Times New Roman" w:hAnsi="Times New Roman" w:cs="Times New Roman"/>
          <w:sz w:val="24"/>
          <w:szCs w:val="24"/>
        </w:rPr>
        <w:t xml:space="preserve">, 2022). Major dialects utilised in China are Mandarin, Hakka dialect, Wu dialect, Xiang, and Yue. The East Asian nation comprises five autonomous regions (Xinjiang, Tibet, Ningxia, Guangxi, and Inner Mongolia) and 23 provinces (Dull, 2022). A stable political system has allowed the nation to preserve the Chinese culture, unite citizens, and stabilise its economy. The Chinese economy has grown tremendously within the last 40 years due to rapid technological development, increased resource-intensive manufacturing, and large-scale capital investment. Economic and political activities in the nation are coordinated in its major cities, including Hong Kong, Chongqing, Tianjin, Beijing, and Shanghai. Today, foreign trade liberalisation, high labour productivity, and globalisation have encouraged multinational companies to enter the Chinese market. </w:t>
      </w:r>
    </w:p>
    <w:p w14:paraId="2B5FA5FB" w14:textId="77777777" w:rsidR="00A665BE" w:rsidRDefault="00A665BE">
      <w:pPr>
        <w:spacing w:line="480" w:lineRule="auto"/>
        <w:ind w:firstLine="720"/>
        <w:rPr>
          <w:rFonts w:ascii="Times New Roman" w:eastAsia="Times New Roman" w:hAnsi="Times New Roman" w:cs="Times New Roman"/>
          <w:sz w:val="24"/>
          <w:szCs w:val="24"/>
        </w:rPr>
      </w:pPr>
    </w:p>
    <w:p w14:paraId="0F6F59CA" w14:textId="77777777" w:rsidR="00A665BE" w:rsidRDefault="00000000">
      <w:pPr>
        <w:pStyle w:val="Heading1"/>
        <w:spacing w:line="480" w:lineRule="auto"/>
        <w:rPr>
          <w:rFonts w:ascii="Times New Roman" w:eastAsia="Times New Roman" w:hAnsi="Times New Roman" w:cs="Times New Roman"/>
          <w:b/>
          <w:color w:val="000000"/>
          <w:sz w:val="28"/>
          <w:szCs w:val="28"/>
        </w:rPr>
      </w:pPr>
      <w:bookmarkStart w:id="4" w:name="_2et92p0" w:colFirst="0" w:colLast="0"/>
      <w:bookmarkEnd w:id="4"/>
      <w:r>
        <w:rPr>
          <w:rFonts w:ascii="Times New Roman" w:eastAsia="Times New Roman" w:hAnsi="Times New Roman" w:cs="Times New Roman"/>
          <w:b/>
          <w:color w:val="000000"/>
          <w:sz w:val="28"/>
          <w:szCs w:val="28"/>
        </w:rPr>
        <w:t xml:space="preserve">Analysing the Chinese Business Environment </w:t>
      </w:r>
    </w:p>
    <w:p w14:paraId="3DD4586D"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multinational organisation understands that the Chinese economy provides growth and expansion opportunities. Specifically, high labour productivity and foreign trade liberalisation align with Nike’s desire for high-profit margins, revenues, and product volumes. Still, the management needs to perform thorough market research to understand the Chinese macro environment. Fortunately, the Porter Diamond model and PESTLE analysis tool provide comprehensive information about macro environments, which promotes evidence-based decision-making during internalisation (Manley et al., 2019). The PESTLE analysis tool provides details about macro-environmental variables, namely political (P), economic (E), social (S), technological (T), legal (L), and environmental (E) variables. The Porter Diamond model allows </w:t>
      </w:r>
      <w:r>
        <w:rPr>
          <w:rFonts w:ascii="Times New Roman" w:eastAsia="Times New Roman" w:hAnsi="Times New Roman" w:cs="Times New Roman"/>
          <w:sz w:val="24"/>
          <w:szCs w:val="24"/>
        </w:rPr>
        <w:lastRenderedPageBreak/>
        <w:t xml:space="preserve">organisations to comprehend organisational competitiveness in markets by analysing factors like demand conditions; firm strategy, rivalry, structure; supporting industries; and factor conditions. Hence, these market analysis tools offer Nike an opportunity for understanding the Chinese market. </w:t>
      </w:r>
    </w:p>
    <w:p w14:paraId="1651105D" w14:textId="77777777" w:rsidR="00A665BE" w:rsidRDefault="00A665BE">
      <w:pPr>
        <w:spacing w:line="480" w:lineRule="auto"/>
        <w:ind w:firstLine="720"/>
        <w:rPr>
          <w:rFonts w:ascii="Times New Roman" w:eastAsia="Times New Roman" w:hAnsi="Times New Roman" w:cs="Times New Roman"/>
          <w:sz w:val="24"/>
          <w:szCs w:val="24"/>
        </w:rPr>
      </w:pPr>
    </w:p>
    <w:p w14:paraId="3EED6D31" w14:textId="77777777" w:rsidR="00A665BE" w:rsidRDefault="00000000">
      <w:pPr>
        <w:pStyle w:val="Heading2"/>
        <w:spacing w:line="480" w:lineRule="auto"/>
        <w:ind w:firstLine="720"/>
        <w:rPr>
          <w:rFonts w:ascii="Times New Roman" w:eastAsia="Times New Roman" w:hAnsi="Times New Roman" w:cs="Times New Roman"/>
          <w:sz w:val="26"/>
          <w:szCs w:val="26"/>
        </w:rPr>
      </w:pPr>
      <w:bookmarkStart w:id="5" w:name="_tyjcwt" w:colFirst="0" w:colLast="0"/>
      <w:bookmarkEnd w:id="5"/>
      <w:r>
        <w:rPr>
          <w:rFonts w:ascii="Times New Roman" w:eastAsia="Times New Roman" w:hAnsi="Times New Roman" w:cs="Times New Roman"/>
          <w:sz w:val="26"/>
          <w:szCs w:val="26"/>
        </w:rPr>
        <w:t xml:space="preserve">PESTLE Analysis </w:t>
      </w:r>
    </w:p>
    <w:p w14:paraId="3582CD7D" w14:textId="77777777" w:rsidR="00A665BE"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C20332E" wp14:editId="1A583AFD">
            <wp:extent cx="4705350" cy="36099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705350" cy="3609975"/>
                    </a:xfrm>
                    <a:prstGeom prst="rect">
                      <a:avLst/>
                    </a:prstGeom>
                    <a:ln/>
                  </pic:spPr>
                </pic:pic>
              </a:graphicData>
            </a:graphic>
          </wp:inline>
        </w:drawing>
      </w:r>
    </w:p>
    <w:p w14:paraId="76120255" w14:textId="77777777" w:rsidR="00A665BE"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PESTLE Analysis</w:t>
      </w:r>
    </w:p>
    <w:p w14:paraId="2BF0737C" w14:textId="77777777" w:rsidR="00A665BE"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https://www.shopivo.com/blog/writing/how-to-write-a-pestle-analysis-to-examine-factors-that-affect-your-business/</w:t>
      </w:r>
    </w:p>
    <w:p w14:paraId="428B3895" w14:textId="77777777" w:rsidR="00A665BE" w:rsidRDefault="00000000">
      <w:pPr>
        <w:pStyle w:val="Heading3"/>
        <w:spacing w:line="480" w:lineRule="auto"/>
        <w:ind w:left="720" w:firstLine="720"/>
        <w:rPr>
          <w:rFonts w:ascii="Times New Roman" w:eastAsia="Times New Roman" w:hAnsi="Times New Roman" w:cs="Times New Roman"/>
          <w:i/>
          <w:sz w:val="24"/>
          <w:szCs w:val="24"/>
        </w:rPr>
      </w:pPr>
      <w:bookmarkStart w:id="6" w:name="_3dy6vkm" w:colFirst="0" w:colLast="0"/>
      <w:bookmarkEnd w:id="6"/>
      <w:r>
        <w:rPr>
          <w:rFonts w:ascii="Times New Roman" w:eastAsia="Times New Roman" w:hAnsi="Times New Roman" w:cs="Times New Roman"/>
          <w:i/>
          <w:sz w:val="24"/>
          <w:szCs w:val="24"/>
        </w:rPr>
        <w:lastRenderedPageBreak/>
        <w:t xml:space="preserve">Political Factors </w:t>
      </w:r>
    </w:p>
    <w:p w14:paraId="7206927A"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 country’s political condition influences business organisations selling products, offering services, and running production facilities within its borders. Currently, political factors supporting business operations in the Chinese market include political stability, foreign trade liberalisation, and global political influence. The single-party democracy has enabled China to avoid divisive politics associated with multi-party systems. Markedly, the Chinese Communist Party has created the unity and stability required to attract foreign investors</w:t>
      </w:r>
      <w:r>
        <w:rPr>
          <w:rFonts w:ascii="Times New Roman" w:eastAsia="Times New Roman" w:hAnsi="Times New Roman" w:cs="Times New Roman"/>
        </w:rPr>
        <w:t xml:space="preserve"> (</w:t>
      </w:r>
      <w:r>
        <w:rPr>
          <w:rFonts w:ascii="Times New Roman" w:eastAsia="Times New Roman" w:hAnsi="Times New Roman" w:cs="Times New Roman"/>
          <w:sz w:val="24"/>
          <w:szCs w:val="24"/>
        </w:rPr>
        <w:t>Rahman, 2022). Joining major international organisations like BRICKS, ASEAN Plus, G2O, APEC, BCIM, and WTO has enabled China to maintain a working relationship with other nations globally</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Ba, 2003). The government reduced corporate income tax from 25% to 15% in 2014 to encourage investment and improve business performance (Zhang, 2021). However, the Chinese government maintains strict and rapidly changing policies like censorship, which negatively impacts foreign and Chinese traders. The focus on socialism creates a problematic relationship between China and capitalist nations like Britain and USA.  </w:t>
      </w:r>
    </w:p>
    <w:p w14:paraId="012E572C" w14:textId="77777777" w:rsidR="00A665BE" w:rsidRDefault="00A665BE">
      <w:pPr>
        <w:spacing w:line="480" w:lineRule="auto"/>
        <w:ind w:firstLine="720"/>
        <w:rPr>
          <w:rFonts w:ascii="Times New Roman" w:eastAsia="Times New Roman" w:hAnsi="Times New Roman" w:cs="Times New Roman"/>
          <w:sz w:val="24"/>
          <w:szCs w:val="24"/>
        </w:rPr>
      </w:pPr>
    </w:p>
    <w:p w14:paraId="69D2E868" w14:textId="77777777" w:rsidR="00A665BE" w:rsidRDefault="00000000">
      <w:pPr>
        <w:pStyle w:val="Heading3"/>
        <w:spacing w:line="480" w:lineRule="auto"/>
        <w:ind w:left="720" w:firstLine="720"/>
        <w:rPr>
          <w:rFonts w:ascii="Times New Roman" w:eastAsia="Times New Roman" w:hAnsi="Times New Roman" w:cs="Times New Roman"/>
          <w:i/>
          <w:sz w:val="24"/>
          <w:szCs w:val="24"/>
        </w:rPr>
      </w:pPr>
      <w:bookmarkStart w:id="7" w:name="_1t3h5sf" w:colFirst="0" w:colLast="0"/>
      <w:bookmarkEnd w:id="7"/>
      <w:r>
        <w:rPr>
          <w:rFonts w:ascii="Times New Roman" w:eastAsia="Times New Roman" w:hAnsi="Times New Roman" w:cs="Times New Roman"/>
          <w:i/>
          <w:sz w:val="24"/>
          <w:szCs w:val="24"/>
        </w:rPr>
        <w:t xml:space="preserve">Economic Factors </w:t>
      </w:r>
    </w:p>
    <w:p w14:paraId="5B2ACB2D"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Nike’s management should understand that a nation’s economic condition can affect its growth and profitability. China provides a proper economic condition for businesses due to its high foreign direct investment (FDI), rapid GDP (gross domestic product) growth, and high engagement in international trade (Rahman, 2022). A high FDI (approximately $137.3 billion) means that the nation offers investors opportunities like cheap labour, a stable political environment, and developed infrastructure. A market-based economy enabled the nation to </w:t>
      </w:r>
      <w:r>
        <w:rPr>
          <w:rFonts w:ascii="Times New Roman" w:eastAsia="Times New Roman" w:hAnsi="Times New Roman" w:cs="Times New Roman"/>
          <w:sz w:val="24"/>
          <w:szCs w:val="24"/>
        </w:rPr>
        <w:lastRenderedPageBreak/>
        <w:t xml:space="preserve">increase its GDP from $149.5 billion to approximately $14.72 billion between 1978 and 2020 (Data Commons, 2020). The nation provides cheap and adequate labour that developed nations in Europe and North America, which enables companies to reduce operational costs and increase profit margins. However, the increasing minimum wage due to the rapid economic growth creates possibilities for the production cost increase in China. Additional economic factors creating chances for production cost escalation include rising property costs and a high inflation rate. </w:t>
      </w:r>
    </w:p>
    <w:p w14:paraId="13C16A26" w14:textId="77777777" w:rsidR="00A665BE" w:rsidRDefault="00A665BE">
      <w:pPr>
        <w:spacing w:line="480" w:lineRule="auto"/>
        <w:ind w:firstLine="720"/>
        <w:rPr>
          <w:rFonts w:ascii="Times New Roman" w:eastAsia="Times New Roman" w:hAnsi="Times New Roman" w:cs="Times New Roman"/>
          <w:sz w:val="24"/>
          <w:szCs w:val="24"/>
        </w:rPr>
      </w:pPr>
    </w:p>
    <w:p w14:paraId="7E11DD63" w14:textId="77777777" w:rsidR="00A665BE" w:rsidRDefault="00000000">
      <w:pPr>
        <w:pStyle w:val="Heading3"/>
        <w:spacing w:line="480" w:lineRule="auto"/>
        <w:ind w:left="720" w:firstLine="720"/>
        <w:rPr>
          <w:rFonts w:ascii="Times New Roman" w:eastAsia="Times New Roman" w:hAnsi="Times New Roman" w:cs="Times New Roman"/>
          <w:i/>
          <w:sz w:val="24"/>
          <w:szCs w:val="24"/>
        </w:rPr>
      </w:pPr>
      <w:bookmarkStart w:id="8" w:name="_4d34og8" w:colFirst="0" w:colLast="0"/>
      <w:bookmarkEnd w:id="8"/>
      <w:r>
        <w:rPr>
          <w:rFonts w:ascii="Times New Roman" w:eastAsia="Times New Roman" w:hAnsi="Times New Roman" w:cs="Times New Roman"/>
          <w:i/>
          <w:sz w:val="24"/>
          <w:szCs w:val="24"/>
        </w:rPr>
        <w:t>Social Factors</w:t>
      </w:r>
    </w:p>
    <w:p w14:paraId="0E6717E7"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conditions in a nation create an indirect impact on economies and business organisations. Important social factors making the Chinese market highly attractive to foreign investors include online shopping, a high literacy rate, and growing consumerism culture (Rahman, 2022). The high literacy rate allowed foreign companies to access low-cost, </w:t>
      </w:r>
      <w:proofErr w:type="gramStart"/>
      <w:r>
        <w:rPr>
          <w:rFonts w:ascii="Times New Roman" w:eastAsia="Times New Roman" w:hAnsi="Times New Roman" w:cs="Times New Roman"/>
          <w:sz w:val="24"/>
          <w:szCs w:val="24"/>
        </w:rPr>
        <w:t>knowledgeable</w:t>
      </w:r>
      <w:proofErr w:type="gramEnd"/>
      <w:r>
        <w:rPr>
          <w:rFonts w:ascii="Times New Roman" w:eastAsia="Times New Roman" w:hAnsi="Times New Roman" w:cs="Times New Roman"/>
          <w:sz w:val="24"/>
          <w:szCs w:val="24"/>
        </w:rPr>
        <w:t xml:space="preserve"> and skilled labour for their production operations</w:t>
      </w:r>
      <w:r>
        <w:rPr>
          <w:rFonts w:ascii="Times New Roman" w:eastAsia="Times New Roman" w:hAnsi="Times New Roman" w:cs="Times New Roman"/>
        </w:rPr>
        <w:t xml:space="preserve"> (</w:t>
      </w:r>
      <w:proofErr w:type="spellStart"/>
      <w:r>
        <w:rPr>
          <w:rFonts w:ascii="Times New Roman" w:eastAsia="Times New Roman" w:hAnsi="Times New Roman" w:cs="Times New Roman"/>
          <w:sz w:val="24"/>
          <w:szCs w:val="24"/>
        </w:rPr>
        <w:t>Wenling</w:t>
      </w:r>
      <w:proofErr w:type="spellEnd"/>
      <w:r>
        <w:rPr>
          <w:rFonts w:ascii="Times New Roman" w:eastAsia="Times New Roman" w:hAnsi="Times New Roman" w:cs="Times New Roman"/>
          <w:sz w:val="24"/>
          <w:szCs w:val="24"/>
        </w:rPr>
        <w:t xml:space="preserve"> et al., 2002). The rising consumerism culture allows business organisations an opportunity for making huge revenues in China</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Tong &amp; Hawley, 2009). The growing online shopping trend in the country offers foreign companies an opportunity to exploit the potential associated with e-commerce. However, various social factors expose organisations to challenges in creating strong workforces within their Chinese facilities, including the ageing population and strict traditional culture. The fact that the ageing population in the nation is increasing rapidly implies that businesses will face labour shortage challenges in the future. </w:t>
      </w:r>
    </w:p>
    <w:p w14:paraId="240CB2FD" w14:textId="77777777" w:rsidR="00A665BE" w:rsidRDefault="00A665BE">
      <w:pPr>
        <w:spacing w:line="480" w:lineRule="auto"/>
        <w:ind w:firstLine="720"/>
        <w:rPr>
          <w:rFonts w:ascii="Times New Roman" w:eastAsia="Times New Roman" w:hAnsi="Times New Roman" w:cs="Times New Roman"/>
          <w:sz w:val="24"/>
          <w:szCs w:val="24"/>
        </w:rPr>
      </w:pPr>
    </w:p>
    <w:p w14:paraId="163B64FC" w14:textId="77777777" w:rsidR="00A665BE" w:rsidRDefault="00000000">
      <w:pPr>
        <w:pStyle w:val="Heading3"/>
        <w:spacing w:line="480" w:lineRule="auto"/>
        <w:ind w:left="720" w:firstLine="720"/>
        <w:rPr>
          <w:rFonts w:ascii="Times New Roman" w:eastAsia="Times New Roman" w:hAnsi="Times New Roman" w:cs="Times New Roman"/>
          <w:i/>
          <w:sz w:val="24"/>
          <w:szCs w:val="24"/>
        </w:rPr>
      </w:pPr>
      <w:bookmarkStart w:id="9" w:name="_2s8eyo1" w:colFirst="0" w:colLast="0"/>
      <w:bookmarkEnd w:id="9"/>
      <w:r>
        <w:rPr>
          <w:rFonts w:ascii="Times New Roman" w:eastAsia="Times New Roman" w:hAnsi="Times New Roman" w:cs="Times New Roman"/>
          <w:i/>
          <w:sz w:val="24"/>
          <w:szCs w:val="24"/>
        </w:rPr>
        <w:lastRenderedPageBreak/>
        <w:t xml:space="preserve">Technological Factors </w:t>
      </w:r>
    </w:p>
    <w:p w14:paraId="7F9DDF8D"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technological factors allow organisations to improve production, service delivery, and workplace collaboration. China offers business organisations crucial technological tools through mature skills and advanced R&amp;D. The technological development has resulted from the Chinese government’s desire to assume global leadership in technology and science. In 2015, the government started the entrepreneurship and innovation program to accomplish this goal. The government considers that the program can support its transformation into a tech economy from its existing cheap labour economy. The program has increased the usage of technological tools among individuals and business organisations. Various technological resources available in the market include e-commerce platforms and market-mobile payments (Rahman, 2022). The technological growth program has led to the emergence of dominant Chinese-based tech companies like Baidu, Alibaba, and Tencent. </w:t>
      </w:r>
    </w:p>
    <w:p w14:paraId="6696136A" w14:textId="77777777" w:rsidR="00A665BE" w:rsidRDefault="00A665BE">
      <w:pPr>
        <w:spacing w:line="480" w:lineRule="auto"/>
        <w:ind w:firstLine="720"/>
        <w:rPr>
          <w:rFonts w:ascii="Times New Roman" w:eastAsia="Times New Roman" w:hAnsi="Times New Roman" w:cs="Times New Roman"/>
          <w:sz w:val="24"/>
          <w:szCs w:val="24"/>
        </w:rPr>
      </w:pPr>
    </w:p>
    <w:p w14:paraId="2673B8A1" w14:textId="77777777" w:rsidR="00A665BE" w:rsidRDefault="00000000">
      <w:pPr>
        <w:pStyle w:val="Heading3"/>
        <w:spacing w:line="480" w:lineRule="auto"/>
        <w:ind w:left="720" w:firstLine="720"/>
        <w:rPr>
          <w:rFonts w:ascii="Times New Roman" w:eastAsia="Times New Roman" w:hAnsi="Times New Roman" w:cs="Times New Roman"/>
          <w:i/>
          <w:sz w:val="24"/>
          <w:szCs w:val="24"/>
        </w:rPr>
      </w:pPr>
      <w:bookmarkStart w:id="10" w:name="_17dp8vu" w:colFirst="0" w:colLast="0"/>
      <w:bookmarkEnd w:id="10"/>
      <w:r>
        <w:rPr>
          <w:rFonts w:ascii="Times New Roman" w:eastAsia="Times New Roman" w:hAnsi="Times New Roman" w:cs="Times New Roman"/>
          <w:i/>
          <w:sz w:val="24"/>
          <w:szCs w:val="24"/>
        </w:rPr>
        <w:t xml:space="preserve">Environmental Factors </w:t>
      </w:r>
    </w:p>
    <w:p w14:paraId="407EBA47"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climate change issue has made environmental sustainability an important topic in nations and societies. For instance, the Chinese government has created operational guidelines for organisations to prevent environmental degradation. The government understands that unregulated production has created excessive pollution and a huge energy consumption problem in the nation (Rahman, 2022). The government has addressed the issue through a 5-year-plan with environmental protection and industrial pollution needs. The government focuses on developing electronic vehicles to reduce greenhouse gases emission in its transport sector. The company expects business organisations to adopt green energy sources and energy-saving </w:t>
      </w:r>
      <w:r>
        <w:rPr>
          <w:rFonts w:ascii="Times New Roman" w:eastAsia="Times New Roman" w:hAnsi="Times New Roman" w:cs="Times New Roman"/>
          <w:sz w:val="24"/>
          <w:szCs w:val="24"/>
        </w:rPr>
        <w:lastRenderedPageBreak/>
        <w:t xml:space="preserve">technologies to reduce their carbon footprint. The Chinese government focused on creating ten zero-waste cities to encourage recycling and prevent damping. The government observes that the tactic can allow it to establish a low-carbon economy in the future. </w:t>
      </w:r>
    </w:p>
    <w:p w14:paraId="58BCFBB3" w14:textId="77777777" w:rsidR="00A665BE" w:rsidRDefault="00A665BE">
      <w:pPr>
        <w:spacing w:line="480" w:lineRule="auto"/>
        <w:ind w:firstLine="720"/>
        <w:rPr>
          <w:rFonts w:ascii="Times New Roman" w:eastAsia="Times New Roman" w:hAnsi="Times New Roman" w:cs="Times New Roman"/>
          <w:sz w:val="24"/>
          <w:szCs w:val="24"/>
        </w:rPr>
      </w:pPr>
    </w:p>
    <w:p w14:paraId="6510EDEC" w14:textId="77777777" w:rsidR="00A665BE" w:rsidRDefault="00000000">
      <w:pPr>
        <w:pStyle w:val="Heading3"/>
        <w:spacing w:line="480" w:lineRule="auto"/>
        <w:ind w:left="720" w:firstLine="720"/>
        <w:rPr>
          <w:rFonts w:ascii="Times New Roman" w:eastAsia="Times New Roman" w:hAnsi="Times New Roman" w:cs="Times New Roman"/>
          <w:i/>
          <w:sz w:val="24"/>
          <w:szCs w:val="24"/>
        </w:rPr>
      </w:pPr>
      <w:bookmarkStart w:id="11" w:name="_3rdcrjn" w:colFirst="0" w:colLast="0"/>
      <w:bookmarkEnd w:id="11"/>
      <w:r>
        <w:rPr>
          <w:rFonts w:ascii="Times New Roman" w:eastAsia="Times New Roman" w:hAnsi="Times New Roman" w:cs="Times New Roman"/>
          <w:i/>
          <w:sz w:val="24"/>
          <w:szCs w:val="24"/>
        </w:rPr>
        <w:t xml:space="preserve">Legal Factors </w:t>
      </w:r>
    </w:p>
    <w:p w14:paraId="55846627"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Chinese government has enacted different regulations to prevent business malpractices that can harm its citizens, society, and economy. Different laws enacted to regulate business operations in the country include the 1995 PRC Labour Law, 2007 PRC labour Contract Law, 2020 environmental protection tax law, 2019 Foreign Investment Law, and 2019 Administration Regulation Chen. The 1995 PRC Labour Law, the 2007 PRC labour Contract Law, and the 2019 Administration Regulation Chen address issues like labour standards, employees’ remuneration, and labour disputes. The environmental protection law focuses on addressing issues like industrial waste disposal, deforestation, water pollution, climate change, and GHGs emission (Rahman, 2022). However, laws aimed at protecting local firms and culture have discouraged foreign firms from investing in the nation. For instance, the government has blocked social media channels like YouTube, Twitter, WhatsApp, and Facebook. </w:t>
      </w:r>
    </w:p>
    <w:p w14:paraId="534FC3D4" w14:textId="77777777" w:rsidR="00A665BE" w:rsidRDefault="00A665BE">
      <w:pPr>
        <w:spacing w:line="480" w:lineRule="auto"/>
        <w:ind w:firstLine="720"/>
        <w:rPr>
          <w:rFonts w:ascii="Times New Roman" w:eastAsia="Times New Roman" w:hAnsi="Times New Roman" w:cs="Times New Roman"/>
          <w:sz w:val="24"/>
          <w:szCs w:val="24"/>
        </w:rPr>
      </w:pPr>
    </w:p>
    <w:p w14:paraId="361877CE" w14:textId="77777777" w:rsidR="00A665BE" w:rsidRDefault="00000000">
      <w:pPr>
        <w:pStyle w:val="Heading2"/>
        <w:spacing w:line="480" w:lineRule="auto"/>
        <w:ind w:firstLine="720"/>
        <w:rPr>
          <w:rFonts w:ascii="Times New Roman" w:eastAsia="Times New Roman" w:hAnsi="Times New Roman" w:cs="Times New Roman"/>
          <w:sz w:val="26"/>
          <w:szCs w:val="26"/>
        </w:rPr>
      </w:pPr>
      <w:bookmarkStart w:id="12" w:name="_26in1rg" w:colFirst="0" w:colLast="0"/>
      <w:bookmarkEnd w:id="12"/>
      <w:r>
        <w:rPr>
          <w:rFonts w:ascii="Times New Roman" w:eastAsia="Times New Roman" w:hAnsi="Times New Roman" w:cs="Times New Roman"/>
          <w:sz w:val="26"/>
          <w:szCs w:val="26"/>
        </w:rPr>
        <w:lastRenderedPageBreak/>
        <w:t xml:space="preserve">Porter's Diamond Model </w:t>
      </w:r>
    </w:p>
    <w:p w14:paraId="63B8E0DE" w14:textId="77777777" w:rsidR="00A665B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5DBB621" wp14:editId="18E6EF00">
            <wp:extent cx="5943600" cy="306959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069590"/>
                    </a:xfrm>
                    <a:prstGeom prst="rect">
                      <a:avLst/>
                    </a:prstGeom>
                    <a:ln/>
                  </pic:spPr>
                </pic:pic>
              </a:graphicData>
            </a:graphic>
          </wp:inline>
        </w:drawing>
      </w:r>
    </w:p>
    <w:p w14:paraId="469785FB" w14:textId="77777777" w:rsidR="00A665BE"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Porter's Diamond Model</w:t>
      </w:r>
    </w:p>
    <w:p w14:paraId="3DFBC626" w14:textId="77777777" w:rsidR="00A665BE" w:rsidRDefault="00000000">
      <w:pPr>
        <w:spacing w:line="480" w:lineRule="auto"/>
        <w:jc w:val="center"/>
        <w:rPr>
          <w:rFonts w:ascii="Times New Roman" w:eastAsia="Times New Roman" w:hAnsi="Times New Roman" w:cs="Times New Roman"/>
          <w:sz w:val="24"/>
          <w:szCs w:val="24"/>
        </w:rPr>
      </w:pPr>
      <w:hyperlink r:id="rId9">
        <w:r>
          <w:rPr>
            <w:rFonts w:ascii="Times New Roman" w:eastAsia="Times New Roman" w:hAnsi="Times New Roman" w:cs="Times New Roman"/>
            <w:color w:val="1155CC"/>
            <w:sz w:val="24"/>
            <w:szCs w:val="24"/>
            <w:u w:val="single"/>
          </w:rPr>
          <w:t>https://www.researchgate.net/figure/Porters-Diamond-Model_fig1_322543250</w:t>
        </w:r>
      </w:hyperlink>
    </w:p>
    <w:p w14:paraId="7EED8315" w14:textId="77777777" w:rsidR="00A665BE" w:rsidRDefault="00A665BE">
      <w:pPr>
        <w:spacing w:line="480" w:lineRule="auto"/>
        <w:jc w:val="center"/>
        <w:rPr>
          <w:rFonts w:ascii="Times New Roman" w:eastAsia="Times New Roman" w:hAnsi="Times New Roman" w:cs="Times New Roman"/>
          <w:sz w:val="24"/>
          <w:szCs w:val="24"/>
        </w:rPr>
      </w:pPr>
    </w:p>
    <w:p w14:paraId="78CAB051" w14:textId="77777777" w:rsidR="00A665BE" w:rsidRDefault="00000000">
      <w:pPr>
        <w:pStyle w:val="Heading3"/>
        <w:spacing w:line="480" w:lineRule="auto"/>
        <w:ind w:left="720" w:firstLine="720"/>
        <w:rPr>
          <w:rFonts w:ascii="Times New Roman" w:eastAsia="Times New Roman" w:hAnsi="Times New Roman" w:cs="Times New Roman"/>
          <w:i/>
          <w:sz w:val="24"/>
          <w:szCs w:val="24"/>
        </w:rPr>
      </w:pPr>
      <w:bookmarkStart w:id="13" w:name="_lnxbz9" w:colFirst="0" w:colLast="0"/>
      <w:bookmarkEnd w:id="13"/>
      <w:r>
        <w:rPr>
          <w:rFonts w:ascii="Times New Roman" w:eastAsia="Times New Roman" w:hAnsi="Times New Roman" w:cs="Times New Roman"/>
          <w:i/>
          <w:sz w:val="24"/>
          <w:szCs w:val="24"/>
        </w:rPr>
        <w:t xml:space="preserve">Factor Conditions </w:t>
      </w:r>
    </w:p>
    <w:p w14:paraId="12DAFEA7"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Porter observes that advanced and basic factors influence organisations’ competitiveness in their respective industries. The basic factors Nike requires in boosting its competitiveness within the sportswear market are cheap labour, communication and transportation infrastructure, skilled labour, and raw materials</w:t>
      </w:r>
      <w:r>
        <w:rPr>
          <w:rFonts w:ascii="Times New Roman" w:eastAsia="Times New Roman" w:hAnsi="Times New Roman" w:cs="Times New Roman"/>
        </w:rPr>
        <w:t xml:space="preserve"> (</w:t>
      </w:r>
      <w:proofErr w:type="spellStart"/>
      <w:r>
        <w:rPr>
          <w:rFonts w:ascii="Times New Roman" w:eastAsia="Times New Roman" w:hAnsi="Times New Roman" w:cs="Times New Roman"/>
          <w:sz w:val="24"/>
          <w:szCs w:val="24"/>
        </w:rPr>
        <w:t>Claessens</w:t>
      </w:r>
      <w:proofErr w:type="spellEnd"/>
      <w:r>
        <w:rPr>
          <w:rFonts w:ascii="Times New Roman" w:eastAsia="Times New Roman" w:hAnsi="Times New Roman" w:cs="Times New Roman"/>
          <w:sz w:val="24"/>
          <w:szCs w:val="24"/>
        </w:rPr>
        <w:t xml:space="preserve">, 2016). The management should consider that a cheap labour economy and a high literacy level associated with the Chinese economy create an opportunity for production cost reduction. The nation provides raw materials for sportswear goods production, including cotton, yarn, garment materials, textile fabrics, and rubber (Porter, </w:t>
      </w:r>
      <w:r>
        <w:rPr>
          <w:rFonts w:ascii="Times New Roman" w:eastAsia="Times New Roman" w:hAnsi="Times New Roman" w:cs="Times New Roman"/>
          <w:sz w:val="24"/>
          <w:szCs w:val="24"/>
        </w:rPr>
        <w:lastRenderedPageBreak/>
        <w:t>1979). Economic growth has enabled China to have high-quality communication and transport infrastructure. Advanced factors refer to technological and scientific resources that improve organisational competitiveness. The focus on creating a tech economy through R&amp;D investment has promoted the growth of e-commerce, online collaboration tools, and machinery. Advanced technology can support Nike in achieving the flexibility and innovation required in addressing dynamism in sports fashion.</w:t>
      </w:r>
    </w:p>
    <w:p w14:paraId="7667FD71" w14:textId="77777777" w:rsidR="00A665BE" w:rsidRDefault="00A665BE">
      <w:pPr>
        <w:spacing w:line="480" w:lineRule="auto"/>
        <w:ind w:firstLine="720"/>
        <w:rPr>
          <w:rFonts w:ascii="Times New Roman" w:eastAsia="Times New Roman" w:hAnsi="Times New Roman" w:cs="Times New Roman"/>
          <w:sz w:val="24"/>
          <w:szCs w:val="24"/>
        </w:rPr>
      </w:pPr>
    </w:p>
    <w:p w14:paraId="0E72E1C6" w14:textId="77777777" w:rsidR="00A665BE" w:rsidRDefault="00000000">
      <w:pPr>
        <w:pStyle w:val="Heading3"/>
        <w:spacing w:line="480" w:lineRule="auto"/>
        <w:ind w:left="720" w:firstLine="720"/>
        <w:rPr>
          <w:rFonts w:ascii="Times New Roman" w:eastAsia="Times New Roman" w:hAnsi="Times New Roman" w:cs="Times New Roman"/>
          <w:i/>
          <w:sz w:val="24"/>
          <w:szCs w:val="24"/>
        </w:rPr>
      </w:pPr>
      <w:bookmarkStart w:id="14" w:name="_35nkun2" w:colFirst="0" w:colLast="0"/>
      <w:bookmarkEnd w:id="14"/>
      <w:r>
        <w:rPr>
          <w:rFonts w:ascii="Times New Roman" w:eastAsia="Times New Roman" w:hAnsi="Times New Roman" w:cs="Times New Roman"/>
          <w:i/>
          <w:sz w:val="24"/>
          <w:szCs w:val="24"/>
        </w:rPr>
        <w:t xml:space="preserve">Demand Conditions </w:t>
      </w:r>
    </w:p>
    <w:p w14:paraId="684C1702"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Demand conditions represent the size and characteristics of local demand for an organisation’s services and products. Porter observes that organisations operating in markets with sophisticated local demands are forced to pursue innovation and quality maximisation agendas (</w:t>
      </w:r>
      <w:proofErr w:type="spellStart"/>
      <w:r>
        <w:rPr>
          <w:rFonts w:ascii="Times New Roman" w:eastAsia="Times New Roman" w:hAnsi="Times New Roman" w:cs="Times New Roman"/>
          <w:sz w:val="24"/>
          <w:szCs w:val="24"/>
        </w:rPr>
        <w:t>Claessens</w:t>
      </w:r>
      <w:proofErr w:type="spellEnd"/>
      <w:r>
        <w:rPr>
          <w:rFonts w:ascii="Times New Roman" w:eastAsia="Times New Roman" w:hAnsi="Times New Roman" w:cs="Times New Roman"/>
          <w:sz w:val="24"/>
          <w:szCs w:val="24"/>
        </w:rPr>
        <w:t>, 2016). Hence, Nike should adopt innovative strategies and quality enhancement ideologies in addressing sophistication in the Chinese sportswear market. Rapid economic development in Chinese cities like Beijing, Guangzhou and Shanghai has increased the demand for high-quality, fashionable, and innovative sporting goods. The sophistication requires the company to participate in Chinese quality assurance programs like ISO 9002 and adopt effective marketing campaigns (</w:t>
      </w:r>
      <w:proofErr w:type="spellStart"/>
      <w:r>
        <w:rPr>
          <w:rFonts w:ascii="Times New Roman" w:eastAsia="Times New Roman" w:hAnsi="Times New Roman" w:cs="Times New Roman"/>
          <w:sz w:val="24"/>
          <w:szCs w:val="24"/>
        </w:rPr>
        <w:t>Xun</w:t>
      </w:r>
      <w:proofErr w:type="spellEnd"/>
      <w:r>
        <w:rPr>
          <w:rFonts w:ascii="Times New Roman" w:eastAsia="Times New Roman" w:hAnsi="Times New Roman" w:cs="Times New Roman"/>
          <w:sz w:val="24"/>
          <w:szCs w:val="24"/>
        </w:rPr>
        <w:t xml:space="preserve"> et al., 2016). Compliance with national quality regulation and effective marketing can enable Nike to enlighten and convince local consumers about its products’ authenticity. Furthermore, the company can rely on economies of scale in maintaining dominance within the Chinese sportswear market. </w:t>
      </w:r>
    </w:p>
    <w:p w14:paraId="4A1B9CC4" w14:textId="77777777" w:rsidR="00A665BE" w:rsidRDefault="00A665BE">
      <w:pPr>
        <w:spacing w:line="480" w:lineRule="auto"/>
        <w:ind w:firstLine="720"/>
        <w:rPr>
          <w:rFonts w:ascii="Times New Roman" w:eastAsia="Times New Roman" w:hAnsi="Times New Roman" w:cs="Times New Roman"/>
          <w:sz w:val="24"/>
          <w:szCs w:val="24"/>
        </w:rPr>
      </w:pPr>
    </w:p>
    <w:p w14:paraId="2059DA68" w14:textId="77777777" w:rsidR="00A665BE" w:rsidRDefault="00000000">
      <w:pPr>
        <w:pStyle w:val="Heading3"/>
        <w:spacing w:line="480" w:lineRule="auto"/>
        <w:ind w:left="720" w:firstLine="720"/>
        <w:rPr>
          <w:rFonts w:ascii="Times New Roman" w:eastAsia="Times New Roman" w:hAnsi="Times New Roman" w:cs="Times New Roman"/>
          <w:i/>
          <w:sz w:val="24"/>
          <w:szCs w:val="24"/>
        </w:rPr>
      </w:pPr>
      <w:bookmarkStart w:id="15" w:name="_1ksv4uv" w:colFirst="0" w:colLast="0"/>
      <w:bookmarkEnd w:id="15"/>
      <w:r>
        <w:rPr>
          <w:rFonts w:ascii="Times New Roman" w:eastAsia="Times New Roman" w:hAnsi="Times New Roman" w:cs="Times New Roman"/>
          <w:i/>
          <w:sz w:val="24"/>
          <w:szCs w:val="24"/>
        </w:rPr>
        <w:lastRenderedPageBreak/>
        <w:t>Supporting Industries</w:t>
      </w:r>
    </w:p>
    <w:p w14:paraId="321C7B09"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Nike’s competitiveness in the international sportswear market </w:t>
      </w:r>
      <w:proofErr w:type="gramStart"/>
      <w:r>
        <w:rPr>
          <w:rFonts w:ascii="Times New Roman" w:eastAsia="Times New Roman" w:hAnsi="Times New Roman" w:cs="Times New Roman"/>
          <w:sz w:val="24"/>
          <w:szCs w:val="24"/>
        </w:rPr>
        <w:t>is connected with</w:t>
      </w:r>
      <w:proofErr w:type="gramEnd"/>
      <w:r>
        <w:rPr>
          <w:rFonts w:ascii="Times New Roman" w:eastAsia="Times New Roman" w:hAnsi="Times New Roman" w:cs="Times New Roman"/>
          <w:sz w:val="24"/>
          <w:szCs w:val="24"/>
        </w:rPr>
        <w:t xml:space="preserve"> the availability of supporting and relevant industries. The company benefits from companies that provide shoe maintenance material (laces, polishing machines, brushes, and oils), quality inputs (shoe parts, leather tanning chemicals, leather), and shoe-making technologies</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Liu &amp; Song, 1997). The company benefits from manufacturers of sportswear raw materials and complementary goods in China. The existence of sports as popular entertainment and a thriving business for the global population offers the company an opportunity for continuous development. Regular international and local sports events and competitions allow Nike to sell and market its products. Sponsoring Chinese teams and partnering with celebrities in diverse sporting fields in China can allow the company to popularise its brands and products in China. </w:t>
      </w:r>
    </w:p>
    <w:p w14:paraId="09A8C50A" w14:textId="77777777" w:rsidR="00A665BE" w:rsidRDefault="00A665BE">
      <w:pPr>
        <w:spacing w:line="480" w:lineRule="auto"/>
        <w:ind w:firstLine="720"/>
        <w:rPr>
          <w:rFonts w:ascii="Times New Roman" w:eastAsia="Times New Roman" w:hAnsi="Times New Roman" w:cs="Times New Roman"/>
          <w:sz w:val="24"/>
          <w:szCs w:val="24"/>
        </w:rPr>
      </w:pPr>
    </w:p>
    <w:p w14:paraId="2A9BD006" w14:textId="77777777" w:rsidR="00A665BE" w:rsidRDefault="00000000">
      <w:pPr>
        <w:pStyle w:val="Heading3"/>
        <w:spacing w:line="480" w:lineRule="auto"/>
        <w:ind w:left="720" w:firstLine="720"/>
        <w:rPr>
          <w:rFonts w:ascii="Times New Roman" w:eastAsia="Times New Roman" w:hAnsi="Times New Roman" w:cs="Times New Roman"/>
          <w:i/>
          <w:sz w:val="24"/>
          <w:szCs w:val="24"/>
        </w:rPr>
      </w:pPr>
      <w:bookmarkStart w:id="16" w:name="_44sinio" w:colFirst="0" w:colLast="0"/>
      <w:bookmarkEnd w:id="16"/>
      <w:r>
        <w:rPr>
          <w:rFonts w:ascii="Times New Roman" w:eastAsia="Times New Roman" w:hAnsi="Times New Roman" w:cs="Times New Roman"/>
          <w:i/>
          <w:sz w:val="24"/>
          <w:szCs w:val="24"/>
        </w:rPr>
        <w:t>Firm Strategy, Rivalry, and Structure</w:t>
      </w:r>
    </w:p>
    <w:p w14:paraId="36884348"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An organisation’s strategy, rivalry, and structure represent conditions that govern its management, organisation, and establishment. Porter indicates that management teams can utilise different management systems in their organisations in overcoming competition pressure in their respective markets</w:t>
      </w:r>
      <w:r>
        <w:rPr>
          <w:rFonts w:ascii="Times New Roman" w:eastAsia="Times New Roman" w:hAnsi="Times New Roman" w:cs="Times New Roman"/>
        </w:rPr>
        <w:t xml:space="preserve"> (</w:t>
      </w:r>
      <w:proofErr w:type="spellStart"/>
      <w:r>
        <w:rPr>
          <w:rFonts w:ascii="Times New Roman" w:eastAsia="Times New Roman" w:hAnsi="Times New Roman" w:cs="Times New Roman"/>
          <w:sz w:val="24"/>
          <w:szCs w:val="24"/>
        </w:rPr>
        <w:t>Claessens</w:t>
      </w:r>
      <w:proofErr w:type="spellEnd"/>
      <w:r>
        <w:rPr>
          <w:rFonts w:ascii="Times New Roman" w:eastAsia="Times New Roman" w:hAnsi="Times New Roman" w:cs="Times New Roman"/>
          <w:sz w:val="24"/>
          <w:szCs w:val="24"/>
        </w:rPr>
        <w:t>, 2016). Organisations should utilise management and strategy efficiencies in devising their structure and strategy (</w:t>
      </w:r>
      <w:proofErr w:type="spellStart"/>
      <w:r>
        <w:rPr>
          <w:rFonts w:ascii="Times New Roman" w:eastAsia="Times New Roman" w:hAnsi="Times New Roman" w:cs="Times New Roman"/>
          <w:sz w:val="24"/>
          <w:szCs w:val="24"/>
        </w:rPr>
        <w:t>Xun</w:t>
      </w:r>
      <w:proofErr w:type="spellEnd"/>
      <w:r>
        <w:rPr>
          <w:rFonts w:ascii="Times New Roman" w:eastAsia="Times New Roman" w:hAnsi="Times New Roman" w:cs="Times New Roman"/>
          <w:sz w:val="24"/>
          <w:szCs w:val="24"/>
        </w:rPr>
        <w:t xml:space="preserve"> et al., 2016). The management should focus on overcoming competition pressure from diverse companies in the Chinese footwear market, including </w:t>
      </w:r>
      <w:proofErr w:type="spellStart"/>
      <w:r>
        <w:rPr>
          <w:rFonts w:ascii="Times New Roman" w:eastAsia="Times New Roman" w:hAnsi="Times New Roman" w:cs="Times New Roman"/>
          <w:sz w:val="24"/>
          <w:szCs w:val="24"/>
        </w:rPr>
        <w:t>Miqi</w:t>
      </w:r>
      <w:proofErr w:type="spellEnd"/>
      <w:r>
        <w:rPr>
          <w:rFonts w:ascii="Times New Roman" w:eastAsia="Times New Roman" w:hAnsi="Times New Roman" w:cs="Times New Roman"/>
          <w:sz w:val="24"/>
          <w:szCs w:val="24"/>
        </w:rPr>
        <w:t xml:space="preserve"> Apparel company, Xiamen Bester company, </w:t>
      </w:r>
      <w:proofErr w:type="spellStart"/>
      <w:r>
        <w:rPr>
          <w:rFonts w:ascii="Times New Roman" w:eastAsia="Times New Roman" w:hAnsi="Times New Roman" w:cs="Times New Roman"/>
          <w:sz w:val="24"/>
          <w:szCs w:val="24"/>
        </w:rPr>
        <w:t>Enlio</w:t>
      </w:r>
      <w:proofErr w:type="spellEnd"/>
      <w:r>
        <w:rPr>
          <w:rFonts w:ascii="Times New Roman" w:eastAsia="Times New Roman" w:hAnsi="Times New Roman" w:cs="Times New Roman"/>
          <w:sz w:val="24"/>
          <w:szCs w:val="24"/>
        </w:rPr>
        <w:t xml:space="preserve"> Sports Goods company, </w:t>
      </w:r>
      <w:proofErr w:type="spellStart"/>
      <w:r>
        <w:rPr>
          <w:rFonts w:ascii="Times New Roman" w:eastAsia="Times New Roman" w:hAnsi="Times New Roman" w:cs="Times New Roman"/>
          <w:sz w:val="24"/>
          <w:szCs w:val="24"/>
        </w:rPr>
        <w:t>Velobags</w:t>
      </w:r>
      <w:proofErr w:type="spellEnd"/>
      <w:r>
        <w:rPr>
          <w:rFonts w:ascii="Times New Roman" w:eastAsia="Times New Roman" w:hAnsi="Times New Roman" w:cs="Times New Roman"/>
          <w:sz w:val="24"/>
          <w:szCs w:val="24"/>
        </w:rPr>
        <w:t xml:space="preserve"> company, Reebok, Adidas, and Converse</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Kawakami, 2021). Still, creating an innovative workforce and increasing product quality can support Nike in overcoming </w:t>
      </w:r>
      <w:r>
        <w:rPr>
          <w:rFonts w:ascii="Times New Roman" w:eastAsia="Times New Roman" w:hAnsi="Times New Roman" w:cs="Times New Roman"/>
          <w:sz w:val="24"/>
          <w:szCs w:val="24"/>
        </w:rPr>
        <w:lastRenderedPageBreak/>
        <w:t>competition pressure from multinational and local sportswear companies in this market (Barney, 2002). Creating strong corporate social responsibility programs can further support the sportswear company in strengthening its brands.</w:t>
      </w:r>
    </w:p>
    <w:p w14:paraId="2489F77A"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BE7C063" w14:textId="77777777" w:rsidR="00A665BE" w:rsidRDefault="00000000">
      <w:pPr>
        <w:pStyle w:val="Heading1"/>
        <w:spacing w:line="480" w:lineRule="auto"/>
        <w:rPr>
          <w:rFonts w:ascii="Times New Roman" w:eastAsia="Times New Roman" w:hAnsi="Times New Roman" w:cs="Times New Roman"/>
          <w:b/>
          <w:color w:val="000000"/>
          <w:sz w:val="28"/>
          <w:szCs w:val="28"/>
        </w:rPr>
      </w:pPr>
      <w:bookmarkStart w:id="17" w:name="_2jxsxqh" w:colFirst="0" w:colLast="0"/>
      <w:bookmarkEnd w:id="17"/>
      <w:r>
        <w:rPr>
          <w:rFonts w:ascii="Times New Roman" w:eastAsia="Times New Roman" w:hAnsi="Times New Roman" w:cs="Times New Roman"/>
          <w:b/>
          <w:color w:val="000000"/>
          <w:sz w:val="28"/>
          <w:szCs w:val="28"/>
        </w:rPr>
        <w:t xml:space="preserve">Exploiting Opportunities and Addressing Challenges associated with the Chinese Market </w:t>
      </w:r>
    </w:p>
    <w:p w14:paraId="64CC713A"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Nike should focus on exploiting opportunities associated with the Chinese sportswear market increasing its profit margins. Various opportunities available in the market are rapid population growth, dynamic consumer needs, artificial intelligence, acquisitions, online selling, and mergers. The huge Chinese population offers the company an opportunity for cheap labour and a huge consumer base. The huge labour force implies that the company can perform most production activities in the developing nation. The increasing disposable income among Chinese citizens implies that the company can generate huge revenues locally. The company can rely on developing Chinese artificial technology in creating effective recommendation engines, predicting consumer behaviour, and addressing niche segments</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Maarten &amp; Parisa, 2021). Mergers with local Chinese companies can enable Nike to avoid challenges associated with creating a culturally competent workforce. The acquisition or merger tactic can enable the company to unskilled individuals, managers, and professionals who understand Chinese business laws and culture. Furthermore, hiring local Chinese managers can enable the company to create strong customer care and HRM departments. </w:t>
      </w:r>
    </w:p>
    <w:p w14:paraId="1220A10E"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management should focus on overcoming challenges associated with the Chinese market, including high inflation, dynamic regulatory framework, competition pressure, </w:t>
      </w:r>
      <w:r>
        <w:rPr>
          <w:rFonts w:ascii="Times New Roman" w:eastAsia="Times New Roman" w:hAnsi="Times New Roman" w:cs="Times New Roman"/>
          <w:sz w:val="24"/>
          <w:szCs w:val="24"/>
        </w:rPr>
        <w:lastRenderedPageBreak/>
        <w:t>and environmental sustainability concerns. The Chinese government’s tendency to create strict business regulations poses a huge threat to Nike. The regulations make the company highly vulnerable to expensive lawsuits associated with involuntary law violations. Compliance with environmental protection laws requires the company to make huge financial allocations to recycling and energy production</w:t>
      </w:r>
      <w:r>
        <w:rPr>
          <w:rFonts w:ascii="Times New Roman" w:eastAsia="Times New Roman" w:hAnsi="Times New Roman" w:cs="Times New Roman"/>
        </w:rPr>
        <w:t xml:space="preserve"> (</w:t>
      </w:r>
      <w:proofErr w:type="spellStart"/>
      <w:r>
        <w:rPr>
          <w:rFonts w:ascii="Times New Roman" w:eastAsia="Times New Roman" w:hAnsi="Times New Roman" w:cs="Times New Roman"/>
          <w:sz w:val="24"/>
          <w:szCs w:val="24"/>
        </w:rPr>
        <w:t>Yau</w:t>
      </w:r>
      <w:proofErr w:type="spellEnd"/>
      <w:r>
        <w:rPr>
          <w:rFonts w:ascii="Times New Roman" w:eastAsia="Times New Roman" w:hAnsi="Times New Roman" w:cs="Times New Roman"/>
          <w:sz w:val="24"/>
          <w:szCs w:val="24"/>
        </w:rPr>
        <w:t xml:space="preserve"> et al., 2000). Addressing these issues requires the sportswear company to create innovative and low-cost sustainability programs. The growing population of multinational companies and new entrants in the Chinese markets exposes the company to a challenge in expanding its market share. The high inflation rate can reduce profitability and increase production costs for Nike. Fortunately, economies of scale can enable the company to withstand these economic challenges. </w:t>
      </w:r>
    </w:p>
    <w:p w14:paraId="08CF478B" w14:textId="77777777" w:rsidR="00A665BE" w:rsidRDefault="00A665BE">
      <w:pPr>
        <w:spacing w:line="480" w:lineRule="auto"/>
        <w:ind w:firstLine="720"/>
        <w:rPr>
          <w:rFonts w:ascii="Times New Roman" w:eastAsia="Times New Roman" w:hAnsi="Times New Roman" w:cs="Times New Roman"/>
          <w:sz w:val="24"/>
          <w:szCs w:val="24"/>
        </w:rPr>
      </w:pPr>
    </w:p>
    <w:p w14:paraId="12F84E7B" w14:textId="77777777" w:rsidR="00A665BE" w:rsidRDefault="00000000">
      <w:pPr>
        <w:pStyle w:val="Heading1"/>
        <w:spacing w:line="480" w:lineRule="auto"/>
        <w:rPr>
          <w:rFonts w:ascii="Times New Roman" w:eastAsia="Times New Roman" w:hAnsi="Times New Roman" w:cs="Times New Roman"/>
          <w:b/>
          <w:color w:val="000000"/>
          <w:sz w:val="28"/>
          <w:szCs w:val="28"/>
        </w:rPr>
      </w:pPr>
      <w:bookmarkStart w:id="18" w:name="_z337ya" w:colFirst="0" w:colLast="0"/>
      <w:bookmarkEnd w:id="18"/>
      <w:r>
        <w:rPr>
          <w:rFonts w:ascii="Times New Roman" w:eastAsia="Times New Roman" w:hAnsi="Times New Roman" w:cs="Times New Roman"/>
          <w:b/>
          <w:color w:val="000000"/>
          <w:sz w:val="28"/>
          <w:szCs w:val="28"/>
        </w:rPr>
        <w:t>Overcoming Barriers in the Chinese Sportswear Market</w:t>
      </w:r>
    </w:p>
    <w:p w14:paraId="5AE773E3"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PESTLE analysis indicates that Nike must overcome different barriers while relocating its production facilities to China. Different barriers that can prevent Nike from operating effectively in China are cultural barriers, language barrier, strong competition, and power distance. For instance, Nike has a long-term experience in the manufacture of footwear and accessories for Western sports like Tennis, football, and basketball (Maarten &amp; Parisa, 2021). The low popularity of these sports in China means that the company would export most of the products manufactured in Chinese facilities. For instance, baseball, football, and biking sports have low popularity in Chinese cities. Most Chinese assume that fitness exercises like bike riding are meant for wealthy members of society. The belief means that the Chinese normally wear street clothes while riding bikes, which reduces the demand for relevant sporting products.</w:t>
      </w:r>
    </w:p>
    <w:p w14:paraId="7C55B5EF"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Exporting most products manufactured in China can reduce the company’s profit margins due to the increase in transportation costs. The language and cultural barriers can expose the company to a challenge in creating an effective workplace in its Chinese production facilities. A language barrier exists since the English language is uncommon in Chinese society and workplaces. The </w:t>
      </w:r>
      <w:proofErr w:type="gramStart"/>
      <w:r>
        <w:rPr>
          <w:rFonts w:ascii="Times New Roman" w:eastAsia="Times New Roman" w:hAnsi="Times New Roman" w:cs="Times New Roman"/>
          <w:sz w:val="24"/>
          <w:szCs w:val="24"/>
        </w:rPr>
        <w:t>high power</w:t>
      </w:r>
      <w:proofErr w:type="gramEnd"/>
      <w:r>
        <w:rPr>
          <w:rFonts w:ascii="Times New Roman" w:eastAsia="Times New Roman" w:hAnsi="Times New Roman" w:cs="Times New Roman"/>
          <w:sz w:val="24"/>
          <w:szCs w:val="24"/>
        </w:rPr>
        <w:t xml:space="preserve"> distance in Chinese workplaces means that Nike’s management would experience challenges in implementing tactics like collaboration, two-way communication, and flat organisational models</w:t>
      </w:r>
      <w:r>
        <w:rPr>
          <w:rFonts w:ascii="Times New Roman" w:eastAsia="Times New Roman" w:hAnsi="Times New Roman" w:cs="Times New Roman"/>
        </w:rPr>
        <w:t xml:space="preserve"> (</w:t>
      </w:r>
      <w:proofErr w:type="spellStart"/>
      <w:r>
        <w:rPr>
          <w:rFonts w:ascii="Times New Roman" w:eastAsia="Times New Roman" w:hAnsi="Times New Roman" w:cs="Times New Roman"/>
          <w:sz w:val="24"/>
          <w:szCs w:val="24"/>
        </w:rPr>
        <w:t>Humborstad</w:t>
      </w:r>
      <w:proofErr w:type="spellEnd"/>
      <w:r>
        <w:rPr>
          <w:rFonts w:ascii="Times New Roman" w:eastAsia="Times New Roman" w:hAnsi="Times New Roman" w:cs="Times New Roman"/>
          <w:sz w:val="24"/>
          <w:szCs w:val="24"/>
        </w:rPr>
        <w:t xml:space="preserve"> et al., 2008). Notably, low power distance has supported Western companies in implementing cross-functional and flat organisational structures. Huge support for local companies allows the Chinese government to offer them a competitive advantage over foreign firms.</w:t>
      </w:r>
    </w:p>
    <w:p w14:paraId="7F31964B" w14:textId="77777777" w:rsidR="00A665BE" w:rsidRDefault="00A665BE">
      <w:pPr>
        <w:spacing w:line="480" w:lineRule="auto"/>
        <w:ind w:firstLine="720"/>
        <w:rPr>
          <w:rFonts w:ascii="Times New Roman" w:eastAsia="Times New Roman" w:hAnsi="Times New Roman" w:cs="Times New Roman"/>
          <w:sz w:val="24"/>
          <w:szCs w:val="24"/>
        </w:rPr>
      </w:pPr>
    </w:p>
    <w:p w14:paraId="2C5FC0D8" w14:textId="77777777" w:rsidR="00A665BE" w:rsidRDefault="00000000">
      <w:pPr>
        <w:pStyle w:val="Heading1"/>
        <w:spacing w:line="480" w:lineRule="auto"/>
        <w:rPr>
          <w:rFonts w:ascii="Times New Roman" w:eastAsia="Times New Roman" w:hAnsi="Times New Roman" w:cs="Times New Roman"/>
          <w:b/>
          <w:color w:val="000000"/>
          <w:sz w:val="28"/>
          <w:szCs w:val="28"/>
        </w:rPr>
      </w:pPr>
      <w:bookmarkStart w:id="19" w:name="_3j2qqm3" w:colFirst="0" w:colLast="0"/>
      <w:bookmarkEnd w:id="19"/>
      <w:r>
        <w:rPr>
          <w:rFonts w:ascii="Times New Roman" w:eastAsia="Times New Roman" w:hAnsi="Times New Roman" w:cs="Times New Roman"/>
          <w:b/>
          <w:color w:val="000000"/>
          <w:sz w:val="28"/>
          <w:szCs w:val="28"/>
        </w:rPr>
        <w:t xml:space="preserve">Conclusion </w:t>
      </w:r>
    </w:p>
    <w:p w14:paraId="7075F336"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can rely on the Porter Diamond model and PESTLE analysis tool in analysing the Chinese market during the relocation of its production facilities. The management should understand that economic growth and political stability make China an attractive market for foreign companies. Political factors supporting business operation include political stability, foreign trade liberalisation, and global political influence. Economic factors making the Chinese market highly lucrative include high foreign direct investment (FDI), rapid GDP (gross domestic product) growth, and high engagement in international trade. Various social factors making the Chinese market highly attractive for investment include online shopping, a high literacy rate, and growing consumerism culture. Technological development offers the company an opportunity for improving its customer services, product quality, and productivity. Compliance with different laws can allow the company to avoid expensive lawsuits in the nation. Achieving </w:t>
      </w:r>
      <w:r>
        <w:rPr>
          <w:rFonts w:ascii="Times New Roman" w:eastAsia="Times New Roman" w:hAnsi="Times New Roman" w:cs="Times New Roman"/>
          <w:sz w:val="24"/>
          <w:szCs w:val="24"/>
        </w:rPr>
        <w:lastRenderedPageBreak/>
        <w:t xml:space="preserve">competitiveness requires the company to address factors like factor conditions and demand conditions. Creating a good relationship with related industries, acquisition and merger tactics, and investing in an innovative workforce can enable the company to overcome language barriers, cultural barriers, competition pressure, and </w:t>
      </w:r>
      <w:proofErr w:type="gramStart"/>
      <w:r>
        <w:rPr>
          <w:rFonts w:ascii="Times New Roman" w:eastAsia="Times New Roman" w:hAnsi="Times New Roman" w:cs="Times New Roman"/>
          <w:sz w:val="24"/>
          <w:szCs w:val="24"/>
        </w:rPr>
        <w:t>high power</w:t>
      </w:r>
      <w:proofErr w:type="gramEnd"/>
      <w:r>
        <w:rPr>
          <w:rFonts w:ascii="Times New Roman" w:eastAsia="Times New Roman" w:hAnsi="Times New Roman" w:cs="Times New Roman"/>
          <w:sz w:val="24"/>
          <w:szCs w:val="24"/>
        </w:rPr>
        <w:t xml:space="preserve"> distance problems.</w:t>
      </w:r>
    </w:p>
    <w:p w14:paraId="7800492A" w14:textId="77777777" w:rsidR="00A665BE" w:rsidRDefault="00A665BE">
      <w:pPr>
        <w:spacing w:line="480" w:lineRule="auto"/>
        <w:ind w:firstLine="720"/>
        <w:rPr>
          <w:rFonts w:ascii="Times New Roman" w:eastAsia="Times New Roman" w:hAnsi="Times New Roman" w:cs="Times New Roman"/>
          <w:sz w:val="24"/>
          <w:szCs w:val="24"/>
        </w:rPr>
      </w:pPr>
    </w:p>
    <w:p w14:paraId="3E03B57D" w14:textId="77777777" w:rsidR="00A665BE" w:rsidRDefault="00000000">
      <w:pPr>
        <w:pStyle w:val="Heading1"/>
        <w:spacing w:line="480" w:lineRule="auto"/>
        <w:rPr>
          <w:rFonts w:ascii="Times New Roman" w:eastAsia="Times New Roman" w:hAnsi="Times New Roman" w:cs="Times New Roman"/>
          <w:b/>
          <w:color w:val="000000"/>
          <w:sz w:val="28"/>
          <w:szCs w:val="28"/>
        </w:rPr>
      </w:pPr>
      <w:bookmarkStart w:id="20" w:name="_1y810tw" w:colFirst="0" w:colLast="0"/>
      <w:bookmarkEnd w:id="20"/>
      <w:r>
        <w:rPr>
          <w:rFonts w:ascii="Times New Roman" w:eastAsia="Times New Roman" w:hAnsi="Times New Roman" w:cs="Times New Roman"/>
          <w:b/>
          <w:color w:val="000000"/>
          <w:sz w:val="28"/>
          <w:szCs w:val="28"/>
        </w:rPr>
        <w:t>Recommendation</w:t>
      </w:r>
    </w:p>
    <w:p w14:paraId="2F563F2C"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tactics that Nike should adopt in relocating its production facilities to China successfully include creating a culturally competent workforce, creating commonly consumed goods in the society, and implementing a vertical integration model. First, the company can create a culturally competent workforce by hiring a culturally competent workforce, hiring local people, and merging with local companies. Nike should ensure that </w:t>
      </w:r>
      <w:proofErr w:type="spellStart"/>
      <w:r>
        <w:rPr>
          <w:rFonts w:ascii="Times New Roman" w:eastAsia="Times New Roman" w:hAnsi="Times New Roman" w:cs="Times New Roman"/>
          <w:sz w:val="24"/>
          <w:szCs w:val="24"/>
        </w:rPr>
        <w:t>non-Chinese</w:t>
      </w:r>
      <w:proofErr w:type="spellEnd"/>
      <w:r>
        <w:rPr>
          <w:rFonts w:ascii="Times New Roman" w:eastAsia="Times New Roman" w:hAnsi="Times New Roman" w:cs="Times New Roman"/>
          <w:sz w:val="24"/>
          <w:szCs w:val="24"/>
        </w:rPr>
        <w:t xml:space="preserve"> citizens deployed in its new production facilities understand Chinese culture, speak Mandarin, and know traditional Chinese sports. Secondly, the company can increase its visibility in the Chinese sportswear market by developing common sporting products in Chinese society. For instance, the company can provide product snowboarding and skateboarding equipment for young Chinese citizens. The company should partner with the Chinese government developing special training programs for students and young adults in Chinese cities</w:t>
      </w:r>
      <w:r>
        <w:rPr>
          <w:rFonts w:ascii="Times New Roman" w:eastAsia="Times New Roman" w:hAnsi="Times New Roman" w:cs="Times New Roman"/>
        </w:rPr>
        <w:t xml:space="preserve"> (</w:t>
      </w:r>
      <w:r>
        <w:rPr>
          <w:rFonts w:ascii="Times New Roman" w:eastAsia="Times New Roman" w:hAnsi="Times New Roman" w:cs="Times New Roman"/>
          <w:sz w:val="24"/>
          <w:szCs w:val="24"/>
        </w:rPr>
        <w:t>Maarten &amp; Parisa, 2021). Lastly, the company should adopt the vertical integration model in controlling quality and reducing operational costs</w:t>
      </w:r>
      <w:r>
        <w:rPr>
          <w:rFonts w:ascii="Times New Roman" w:eastAsia="Times New Roman" w:hAnsi="Times New Roman" w:cs="Times New Roman"/>
        </w:rPr>
        <w:t xml:space="preserve"> (</w:t>
      </w:r>
      <w:r>
        <w:rPr>
          <w:rFonts w:ascii="Times New Roman" w:eastAsia="Times New Roman" w:hAnsi="Times New Roman" w:cs="Times New Roman"/>
          <w:sz w:val="24"/>
          <w:szCs w:val="24"/>
        </w:rPr>
        <w:t>Acemoglu et al., 2010). The model can allow the company to offer its products to retailers and distributors to avoid high transportation and storage costs.</w:t>
      </w:r>
    </w:p>
    <w:p w14:paraId="1AC24EC2" w14:textId="77777777" w:rsidR="00A665BE" w:rsidRDefault="00A665BE">
      <w:pPr>
        <w:spacing w:line="480" w:lineRule="auto"/>
        <w:rPr>
          <w:rFonts w:ascii="Times New Roman" w:eastAsia="Times New Roman" w:hAnsi="Times New Roman" w:cs="Times New Roman"/>
          <w:sz w:val="24"/>
          <w:szCs w:val="24"/>
        </w:rPr>
      </w:pPr>
    </w:p>
    <w:p w14:paraId="2B541ECD" w14:textId="77777777" w:rsidR="00A665BE" w:rsidRDefault="00A665BE">
      <w:pPr>
        <w:spacing w:line="480" w:lineRule="auto"/>
        <w:rPr>
          <w:rFonts w:ascii="Times New Roman" w:eastAsia="Times New Roman" w:hAnsi="Times New Roman" w:cs="Times New Roman"/>
          <w:sz w:val="24"/>
          <w:szCs w:val="24"/>
        </w:rPr>
      </w:pPr>
    </w:p>
    <w:p w14:paraId="552E6C66" w14:textId="77777777" w:rsidR="00A665BE" w:rsidRDefault="00A665BE">
      <w:pPr>
        <w:spacing w:line="480" w:lineRule="auto"/>
        <w:rPr>
          <w:rFonts w:ascii="Times New Roman" w:eastAsia="Times New Roman" w:hAnsi="Times New Roman" w:cs="Times New Roman"/>
          <w:sz w:val="24"/>
          <w:szCs w:val="24"/>
        </w:rPr>
      </w:pPr>
    </w:p>
    <w:p w14:paraId="71015B4B" w14:textId="77777777" w:rsidR="00A665BE" w:rsidRDefault="00000000">
      <w:pPr>
        <w:pStyle w:val="Heading1"/>
        <w:spacing w:line="480" w:lineRule="auto"/>
        <w:rPr>
          <w:rFonts w:ascii="Times New Roman" w:eastAsia="Times New Roman" w:hAnsi="Times New Roman" w:cs="Times New Roman"/>
          <w:b/>
          <w:color w:val="000000"/>
          <w:sz w:val="28"/>
          <w:szCs w:val="28"/>
        </w:rPr>
      </w:pPr>
      <w:bookmarkStart w:id="21" w:name="_4i7ojhp" w:colFirst="0" w:colLast="0"/>
      <w:bookmarkEnd w:id="21"/>
      <w:r>
        <w:rPr>
          <w:rFonts w:ascii="Times New Roman" w:eastAsia="Times New Roman" w:hAnsi="Times New Roman" w:cs="Times New Roman"/>
          <w:b/>
          <w:color w:val="000000"/>
          <w:sz w:val="28"/>
          <w:szCs w:val="28"/>
        </w:rPr>
        <w:t xml:space="preserve">References </w:t>
      </w:r>
    </w:p>
    <w:p w14:paraId="5C184F12" w14:textId="77777777" w:rsidR="00A665B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Acemoglu, D., Griffith, R., Aghion, P., &amp; </w:t>
      </w:r>
      <w:proofErr w:type="spellStart"/>
      <w:r>
        <w:rPr>
          <w:rFonts w:ascii="Times New Roman" w:eastAsia="Times New Roman" w:hAnsi="Times New Roman" w:cs="Times New Roman"/>
          <w:sz w:val="24"/>
          <w:szCs w:val="24"/>
        </w:rPr>
        <w:t>Zilibotti</w:t>
      </w:r>
      <w:proofErr w:type="spellEnd"/>
      <w:r>
        <w:rPr>
          <w:rFonts w:ascii="Times New Roman" w:eastAsia="Times New Roman" w:hAnsi="Times New Roman" w:cs="Times New Roman"/>
          <w:sz w:val="24"/>
          <w:szCs w:val="24"/>
        </w:rPr>
        <w:t xml:space="preserve">, F. (2010). Vertical integration and </w:t>
      </w:r>
    </w:p>
    <w:p w14:paraId="2B9E4513" w14:textId="77777777" w:rsidR="00A665BE"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theory and evidence. </w:t>
      </w:r>
      <w:r>
        <w:rPr>
          <w:rFonts w:ascii="Times New Roman" w:eastAsia="Times New Roman" w:hAnsi="Times New Roman" w:cs="Times New Roman"/>
          <w:i/>
          <w:sz w:val="24"/>
          <w:szCs w:val="24"/>
        </w:rPr>
        <w:t>Journal of the European Economic Association</w:t>
      </w:r>
      <w:r>
        <w:rPr>
          <w:rFonts w:ascii="Times New Roman" w:eastAsia="Times New Roman" w:hAnsi="Times New Roman" w:cs="Times New Roman"/>
          <w:sz w:val="24"/>
          <w:szCs w:val="24"/>
        </w:rPr>
        <w:t xml:space="preserve">, 8(5), 989-1033. </w:t>
      </w:r>
      <w:hyperlink r:id="rId10">
        <w:r>
          <w:rPr>
            <w:rFonts w:ascii="Times New Roman" w:eastAsia="Times New Roman" w:hAnsi="Times New Roman" w:cs="Times New Roman"/>
            <w:color w:val="0563C1"/>
            <w:sz w:val="24"/>
            <w:szCs w:val="24"/>
            <w:u w:val="single"/>
          </w:rPr>
          <w:t>https://doi.org/10.1111/j.1542-4774.2010.tb00546.x</w:t>
        </w:r>
      </w:hyperlink>
    </w:p>
    <w:p w14:paraId="71CCB414" w14:textId="77777777" w:rsidR="00A665BE" w:rsidRDefault="00000000">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Ba, A. D. (2003). China and ASEAN: Renavigating relations for a 21st-century Asia. </w:t>
      </w:r>
      <w:r>
        <w:rPr>
          <w:rFonts w:ascii="Times New Roman" w:eastAsia="Times New Roman" w:hAnsi="Times New Roman" w:cs="Times New Roman"/>
          <w:i/>
          <w:sz w:val="24"/>
          <w:szCs w:val="24"/>
        </w:rPr>
        <w:t xml:space="preserve">Asian </w:t>
      </w:r>
    </w:p>
    <w:p w14:paraId="55255CB9"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Survey,</w:t>
      </w:r>
      <w:r>
        <w:rPr>
          <w:rFonts w:ascii="Times New Roman" w:eastAsia="Times New Roman" w:hAnsi="Times New Roman" w:cs="Times New Roman"/>
          <w:sz w:val="24"/>
          <w:szCs w:val="24"/>
        </w:rPr>
        <w:t xml:space="preserve"> 43(4), 622-647.</w:t>
      </w:r>
      <w:r>
        <w:rPr>
          <w:rFonts w:ascii="Times New Roman" w:eastAsia="Times New Roman" w:hAnsi="Times New Roman" w:cs="Times New Roman"/>
        </w:rPr>
        <w:t xml:space="preserve"> </w:t>
      </w:r>
      <w:r>
        <w:rPr>
          <w:rFonts w:ascii="Times New Roman" w:eastAsia="Times New Roman" w:hAnsi="Times New Roman" w:cs="Times New Roman"/>
          <w:sz w:val="24"/>
          <w:szCs w:val="24"/>
        </w:rPr>
        <w:t>https://doi.org/10.1525/as.2003.43.4.622</w:t>
      </w:r>
    </w:p>
    <w:p w14:paraId="15630FFC" w14:textId="77777777" w:rsidR="00A665B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Barney, J. B. (2002). </w:t>
      </w:r>
      <w:r>
        <w:rPr>
          <w:rFonts w:ascii="Times New Roman" w:eastAsia="Times New Roman" w:hAnsi="Times New Roman" w:cs="Times New Roman"/>
          <w:i/>
          <w:sz w:val="24"/>
          <w:szCs w:val="24"/>
        </w:rPr>
        <w:t>Gaining and Sustaining Competitive Advantage</w:t>
      </w:r>
      <w:r>
        <w:rPr>
          <w:rFonts w:ascii="Times New Roman" w:eastAsia="Times New Roman" w:hAnsi="Times New Roman" w:cs="Times New Roman"/>
          <w:sz w:val="24"/>
          <w:szCs w:val="24"/>
        </w:rPr>
        <w:t xml:space="preserve">. Prentice-Hall: Upper </w:t>
      </w:r>
    </w:p>
    <w:p w14:paraId="1468E3CE"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Saddle River, NJ.</w:t>
      </w:r>
    </w:p>
    <w:p w14:paraId="16F82497" w14:textId="77777777" w:rsidR="00A665BE" w:rsidRDefault="00000000">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Claessens</w:t>
      </w:r>
      <w:proofErr w:type="spellEnd"/>
      <w:r>
        <w:rPr>
          <w:rFonts w:ascii="Times New Roman" w:eastAsia="Times New Roman" w:hAnsi="Times New Roman" w:cs="Times New Roman"/>
          <w:sz w:val="24"/>
          <w:szCs w:val="24"/>
        </w:rPr>
        <w:t xml:space="preserve">, M. (2016). </w:t>
      </w:r>
      <w:r>
        <w:rPr>
          <w:rFonts w:ascii="Times New Roman" w:eastAsia="Times New Roman" w:hAnsi="Times New Roman" w:cs="Times New Roman"/>
          <w:i/>
          <w:sz w:val="24"/>
          <w:szCs w:val="24"/>
        </w:rPr>
        <w:t>The Porter Diamond Model-Analysis of National Competitiveness</w:t>
      </w:r>
      <w:r>
        <w:rPr>
          <w:rFonts w:ascii="Times New Roman" w:eastAsia="Times New Roman" w:hAnsi="Times New Roman" w:cs="Times New Roman"/>
          <w:sz w:val="24"/>
          <w:szCs w:val="24"/>
        </w:rPr>
        <w:t xml:space="preserve">. </w:t>
      </w:r>
    </w:p>
    <w:p w14:paraId="48A064A9"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Massachusetts: Harvard University Press.</w:t>
      </w:r>
    </w:p>
    <w:p w14:paraId="4C427CE3" w14:textId="77777777" w:rsidR="00A665B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Commons. (2020). </w:t>
      </w:r>
      <w:r>
        <w:rPr>
          <w:rFonts w:ascii="Times New Roman" w:eastAsia="Times New Roman" w:hAnsi="Times New Roman" w:cs="Times New Roman"/>
          <w:i/>
          <w:sz w:val="24"/>
          <w:szCs w:val="24"/>
        </w:rPr>
        <w:t>People's Republic of China: Country in Asia</w:t>
      </w:r>
      <w:r>
        <w:rPr>
          <w:rFonts w:ascii="Times New Roman" w:eastAsia="Times New Roman" w:hAnsi="Times New Roman" w:cs="Times New Roman"/>
          <w:sz w:val="24"/>
          <w:szCs w:val="24"/>
        </w:rPr>
        <w:t xml:space="preserve">. Data Commons. </w:t>
      </w:r>
    </w:p>
    <w:p w14:paraId="2DBDF3F9" w14:textId="77777777" w:rsidR="00A665BE" w:rsidRDefault="00000000">
      <w:pPr>
        <w:spacing w:line="480" w:lineRule="auto"/>
        <w:ind w:left="720"/>
        <w:rPr>
          <w:rFonts w:ascii="Times New Roman" w:eastAsia="Times New Roman" w:hAnsi="Times New Roman" w:cs="Times New Roman"/>
          <w:sz w:val="24"/>
          <w:szCs w:val="24"/>
        </w:rPr>
      </w:pPr>
      <w:hyperlink r:id="rId11">
        <w:r>
          <w:rPr>
            <w:rFonts w:ascii="Times New Roman" w:eastAsia="Times New Roman" w:hAnsi="Times New Roman" w:cs="Times New Roman"/>
            <w:color w:val="0563C1"/>
            <w:sz w:val="24"/>
            <w:szCs w:val="24"/>
            <w:u w:val="single"/>
          </w:rPr>
          <w:t>https://datacommons.org/place/country/CHN?utm_medium=explore&amp;mprop=amount&amp;</w:t>
        </w:r>
      </w:hyperlink>
      <w:r>
        <w:rPr>
          <w:rFonts w:ascii="Times New Roman" w:eastAsia="Times New Roman" w:hAnsi="Times New Roman" w:cs="Times New Roman"/>
          <w:sz w:val="24"/>
          <w:szCs w:val="24"/>
        </w:rPr>
        <w:t>popt=EconomicActivity&amp;cpv=activitySource%2CGrossDomesticProduction&amp;hl=en</w:t>
      </w:r>
    </w:p>
    <w:p w14:paraId="6B455353" w14:textId="77777777" w:rsidR="00A665B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Dull, J. L. (2022). </w:t>
      </w:r>
      <w:r>
        <w:rPr>
          <w:rFonts w:ascii="Times New Roman" w:eastAsia="Times New Roman" w:hAnsi="Times New Roman" w:cs="Times New Roman"/>
          <w:i/>
          <w:sz w:val="24"/>
          <w:szCs w:val="24"/>
        </w:rPr>
        <w:t>China</w:t>
      </w:r>
      <w:r>
        <w:rPr>
          <w:rFonts w:ascii="Times New Roman" w:eastAsia="Times New Roman" w:hAnsi="Times New Roman" w:cs="Times New Roman"/>
          <w:sz w:val="24"/>
          <w:szCs w:val="24"/>
        </w:rPr>
        <w:t>. Britannica. https://www.britannica.com/place/China</w:t>
      </w:r>
    </w:p>
    <w:p w14:paraId="5D9A7603" w14:textId="77777777" w:rsidR="00A665BE" w:rsidRDefault="00000000">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FinlandChinaGo</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Overview: China is big and diverse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FinlandChinaGo</w:t>
      </w:r>
      <w:proofErr w:type="spellEnd"/>
      <w:r>
        <w:rPr>
          <w:rFonts w:ascii="Times New Roman" w:eastAsia="Times New Roman" w:hAnsi="Times New Roman" w:cs="Times New Roman"/>
          <w:sz w:val="24"/>
          <w:szCs w:val="24"/>
        </w:rPr>
        <w:t xml:space="preserve">. </w:t>
      </w:r>
    </w:p>
    <w:p w14:paraId="09AE296F" w14:textId="77777777" w:rsidR="00A665BE" w:rsidRDefault="00000000">
      <w:pPr>
        <w:spacing w:line="480" w:lineRule="auto"/>
        <w:ind w:left="720"/>
        <w:rPr>
          <w:rFonts w:ascii="Times New Roman" w:eastAsia="Times New Roman" w:hAnsi="Times New Roman" w:cs="Times New Roman"/>
          <w:sz w:val="24"/>
          <w:szCs w:val="24"/>
        </w:rPr>
      </w:pPr>
      <w:hyperlink r:id="rId12" w:anchor=":~:text=China%20is%20big%20and%20diverse,broad%20geographical%20and%20cultural%20diversity">
        <w:r>
          <w:rPr>
            <w:rFonts w:ascii="Times New Roman" w:eastAsia="Times New Roman" w:hAnsi="Times New Roman" w:cs="Times New Roman"/>
            <w:color w:val="0563C1"/>
            <w:sz w:val="24"/>
            <w:szCs w:val="24"/>
            <w:u w:val="single"/>
          </w:rPr>
          <w:t>https://www.finlandchinago.fi/china/overview-china/#:~:text=China%20is%20big%20and%20diverse,broad%20geographical%20and%20cultural%20diversity</w:t>
        </w:r>
      </w:hyperlink>
      <w:r>
        <w:rPr>
          <w:rFonts w:ascii="Times New Roman" w:eastAsia="Times New Roman" w:hAnsi="Times New Roman" w:cs="Times New Roman"/>
          <w:sz w:val="24"/>
          <w:szCs w:val="24"/>
        </w:rPr>
        <w:t>.</w:t>
      </w:r>
    </w:p>
    <w:p w14:paraId="797840B7" w14:textId="77777777" w:rsidR="00A665BE" w:rsidRDefault="00000000">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Humborstad</w:t>
      </w:r>
      <w:proofErr w:type="spellEnd"/>
      <w:r>
        <w:rPr>
          <w:rFonts w:ascii="Times New Roman" w:eastAsia="Times New Roman" w:hAnsi="Times New Roman" w:cs="Times New Roman"/>
          <w:sz w:val="24"/>
          <w:szCs w:val="24"/>
        </w:rPr>
        <w:t xml:space="preserve">, S. I. W., </w:t>
      </w:r>
      <w:proofErr w:type="spellStart"/>
      <w:r>
        <w:rPr>
          <w:rFonts w:ascii="Times New Roman" w:eastAsia="Times New Roman" w:hAnsi="Times New Roman" w:cs="Times New Roman"/>
          <w:sz w:val="24"/>
          <w:szCs w:val="24"/>
        </w:rPr>
        <w:t>Humborstad</w:t>
      </w:r>
      <w:proofErr w:type="spellEnd"/>
      <w:r>
        <w:rPr>
          <w:rFonts w:ascii="Times New Roman" w:eastAsia="Times New Roman" w:hAnsi="Times New Roman" w:cs="Times New Roman"/>
          <w:sz w:val="24"/>
          <w:szCs w:val="24"/>
        </w:rPr>
        <w:t xml:space="preserve">, B., Whitfield, R., &amp; Perry, C. (2008). Implementation of </w:t>
      </w:r>
    </w:p>
    <w:p w14:paraId="1557B1EE" w14:textId="77777777" w:rsidR="00A665BE"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empowerment in Chinese high power-distance organizations. </w:t>
      </w:r>
      <w:r>
        <w:rPr>
          <w:rFonts w:ascii="Times New Roman" w:eastAsia="Times New Roman" w:hAnsi="Times New Roman" w:cs="Times New Roman"/>
          <w:i/>
          <w:sz w:val="24"/>
          <w:szCs w:val="24"/>
        </w:rPr>
        <w:t>The International Journal of Human Resource Management</w:t>
      </w:r>
      <w:r>
        <w:rPr>
          <w:rFonts w:ascii="Times New Roman" w:eastAsia="Times New Roman" w:hAnsi="Times New Roman" w:cs="Times New Roman"/>
          <w:sz w:val="24"/>
          <w:szCs w:val="24"/>
        </w:rPr>
        <w:t>, 19(7), 1349-1364.</w:t>
      </w:r>
      <w:r>
        <w:rPr>
          <w:rFonts w:ascii="Times New Roman" w:eastAsia="Times New Roman" w:hAnsi="Times New Roman" w:cs="Times New Roman"/>
        </w:rPr>
        <w:t xml:space="preserve"> </w:t>
      </w:r>
      <w:r>
        <w:rPr>
          <w:rFonts w:ascii="Times New Roman" w:eastAsia="Times New Roman" w:hAnsi="Times New Roman" w:cs="Times New Roman"/>
          <w:sz w:val="24"/>
          <w:szCs w:val="24"/>
        </w:rPr>
        <w:t>https://doi.org/10.1080/09585190802110224</w:t>
      </w:r>
    </w:p>
    <w:p w14:paraId="6051BE44" w14:textId="77777777" w:rsidR="00A665BE" w:rsidRDefault="00000000">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Kawakami, T. (2021, November 6). </w:t>
      </w:r>
      <w:r>
        <w:rPr>
          <w:rFonts w:ascii="Times New Roman" w:eastAsia="Times New Roman" w:hAnsi="Times New Roman" w:cs="Times New Roman"/>
          <w:i/>
          <w:sz w:val="24"/>
          <w:szCs w:val="24"/>
        </w:rPr>
        <w:t xml:space="preserve">China's domestic sportswear brands rapidly closing on </w:t>
      </w:r>
    </w:p>
    <w:p w14:paraId="3AFD297E" w14:textId="77777777" w:rsidR="00A665BE"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Nike, Adidas</w:t>
      </w:r>
      <w:r>
        <w:rPr>
          <w:rFonts w:ascii="Times New Roman" w:eastAsia="Times New Roman" w:hAnsi="Times New Roman" w:cs="Times New Roman"/>
          <w:sz w:val="24"/>
          <w:szCs w:val="24"/>
        </w:rPr>
        <w:t xml:space="preserve">. Nikkei Asia. </w:t>
      </w:r>
      <w:hyperlink r:id="rId13">
        <w:r>
          <w:rPr>
            <w:rFonts w:ascii="Times New Roman" w:eastAsia="Times New Roman" w:hAnsi="Times New Roman" w:cs="Times New Roman"/>
            <w:color w:val="0563C1"/>
            <w:sz w:val="24"/>
            <w:szCs w:val="24"/>
            <w:u w:val="single"/>
          </w:rPr>
          <w:t>https://asia.nikkei.com/Business/Retail/China-s-domestic-</w:t>
        </w:r>
      </w:hyperlink>
      <w:r>
        <w:rPr>
          <w:rFonts w:ascii="Times New Roman" w:eastAsia="Times New Roman" w:hAnsi="Times New Roman" w:cs="Times New Roman"/>
          <w:sz w:val="24"/>
          <w:szCs w:val="24"/>
        </w:rPr>
        <w:t>sportwear-brands-rapidly-closing-on-Nike-Adidas</w:t>
      </w:r>
    </w:p>
    <w:p w14:paraId="1D2DAB1B" w14:textId="77777777" w:rsidR="00A665BE" w:rsidRDefault="00000000">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Liu, X., &amp; Song, H. (1997). China and the multinationals—a winning combination. </w:t>
      </w:r>
      <w:r>
        <w:rPr>
          <w:rFonts w:ascii="Times New Roman" w:eastAsia="Times New Roman" w:hAnsi="Times New Roman" w:cs="Times New Roman"/>
          <w:i/>
          <w:sz w:val="24"/>
          <w:szCs w:val="24"/>
        </w:rPr>
        <w:t xml:space="preserve">Long Range </w:t>
      </w:r>
    </w:p>
    <w:p w14:paraId="7C09E699"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Planning,</w:t>
      </w:r>
      <w:r>
        <w:rPr>
          <w:rFonts w:ascii="Times New Roman" w:eastAsia="Times New Roman" w:hAnsi="Times New Roman" w:cs="Times New Roman"/>
          <w:sz w:val="24"/>
          <w:szCs w:val="24"/>
        </w:rPr>
        <w:t xml:space="preserve"> 30(1), 74-83.</w:t>
      </w:r>
    </w:p>
    <w:p w14:paraId="22E079D7" w14:textId="77777777" w:rsidR="00A665B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Maarten &amp; Parisa, 2021. </w:t>
      </w:r>
      <w:r>
        <w:rPr>
          <w:rFonts w:ascii="Times New Roman" w:eastAsia="Times New Roman" w:hAnsi="Times New Roman" w:cs="Times New Roman"/>
          <w:i/>
          <w:sz w:val="24"/>
          <w:szCs w:val="24"/>
        </w:rPr>
        <w:t>Nike’s Global Expansion</w:t>
      </w:r>
      <w:r>
        <w:rPr>
          <w:rFonts w:ascii="Times New Roman" w:eastAsia="Times New Roman" w:hAnsi="Times New Roman" w:cs="Times New Roman"/>
          <w:sz w:val="24"/>
          <w:szCs w:val="24"/>
        </w:rPr>
        <w:t xml:space="preserve">. Global Marketing Professor. </w:t>
      </w:r>
    </w:p>
    <w:p w14:paraId="18AEE322" w14:textId="77777777" w:rsidR="00A665BE" w:rsidRDefault="00000000">
      <w:pPr>
        <w:spacing w:line="480" w:lineRule="auto"/>
        <w:ind w:firstLine="720"/>
        <w:rPr>
          <w:rFonts w:ascii="Times New Roman" w:eastAsia="Times New Roman" w:hAnsi="Times New Roman" w:cs="Times New Roman"/>
          <w:sz w:val="24"/>
          <w:szCs w:val="24"/>
        </w:rPr>
      </w:pPr>
      <w:hyperlink r:id="rId14">
        <w:r>
          <w:rPr>
            <w:rFonts w:ascii="Times New Roman" w:eastAsia="Times New Roman" w:hAnsi="Times New Roman" w:cs="Times New Roman"/>
            <w:color w:val="0563C1"/>
            <w:sz w:val="24"/>
            <w:szCs w:val="24"/>
            <w:u w:val="single"/>
          </w:rPr>
          <w:t>https://globalmarketingprofessor.com/nikes-global-expansion/</w:t>
        </w:r>
      </w:hyperlink>
    </w:p>
    <w:p w14:paraId="084C4168" w14:textId="77777777" w:rsidR="00A665B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Manley, W., Foot, K., &amp; Davis, A. (2019). </w:t>
      </w:r>
      <w:r>
        <w:rPr>
          <w:rFonts w:ascii="Times New Roman" w:eastAsia="Times New Roman" w:hAnsi="Times New Roman" w:cs="Times New Roman"/>
          <w:i/>
          <w:sz w:val="24"/>
          <w:szCs w:val="24"/>
        </w:rPr>
        <w:t>PESTLE analysis</w:t>
      </w:r>
      <w:r>
        <w:rPr>
          <w:rFonts w:ascii="Times New Roman" w:eastAsia="Times New Roman" w:hAnsi="Times New Roman" w:cs="Times New Roman"/>
          <w:sz w:val="24"/>
          <w:szCs w:val="24"/>
        </w:rPr>
        <w:t>. Oxford: Oxford University Press.</w:t>
      </w:r>
    </w:p>
    <w:p w14:paraId="7075F324" w14:textId="77777777" w:rsidR="00A665B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 M. E. (1979). </w:t>
      </w:r>
      <w:r>
        <w:rPr>
          <w:rFonts w:ascii="Times New Roman" w:eastAsia="Times New Roman" w:hAnsi="Times New Roman" w:cs="Times New Roman"/>
          <w:i/>
          <w:sz w:val="24"/>
          <w:szCs w:val="24"/>
        </w:rPr>
        <w:t>How competitive forces shape strategy</w:t>
      </w:r>
      <w:r>
        <w:rPr>
          <w:rFonts w:ascii="Times New Roman" w:eastAsia="Times New Roman" w:hAnsi="Times New Roman" w:cs="Times New Roman"/>
          <w:sz w:val="24"/>
          <w:szCs w:val="24"/>
        </w:rPr>
        <w:t xml:space="preserve">. Cape Town: Juta and Company </w:t>
      </w:r>
    </w:p>
    <w:p w14:paraId="77FDAD67"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Ltd.</w:t>
      </w:r>
    </w:p>
    <w:p w14:paraId="59F23609" w14:textId="77777777" w:rsidR="00A665BE" w:rsidRDefault="00000000">
      <w:pPr>
        <w:spacing w:line="480" w:lineRule="auto"/>
        <w:rPr>
          <w:rFonts w:ascii="Times New Roman" w:eastAsia="Times New Roman" w:hAnsi="Times New Roman" w:cs="Times New Roman"/>
        </w:rPr>
      </w:pPr>
      <w:r>
        <w:rPr>
          <w:rFonts w:ascii="Times New Roman" w:eastAsia="Times New Roman" w:hAnsi="Times New Roman" w:cs="Times New Roman"/>
          <w:sz w:val="24"/>
          <w:szCs w:val="24"/>
        </w:rPr>
        <w:t>Rahman, M. (2022).</w:t>
      </w:r>
      <w:r>
        <w:rPr>
          <w:rFonts w:ascii="Times New Roman" w:eastAsia="Times New Roman" w:hAnsi="Times New Roman" w:cs="Times New Roman"/>
          <w:i/>
          <w:sz w:val="24"/>
          <w:szCs w:val="24"/>
        </w:rPr>
        <w:t xml:space="preserve"> PESTEL analysis of China (China country profile).</w:t>
      </w:r>
      <w:r>
        <w:rPr>
          <w:rFonts w:ascii="Times New Roman" w:eastAsia="Times New Roman" w:hAnsi="Times New Roman" w:cs="Times New Roman"/>
        </w:rPr>
        <w:t xml:space="preserve"> </w:t>
      </w:r>
      <w:proofErr w:type="spellStart"/>
      <w:r>
        <w:rPr>
          <w:rFonts w:ascii="Times New Roman" w:eastAsia="Times New Roman" w:hAnsi="Times New Roman" w:cs="Times New Roman"/>
        </w:rPr>
        <w:t>Howandwhat</w:t>
      </w:r>
      <w:proofErr w:type="spellEnd"/>
      <w:r>
        <w:rPr>
          <w:rFonts w:ascii="Times New Roman" w:eastAsia="Times New Roman" w:hAnsi="Times New Roman" w:cs="Times New Roman"/>
        </w:rPr>
        <w:t xml:space="preserve">. </w:t>
      </w:r>
    </w:p>
    <w:p w14:paraId="3C0FED95"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https://howandwhat.net/pestel-analysis-china/</w:t>
      </w:r>
    </w:p>
    <w:p w14:paraId="4A1A3FB3" w14:textId="77777777" w:rsidR="00A665BE" w:rsidRDefault="00000000">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w:t>
      </w:r>
      <w:proofErr w:type="spellEnd"/>
      <w:r>
        <w:rPr>
          <w:rFonts w:ascii="Times New Roman" w:eastAsia="Times New Roman" w:hAnsi="Times New Roman" w:cs="Times New Roman"/>
          <w:sz w:val="24"/>
          <w:szCs w:val="24"/>
        </w:rPr>
        <w:t xml:space="preserve">, J., &amp; Tong, X. (2015). Brand personality and brand equity: evidence from the sportswear </w:t>
      </w:r>
    </w:p>
    <w:p w14:paraId="6C0A964F" w14:textId="77777777" w:rsidR="00A665BE"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industry. </w:t>
      </w:r>
      <w:r>
        <w:rPr>
          <w:rFonts w:ascii="Times New Roman" w:eastAsia="Times New Roman" w:hAnsi="Times New Roman" w:cs="Times New Roman"/>
          <w:i/>
          <w:sz w:val="24"/>
          <w:szCs w:val="24"/>
        </w:rPr>
        <w:t>Journal of Product &amp; Brand Management</w:t>
      </w:r>
      <w:r>
        <w:rPr>
          <w:rFonts w:ascii="Times New Roman" w:eastAsia="Times New Roman" w:hAnsi="Times New Roman" w:cs="Times New Roman"/>
          <w:sz w:val="24"/>
          <w:szCs w:val="24"/>
        </w:rPr>
        <w:t>.</w:t>
      </w:r>
      <w:r>
        <w:rPr>
          <w:rFonts w:ascii="Times New Roman" w:eastAsia="Times New Roman" w:hAnsi="Times New Roman" w:cs="Times New Roman"/>
        </w:rPr>
        <w:t xml:space="preserve"> </w:t>
      </w:r>
      <w:hyperlink r:id="rId15">
        <w:r>
          <w:rPr>
            <w:rFonts w:ascii="Times New Roman" w:eastAsia="Times New Roman" w:hAnsi="Times New Roman" w:cs="Times New Roman"/>
            <w:color w:val="0563C1"/>
            <w:sz w:val="24"/>
            <w:szCs w:val="24"/>
            <w:u w:val="single"/>
          </w:rPr>
          <w:t>https://doi.org/10.1108/SBM-08-2012-0032</w:t>
        </w:r>
      </w:hyperlink>
    </w:p>
    <w:p w14:paraId="6D353E32" w14:textId="77777777" w:rsidR="00A665B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Tong, X., &amp; Hawley, J. M. (2009). Measuring customer‐based brand equity: Empirical evidence </w:t>
      </w:r>
    </w:p>
    <w:p w14:paraId="2E9FFAC7" w14:textId="77777777" w:rsidR="00A665BE"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sportswear market in China. </w:t>
      </w:r>
      <w:r>
        <w:rPr>
          <w:rFonts w:ascii="Times New Roman" w:eastAsia="Times New Roman" w:hAnsi="Times New Roman" w:cs="Times New Roman"/>
          <w:i/>
          <w:sz w:val="24"/>
          <w:szCs w:val="24"/>
        </w:rPr>
        <w:t>Journal of product &amp; brand management</w:t>
      </w:r>
      <w:r>
        <w:rPr>
          <w:rFonts w:ascii="Times New Roman" w:eastAsia="Times New Roman" w:hAnsi="Times New Roman" w:cs="Times New Roman"/>
          <w:sz w:val="24"/>
          <w:szCs w:val="24"/>
        </w:rPr>
        <w:t>.</w:t>
      </w:r>
      <w:r>
        <w:rPr>
          <w:rFonts w:ascii="Times New Roman" w:eastAsia="Times New Roman" w:hAnsi="Times New Roman" w:cs="Times New Roman"/>
        </w:rPr>
        <w:t xml:space="preserve"> </w:t>
      </w:r>
      <w:r>
        <w:rPr>
          <w:rFonts w:ascii="Times New Roman" w:eastAsia="Times New Roman" w:hAnsi="Times New Roman" w:cs="Times New Roman"/>
          <w:sz w:val="24"/>
          <w:szCs w:val="24"/>
        </w:rPr>
        <w:t>https://doi.org/10.1108/10610420910972783</w:t>
      </w:r>
    </w:p>
    <w:p w14:paraId="4A646C73" w14:textId="77777777" w:rsidR="00A665BE" w:rsidRDefault="00000000">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Trefis</w:t>
      </w:r>
      <w:proofErr w:type="spellEnd"/>
      <w:r>
        <w:rPr>
          <w:rFonts w:ascii="Times New Roman" w:eastAsia="Times New Roman" w:hAnsi="Times New Roman" w:cs="Times New Roman"/>
          <w:sz w:val="24"/>
          <w:szCs w:val="24"/>
        </w:rPr>
        <w:t xml:space="preserve"> Team. (2014). Nike's China Problem. </w:t>
      </w:r>
      <w:r>
        <w:rPr>
          <w:rFonts w:ascii="Times New Roman" w:eastAsia="Times New Roman" w:hAnsi="Times New Roman" w:cs="Times New Roman"/>
          <w:i/>
          <w:sz w:val="24"/>
          <w:szCs w:val="24"/>
        </w:rPr>
        <w:t>Forbes.</w:t>
      </w:r>
      <w:r>
        <w:rPr>
          <w:rFonts w:ascii="Times New Roman" w:eastAsia="Times New Roman" w:hAnsi="Times New Roman" w:cs="Times New Roman"/>
          <w:sz w:val="24"/>
          <w:szCs w:val="24"/>
        </w:rPr>
        <w:t xml:space="preserve"> </w:t>
      </w:r>
    </w:p>
    <w:p w14:paraId="09A14E8C" w14:textId="77777777" w:rsidR="00A665BE" w:rsidRDefault="00000000">
      <w:pPr>
        <w:spacing w:line="480" w:lineRule="auto"/>
        <w:ind w:left="720"/>
        <w:rPr>
          <w:rFonts w:ascii="Times New Roman" w:eastAsia="Times New Roman" w:hAnsi="Times New Roman" w:cs="Times New Roman"/>
          <w:color w:val="0563C1"/>
          <w:sz w:val="24"/>
          <w:szCs w:val="24"/>
          <w:u w:val="single"/>
        </w:rPr>
      </w:pPr>
      <w:hyperlink r:id="rId16">
        <w:r>
          <w:rPr>
            <w:rFonts w:ascii="Times New Roman" w:eastAsia="Times New Roman" w:hAnsi="Times New Roman" w:cs="Times New Roman"/>
            <w:color w:val="0563C1"/>
            <w:sz w:val="24"/>
            <w:szCs w:val="24"/>
            <w:u w:val="single"/>
          </w:rPr>
          <w:t>https://www.forbes.com/sites/greatspeculations/2014/03/21/nikes-china-problem/?sh=36025a077e95</w:t>
        </w:r>
      </w:hyperlink>
    </w:p>
    <w:p w14:paraId="0C4F1160" w14:textId="77777777" w:rsidR="00A665BE" w:rsidRDefault="00000000">
      <w:pPr>
        <w:spacing w:line="480" w:lineRule="auto"/>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Wenling</w:t>
      </w:r>
      <w:proofErr w:type="spellEnd"/>
      <w:r>
        <w:rPr>
          <w:rFonts w:ascii="Times New Roman" w:eastAsia="Times New Roman" w:hAnsi="Times New Roman" w:cs="Times New Roman"/>
          <w:sz w:val="24"/>
          <w:szCs w:val="24"/>
        </w:rPr>
        <w:t xml:space="preserve">, L., Anderson, R. C., Nagy, W., &amp; </w:t>
      </w:r>
      <w:proofErr w:type="spellStart"/>
      <w:r>
        <w:rPr>
          <w:rFonts w:ascii="Times New Roman" w:eastAsia="Times New Roman" w:hAnsi="Times New Roman" w:cs="Times New Roman"/>
          <w:sz w:val="24"/>
          <w:szCs w:val="24"/>
        </w:rPr>
        <w:t>Houcan</w:t>
      </w:r>
      <w:proofErr w:type="spellEnd"/>
      <w:r>
        <w:rPr>
          <w:rFonts w:ascii="Times New Roman" w:eastAsia="Times New Roman" w:hAnsi="Times New Roman" w:cs="Times New Roman"/>
          <w:sz w:val="24"/>
          <w:szCs w:val="24"/>
        </w:rPr>
        <w:t xml:space="preserve">, Z. (2002). </w:t>
      </w:r>
      <w:r>
        <w:rPr>
          <w:rFonts w:ascii="Times New Roman" w:eastAsia="Times New Roman" w:hAnsi="Times New Roman" w:cs="Times New Roman"/>
          <w:i/>
          <w:sz w:val="24"/>
          <w:szCs w:val="24"/>
        </w:rPr>
        <w:t xml:space="preserve">Facets of metalinguistic </w:t>
      </w:r>
    </w:p>
    <w:p w14:paraId="505A5269" w14:textId="77777777" w:rsidR="00A665BE"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awareness that </w:t>
      </w:r>
      <w:proofErr w:type="gramStart"/>
      <w:r>
        <w:rPr>
          <w:rFonts w:ascii="Times New Roman" w:eastAsia="Times New Roman" w:hAnsi="Times New Roman" w:cs="Times New Roman"/>
          <w:i/>
          <w:sz w:val="24"/>
          <w:szCs w:val="24"/>
        </w:rPr>
        <w:t>contribute</w:t>
      </w:r>
      <w:proofErr w:type="gramEnd"/>
      <w:r>
        <w:rPr>
          <w:rFonts w:ascii="Times New Roman" w:eastAsia="Times New Roman" w:hAnsi="Times New Roman" w:cs="Times New Roman"/>
          <w:i/>
          <w:sz w:val="24"/>
          <w:szCs w:val="24"/>
        </w:rPr>
        <w:t xml:space="preserve"> to Chinese literacy. In Chinese children’s reading acquisition</w:t>
      </w:r>
      <w:r>
        <w:rPr>
          <w:rFonts w:ascii="Times New Roman" w:eastAsia="Times New Roman" w:hAnsi="Times New Roman" w:cs="Times New Roman"/>
          <w:sz w:val="24"/>
          <w:szCs w:val="24"/>
        </w:rPr>
        <w:t xml:space="preserve"> (pp. 87-106). Boston: Springer.</w:t>
      </w:r>
    </w:p>
    <w:p w14:paraId="34186B60" w14:textId="77777777" w:rsidR="00A665BE" w:rsidRDefault="00000000">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Xun</w:t>
      </w:r>
      <w:proofErr w:type="spellEnd"/>
      <w:r>
        <w:rPr>
          <w:rFonts w:ascii="Times New Roman" w:eastAsia="Times New Roman" w:hAnsi="Times New Roman" w:cs="Times New Roman"/>
          <w:sz w:val="24"/>
          <w:szCs w:val="24"/>
        </w:rPr>
        <w:t xml:space="preserve">, W., Ramesh, M., Howlett, M., &amp; </w:t>
      </w:r>
      <w:proofErr w:type="spellStart"/>
      <w:r>
        <w:rPr>
          <w:rFonts w:ascii="Times New Roman" w:eastAsia="Times New Roman" w:hAnsi="Times New Roman" w:cs="Times New Roman"/>
          <w:sz w:val="24"/>
          <w:szCs w:val="24"/>
        </w:rPr>
        <w:t>Qingyang</w:t>
      </w:r>
      <w:proofErr w:type="spellEnd"/>
      <w:r>
        <w:rPr>
          <w:rFonts w:ascii="Times New Roman" w:eastAsia="Times New Roman" w:hAnsi="Times New Roman" w:cs="Times New Roman"/>
          <w:sz w:val="24"/>
          <w:szCs w:val="24"/>
        </w:rPr>
        <w:t xml:space="preserve">, G. (2016). Local government entrepreneurship </w:t>
      </w:r>
    </w:p>
    <w:p w14:paraId="27DC0490" w14:textId="77777777" w:rsidR="00A665BE"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 global competitiveness: A case study of </w:t>
      </w:r>
      <w:proofErr w:type="spellStart"/>
      <w:r>
        <w:rPr>
          <w:rFonts w:ascii="Times New Roman" w:eastAsia="Times New Roman" w:hAnsi="Times New Roman" w:cs="Times New Roman"/>
          <w:sz w:val="24"/>
          <w:szCs w:val="24"/>
        </w:rPr>
        <w:t>Yiwu</w:t>
      </w:r>
      <w:proofErr w:type="spellEnd"/>
      <w:r>
        <w:rPr>
          <w:rFonts w:ascii="Times New Roman" w:eastAsia="Times New Roman" w:hAnsi="Times New Roman" w:cs="Times New Roman"/>
          <w:sz w:val="24"/>
          <w:szCs w:val="24"/>
        </w:rPr>
        <w:t xml:space="preserve"> market in China. </w:t>
      </w:r>
      <w:r>
        <w:rPr>
          <w:rFonts w:ascii="Times New Roman" w:eastAsia="Times New Roman" w:hAnsi="Times New Roman" w:cs="Times New Roman"/>
          <w:i/>
          <w:sz w:val="24"/>
          <w:szCs w:val="24"/>
        </w:rPr>
        <w:t>China: An International Journal</w:t>
      </w:r>
      <w:r>
        <w:rPr>
          <w:rFonts w:ascii="Times New Roman" w:eastAsia="Times New Roman" w:hAnsi="Times New Roman" w:cs="Times New Roman"/>
          <w:sz w:val="24"/>
          <w:szCs w:val="24"/>
        </w:rPr>
        <w:t>, 14(3), 51-66.</w:t>
      </w:r>
    </w:p>
    <w:p w14:paraId="3EA7D51D" w14:textId="77777777" w:rsidR="00A665BE" w:rsidRDefault="00000000">
      <w:pPr>
        <w:spacing w:line="480" w:lineRule="auto"/>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Yau</w:t>
      </w:r>
      <w:proofErr w:type="spellEnd"/>
      <w:r>
        <w:rPr>
          <w:rFonts w:ascii="Times New Roman" w:eastAsia="Times New Roman" w:hAnsi="Times New Roman" w:cs="Times New Roman"/>
          <w:sz w:val="24"/>
          <w:szCs w:val="24"/>
        </w:rPr>
        <w:t>, O. H., You, H., &amp; Steele, H. C. (Eds.). (2000). C</w:t>
      </w:r>
      <w:r>
        <w:rPr>
          <w:rFonts w:ascii="Times New Roman" w:eastAsia="Times New Roman" w:hAnsi="Times New Roman" w:cs="Times New Roman"/>
          <w:i/>
          <w:sz w:val="24"/>
          <w:szCs w:val="24"/>
        </w:rPr>
        <w:t xml:space="preserve">hina business: Challenges in the 21st </w:t>
      </w:r>
    </w:p>
    <w:p w14:paraId="47A79A58" w14:textId="77777777" w:rsidR="00A665B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Century.</w:t>
      </w:r>
      <w:r>
        <w:rPr>
          <w:rFonts w:ascii="Times New Roman" w:eastAsia="Times New Roman" w:hAnsi="Times New Roman" w:cs="Times New Roman"/>
          <w:sz w:val="24"/>
          <w:szCs w:val="24"/>
        </w:rPr>
        <w:t xml:space="preserve"> Hong Kong: Chinese University Press.</w:t>
      </w:r>
    </w:p>
    <w:p w14:paraId="03D8EF86" w14:textId="77777777" w:rsidR="00A665B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Z. (2021). China Lowers Corporate Income Tax Liability for Small and Low-Profit </w:t>
      </w:r>
    </w:p>
    <w:p w14:paraId="34699B15" w14:textId="798F6504" w:rsidR="00A665BE" w:rsidRDefault="00000000" w:rsidP="000D0E1E">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Enterprises. </w:t>
      </w:r>
      <w:r>
        <w:rPr>
          <w:rFonts w:ascii="Times New Roman" w:eastAsia="Times New Roman" w:hAnsi="Times New Roman" w:cs="Times New Roman"/>
          <w:i/>
          <w:sz w:val="24"/>
          <w:szCs w:val="24"/>
        </w:rPr>
        <w:t>China Briefing</w:t>
      </w:r>
      <w:r>
        <w:rPr>
          <w:rFonts w:ascii="Times New Roman" w:eastAsia="Times New Roman" w:hAnsi="Times New Roman" w:cs="Times New Roman"/>
          <w:sz w:val="24"/>
          <w:szCs w:val="24"/>
        </w:rPr>
        <w:t>.</w:t>
      </w:r>
      <w:hyperlink r:id="rId17" w:history="1">
        <w:r w:rsidR="000D0E1E" w:rsidRPr="00AE4F95">
          <w:rPr>
            <w:rStyle w:val="Hyperlink"/>
            <w:rFonts w:ascii="Times New Roman" w:eastAsia="Times New Roman" w:hAnsi="Times New Roman" w:cs="Times New Roman"/>
            <w:sz w:val="24"/>
            <w:szCs w:val="24"/>
          </w:rPr>
          <w:t>https://www.china-briefing.com/news/china-lowers-corporate-income-tax-liability-for-small-and-low-profit-enterprises/</w:t>
        </w:r>
      </w:hyperlink>
    </w:p>
    <w:p w14:paraId="37582C0A" w14:textId="0D23366E" w:rsidR="000D0E1E" w:rsidRDefault="000D0E1E">
      <w:pPr>
        <w:spacing w:line="480" w:lineRule="auto"/>
        <w:ind w:left="720"/>
        <w:rPr>
          <w:rFonts w:ascii="Times New Roman" w:eastAsia="Times New Roman" w:hAnsi="Times New Roman" w:cs="Times New Roman"/>
          <w:sz w:val="24"/>
          <w:szCs w:val="24"/>
        </w:rPr>
      </w:pPr>
    </w:p>
    <w:p w14:paraId="2A390316" w14:textId="6A57A085" w:rsidR="000D0E1E" w:rsidRDefault="000D0E1E" w:rsidP="00FA07FC">
      <w:pPr>
        <w:spacing w:line="480" w:lineRule="auto"/>
        <w:rPr>
          <w:rFonts w:ascii="Times New Roman" w:eastAsia="Times New Roman" w:hAnsi="Times New Roman" w:cs="Times New Roman"/>
          <w:sz w:val="24"/>
          <w:szCs w:val="24"/>
        </w:rPr>
      </w:pPr>
    </w:p>
    <w:sectPr w:rsidR="000D0E1E">
      <w:head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B65CB" w14:textId="77777777" w:rsidR="00A657B7" w:rsidRDefault="00A657B7">
      <w:pPr>
        <w:spacing w:after="0" w:line="240" w:lineRule="auto"/>
      </w:pPr>
      <w:r>
        <w:separator/>
      </w:r>
    </w:p>
  </w:endnote>
  <w:endnote w:type="continuationSeparator" w:id="0">
    <w:p w14:paraId="1D522DD8" w14:textId="77777777" w:rsidR="00A657B7" w:rsidRDefault="00A65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EA1A8" w14:textId="77777777" w:rsidR="00A657B7" w:rsidRDefault="00A657B7">
      <w:pPr>
        <w:spacing w:after="0" w:line="240" w:lineRule="auto"/>
      </w:pPr>
      <w:r>
        <w:separator/>
      </w:r>
    </w:p>
  </w:footnote>
  <w:footnote w:type="continuationSeparator" w:id="0">
    <w:p w14:paraId="5D73D5CF" w14:textId="77777777" w:rsidR="00A657B7" w:rsidRDefault="00A657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7FE4E" w14:textId="77777777" w:rsidR="00A665BE"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D0E1E">
      <w:rPr>
        <w:noProof/>
        <w:color w:val="000000"/>
      </w:rPr>
      <w:t>1</w:t>
    </w:r>
    <w:r>
      <w:rPr>
        <w:color w:val="000000"/>
      </w:rPr>
      <w:fldChar w:fldCharType="end"/>
    </w:r>
  </w:p>
  <w:p w14:paraId="4C23C60F" w14:textId="77777777" w:rsidR="00A665BE" w:rsidRDefault="00A665BE">
    <w:pPr>
      <w:widowControl w:val="0"/>
      <w:pBdr>
        <w:top w:val="nil"/>
        <w:left w:val="nil"/>
        <w:bottom w:val="nil"/>
        <w:right w:val="nil"/>
        <w:between w:val="nil"/>
      </w:pBdr>
      <w:spacing w:after="0" w:line="276"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65BE"/>
    <w:rsid w:val="000D0E1E"/>
    <w:rsid w:val="00247740"/>
    <w:rsid w:val="003B7663"/>
    <w:rsid w:val="007D032C"/>
    <w:rsid w:val="00822F71"/>
    <w:rsid w:val="00864C5D"/>
    <w:rsid w:val="0097645E"/>
    <w:rsid w:val="00A657B7"/>
    <w:rsid w:val="00A665BE"/>
    <w:rsid w:val="00C073A3"/>
    <w:rsid w:val="00EE6761"/>
    <w:rsid w:val="00FA0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A1CBA0"/>
  <w15:docId w15:val="{7F015102-21C0-C04E-8DE9-2DDF55C08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0D0E1E"/>
    <w:rPr>
      <w:color w:val="0000FF" w:themeColor="hyperlink"/>
      <w:u w:val="single"/>
    </w:rPr>
  </w:style>
  <w:style w:type="character" w:styleId="UnresolvedMention">
    <w:name w:val="Unresolved Mention"/>
    <w:basedOn w:val="DefaultParagraphFont"/>
    <w:uiPriority w:val="99"/>
    <w:semiHidden/>
    <w:unhideWhenUsed/>
    <w:rsid w:val="000D0E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sia.nikkei.com/Business/Retail/China-s-domestic-"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finlandchinago.fi/china/overview-china/" TargetMode="External"/><Relationship Id="rId17" Type="http://schemas.openxmlformats.org/officeDocument/2006/relationships/hyperlink" Target="https://www.china-briefing.com/news/china-lowers-corporate-income-tax-liability-for-small-and-low-profit-enterprises/" TargetMode="External"/><Relationship Id="rId2" Type="http://schemas.openxmlformats.org/officeDocument/2006/relationships/settings" Target="settings.xml"/><Relationship Id="rId16" Type="http://schemas.openxmlformats.org/officeDocument/2006/relationships/hyperlink" Target="https://www.forbes.com/sites/greatspeculations/2014/03/21/nikes-china-problem/?sh=36025a077e95"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atacommons.org/place/country/CHN?utm_medium=explore&amp;mprop=amount&amp;" TargetMode="External"/><Relationship Id="rId5" Type="http://schemas.openxmlformats.org/officeDocument/2006/relationships/endnotes" Target="endnotes.xml"/><Relationship Id="rId15" Type="http://schemas.openxmlformats.org/officeDocument/2006/relationships/hyperlink" Target="https://doi.org/10.1108/SBM-08-2012-0032" TargetMode="External"/><Relationship Id="rId10" Type="http://schemas.openxmlformats.org/officeDocument/2006/relationships/hyperlink" Target="https://doi.org/10.1111/j.1542-4774.2010.tb00546.x"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researchgate.net/figure/Porters-Diamond-Model_fig1_322543250" TargetMode="External"/><Relationship Id="rId14" Type="http://schemas.openxmlformats.org/officeDocument/2006/relationships/hyperlink" Target="https://globalmarketingprofessor.com/nikes-global-expan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4436</Words>
  <Characters>25291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2</cp:revision>
  <dcterms:created xsi:type="dcterms:W3CDTF">2022-08-13T15:00:00Z</dcterms:created>
  <dcterms:modified xsi:type="dcterms:W3CDTF">2022-08-13T15:00:00Z</dcterms:modified>
</cp:coreProperties>
</file>