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C17C5" w14:textId="15868021" w:rsidR="00E14DE9" w:rsidRDefault="00E14DE9" w:rsidP="00E14DE9">
      <w:pPr>
        <w:spacing w:before="100" w:beforeAutospacing="1" w:after="100" w:afterAutospacing="1" w:line="240" w:lineRule="auto"/>
        <w:outlineLvl w:val="2"/>
        <w:rPr>
          <w:rFonts w:ascii="Arial" w:eastAsia="Times New Roman" w:hAnsi="Arial" w:cs="Arial"/>
          <w:b/>
          <w:bCs/>
          <w:sz w:val="24"/>
          <w:szCs w:val="24"/>
          <w:lang w:eastAsia="en-GB"/>
        </w:rPr>
      </w:pPr>
      <w:r>
        <w:rPr>
          <w:rFonts w:ascii="Arial" w:eastAsia="Times New Roman" w:hAnsi="Arial" w:cs="Arial"/>
          <w:b/>
          <w:bCs/>
          <w:sz w:val="24"/>
          <w:szCs w:val="24"/>
          <w:lang w:eastAsia="en-GB"/>
        </w:rPr>
        <w:t>Student name: Ionela Catalina Simion</w:t>
      </w:r>
    </w:p>
    <w:p w14:paraId="27275BEB" w14:textId="22500FC2" w:rsidR="00E14DE9" w:rsidRPr="00E14DE9" w:rsidRDefault="00E14DE9" w:rsidP="00E14DE9">
      <w:pPr>
        <w:spacing w:before="100" w:beforeAutospacing="1" w:after="100" w:afterAutospacing="1" w:line="240" w:lineRule="auto"/>
        <w:outlineLvl w:val="2"/>
        <w:rPr>
          <w:rFonts w:ascii="Arial" w:eastAsia="Times New Roman" w:hAnsi="Arial" w:cs="Arial"/>
          <w:b/>
          <w:bCs/>
          <w:sz w:val="24"/>
          <w:szCs w:val="24"/>
          <w:lang w:eastAsia="en-GB"/>
        </w:rPr>
      </w:pPr>
      <w:r>
        <w:rPr>
          <w:rFonts w:ascii="Arial" w:eastAsia="Times New Roman" w:hAnsi="Arial" w:cs="Arial"/>
          <w:b/>
          <w:bCs/>
          <w:sz w:val="24"/>
          <w:szCs w:val="24"/>
          <w:lang w:eastAsia="en-GB"/>
        </w:rPr>
        <w:t>Student number: 2227035</w:t>
      </w:r>
    </w:p>
    <w:p w14:paraId="60E88A00" w14:textId="2CF398A5" w:rsidR="00E14DE9" w:rsidRPr="00E14DE9" w:rsidRDefault="00E14DE9" w:rsidP="00E14DE9">
      <w:pPr>
        <w:spacing w:before="100" w:beforeAutospacing="1" w:after="100" w:afterAutospacing="1" w:line="240" w:lineRule="auto"/>
        <w:outlineLvl w:val="2"/>
        <w:rPr>
          <w:rFonts w:ascii="Arial" w:eastAsia="Times New Roman" w:hAnsi="Arial" w:cs="Arial"/>
          <w:b/>
          <w:bCs/>
          <w:sz w:val="24"/>
          <w:szCs w:val="24"/>
          <w:lang w:eastAsia="en-GB"/>
        </w:rPr>
      </w:pPr>
      <w:r w:rsidRPr="00E14DE9">
        <w:rPr>
          <w:rFonts w:ascii="Arial" w:eastAsia="Times New Roman" w:hAnsi="Arial" w:cs="Arial"/>
          <w:b/>
          <w:bCs/>
          <w:sz w:val="24"/>
          <w:szCs w:val="24"/>
          <w:lang w:eastAsia="en-GB"/>
        </w:rPr>
        <w:t>Module Title and Code</w:t>
      </w:r>
      <w:r>
        <w:rPr>
          <w:rFonts w:ascii="Arial" w:eastAsia="Times New Roman" w:hAnsi="Arial" w:cs="Arial"/>
          <w:b/>
          <w:bCs/>
          <w:sz w:val="24"/>
          <w:szCs w:val="24"/>
          <w:lang w:eastAsia="en-GB"/>
        </w:rPr>
        <w:t>:</w:t>
      </w:r>
      <w:r w:rsidRPr="00E14DE9">
        <w:rPr>
          <w:rFonts w:ascii="Arial" w:eastAsia="Times New Roman" w:hAnsi="Arial" w:cs="Arial"/>
          <w:b/>
          <w:bCs/>
          <w:sz w:val="24"/>
          <w:szCs w:val="24"/>
          <w:lang w:eastAsia="en-GB"/>
        </w:rPr>
        <w:t xml:space="preserve"> Effective Teamworking and Communication (BMSW4009_SWAN)</w:t>
      </w:r>
    </w:p>
    <w:p w14:paraId="54030CFF" w14:textId="4092F966" w:rsidR="00E14DE9" w:rsidRPr="00E14DE9" w:rsidRDefault="00E14DE9" w:rsidP="00E14DE9">
      <w:pPr>
        <w:spacing w:before="100" w:beforeAutospacing="1" w:after="100" w:afterAutospacing="1" w:line="240" w:lineRule="auto"/>
        <w:outlineLvl w:val="2"/>
        <w:rPr>
          <w:rFonts w:ascii="Arial" w:eastAsia="Times New Roman" w:hAnsi="Arial" w:cs="Arial"/>
          <w:b/>
          <w:bCs/>
          <w:sz w:val="24"/>
          <w:szCs w:val="24"/>
          <w:lang w:eastAsia="en-GB"/>
        </w:rPr>
      </w:pPr>
      <w:r w:rsidRPr="00E14DE9">
        <w:rPr>
          <w:rFonts w:ascii="Arial" w:eastAsia="Times New Roman" w:hAnsi="Arial" w:cs="Arial"/>
          <w:b/>
          <w:bCs/>
          <w:sz w:val="24"/>
          <w:szCs w:val="24"/>
          <w:lang w:eastAsia="en-GB"/>
        </w:rPr>
        <w:t>Submission date</w:t>
      </w:r>
      <w:r>
        <w:rPr>
          <w:rFonts w:ascii="Arial" w:eastAsia="Times New Roman" w:hAnsi="Arial" w:cs="Arial"/>
          <w:b/>
          <w:bCs/>
          <w:sz w:val="24"/>
          <w:szCs w:val="24"/>
          <w:lang w:eastAsia="en-GB"/>
        </w:rPr>
        <w:t>:12.03.2025</w:t>
      </w:r>
    </w:p>
    <w:p w14:paraId="52ED9F05" w14:textId="77777777" w:rsidR="00E14DE9" w:rsidRDefault="00E14DE9" w:rsidP="00E14DE9">
      <w:pPr>
        <w:spacing w:before="100" w:beforeAutospacing="1" w:after="100" w:afterAutospacing="1" w:line="240" w:lineRule="auto"/>
        <w:outlineLvl w:val="2"/>
        <w:rPr>
          <w:rFonts w:ascii="Arial" w:eastAsia="Times New Roman" w:hAnsi="Arial" w:cs="Arial"/>
          <w:b/>
          <w:bCs/>
          <w:sz w:val="24"/>
          <w:szCs w:val="24"/>
          <w:lang w:eastAsia="en-GB"/>
        </w:rPr>
      </w:pPr>
    </w:p>
    <w:p w14:paraId="1ED330AD" w14:textId="77777777" w:rsidR="00E14DE9" w:rsidRDefault="00E14DE9" w:rsidP="00E14DE9">
      <w:pPr>
        <w:spacing w:before="100" w:beforeAutospacing="1" w:after="100" w:afterAutospacing="1" w:line="240" w:lineRule="auto"/>
        <w:outlineLvl w:val="2"/>
        <w:rPr>
          <w:rFonts w:ascii="Arial" w:eastAsia="Times New Roman" w:hAnsi="Arial" w:cs="Arial"/>
          <w:b/>
          <w:bCs/>
          <w:sz w:val="24"/>
          <w:szCs w:val="24"/>
          <w:lang w:eastAsia="en-GB"/>
        </w:rPr>
      </w:pPr>
    </w:p>
    <w:p w14:paraId="15876991" w14:textId="61769F89" w:rsidR="00E14DE9" w:rsidRPr="00E14DE9" w:rsidRDefault="00E14DE9" w:rsidP="00E14DE9">
      <w:pPr>
        <w:spacing w:before="100" w:beforeAutospacing="1" w:after="100" w:afterAutospacing="1" w:line="240" w:lineRule="auto"/>
        <w:outlineLvl w:val="2"/>
        <w:rPr>
          <w:rFonts w:ascii="Arial" w:eastAsia="Times New Roman" w:hAnsi="Arial" w:cs="Arial"/>
          <w:b/>
          <w:bCs/>
          <w:sz w:val="24"/>
          <w:szCs w:val="24"/>
          <w:lang w:eastAsia="en-GB"/>
        </w:rPr>
      </w:pPr>
      <w:r w:rsidRPr="00E14DE9">
        <w:rPr>
          <w:rFonts w:ascii="Arial" w:eastAsia="Times New Roman" w:hAnsi="Arial" w:cs="Arial"/>
          <w:b/>
          <w:bCs/>
          <w:sz w:val="24"/>
          <w:szCs w:val="24"/>
          <w:lang w:eastAsia="en-GB"/>
        </w:rPr>
        <w:t>Introduction</w:t>
      </w:r>
    </w:p>
    <w:p w14:paraId="06E99CF9" w14:textId="551BB8AE"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Teamwork is an essential part of both academic and professional success. Working well with others means being able to communicate clearly, share responsibilities, build trust, and stay committed to a common goal (West, 2012). According to Katzenbach and Smith (1993), the most effective teams have a strong sense of accountability, well-defined roles, and a focus on collective success rather than individual achievements. Salas, Sims, and Burke (2005) highlight five key teamwork components—team leadership, mutual performance monitoring, backup </w:t>
      </w:r>
      <w:proofErr w:type="spellStart"/>
      <w:r w:rsidRPr="00E14DE9">
        <w:rPr>
          <w:rFonts w:ascii="Arial" w:eastAsia="Times New Roman" w:hAnsi="Arial" w:cs="Arial"/>
          <w:sz w:val="24"/>
          <w:szCs w:val="24"/>
          <w:lang w:eastAsia="en-GB"/>
        </w:rPr>
        <w:t>behavior</w:t>
      </w:r>
      <w:proofErr w:type="spellEnd"/>
      <w:r w:rsidRPr="00E14DE9">
        <w:rPr>
          <w:rFonts w:ascii="Arial" w:eastAsia="Times New Roman" w:hAnsi="Arial" w:cs="Arial"/>
          <w:sz w:val="24"/>
          <w:szCs w:val="24"/>
          <w:lang w:eastAsia="en-GB"/>
        </w:rPr>
        <w:t>, adaptability, and team orientation—all of which contribute to overall team effectiveness. Mullins and Christy (2016) add that strong leadership, motivation, and an understanding of how teams function all play a crucial role in maintaining a positive and productive dynamic.</w:t>
      </w:r>
    </w:p>
    <w:p w14:paraId="4B379FE6"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When working in a team, I naturally tend to take on a leadership or coordinator role, ensuring that tasks are distributed efficiently and that everyone stays aligned with our shared objectives. Belbin’s Team Roles theory (1981) describes the “Coordinator” as someone who clarifies goals, delegates tasks, and promotes collaboration. I find that my strengths lie in organization, decision-making, and keeping the team focused on deadlines. I also make a conscious effort to keep communication open and encourage input from everyone, making sure all perspectives are heard. However, I recognize that I still have room to grow—especially when it comes to managing conflict and being more flexible with different working styles.</w:t>
      </w:r>
    </w:p>
    <w:p w14:paraId="2FFE112C" w14:textId="77777777" w:rsidR="00E14DE9" w:rsidRPr="00E14DE9" w:rsidRDefault="00E14DE9" w:rsidP="00E14DE9">
      <w:pPr>
        <w:spacing w:before="100" w:beforeAutospacing="1" w:after="100" w:afterAutospacing="1" w:line="240" w:lineRule="auto"/>
        <w:outlineLvl w:val="2"/>
        <w:rPr>
          <w:rFonts w:ascii="Arial" w:eastAsia="Times New Roman" w:hAnsi="Arial" w:cs="Arial"/>
          <w:b/>
          <w:bCs/>
          <w:sz w:val="24"/>
          <w:szCs w:val="24"/>
          <w:lang w:eastAsia="en-GB"/>
        </w:rPr>
      </w:pPr>
      <w:r w:rsidRPr="00E14DE9">
        <w:rPr>
          <w:rFonts w:ascii="Arial" w:eastAsia="Times New Roman" w:hAnsi="Arial" w:cs="Arial"/>
          <w:b/>
          <w:bCs/>
          <w:sz w:val="24"/>
          <w:szCs w:val="24"/>
          <w:lang w:eastAsia="en-GB"/>
        </w:rPr>
        <w:t>Findings</w:t>
      </w:r>
    </w:p>
    <w:p w14:paraId="40E59DED"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Throughout this module, I’ve gained valuable insights into what makes teamwork successful. One of the biggest lessons I’ve learned is that great teams are built on trust, open communication, and well-defined roles (Scholtes, 1998). Initially, I thought teamwork was just about dividing up tasks and making sure they got done. But after learning about Tuckman’s (1965) Stages of Group Development, I now see that teams go through different phases—forming, storming, norming, performing, and adjourning. I’ve come to understand that challenges like conflict and miscommunication are completely normal and even necessary for a team to grow (Tuckman &amp; Harper, 2012).</w:t>
      </w:r>
    </w:p>
    <w:p w14:paraId="43E857E0"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lastRenderedPageBreak/>
        <w:t>Belbin’s Team Roles model (1981) has also been eye-opening. In a group presentation for another module, I naturally stepped into the Coordinator role, making sure tasks matched each team member’s strengths. However, I quickly realized how important it is to have a strong “Completer-Finisher” in the group—someone who focuses on final details. Because we didn’t have a clear person in that role, we ended up catching last-minute errors in our slides and script, which created unnecessary stress before the presentation.</w:t>
      </w:r>
    </w:p>
    <w:p w14:paraId="438010DB"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Applying Gibb’s Reflective Cycle (1988) has helped me learn from these teamwork experiences. In one particular class activity, we had to introduce ourselves in front of the group. I noticed that some teammates were hesitant to speak up during discussions. Looking back, I realized that using Shannon and Weaver’s (1949) Communication Model—making sure messages are clearly sent, received, and understood—could have helped improve participation. By actively encouraging quieter team members and creating structured ways for them to contribute, I was able to help foster better collaboration.</w:t>
      </w:r>
    </w:p>
    <w:p w14:paraId="23136B4A"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Lencioni’s Five Dysfunctions of a Team (2002) also shed light on why our team struggled with certain issues. At first, we avoided addressing underperformance, which led to frustration. After recognizing this pattern, I applied conflict resolution strategies from the module, which allowed us to have more open discussions and address problems before they escalated. I also explored the Thomas-Kilmann Conflict Mode Instrument (TKI), which outlines five ways to handle conflict: competing, collaborating, compromising, avoiding, and accommodating (Thomas &amp; Kilmann, 2008). This helped me realize that a collaborative approach—where everyone works together to find solutions—is often the best way to resolve conflicts and keep the team running smoothly.</w:t>
      </w:r>
    </w:p>
    <w:p w14:paraId="3B07C588"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Another concept that resonated with me was psychological safety, as described by Edmondson (1999). She explains that when team members feel safe to express their ideas and admit mistakes without fear of embarrassment or punishment, teamwork becomes more effective. Looking back, I can see how a lack of psychological safety at times may have held back some team members from fully contributing. Moving forward, I want to ensure that all teammates feel comfortable sharing their thoughts, even if they’re unsure or nervous.</w:t>
      </w:r>
    </w:p>
    <w:p w14:paraId="3431CF78"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Additionally, the Johari Window Model (Luft &amp; Ingham, 1955) helped me see how self-disclosure and feedback can improve teamwork. Being open about my own areas for improvement encouraged my teammates to do the same, strengthening trust and communication within the group. For example, when I admitted that I sometimes struggle with managing last-minute changes, it made others feel comfortable sharing their own challenges, which ultimately improved how we worked together.</w:t>
      </w:r>
    </w:p>
    <w:p w14:paraId="75F0F8FF"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Overall, this module has completely changed how I view teamwork. I now understand that it’s not just about completing tasks—it’s about creating an environment where everyone can contribute effectively. I’ve become more aware of how communication styles, role distribution, and conflict resolution impact team success. These insights have already made me a better team player, and I know they will continue to shape how I collaborate in the future.</w:t>
      </w:r>
    </w:p>
    <w:p w14:paraId="388D36A3" w14:textId="77777777" w:rsidR="00E14DE9" w:rsidRPr="00E14DE9" w:rsidRDefault="00E14DE9" w:rsidP="00E14DE9">
      <w:pPr>
        <w:spacing w:before="100" w:beforeAutospacing="1" w:after="100" w:afterAutospacing="1" w:line="240" w:lineRule="auto"/>
        <w:outlineLvl w:val="2"/>
        <w:rPr>
          <w:rFonts w:ascii="Arial" w:eastAsia="Times New Roman" w:hAnsi="Arial" w:cs="Arial"/>
          <w:b/>
          <w:bCs/>
          <w:sz w:val="24"/>
          <w:szCs w:val="24"/>
          <w:lang w:eastAsia="en-GB"/>
        </w:rPr>
      </w:pPr>
      <w:r w:rsidRPr="00E14DE9">
        <w:rPr>
          <w:rFonts w:ascii="Arial" w:eastAsia="Times New Roman" w:hAnsi="Arial" w:cs="Arial"/>
          <w:b/>
          <w:bCs/>
          <w:sz w:val="24"/>
          <w:szCs w:val="24"/>
          <w:lang w:eastAsia="en-GB"/>
        </w:rPr>
        <w:lastRenderedPageBreak/>
        <w:t>Conclusion</w:t>
      </w:r>
    </w:p>
    <w:p w14:paraId="1C75E98D"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Looking back, I’ve learned that teamwork is about more than just getting the job done—it’s about building strong relationships, fostering a positive team environment, and staying adaptable. Patience, emotional intelligence, and trust are all essential to making sure a team works well together. Without them, collaboration breaks down, leading to misunderstandings and inefficiencies (Adair, 2015).</w:t>
      </w:r>
    </w:p>
    <w:p w14:paraId="728D93FF"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One of the biggest personal lessons I’ve taken away is the need to balance leadership with active listening. While I naturally take charge in group settings, I now realize that truly effective teamwork means embracing different perspectives and encouraging others to take on leadership roles when needed. This shift in mindset has helped me become more open to delegation and more willing to step back when necessary.</w:t>
      </w:r>
    </w:p>
    <w:p w14:paraId="3C738C4E"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To keep improving, I plan to take a few key steps in future team settings. First, I will practice active listening by making sure I fully understand my teammates’ viewpoints before making decisions. Second, I’ll work on my conflict resolution skills by addressing issues early rather than avoiding difficult conversations. Third, I’ll continue using reflective models like Gibb’s Reflective Cycle to </w:t>
      </w:r>
      <w:proofErr w:type="spellStart"/>
      <w:r w:rsidRPr="00E14DE9">
        <w:rPr>
          <w:rFonts w:ascii="Arial" w:eastAsia="Times New Roman" w:hAnsi="Arial" w:cs="Arial"/>
          <w:sz w:val="24"/>
          <w:szCs w:val="24"/>
          <w:lang w:eastAsia="en-GB"/>
        </w:rPr>
        <w:t>analyze</w:t>
      </w:r>
      <w:proofErr w:type="spellEnd"/>
      <w:r w:rsidRPr="00E14DE9">
        <w:rPr>
          <w:rFonts w:ascii="Arial" w:eastAsia="Times New Roman" w:hAnsi="Arial" w:cs="Arial"/>
          <w:sz w:val="24"/>
          <w:szCs w:val="24"/>
          <w:lang w:eastAsia="en-GB"/>
        </w:rPr>
        <w:t xml:space="preserve"> my performance and find areas for growth. Lastly, I will strive to build trust within teams by being open about my own challenges and encouraging honest dialogue among team members.</w:t>
      </w:r>
    </w:p>
    <w:p w14:paraId="37DA711E" w14:textId="77777777" w:rsidR="00E14DE9" w:rsidRDefault="00E14DE9" w:rsidP="00E14DE9">
      <w:p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By applying these strategies, I’m confident that I will continue growing as a more effective and adaptable team member. The skills and knowledge I’ve gained from this module will help me navigate teamwork challenges in both academic and professional settings, ultimately leading to stronger, more successful collaborations.</w:t>
      </w:r>
    </w:p>
    <w:p w14:paraId="135D4644"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25B02328"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797C9452"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7BABA242"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07A9D040"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54F99089"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53A2DB95"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7E2B259F"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71F3620C"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64D26FCA"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370160D2"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5EAE574D"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0B2A1CF5"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11A471AF"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5290F7DF"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7FEFF572" w14:textId="77777777" w:rsidR="00E14DE9" w:rsidRDefault="00E14DE9" w:rsidP="00E14DE9">
      <w:pPr>
        <w:spacing w:before="100" w:beforeAutospacing="1" w:after="100" w:afterAutospacing="1" w:line="240" w:lineRule="auto"/>
        <w:rPr>
          <w:rFonts w:ascii="Arial" w:eastAsia="Times New Roman" w:hAnsi="Arial" w:cs="Arial"/>
          <w:b/>
          <w:bCs/>
          <w:sz w:val="24"/>
          <w:szCs w:val="24"/>
          <w:lang w:eastAsia="en-GB"/>
        </w:rPr>
      </w:pPr>
    </w:p>
    <w:p w14:paraId="10B047BD" w14:textId="1E82186E" w:rsidR="00E14DE9" w:rsidRPr="00E14DE9" w:rsidRDefault="00E14DE9" w:rsidP="00E14DE9">
      <w:pPr>
        <w:spacing w:before="100" w:beforeAutospacing="1" w:after="100" w:afterAutospacing="1" w:line="240" w:lineRule="auto"/>
        <w:rPr>
          <w:rFonts w:ascii="Arial" w:eastAsia="Times New Roman" w:hAnsi="Arial" w:cs="Arial"/>
          <w:b/>
          <w:bCs/>
          <w:sz w:val="24"/>
          <w:szCs w:val="24"/>
          <w:lang w:eastAsia="en-GB"/>
        </w:rPr>
      </w:pPr>
      <w:r w:rsidRPr="00E14DE9">
        <w:rPr>
          <w:rFonts w:ascii="Arial" w:eastAsia="Times New Roman" w:hAnsi="Arial" w:cs="Arial"/>
          <w:b/>
          <w:bCs/>
          <w:sz w:val="24"/>
          <w:szCs w:val="24"/>
          <w:lang w:eastAsia="en-GB"/>
        </w:rPr>
        <w:t>References</w:t>
      </w:r>
    </w:p>
    <w:p w14:paraId="55BCDCAD"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Adair, J.E. (2015). </w:t>
      </w:r>
      <w:r w:rsidRPr="00E14DE9">
        <w:rPr>
          <w:rFonts w:ascii="Arial" w:eastAsia="Times New Roman" w:hAnsi="Arial" w:cs="Arial"/>
          <w:i/>
          <w:iCs/>
          <w:sz w:val="24"/>
          <w:szCs w:val="24"/>
          <w:lang w:eastAsia="en-GB"/>
        </w:rPr>
        <w:t>Effective teambuilding: How to make a winning team</w:t>
      </w:r>
      <w:r w:rsidRPr="00E14DE9">
        <w:rPr>
          <w:rFonts w:ascii="Arial" w:eastAsia="Times New Roman" w:hAnsi="Arial" w:cs="Arial"/>
          <w:sz w:val="24"/>
          <w:szCs w:val="24"/>
          <w:lang w:eastAsia="en-GB"/>
        </w:rPr>
        <w:t xml:space="preserve"> (revised ed.). Pan Books.</w:t>
      </w:r>
    </w:p>
    <w:p w14:paraId="496AA978"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Belbin, R.M. (1981). </w:t>
      </w:r>
      <w:r w:rsidRPr="00E14DE9">
        <w:rPr>
          <w:rFonts w:ascii="Arial" w:eastAsia="Times New Roman" w:hAnsi="Arial" w:cs="Arial"/>
          <w:i/>
          <w:iCs/>
          <w:sz w:val="24"/>
          <w:szCs w:val="24"/>
          <w:lang w:eastAsia="en-GB"/>
        </w:rPr>
        <w:t>Management Teams: Why They Succeed or Fail.</w:t>
      </w:r>
      <w:r w:rsidRPr="00E14DE9">
        <w:rPr>
          <w:rFonts w:ascii="Arial" w:eastAsia="Times New Roman" w:hAnsi="Arial" w:cs="Arial"/>
          <w:sz w:val="24"/>
          <w:szCs w:val="24"/>
          <w:lang w:eastAsia="en-GB"/>
        </w:rPr>
        <w:t xml:space="preserve"> Butterworth-Heinemann.</w:t>
      </w:r>
    </w:p>
    <w:p w14:paraId="1BF44B85"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Edmondson, A. C. (1999). "Psychological safety and learning </w:t>
      </w:r>
      <w:proofErr w:type="spellStart"/>
      <w:r w:rsidRPr="00E14DE9">
        <w:rPr>
          <w:rFonts w:ascii="Arial" w:eastAsia="Times New Roman" w:hAnsi="Arial" w:cs="Arial"/>
          <w:sz w:val="24"/>
          <w:szCs w:val="24"/>
          <w:lang w:eastAsia="en-GB"/>
        </w:rPr>
        <w:t>behavior</w:t>
      </w:r>
      <w:proofErr w:type="spellEnd"/>
      <w:r w:rsidRPr="00E14DE9">
        <w:rPr>
          <w:rFonts w:ascii="Arial" w:eastAsia="Times New Roman" w:hAnsi="Arial" w:cs="Arial"/>
          <w:sz w:val="24"/>
          <w:szCs w:val="24"/>
          <w:lang w:eastAsia="en-GB"/>
        </w:rPr>
        <w:t xml:space="preserve"> in work teams." </w:t>
      </w:r>
      <w:r w:rsidRPr="00E14DE9">
        <w:rPr>
          <w:rFonts w:ascii="Arial" w:eastAsia="Times New Roman" w:hAnsi="Arial" w:cs="Arial"/>
          <w:i/>
          <w:iCs/>
          <w:sz w:val="24"/>
          <w:szCs w:val="24"/>
          <w:lang w:eastAsia="en-GB"/>
        </w:rPr>
        <w:t>Administrative Science Quarterly, 44(2),</w:t>
      </w:r>
      <w:r w:rsidRPr="00E14DE9">
        <w:rPr>
          <w:rFonts w:ascii="Arial" w:eastAsia="Times New Roman" w:hAnsi="Arial" w:cs="Arial"/>
          <w:sz w:val="24"/>
          <w:szCs w:val="24"/>
          <w:lang w:eastAsia="en-GB"/>
        </w:rPr>
        <w:t xml:space="preserve"> 350-383.</w:t>
      </w:r>
    </w:p>
    <w:p w14:paraId="0601E883"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Gibbs, G. (1988). </w:t>
      </w:r>
      <w:r w:rsidRPr="00E14DE9">
        <w:rPr>
          <w:rFonts w:ascii="Arial" w:eastAsia="Times New Roman" w:hAnsi="Arial" w:cs="Arial"/>
          <w:i/>
          <w:iCs/>
          <w:sz w:val="24"/>
          <w:szCs w:val="24"/>
          <w:lang w:eastAsia="en-GB"/>
        </w:rPr>
        <w:t>Learning by Doing: A Guide to Teaching and Learning Methods.</w:t>
      </w:r>
      <w:r w:rsidRPr="00E14DE9">
        <w:rPr>
          <w:rFonts w:ascii="Arial" w:eastAsia="Times New Roman" w:hAnsi="Arial" w:cs="Arial"/>
          <w:sz w:val="24"/>
          <w:szCs w:val="24"/>
          <w:lang w:eastAsia="en-GB"/>
        </w:rPr>
        <w:t xml:space="preserve"> Further Education Unit, Oxford.</w:t>
      </w:r>
    </w:p>
    <w:p w14:paraId="7D0D85FF"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Katzenbach, J.R., &amp; Smith, D.K. (1993). </w:t>
      </w:r>
      <w:r w:rsidRPr="00E14DE9">
        <w:rPr>
          <w:rFonts w:ascii="Arial" w:eastAsia="Times New Roman" w:hAnsi="Arial" w:cs="Arial"/>
          <w:i/>
          <w:iCs/>
          <w:sz w:val="24"/>
          <w:szCs w:val="24"/>
          <w:lang w:eastAsia="en-GB"/>
        </w:rPr>
        <w:t>The Wisdom of Teams: Creating the High-Performance Organization.</w:t>
      </w:r>
      <w:r w:rsidRPr="00E14DE9">
        <w:rPr>
          <w:rFonts w:ascii="Arial" w:eastAsia="Times New Roman" w:hAnsi="Arial" w:cs="Arial"/>
          <w:sz w:val="24"/>
          <w:szCs w:val="24"/>
          <w:lang w:eastAsia="en-GB"/>
        </w:rPr>
        <w:t xml:space="preserve"> Harvard Business Review Press.</w:t>
      </w:r>
    </w:p>
    <w:p w14:paraId="0ADA7C74"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Lencioni, P. (2002). </w:t>
      </w:r>
      <w:r w:rsidRPr="00E14DE9">
        <w:rPr>
          <w:rFonts w:ascii="Arial" w:eastAsia="Times New Roman" w:hAnsi="Arial" w:cs="Arial"/>
          <w:i/>
          <w:iCs/>
          <w:sz w:val="24"/>
          <w:szCs w:val="24"/>
          <w:lang w:eastAsia="en-GB"/>
        </w:rPr>
        <w:t>The Five Dysfunctions of a Team: A Leadership Fable.</w:t>
      </w:r>
      <w:r w:rsidRPr="00E14DE9">
        <w:rPr>
          <w:rFonts w:ascii="Arial" w:eastAsia="Times New Roman" w:hAnsi="Arial" w:cs="Arial"/>
          <w:sz w:val="24"/>
          <w:szCs w:val="24"/>
          <w:lang w:eastAsia="en-GB"/>
        </w:rPr>
        <w:t xml:space="preserve"> Jossey-Bass.</w:t>
      </w:r>
    </w:p>
    <w:p w14:paraId="7AE52882"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Luft, J., &amp; Ingham, H. (1955). "The Johari Window, a Graphic Model of Interpersonal Awareness." </w:t>
      </w:r>
      <w:r w:rsidRPr="00E14DE9">
        <w:rPr>
          <w:rFonts w:ascii="Arial" w:eastAsia="Times New Roman" w:hAnsi="Arial" w:cs="Arial"/>
          <w:i/>
          <w:iCs/>
          <w:sz w:val="24"/>
          <w:szCs w:val="24"/>
          <w:lang w:eastAsia="en-GB"/>
        </w:rPr>
        <w:t>University of California.</w:t>
      </w:r>
    </w:p>
    <w:p w14:paraId="444FF02C"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Mehrabian, A. (1971). </w:t>
      </w:r>
      <w:r w:rsidRPr="00E14DE9">
        <w:rPr>
          <w:rFonts w:ascii="Arial" w:eastAsia="Times New Roman" w:hAnsi="Arial" w:cs="Arial"/>
          <w:i/>
          <w:iCs/>
          <w:sz w:val="24"/>
          <w:szCs w:val="24"/>
          <w:lang w:eastAsia="en-GB"/>
        </w:rPr>
        <w:t>Silent Messages: Implicit Communication of Emotions and Attitudes.</w:t>
      </w:r>
      <w:r w:rsidRPr="00E14DE9">
        <w:rPr>
          <w:rFonts w:ascii="Arial" w:eastAsia="Times New Roman" w:hAnsi="Arial" w:cs="Arial"/>
          <w:sz w:val="24"/>
          <w:szCs w:val="24"/>
          <w:lang w:eastAsia="en-GB"/>
        </w:rPr>
        <w:t xml:space="preserve"> Wadsworth.</w:t>
      </w:r>
    </w:p>
    <w:p w14:paraId="49BDA605"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Mullins, L.J., &amp; Christy, G. (2016). </w:t>
      </w:r>
      <w:r w:rsidRPr="00E14DE9">
        <w:rPr>
          <w:rFonts w:ascii="Arial" w:eastAsia="Times New Roman" w:hAnsi="Arial" w:cs="Arial"/>
          <w:i/>
          <w:iCs/>
          <w:sz w:val="24"/>
          <w:szCs w:val="24"/>
          <w:lang w:eastAsia="en-GB"/>
        </w:rPr>
        <w:t>Management &amp; Organisational Behaviour</w:t>
      </w:r>
      <w:r w:rsidRPr="00E14DE9">
        <w:rPr>
          <w:rFonts w:ascii="Arial" w:eastAsia="Times New Roman" w:hAnsi="Arial" w:cs="Arial"/>
          <w:sz w:val="24"/>
          <w:szCs w:val="24"/>
          <w:lang w:eastAsia="en-GB"/>
        </w:rPr>
        <w:t xml:space="preserve"> (11th ed.). Pearson.</w:t>
      </w:r>
    </w:p>
    <w:p w14:paraId="0B96E616"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Salas, E., Sims, D. E., &amp; Burke, C. S. (2005). "Is there a ‘Big Five’ in teamwork?" </w:t>
      </w:r>
      <w:r w:rsidRPr="00E14DE9">
        <w:rPr>
          <w:rFonts w:ascii="Arial" w:eastAsia="Times New Roman" w:hAnsi="Arial" w:cs="Arial"/>
          <w:i/>
          <w:iCs/>
          <w:sz w:val="24"/>
          <w:szCs w:val="24"/>
          <w:lang w:eastAsia="en-GB"/>
        </w:rPr>
        <w:t>Small Group Research, 36(5),</w:t>
      </w:r>
      <w:r w:rsidRPr="00E14DE9">
        <w:rPr>
          <w:rFonts w:ascii="Arial" w:eastAsia="Times New Roman" w:hAnsi="Arial" w:cs="Arial"/>
          <w:sz w:val="24"/>
          <w:szCs w:val="24"/>
          <w:lang w:eastAsia="en-GB"/>
        </w:rPr>
        <w:t xml:space="preserve"> 555-599.</w:t>
      </w:r>
    </w:p>
    <w:p w14:paraId="37058C6B"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Scholtes, P.R. (1998). </w:t>
      </w:r>
      <w:r w:rsidRPr="00E14DE9">
        <w:rPr>
          <w:rFonts w:ascii="Arial" w:eastAsia="Times New Roman" w:hAnsi="Arial" w:cs="Arial"/>
          <w:i/>
          <w:iCs/>
          <w:sz w:val="24"/>
          <w:szCs w:val="24"/>
          <w:lang w:eastAsia="en-GB"/>
        </w:rPr>
        <w:t>The Team Handbook.</w:t>
      </w:r>
      <w:r w:rsidRPr="00E14DE9">
        <w:rPr>
          <w:rFonts w:ascii="Arial" w:eastAsia="Times New Roman" w:hAnsi="Arial" w:cs="Arial"/>
          <w:sz w:val="24"/>
          <w:szCs w:val="24"/>
          <w:lang w:eastAsia="en-GB"/>
        </w:rPr>
        <w:t xml:space="preserve"> Joiner Associates.</w:t>
      </w:r>
    </w:p>
    <w:p w14:paraId="6AE8C813"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Shannon, C.E., &amp; Weaver, W. (1949). </w:t>
      </w:r>
      <w:r w:rsidRPr="00E14DE9">
        <w:rPr>
          <w:rFonts w:ascii="Arial" w:eastAsia="Times New Roman" w:hAnsi="Arial" w:cs="Arial"/>
          <w:i/>
          <w:iCs/>
          <w:sz w:val="24"/>
          <w:szCs w:val="24"/>
          <w:lang w:eastAsia="en-GB"/>
        </w:rPr>
        <w:t>The Mathematical Theory of Communication.</w:t>
      </w:r>
      <w:r w:rsidRPr="00E14DE9">
        <w:rPr>
          <w:rFonts w:ascii="Arial" w:eastAsia="Times New Roman" w:hAnsi="Arial" w:cs="Arial"/>
          <w:sz w:val="24"/>
          <w:szCs w:val="24"/>
          <w:lang w:eastAsia="en-GB"/>
        </w:rPr>
        <w:t xml:space="preserve"> University of Illinois Press.</w:t>
      </w:r>
    </w:p>
    <w:p w14:paraId="7F506D9F"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Thomas, K.W., &amp; Kilmann, R.H. (2008). </w:t>
      </w:r>
      <w:r w:rsidRPr="00E14DE9">
        <w:rPr>
          <w:rFonts w:ascii="Arial" w:eastAsia="Times New Roman" w:hAnsi="Arial" w:cs="Arial"/>
          <w:i/>
          <w:iCs/>
          <w:sz w:val="24"/>
          <w:szCs w:val="24"/>
          <w:lang w:eastAsia="en-GB"/>
        </w:rPr>
        <w:t>Thomas-Kilmann Conflict Mode Instrument</w:t>
      </w:r>
      <w:r w:rsidRPr="00E14DE9">
        <w:rPr>
          <w:rFonts w:ascii="Arial" w:eastAsia="Times New Roman" w:hAnsi="Arial" w:cs="Arial"/>
          <w:sz w:val="24"/>
          <w:szCs w:val="24"/>
          <w:lang w:eastAsia="en-GB"/>
        </w:rPr>
        <w:t xml:space="preserve"> (3rd ed.). CPP.</w:t>
      </w:r>
    </w:p>
    <w:p w14:paraId="4B8A5C2E"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Tuckman, B.W. (1965). "Developmental sequence in small groups." </w:t>
      </w:r>
      <w:r w:rsidRPr="00E14DE9">
        <w:rPr>
          <w:rFonts w:ascii="Arial" w:eastAsia="Times New Roman" w:hAnsi="Arial" w:cs="Arial"/>
          <w:i/>
          <w:iCs/>
          <w:sz w:val="24"/>
          <w:szCs w:val="24"/>
          <w:lang w:eastAsia="en-GB"/>
        </w:rPr>
        <w:t>Psychological Bulletin, 63(6),</w:t>
      </w:r>
      <w:r w:rsidRPr="00E14DE9">
        <w:rPr>
          <w:rFonts w:ascii="Arial" w:eastAsia="Times New Roman" w:hAnsi="Arial" w:cs="Arial"/>
          <w:sz w:val="24"/>
          <w:szCs w:val="24"/>
          <w:lang w:eastAsia="en-GB"/>
        </w:rPr>
        <w:t xml:space="preserve"> 384-399.</w:t>
      </w:r>
    </w:p>
    <w:p w14:paraId="15FF2E73"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Tuckman, B.W., &amp; Harper, B.E. (2012). </w:t>
      </w:r>
      <w:r w:rsidRPr="00E14DE9">
        <w:rPr>
          <w:rFonts w:ascii="Arial" w:eastAsia="Times New Roman" w:hAnsi="Arial" w:cs="Arial"/>
          <w:i/>
          <w:iCs/>
          <w:sz w:val="24"/>
          <w:szCs w:val="24"/>
          <w:lang w:eastAsia="en-GB"/>
        </w:rPr>
        <w:t>Conducting Educational Research</w:t>
      </w:r>
      <w:r w:rsidRPr="00E14DE9">
        <w:rPr>
          <w:rFonts w:ascii="Arial" w:eastAsia="Times New Roman" w:hAnsi="Arial" w:cs="Arial"/>
          <w:sz w:val="24"/>
          <w:szCs w:val="24"/>
          <w:lang w:eastAsia="en-GB"/>
        </w:rPr>
        <w:t xml:space="preserve"> (6th ed.). Rowman &amp; Littlefield.</w:t>
      </w:r>
    </w:p>
    <w:p w14:paraId="79A5AE2B" w14:textId="77777777" w:rsidR="00E14DE9" w:rsidRPr="00E14DE9" w:rsidRDefault="00E14DE9" w:rsidP="00E14DE9">
      <w:pPr>
        <w:numPr>
          <w:ilvl w:val="0"/>
          <w:numId w:val="1"/>
        </w:numPr>
        <w:spacing w:before="100" w:beforeAutospacing="1" w:after="100" w:afterAutospacing="1" w:line="240" w:lineRule="auto"/>
        <w:rPr>
          <w:rFonts w:ascii="Arial" w:eastAsia="Times New Roman" w:hAnsi="Arial" w:cs="Arial"/>
          <w:sz w:val="24"/>
          <w:szCs w:val="24"/>
          <w:lang w:eastAsia="en-GB"/>
        </w:rPr>
      </w:pPr>
      <w:r w:rsidRPr="00E14DE9">
        <w:rPr>
          <w:rFonts w:ascii="Arial" w:eastAsia="Times New Roman" w:hAnsi="Arial" w:cs="Arial"/>
          <w:sz w:val="24"/>
          <w:szCs w:val="24"/>
          <w:lang w:eastAsia="en-GB"/>
        </w:rPr>
        <w:t xml:space="preserve">West, M.A. (2012). </w:t>
      </w:r>
      <w:r w:rsidRPr="00E14DE9">
        <w:rPr>
          <w:rFonts w:ascii="Arial" w:eastAsia="Times New Roman" w:hAnsi="Arial" w:cs="Arial"/>
          <w:i/>
          <w:iCs/>
          <w:sz w:val="24"/>
          <w:szCs w:val="24"/>
          <w:lang w:eastAsia="en-GB"/>
        </w:rPr>
        <w:t>Effective Teamwork: Practical Lessons from Organizational Research.</w:t>
      </w:r>
      <w:r w:rsidRPr="00E14DE9">
        <w:rPr>
          <w:rFonts w:ascii="Arial" w:eastAsia="Times New Roman" w:hAnsi="Arial" w:cs="Arial"/>
          <w:sz w:val="24"/>
          <w:szCs w:val="24"/>
          <w:lang w:eastAsia="en-GB"/>
        </w:rPr>
        <w:t xml:space="preserve"> Wiley.</w:t>
      </w:r>
    </w:p>
    <w:p w14:paraId="1C098FBB" w14:textId="77777777" w:rsidR="00E14DE9" w:rsidRPr="00E14DE9" w:rsidRDefault="00E14DE9" w:rsidP="00E14DE9">
      <w:pPr>
        <w:spacing w:before="100" w:beforeAutospacing="1" w:after="100" w:afterAutospacing="1" w:line="240" w:lineRule="auto"/>
        <w:rPr>
          <w:rFonts w:ascii="Arial" w:eastAsia="Times New Roman" w:hAnsi="Arial" w:cs="Arial"/>
          <w:sz w:val="24"/>
          <w:szCs w:val="24"/>
          <w:lang w:eastAsia="en-GB"/>
        </w:rPr>
      </w:pPr>
    </w:p>
    <w:p w14:paraId="26A89409" w14:textId="77777777" w:rsidR="00D87410" w:rsidRDefault="00D87410"/>
    <w:sectPr w:rsidR="00D874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613F3A"/>
    <w:multiLevelType w:val="multilevel"/>
    <w:tmpl w:val="95C6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6552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DE9"/>
    <w:rsid w:val="005E46CD"/>
    <w:rsid w:val="00D87410"/>
    <w:rsid w:val="00E14DE9"/>
    <w:rsid w:val="00FD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5D1F2"/>
  <w15:chartTrackingRefBased/>
  <w15:docId w15:val="{6759A879-FAE3-4A7F-A4F9-92D1CFEF4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4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4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4D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4D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4D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4D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4D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4D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4D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D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4D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4D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4D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4D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4D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D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D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DE9"/>
    <w:rPr>
      <w:rFonts w:eastAsiaTheme="majorEastAsia" w:cstheme="majorBidi"/>
      <w:color w:val="272727" w:themeColor="text1" w:themeTint="D8"/>
    </w:rPr>
  </w:style>
  <w:style w:type="paragraph" w:styleId="Title">
    <w:name w:val="Title"/>
    <w:basedOn w:val="Normal"/>
    <w:next w:val="Normal"/>
    <w:link w:val="TitleChar"/>
    <w:uiPriority w:val="10"/>
    <w:qFormat/>
    <w:rsid w:val="00E14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D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D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4D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DE9"/>
    <w:pPr>
      <w:spacing w:before="160"/>
      <w:jc w:val="center"/>
    </w:pPr>
    <w:rPr>
      <w:i/>
      <w:iCs/>
      <w:color w:val="404040" w:themeColor="text1" w:themeTint="BF"/>
    </w:rPr>
  </w:style>
  <w:style w:type="character" w:customStyle="1" w:styleId="QuoteChar">
    <w:name w:val="Quote Char"/>
    <w:basedOn w:val="DefaultParagraphFont"/>
    <w:link w:val="Quote"/>
    <w:uiPriority w:val="29"/>
    <w:rsid w:val="00E14DE9"/>
    <w:rPr>
      <w:i/>
      <w:iCs/>
      <w:color w:val="404040" w:themeColor="text1" w:themeTint="BF"/>
    </w:rPr>
  </w:style>
  <w:style w:type="paragraph" w:styleId="ListParagraph">
    <w:name w:val="List Paragraph"/>
    <w:basedOn w:val="Normal"/>
    <w:uiPriority w:val="34"/>
    <w:qFormat/>
    <w:rsid w:val="00E14DE9"/>
    <w:pPr>
      <w:ind w:left="720"/>
      <w:contextualSpacing/>
    </w:pPr>
  </w:style>
  <w:style w:type="character" w:styleId="IntenseEmphasis">
    <w:name w:val="Intense Emphasis"/>
    <w:basedOn w:val="DefaultParagraphFont"/>
    <w:uiPriority w:val="21"/>
    <w:qFormat/>
    <w:rsid w:val="00E14DE9"/>
    <w:rPr>
      <w:i/>
      <w:iCs/>
      <w:color w:val="0F4761" w:themeColor="accent1" w:themeShade="BF"/>
    </w:rPr>
  </w:style>
  <w:style w:type="paragraph" w:styleId="IntenseQuote">
    <w:name w:val="Intense Quote"/>
    <w:basedOn w:val="Normal"/>
    <w:next w:val="Normal"/>
    <w:link w:val="IntenseQuoteChar"/>
    <w:uiPriority w:val="30"/>
    <w:qFormat/>
    <w:rsid w:val="00E14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4DE9"/>
    <w:rPr>
      <w:i/>
      <w:iCs/>
      <w:color w:val="0F4761" w:themeColor="accent1" w:themeShade="BF"/>
    </w:rPr>
  </w:style>
  <w:style w:type="character" w:styleId="IntenseReference">
    <w:name w:val="Intense Reference"/>
    <w:basedOn w:val="DefaultParagraphFont"/>
    <w:uiPriority w:val="32"/>
    <w:qFormat/>
    <w:rsid w:val="00E14D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510284">
      <w:bodyDiv w:val="1"/>
      <w:marLeft w:val="0"/>
      <w:marRight w:val="0"/>
      <w:marTop w:val="0"/>
      <w:marBottom w:val="0"/>
      <w:divBdr>
        <w:top w:val="none" w:sz="0" w:space="0" w:color="auto"/>
        <w:left w:val="none" w:sz="0" w:space="0" w:color="auto"/>
        <w:bottom w:val="none" w:sz="0" w:space="0" w:color="auto"/>
        <w:right w:val="none" w:sz="0" w:space="0" w:color="auto"/>
      </w:divBdr>
    </w:div>
    <w:div w:id="1501581823">
      <w:bodyDiv w:val="1"/>
      <w:marLeft w:val="0"/>
      <w:marRight w:val="0"/>
      <w:marTop w:val="0"/>
      <w:marBottom w:val="0"/>
      <w:divBdr>
        <w:top w:val="none" w:sz="0" w:space="0" w:color="auto"/>
        <w:left w:val="none" w:sz="0" w:space="0" w:color="auto"/>
        <w:bottom w:val="none" w:sz="0" w:space="0" w:color="auto"/>
        <w:right w:val="none" w:sz="0" w:space="0" w:color="auto"/>
      </w:divBdr>
    </w:div>
    <w:div w:id="1675451235">
      <w:bodyDiv w:val="1"/>
      <w:marLeft w:val="0"/>
      <w:marRight w:val="0"/>
      <w:marTop w:val="0"/>
      <w:marBottom w:val="0"/>
      <w:divBdr>
        <w:top w:val="none" w:sz="0" w:space="0" w:color="auto"/>
        <w:left w:val="none" w:sz="0" w:space="0" w:color="auto"/>
        <w:bottom w:val="none" w:sz="0" w:space="0" w:color="auto"/>
        <w:right w:val="none" w:sz="0" w:space="0" w:color="auto"/>
      </w:divBdr>
    </w:div>
    <w:div w:id="1688361477">
      <w:bodyDiv w:val="1"/>
      <w:marLeft w:val="0"/>
      <w:marRight w:val="0"/>
      <w:marTop w:val="0"/>
      <w:marBottom w:val="0"/>
      <w:divBdr>
        <w:top w:val="none" w:sz="0" w:space="0" w:color="auto"/>
        <w:left w:val="none" w:sz="0" w:space="0" w:color="auto"/>
        <w:bottom w:val="none" w:sz="0" w:space="0" w:color="auto"/>
        <w:right w:val="none" w:sz="0" w:space="0" w:color="auto"/>
      </w:divBdr>
    </w:div>
    <w:div w:id="1906255440">
      <w:bodyDiv w:val="1"/>
      <w:marLeft w:val="0"/>
      <w:marRight w:val="0"/>
      <w:marTop w:val="0"/>
      <w:marBottom w:val="0"/>
      <w:divBdr>
        <w:top w:val="none" w:sz="0" w:space="0" w:color="auto"/>
        <w:left w:val="none" w:sz="0" w:space="0" w:color="auto"/>
        <w:bottom w:val="none" w:sz="0" w:space="0" w:color="auto"/>
        <w:right w:val="none" w:sz="0" w:space="0" w:color="auto"/>
      </w:divBdr>
    </w:div>
    <w:div w:id="194183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637D9-D472-4CE7-86C1-445CE5E0A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1365</Words>
  <Characters>7781</Characters>
  <Application>Microsoft Office Word</Application>
  <DocSecurity>0</DocSecurity>
  <Lines>64</Lines>
  <Paragraphs>18</Paragraphs>
  <ScaleCrop>false</ScaleCrop>
  <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Ionela-Catalina Simion (2227035)</dc:creator>
  <cp:keywords/>
  <dc:description/>
  <cp:lastModifiedBy>Ionela-Catalina Simion (2227035)</cp:lastModifiedBy>
  <cp:revision>1</cp:revision>
  <dcterms:created xsi:type="dcterms:W3CDTF">2025-03-12T20:00:00Z</dcterms:created>
  <dcterms:modified xsi:type="dcterms:W3CDTF">2025-03-12T20:09:00Z</dcterms:modified>
</cp:coreProperties>
</file>