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559AF" w14:textId="2B920BFA" w:rsidR="00E76D9D" w:rsidRPr="0019612C" w:rsidRDefault="00E76D9D" w:rsidP="00E76D9D">
      <w:pPr>
        <w:spacing w:line="360" w:lineRule="auto"/>
        <w:jc w:val="both"/>
        <w:rPr>
          <w:sz w:val="24"/>
          <w:szCs w:val="24"/>
        </w:rPr>
      </w:pPr>
      <w:r w:rsidRPr="0019612C">
        <w:rPr>
          <w:sz w:val="24"/>
          <w:szCs w:val="24"/>
        </w:rPr>
        <w:t>Adult safeguarding is a fundamental aspect of social work practice, aimed at protecting adults at risk from abuse, neglect and exploitation while promoting their rights, wellbeing and autonomy. In Wales, safeguarding is underpinned by a comprehensive legal and policy framework that seeks to balance protection with an individual’s right to self-determination. Safeguarding practice is founded on the principles of empowerment, prevention, proportionality, protection, partnership and accountability, ensuring that adults remain at the centre of decision-making processes.</w:t>
      </w:r>
    </w:p>
    <w:p w14:paraId="02CE7D12" w14:textId="77777777" w:rsidR="00E76D9D" w:rsidRPr="0019612C" w:rsidRDefault="00E76D9D" w:rsidP="00E76D9D">
      <w:pPr>
        <w:spacing w:line="360" w:lineRule="auto"/>
        <w:jc w:val="both"/>
        <w:rPr>
          <w:sz w:val="24"/>
          <w:szCs w:val="24"/>
        </w:rPr>
      </w:pPr>
    </w:p>
    <w:p w14:paraId="385E8A95" w14:textId="77777777" w:rsidR="00E76D9D" w:rsidRPr="0019612C" w:rsidRDefault="00E76D9D" w:rsidP="00E76D9D">
      <w:pPr>
        <w:spacing w:line="360" w:lineRule="auto"/>
        <w:jc w:val="both"/>
        <w:rPr>
          <w:sz w:val="24"/>
          <w:szCs w:val="24"/>
        </w:rPr>
      </w:pPr>
      <w:r w:rsidRPr="0019612C">
        <w:rPr>
          <w:sz w:val="24"/>
          <w:szCs w:val="24"/>
        </w:rPr>
        <w:t>The principal legislation governing safeguarding adults in Wales is the Social Services and Well-being (Wales) Act 2014. The Act promotes wellbeing, early intervention, prevention, voice and control, and partnership working between agencies. Section 126 defines an “adult at risk” as a person who is experiencing, or is at risk of, abuse or neglect, has needs for care and support, and as a result of those needs is unable to protect themselves. The Act places a duty on local authorities to make enquiries where there is reasonable cause to suspect that an adult is at risk (Welsh Government, 2024; Social Services and Well-being (Wales) Act 2014). Importantly, safeguarding interventions in Wales are largely consent based, recognising that adults with capacity have the right to make decisions about their own lives, even when those decisions may appear unwise to others.</w:t>
      </w:r>
    </w:p>
    <w:p w14:paraId="226C1B8B" w14:textId="77777777" w:rsidR="00E76D9D" w:rsidRPr="0019612C" w:rsidRDefault="00E76D9D" w:rsidP="00E76D9D">
      <w:pPr>
        <w:spacing w:line="360" w:lineRule="auto"/>
        <w:jc w:val="both"/>
        <w:rPr>
          <w:sz w:val="24"/>
          <w:szCs w:val="24"/>
        </w:rPr>
      </w:pPr>
    </w:p>
    <w:p w14:paraId="1DF74149" w14:textId="77777777" w:rsidR="00E76D9D" w:rsidRPr="0019612C" w:rsidRDefault="00E76D9D" w:rsidP="00E76D9D">
      <w:pPr>
        <w:spacing w:line="360" w:lineRule="auto"/>
        <w:jc w:val="both"/>
        <w:rPr>
          <w:sz w:val="24"/>
          <w:szCs w:val="24"/>
        </w:rPr>
      </w:pPr>
      <w:r w:rsidRPr="0019612C">
        <w:rPr>
          <w:sz w:val="24"/>
          <w:szCs w:val="24"/>
        </w:rPr>
        <w:t>This principle is reinforced through the Mental Capacity Act (MCA) 2005, which provides the legal framework for decision-making where there are concerns regarding capacity. The Act is underpinned by five key principles, including the presumption of capacity and the recognition that individuals should not be considered incapable simply because they make decisions others disagree with. Social workers must therefore carefully balance the duty to protect adults from harm with the right of individuals to make autonomous choices. Where a person lacks capacity, decisions must be made in their best interests and in the least restrictive manner possible.</w:t>
      </w:r>
    </w:p>
    <w:p w14:paraId="6EC12307" w14:textId="77777777" w:rsidR="00E76D9D" w:rsidRPr="0019612C" w:rsidRDefault="00E76D9D" w:rsidP="00E76D9D">
      <w:pPr>
        <w:spacing w:line="360" w:lineRule="auto"/>
        <w:jc w:val="both"/>
        <w:rPr>
          <w:sz w:val="24"/>
          <w:szCs w:val="24"/>
        </w:rPr>
      </w:pPr>
    </w:p>
    <w:p w14:paraId="3190481D" w14:textId="77777777" w:rsidR="00E76D9D" w:rsidRPr="0019612C" w:rsidRDefault="00E76D9D" w:rsidP="00E76D9D">
      <w:pPr>
        <w:spacing w:line="360" w:lineRule="auto"/>
        <w:jc w:val="both"/>
        <w:rPr>
          <w:sz w:val="24"/>
          <w:szCs w:val="24"/>
        </w:rPr>
      </w:pPr>
      <w:r w:rsidRPr="0019612C">
        <w:rPr>
          <w:sz w:val="24"/>
          <w:szCs w:val="24"/>
        </w:rPr>
        <w:t xml:space="preserve">The Mental Health Act 1983 also plays an important role in safeguarding adults who experience significant mental health difficulties and may require assessment, treatment or protection. Alongside this, the Human Rights Act 1998 safeguards fundamental rights including the right to life, freedom from inhuman or degrading treatment, liberty, and respect for private and family life. These rights must be </w:t>
      </w:r>
      <w:r w:rsidRPr="0019612C">
        <w:rPr>
          <w:sz w:val="24"/>
          <w:szCs w:val="24"/>
        </w:rPr>
        <w:lastRenderedPageBreak/>
        <w:t>considered throughout safeguarding interventions to ensure actions are lawful, proportionate and ethically justified (Social Care Wales, 2024).</w:t>
      </w:r>
    </w:p>
    <w:p w14:paraId="2D7BF43D" w14:textId="77777777" w:rsidR="00E76D9D" w:rsidRPr="0019612C" w:rsidRDefault="00E76D9D" w:rsidP="00E76D9D">
      <w:pPr>
        <w:spacing w:line="360" w:lineRule="auto"/>
        <w:jc w:val="both"/>
        <w:rPr>
          <w:sz w:val="24"/>
          <w:szCs w:val="24"/>
        </w:rPr>
      </w:pPr>
    </w:p>
    <w:p w14:paraId="1E2E41B4" w14:textId="5452C122" w:rsidR="00E76D9D" w:rsidRPr="0019612C" w:rsidRDefault="00E76D9D" w:rsidP="00E76D9D">
      <w:pPr>
        <w:spacing w:line="360" w:lineRule="auto"/>
        <w:jc w:val="both"/>
        <w:rPr>
          <w:sz w:val="24"/>
          <w:szCs w:val="24"/>
        </w:rPr>
      </w:pPr>
      <w:r w:rsidRPr="0019612C">
        <w:rPr>
          <w:sz w:val="24"/>
          <w:szCs w:val="24"/>
        </w:rPr>
        <w:t>Nationally, safeguarding practice is guided by the Wales Safeguarding Procedures, which provide a consistent multi-agency framework for safeguarding adults at risk across Wales. These procedures support practitioners in applying safeguarding legislation and guidance consistently and effectively. Locally, Regional Safeguarding Boards are responsible for coordinating safeguarding activity, promoting inter-agency collaboration, monitoring the effectiveness of safeguarding arrangements, and undertaking practice reviews to improve outcomes and promote learning across partner agencies (Wales Safeguarding Procedures, 2026</w:t>
      </w:r>
      <w:r w:rsidRPr="0019612C">
        <w:rPr>
          <w:sz w:val="24"/>
          <w:szCs w:val="24"/>
        </w:rPr>
        <w:t xml:space="preserve">). </w:t>
      </w:r>
    </w:p>
    <w:p w14:paraId="45F00A43" w14:textId="77777777" w:rsidR="00E76D9D" w:rsidRPr="0019612C" w:rsidRDefault="00E76D9D" w:rsidP="00E76D9D">
      <w:pPr>
        <w:spacing w:line="360" w:lineRule="auto"/>
        <w:jc w:val="both"/>
        <w:rPr>
          <w:sz w:val="24"/>
          <w:szCs w:val="24"/>
        </w:rPr>
      </w:pPr>
    </w:p>
    <w:p w14:paraId="40447BD8" w14:textId="1CE24339" w:rsidR="00E76D9D" w:rsidRPr="0019612C" w:rsidRDefault="00E76D9D" w:rsidP="00E76D9D">
      <w:pPr>
        <w:spacing w:line="360" w:lineRule="auto"/>
        <w:jc w:val="both"/>
        <w:rPr>
          <w:sz w:val="24"/>
          <w:szCs w:val="24"/>
        </w:rPr>
      </w:pPr>
      <w:r w:rsidRPr="0019612C">
        <w:rPr>
          <w:sz w:val="24"/>
          <w:szCs w:val="24"/>
        </w:rPr>
        <w:t>A key aspect of safeguarding is establishing the adult’s preferred outcomes. Person-centred practice ensures adults, families and carers are actively involved in decisions affecting them. The professional social work role involves identifying risk, undertaking assessments, coordinating multi-agency responses, advocating for individuals and promoting rights. Effective safeguarding therefore requires social workers to integrate legislation, professional judgement and ethical practice to protect adults while respecting their autonomy and promoting wellbeing.</w:t>
      </w:r>
    </w:p>
    <w:p w14:paraId="52C333B7" w14:textId="77777777" w:rsidR="0019612C" w:rsidRPr="0019612C" w:rsidRDefault="0019612C" w:rsidP="00E76D9D">
      <w:pPr>
        <w:spacing w:line="360" w:lineRule="auto"/>
        <w:jc w:val="both"/>
        <w:rPr>
          <w:sz w:val="24"/>
          <w:szCs w:val="24"/>
        </w:rPr>
      </w:pPr>
    </w:p>
    <w:p w14:paraId="2068005C" w14:textId="77777777" w:rsidR="0019612C" w:rsidRPr="0019612C" w:rsidRDefault="0019612C" w:rsidP="0019612C">
      <w:pPr>
        <w:spacing w:line="360" w:lineRule="auto"/>
        <w:jc w:val="both"/>
        <w:rPr>
          <w:sz w:val="24"/>
          <w:szCs w:val="24"/>
        </w:rPr>
      </w:pPr>
      <w:r w:rsidRPr="0019612C">
        <w:rPr>
          <w:sz w:val="24"/>
          <w:szCs w:val="24"/>
        </w:rPr>
        <w:t>Although both adult and children’s safeguarding aim to protect individuals from abuse, neglect and harm, there are significant differences in the legal frameworks and practice principles that guide interventions. Adult safeguarding places considerable emphasis on autonomy, choice and self-determination, whereas children’s safeguarding prioritises protection and welfare.</w:t>
      </w:r>
    </w:p>
    <w:p w14:paraId="327FF147" w14:textId="77777777" w:rsidR="0019612C" w:rsidRPr="0019612C" w:rsidRDefault="0019612C" w:rsidP="0019612C">
      <w:pPr>
        <w:spacing w:line="360" w:lineRule="auto"/>
        <w:jc w:val="both"/>
        <w:rPr>
          <w:sz w:val="24"/>
          <w:szCs w:val="24"/>
        </w:rPr>
      </w:pPr>
    </w:p>
    <w:p w14:paraId="496E4DA5" w14:textId="7800ACB0" w:rsidR="0019612C" w:rsidRPr="0019612C" w:rsidRDefault="0019612C" w:rsidP="0019612C">
      <w:pPr>
        <w:spacing w:line="360" w:lineRule="auto"/>
        <w:jc w:val="both"/>
        <w:rPr>
          <w:sz w:val="24"/>
          <w:szCs w:val="24"/>
        </w:rPr>
      </w:pPr>
      <w:r w:rsidRPr="0019612C">
        <w:rPr>
          <w:sz w:val="24"/>
          <w:szCs w:val="24"/>
        </w:rPr>
        <w:t xml:space="preserve">Children’s safeguarding is guided by the Children Act 1989, which identifies the welfare of the child as the primary consideration in all decisions affecting them. Where concerns arise about a child's safety or wellbeing, professionals have a legal responsibility to act in the child’s best interests, irrespective of whether the child or their </w:t>
      </w:r>
      <w:r w:rsidRPr="0019612C">
        <w:rPr>
          <w:sz w:val="24"/>
          <w:szCs w:val="24"/>
        </w:rPr>
        <w:t>parents’</w:t>
      </w:r>
      <w:r w:rsidRPr="0019612C">
        <w:rPr>
          <w:sz w:val="24"/>
          <w:szCs w:val="24"/>
        </w:rPr>
        <w:t xml:space="preserve"> consent to or support the intervention. In contrast to adult safeguarding, where autonomy and self-determination are central principles, children’s safeguarding allows professionals to intervene when there is a risk of significant harm. Consequently, practice within children’s services focuses on protecting children from </w:t>
      </w:r>
      <w:r w:rsidRPr="0019612C">
        <w:rPr>
          <w:sz w:val="24"/>
          <w:szCs w:val="24"/>
        </w:rPr>
        <w:lastRenderedPageBreak/>
        <w:t>harm and promoting their welfare through timely and proportionate intervention when safeguarding concerns are identified (Children Act, 1989).</w:t>
      </w:r>
    </w:p>
    <w:p w14:paraId="1DAD2068" w14:textId="22CD3E2A" w:rsidR="0019612C" w:rsidRPr="0019612C" w:rsidRDefault="0019612C" w:rsidP="0019612C">
      <w:pPr>
        <w:spacing w:line="360" w:lineRule="auto"/>
        <w:jc w:val="both"/>
        <w:rPr>
          <w:sz w:val="24"/>
          <w:szCs w:val="24"/>
        </w:rPr>
      </w:pPr>
    </w:p>
    <w:p w14:paraId="15C103DC" w14:textId="0AF159B9" w:rsidR="0019612C" w:rsidRPr="0019612C" w:rsidRDefault="0019612C" w:rsidP="0019612C">
      <w:pPr>
        <w:spacing w:line="360" w:lineRule="auto"/>
        <w:jc w:val="both"/>
        <w:rPr>
          <w:sz w:val="24"/>
          <w:szCs w:val="24"/>
        </w:rPr>
      </w:pPr>
      <w:r w:rsidRPr="0019612C">
        <w:rPr>
          <w:sz w:val="24"/>
          <w:szCs w:val="24"/>
        </w:rPr>
        <w:t xml:space="preserve">The concepts of Gillick competence and the Fraser Guidelines recognise that some children under the age of 16 may possess sufficient maturity and understanding to make decisions about matters affecting them. These frameworks help practitioners balance a child’s right to participate in decision-making with their responsibility to protect them from harm. A child assessed as Gillick competent may be able to make decisions independently; however, this competence does not remove safeguarding responsibilities. Where concerns meet statutory safeguarding thresholds, professionals must </w:t>
      </w:r>
      <w:r w:rsidRPr="0019612C">
        <w:rPr>
          <w:sz w:val="24"/>
          <w:szCs w:val="24"/>
        </w:rPr>
        <w:t>act</w:t>
      </w:r>
      <w:r w:rsidRPr="0019612C">
        <w:rPr>
          <w:sz w:val="24"/>
          <w:szCs w:val="24"/>
        </w:rPr>
        <w:t xml:space="preserve"> regardless of the child’s wishes or level of competency (Gillick v West Norfolk and Wisbech AHA, 1986).</w:t>
      </w:r>
    </w:p>
    <w:p w14:paraId="3F040BA2" w14:textId="77777777" w:rsidR="0019612C" w:rsidRPr="0019612C" w:rsidRDefault="0019612C" w:rsidP="0019612C">
      <w:pPr>
        <w:spacing w:line="360" w:lineRule="auto"/>
        <w:jc w:val="both"/>
        <w:rPr>
          <w:sz w:val="24"/>
          <w:szCs w:val="24"/>
        </w:rPr>
      </w:pPr>
    </w:p>
    <w:p w14:paraId="007BA99A" w14:textId="77777777" w:rsidR="0019612C" w:rsidRDefault="0019612C" w:rsidP="0019612C">
      <w:pPr>
        <w:spacing w:line="360" w:lineRule="auto"/>
        <w:jc w:val="both"/>
        <w:rPr>
          <w:sz w:val="24"/>
          <w:szCs w:val="24"/>
        </w:rPr>
      </w:pPr>
      <w:r w:rsidRPr="0019612C">
        <w:rPr>
          <w:sz w:val="24"/>
          <w:szCs w:val="24"/>
        </w:rPr>
        <w:t>Reflecting on these differences emphasises the importance of professional judgement within social work practice. Adult safeguarding requires practitioners to work in partnership with individuals, respecting their autonomy, rights and choices while collaboratively managing risk. In contrast, children’s safeguarding is guided by the principle that the welfare of the child is paramount, requiring professionals to prioritise protection when there are concerns that a child may be suffering, or is at risk of suffering, significant harm (Children Act, 1989). Both areas of practice seek to uphold individual rights and promote wellbeing; however, the balance between empowerment and protection differs according to the legislative framework and level of vulnerability. Developing a sound understanding of these distinctions enables social workers to make informed, ethical and legally compliant decisions, ensuring that interventions remain proportionate, person-centred and responsive to the needs of those they support (BASW, 2021; Social Care Wales, 2024).</w:t>
      </w:r>
    </w:p>
    <w:p w14:paraId="2903465D" w14:textId="77777777" w:rsidR="0019612C" w:rsidRDefault="0019612C" w:rsidP="0019612C">
      <w:pPr>
        <w:spacing w:line="360" w:lineRule="auto"/>
        <w:jc w:val="both"/>
        <w:rPr>
          <w:sz w:val="24"/>
          <w:szCs w:val="24"/>
        </w:rPr>
      </w:pPr>
    </w:p>
    <w:p w14:paraId="450FD125" w14:textId="77777777" w:rsidR="0019612C" w:rsidRPr="0019612C" w:rsidRDefault="0019612C" w:rsidP="0019612C">
      <w:pPr>
        <w:spacing w:line="360" w:lineRule="auto"/>
        <w:jc w:val="both"/>
        <w:rPr>
          <w:sz w:val="24"/>
          <w:szCs w:val="24"/>
        </w:rPr>
      </w:pPr>
    </w:p>
    <w:p w14:paraId="1878AF6C" w14:textId="77777777" w:rsidR="0019612C" w:rsidRDefault="0019612C" w:rsidP="00E76D9D">
      <w:pPr>
        <w:spacing w:line="360" w:lineRule="auto"/>
        <w:jc w:val="both"/>
        <w:rPr>
          <w:sz w:val="24"/>
          <w:szCs w:val="24"/>
        </w:rPr>
      </w:pPr>
    </w:p>
    <w:p w14:paraId="36550BF7" w14:textId="77777777" w:rsidR="00261195" w:rsidRDefault="00261195" w:rsidP="00E76D9D">
      <w:pPr>
        <w:spacing w:line="360" w:lineRule="auto"/>
        <w:jc w:val="both"/>
        <w:rPr>
          <w:sz w:val="24"/>
          <w:szCs w:val="24"/>
        </w:rPr>
      </w:pPr>
    </w:p>
    <w:p w14:paraId="3C44909B" w14:textId="649EA3AF" w:rsidR="00BD699C" w:rsidRPr="00932CA6" w:rsidRDefault="00BD699C">
      <w:pPr>
        <w:rPr>
          <w:sz w:val="24"/>
          <w:szCs w:val="24"/>
        </w:rPr>
      </w:pPr>
    </w:p>
    <w:sectPr w:rsidR="00BD699C" w:rsidRPr="00932C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CA6"/>
    <w:rsid w:val="000B3E36"/>
    <w:rsid w:val="0019612C"/>
    <w:rsid w:val="00261195"/>
    <w:rsid w:val="006D045E"/>
    <w:rsid w:val="00932CA6"/>
    <w:rsid w:val="00BD699C"/>
    <w:rsid w:val="00C63F43"/>
    <w:rsid w:val="00E76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6FDEF"/>
  <w15:chartTrackingRefBased/>
  <w15:docId w15:val="{AD71EB3A-2C82-495B-99D3-CF8482B84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CA6"/>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932C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2C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2C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2C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2C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2CA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CA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CA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CA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C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2C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2C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2C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2C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2C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C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C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CA6"/>
    <w:rPr>
      <w:rFonts w:eastAsiaTheme="majorEastAsia" w:cstheme="majorBidi"/>
      <w:color w:val="272727" w:themeColor="text1" w:themeTint="D8"/>
    </w:rPr>
  </w:style>
  <w:style w:type="paragraph" w:styleId="Title">
    <w:name w:val="Title"/>
    <w:basedOn w:val="Normal"/>
    <w:next w:val="Normal"/>
    <w:link w:val="TitleChar"/>
    <w:uiPriority w:val="10"/>
    <w:qFormat/>
    <w:rsid w:val="00932CA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C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C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C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CA6"/>
    <w:pPr>
      <w:spacing w:before="160"/>
      <w:jc w:val="center"/>
    </w:pPr>
    <w:rPr>
      <w:i/>
      <w:iCs/>
      <w:color w:val="404040" w:themeColor="text1" w:themeTint="BF"/>
    </w:rPr>
  </w:style>
  <w:style w:type="character" w:customStyle="1" w:styleId="QuoteChar">
    <w:name w:val="Quote Char"/>
    <w:basedOn w:val="DefaultParagraphFont"/>
    <w:link w:val="Quote"/>
    <w:uiPriority w:val="29"/>
    <w:rsid w:val="00932CA6"/>
    <w:rPr>
      <w:i/>
      <w:iCs/>
      <w:color w:val="404040" w:themeColor="text1" w:themeTint="BF"/>
    </w:rPr>
  </w:style>
  <w:style w:type="paragraph" w:styleId="ListParagraph">
    <w:name w:val="List Paragraph"/>
    <w:basedOn w:val="Normal"/>
    <w:uiPriority w:val="34"/>
    <w:qFormat/>
    <w:rsid w:val="00932CA6"/>
    <w:pPr>
      <w:ind w:left="720"/>
      <w:contextualSpacing/>
    </w:pPr>
  </w:style>
  <w:style w:type="character" w:styleId="IntenseEmphasis">
    <w:name w:val="Intense Emphasis"/>
    <w:basedOn w:val="DefaultParagraphFont"/>
    <w:uiPriority w:val="21"/>
    <w:qFormat/>
    <w:rsid w:val="00932CA6"/>
    <w:rPr>
      <w:i/>
      <w:iCs/>
      <w:color w:val="0F4761" w:themeColor="accent1" w:themeShade="BF"/>
    </w:rPr>
  </w:style>
  <w:style w:type="paragraph" w:styleId="IntenseQuote">
    <w:name w:val="Intense Quote"/>
    <w:basedOn w:val="Normal"/>
    <w:next w:val="Normal"/>
    <w:link w:val="IntenseQuoteChar"/>
    <w:uiPriority w:val="30"/>
    <w:qFormat/>
    <w:rsid w:val="00932C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2CA6"/>
    <w:rPr>
      <w:i/>
      <w:iCs/>
      <w:color w:val="0F4761" w:themeColor="accent1" w:themeShade="BF"/>
    </w:rPr>
  </w:style>
  <w:style w:type="character" w:styleId="IntenseReference">
    <w:name w:val="Intense Reference"/>
    <w:basedOn w:val="DefaultParagraphFont"/>
    <w:uiPriority w:val="32"/>
    <w:qFormat/>
    <w:rsid w:val="00932CA6"/>
    <w:rPr>
      <w:b/>
      <w:bCs/>
      <w:smallCaps/>
      <w:color w:val="0F4761" w:themeColor="accent1" w:themeShade="BF"/>
      <w:spacing w:val="5"/>
    </w:rPr>
  </w:style>
  <w:style w:type="character" w:styleId="Hyperlink">
    <w:name w:val="Hyperlink"/>
    <w:basedOn w:val="DefaultParagraphFont"/>
    <w:uiPriority w:val="99"/>
    <w:unhideWhenUsed/>
    <w:rsid w:val="00BD699C"/>
    <w:rPr>
      <w:color w:val="467886" w:themeColor="hyperlink"/>
      <w:u w:val="single"/>
    </w:rPr>
  </w:style>
  <w:style w:type="character" w:styleId="UnresolvedMention">
    <w:name w:val="Unresolved Mention"/>
    <w:basedOn w:val="DefaultParagraphFont"/>
    <w:uiPriority w:val="99"/>
    <w:semiHidden/>
    <w:unhideWhenUsed/>
    <w:rsid w:val="00BD69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1014</Words>
  <Characters>5781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Greenhalgh</dc:creator>
  <cp:keywords/>
  <dc:description/>
  <cp:lastModifiedBy>Lynsey Greenhalgh</cp:lastModifiedBy>
  <cp:revision>1</cp:revision>
  <dcterms:created xsi:type="dcterms:W3CDTF">2026-10-04T14:01:00Z</dcterms:created>
  <dcterms:modified xsi:type="dcterms:W3CDTF">2026-10-04T14:58:00Z</dcterms:modified>
</cp:coreProperties>
</file>