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41D8F" w14:textId="77777777" w:rsidR="001F7694" w:rsidRDefault="001F7694" w:rsidP="001F7694">
      <w:pPr>
        <w:spacing w:line="259" w:lineRule="auto"/>
        <w:jc w:val="center"/>
      </w:pPr>
    </w:p>
    <w:p w14:paraId="598A3D69" w14:textId="77777777" w:rsidR="001F7694" w:rsidRDefault="001F7694" w:rsidP="001F7694">
      <w:pPr>
        <w:spacing w:line="259" w:lineRule="auto"/>
        <w:jc w:val="center"/>
      </w:pPr>
    </w:p>
    <w:p w14:paraId="149000D7" w14:textId="77777777" w:rsidR="001F7694" w:rsidRDefault="001F7694" w:rsidP="001F7694">
      <w:pPr>
        <w:spacing w:line="259" w:lineRule="auto"/>
        <w:jc w:val="center"/>
      </w:pPr>
    </w:p>
    <w:p w14:paraId="1AD3BFE4" w14:textId="77777777" w:rsidR="001F7694" w:rsidRDefault="001F7694" w:rsidP="001F7694">
      <w:pPr>
        <w:spacing w:line="259" w:lineRule="auto"/>
        <w:jc w:val="center"/>
      </w:pPr>
    </w:p>
    <w:p w14:paraId="54CD2537" w14:textId="77777777" w:rsidR="001F7694" w:rsidRDefault="001F7694" w:rsidP="001F7694">
      <w:pPr>
        <w:spacing w:line="259" w:lineRule="auto"/>
        <w:jc w:val="center"/>
      </w:pPr>
    </w:p>
    <w:p w14:paraId="38776864" w14:textId="77777777" w:rsidR="001F7694" w:rsidRDefault="001F7694" w:rsidP="001F7694">
      <w:pPr>
        <w:spacing w:line="259" w:lineRule="auto"/>
        <w:jc w:val="center"/>
      </w:pPr>
    </w:p>
    <w:p w14:paraId="2BB626B5" w14:textId="77777777" w:rsidR="001F7694" w:rsidRDefault="001F7694" w:rsidP="001F7694">
      <w:pPr>
        <w:spacing w:line="259" w:lineRule="auto"/>
        <w:jc w:val="center"/>
      </w:pPr>
    </w:p>
    <w:p w14:paraId="0CC52E80" w14:textId="77777777" w:rsidR="001F7694" w:rsidRDefault="001F7694" w:rsidP="001F7694">
      <w:pPr>
        <w:spacing w:line="259" w:lineRule="auto"/>
        <w:jc w:val="center"/>
      </w:pPr>
    </w:p>
    <w:p w14:paraId="00BF1C53" w14:textId="77777777" w:rsidR="00CC5B59" w:rsidRDefault="00CC5B59" w:rsidP="001F7694">
      <w:pPr>
        <w:spacing w:line="259" w:lineRule="auto"/>
        <w:jc w:val="center"/>
      </w:pPr>
    </w:p>
    <w:p w14:paraId="3D1B28BA" w14:textId="77777777" w:rsidR="00CC5B59" w:rsidRDefault="00CC5B59" w:rsidP="001F7694">
      <w:pPr>
        <w:spacing w:line="259" w:lineRule="auto"/>
        <w:jc w:val="center"/>
      </w:pPr>
    </w:p>
    <w:p w14:paraId="623B3632" w14:textId="77777777" w:rsidR="00CC5B59" w:rsidRDefault="00CC5B59" w:rsidP="001F7694">
      <w:pPr>
        <w:spacing w:line="259" w:lineRule="auto"/>
        <w:jc w:val="center"/>
      </w:pPr>
    </w:p>
    <w:p w14:paraId="61B58458" w14:textId="66356966" w:rsidR="00CC5B59" w:rsidRDefault="000524A2" w:rsidP="00CC5B59">
      <w:pPr>
        <w:spacing w:line="259" w:lineRule="auto"/>
        <w:jc w:val="center"/>
      </w:pPr>
      <w:r>
        <w:t>CASE STUDY: FINANCIAL POSITION OF THE</w:t>
      </w:r>
      <w:r w:rsidR="00CC5B59">
        <w:t xml:space="preserve"> SEAVIEW RESORT</w:t>
      </w:r>
    </w:p>
    <w:p w14:paraId="1BC930F2" w14:textId="77777777" w:rsidR="001F7694" w:rsidRDefault="001F7694" w:rsidP="001F7694">
      <w:pPr>
        <w:spacing w:line="259" w:lineRule="auto"/>
        <w:jc w:val="center"/>
      </w:pPr>
    </w:p>
    <w:p w14:paraId="29A8A667" w14:textId="46049575" w:rsidR="00CC5B59" w:rsidRDefault="001F7694" w:rsidP="00CC5B59">
      <w:pPr>
        <w:spacing w:line="259" w:lineRule="auto"/>
        <w:jc w:val="center"/>
      </w:pPr>
      <w:r>
        <w:t>Financial Management for Hotel Industry</w:t>
      </w:r>
    </w:p>
    <w:p w14:paraId="00ABE0B9" w14:textId="6EE269EA" w:rsidR="00CC5B59" w:rsidRDefault="00CC5B59" w:rsidP="001F7694">
      <w:pPr>
        <w:spacing w:line="259" w:lineRule="auto"/>
        <w:jc w:val="center"/>
      </w:pPr>
      <w:r w:rsidRPr="00CC5B59">
        <w:t>(BMIH5007, BMIH5002)</w:t>
      </w:r>
    </w:p>
    <w:p w14:paraId="3C16E1AA" w14:textId="22BBE3CE" w:rsidR="001F7694" w:rsidRDefault="001F7694" w:rsidP="001F7694">
      <w:pPr>
        <w:spacing w:line="259" w:lineRule="auto"/>
        <w:jc w:val="center"/>
      </w:pPr>
      <w:r>
        <w:t>Student</w:t>
      </w:r>
      <w:r w:rsidR="00CC5B59">
        <w:t xml:space="preserve"> Id:2125838</w:t>
      </w:r>
    </w:p>
    <w:p w14:paraId="66AB5E97" w14:textId="77777777" w:rsidR="00CC5B59" w:rsidRDefault="00CC5B59" w:rsidP="001F7694">
      <w:pPr>
        <w:spacing w:line="259" w:lineRule="auto"/>
        <w:jc w:val="center"/>
      </w:pPr>
    </w:p>
    <w:p w14:paraId="4CD113EF" w14:textId="21C804DA" w:rsidR="001F7694" w:rsidRDefault="001F7694" w:rsidP="00CC5B59">
      <w:pPr>
        <w:spacing w:line="259" w:lineRule="auto"/>
      </w:pPr>
    </w:p>
    <w:p w14:paraId="035FF818" w14:textId="77777777" w:rsidR="00D12A2A" w:rsidRDefault="00D12A2A">
      <w:pPr>
        <w:spacing w:line="259" w:lineRule="auto"/>
        <w:jc w:val="left"/>
      </w:pPr>
      <w:r>
        <w:br w:type="page"/>
      </w:r>
    </w:p>
    <w:p w14:paraId="3BFAED63" w14:textId="77777777" w:rsidR="00D12A2A" w:rsidRPr="00CE537D" w:rsidRDefault="00D12A2A" w:rsidP="00D12A2A">
      <w:pPr>
        <w:spacing w:line="259" w:lineRule="auto"/>
        <w:rPr>
          <w:b/>
          <w:bCs/>
        </w:rPr>
      </w:pPr>
      <w:r w:rsidRPr="00CE537D">
        <w:rPr>
          <w:b/>
          <w:bCs/>
        </w:rPr>
        <w:lastRenderedPageBreak/>
        <w:t xml:space="preserve">Executive Summary: </w:t>
      </w:r>
    </w:p>
    <w:p w14:paraId="166011C1" w14:textId="572DE5CD" w:rsidR="001F7694" w:rsidRPr="00D12A2A" w:rsidRDefault="00D12A2A" w:rsidP="00CE537D">
      <w:r>
        <w:t xml:space="preserve">The current report will be assessing the financial position of The Seaview Resort. The hotel has been currently facing financial distress and it has experienced loss in the recently concluded financial year of 2022. In addition to this, the report will be providing the management of Seaview Resort with a turnaround strategy so that it can turn its </w:t>
      </w:r>
      <w:r w:rsidR="00CE537D">
        <w:t>loss-making</w:t>
      </w:r>
      <w:r>
        <w:t xml:space="preserve"> business into a profitable business. The report will be assessing the financial performance of the business by employing financial ratios. An analysis of income statement, balance sheet and cash flow statement will be performed as well. The management will be provided recommendation to overcome the risks that is involved in </w:t>
      </w:r>
      <w:r w:rsidR="00CE537D">
        <w:t xml:space="preserve">implementing a turnaround strategy. </w:t>
      </w:r>
      <w:r w:rsidR="001F7694">
        <w:br w:type="page"/>
      </w:r>
    </w:p>
    <w:sdt>
      <w:sdtPr>
        <w:rPr>
          <w:rFonts w:ascii="Times New Roman" w:eastAsiaTheme="minorHAnsi" w:hAnsi="Times New Roman" w:cstheme="minorBidi"/>
          <w:color w:val="auto"/>
          <w:sz w:val="24"/>
          <w:szCs w:val="22"/>
          <w:lang w:val="en-IN"/>
        </w:rPr>
        <w:id w:val="1717708474"/>
        <w:docPartObj>
          <w:docPartGallery w:val="Table of Contents"/>
          <w:docPartUnique/>
        </w:docPartObj>
      </w:sdtPr>
      <w:sdtEndPr>
        <w:rPr>
          <w:b/>
          <w:bCs/>
          <w:noProof/>
        </w:rPr>
      </w:sdtEndPr>
      <w:sdtContent>
        <w:p w14:paraId="6985682E" w14:textId="1CBE7338" w:rsidR="001F7694" w:rsidRPr="001F7694" w:rsidRDefault="001F7694" w:rsidP="001F7694">
          <w:pPr>
            <w:pStyle w:val="TOCHeading"/>
            <w:spacing w:line="480" w:lineRule="auto"/>
            <w:jc w:val="center"/>
            <w:rPr>
              <w:rFonts w:ascii="Times New Roman" w:hAnsi="Times New Roman" w:cs="Times New Roman"/>
              <w:b/>
              <w:bCs/>
              <w:color w:val="000000" w:themeColor="text1"/>
              <w:sz w:val="24"/>
              <w:szCs w:val="24"/>
            </w:rPr>
          </w:pPr>
          <w:r w:rsidRPr="001F7694">
            <w:rPr>
              <w:rFonts w:ascii="Times New Roman" w:hAnsi="Times New Roman" w:cs="Times New Roman"/>
              <w:b/>
              <w:bCs/>
              <w:color w:val="000000" w:themeColor="text1"/>
              <w:sz w:val="24"/>
              <w:szCs w:val="24"/>
            </w:rPr>
            <w:t>Table of Contents</w:t>
          </w:r>
        </w:p>
        <w:p w14:paraId="318917ED" w14:textId="22CF38EF" w:rsidR="001F7694" w:rsidRDefault="001F7694" w:rsidP="001F7694">
          <w:pPr>
            <w:pStyle w:val="TOC1"/>
            <w:tabs>
              <w:tab w:val="right" w:leader="dot" w:pos="9016"/>
            </w:tabs>
            <w:spacing w:line="360" w:lineRule="auto"/>
            <w:rPr>
              <w:noProof/>
            </w:rPr>
          </w:pPr>
          <w:r>
            <w:fldChar w:fldCharType="begin"/>
          </w:r>
          <w:r>
            <w:instrText xml:space="preserve"> TOC \o "1-3" \h \z \u </w:instrText>
          </w:r>
          <w:r>
            <w:fldChar w:fldCharType="separate"/>
          </w:r>
          <w:hyperlink w:anchor="_Toc150870925" w:history="1">
            <w:r w:rsidRPr="007D35DB">
              <w:rPr>
                <w:rStyle w:val="Hyperlink"/>
                <w:noProof/>
              </w:rPr>
              <w:t>Understand the purpose</w:t>
            </w:r>
            <w:r>
              <w:rPr>
                <w:noProof/>
                <w:webHidden/>
              </w:rPr>
              <w:tab/>
            </w:r>
            <w:r>
              <w:rPr>
                <w:noProof/>
                <w:webHidden/>
              </w:rPr>
              <w:fldChar w:fldCharType="begin"/>
            </w:r>
            <w:r>
              <w:rPr>
                <w:noProof/>
                <w:webHidden/>
              </w:rPr>
              <w:instrText xml:space="preserve"> PAGEREF _Toc150870925 \h </w:instrText>
            </w:r>
            <w:r>
              <w:rPr>
                <w:noProof/>
                <w:webHidden/>
              </w:rPr>
            </w:r>
            <w:r>
              <w:rPr>
                <w:noProof/>
                <w:webHidden/>
              </w:rPr>
              <w:fldChar w:fldCharType="separate"/>
            </w:r>
            <w:r w:rsidR="00CE537D">
              <w:rPr>
                <w:noProof/>
                <w:webHidden/>
              </w:rPr>
              <w:t>3</w:t>
            </w:r>
            <w:r>
              <w:rPr>
                <w:noProof/>
                <w:webHidden/>
              </w:rPr>
              <w:fldChar w:fldCharType="end"/>
            </w:r>
          </w:hyperlink>
        </w:p>
        <w:p w14:paraId="7367BA22" w14:textId="4A63903C" w:rsidR="001F7694" w:rsidRDefault="00000000" w:rsidP="001F7694">
          <w:pPr>
            <w:pStyle w:val="TOC1"/>
            <w:tabs>
              <w:tab w:val="right" w:leader="dot" w:pos="9016"/>
            </w:tabs>
            <w:spacing w:line="360" w:lineRule="auto"/>
            <w:rPr>
              <w:noProof/>
            </w:rPr>
          </w:pPr>
          <w:hyperlink w:anchor="_Toc150870926" w:history="1">
            <w:r w:rsidR="001F7694" w:rsidRPr="007D35DB">
              <w:rPr>
                <w:rStyle w:val="Hyperlink"/>
                <w:noProof/>
              </w:rPr>
              <w:t>Introduction:</w:t>
            </w:r>
            <w:r w:rsidR="001F7694">
              <w:rPr>
                <w:noProof/>
                <w:webHidden/>
              </w:rPr>
              <w:tab/>
            </w:r>
            <w:r w:rsidR="001F7694">
              <w:rPr>
                <w:noProof/>
                <w:webHidden/>
              </w:rPr>
              <w:fldChar w:fldCharType="begin"/>
            </w:r>
            <w:r w:rsidR="001F7694">
              <w:rPr>
                <w:noProof/>
                <w:webHidden/>
              </w:rPr>
              <w:instrText xml:space="preserve"> PAGEREF _Toc150870926 \h </w:instrText>
            </w:r>
            <w:r w:rsidR="001F7694">
              <w:rPr>
                <w:noProof/>
                <w:webHidden/>
              </w:rPr>
            </w:r>
            <w:r w:rsidR="001F7694">
              <w:rPr>
                <w:noProof/>
                <w:webHidden/>
              </w:rPr>
              <w:fldChar w:fldCharType="separate"/>
            </w:r>
            <w:r w:rsidR="00CE537D">
              <w:rPr>
                <w:noProof/>
                <w:webHidden/>
              </w:rPr>
              <w:t>3</w:t>
            </w:r>
            <w:r w:rsidR="001F7694">
              <w:rPr>
                <w:noProof/>
                <w:webHidden/>
              </w:rPr>
              <w:fldChar w:fldCharType="end"/>
            </w:r>
          </w:hyperlink>
        </w:p>
        <w:p w14:paraId="6D5C9ECA" w14:textId="0C9C7CD0" w:rsidR="001F7694" w:rsidRDefault="00000000" w:rsidP="001F7694">
          <w:pPr>
            <w:pStyle w:val="TOC1"/>
            <w:tabs>
              <w:tab w:val="right" w:leader="dot" w:pos="9016"/>
            </w:tabs>
            <w:spacing w:line="360" w:lineRule="auto"/>
            <w:rPr>
              <w:noProof/>
            </w:rPr>
          </w:pPr>
          <w:hyperlink w:anchor="_Toc150870927" w:history="1">
            <w:r w:rsidR="001F7694" w:rsidRPr="007D35DB">
              <w:rPr>
                <w:rStyle w:val="Hyperlink"/>
                <w:noProof/>
              </w:rPr>
              <w:t>Scope and Objectives:</w:t>
            </w:r>
            <w:r w:rsidR="001F7694">
              <w:rPr>
                <w:noProof/>
                <w:webHidden/>
              </w:rPr>
              <w:tab/>
            </w:r>
            <w:r w:rsidR="001F7694">
              <w:rPr>
                <w:noProof/>
                <w:webHidden/>
              </w:rPr>
              <w:fldChar w:fldCharType="begin"/>
            </w:r>
            <w:r w:rsidR="001F7694">
              <w:rPr>
                <w:noProof/>
                <w:webHidden/>
              </w:rPr>
              <w:instrText xml:space="preserve"> PAGEREF _Toc150870927 \h </w:instrText>
            </w:r>
            <w:r w:rsidR="001F7694">
              <w:rPr>
                <w:noProof/>
                <w:webHidden/>
              </w:rPr>
            </w:r>
            <w:r w:rsidR="001F7694">
              <w:rPr>
                <w:noProof/>
                <w:webHidden/>
              </w:rPr>
              <w:fldChar w:fldCharType="separate"/>
            </w:r>
            <w:r w:rsidR="00CE537D">
              <w:rPr>
                <w:noProof/>
                <w:webHidden/>
              </w:rPr>
              <w:t>3</w:t>
            </w:r>
            <w:r w:rsidR="001F7694">
              <w:rPr>
                <w:noProof/>
                <w:webHidden/>
              </w:rPr>
              <w:fldChar w:fldCharType="end"/>
            </w:r>
          </w:hyperlink>
        </w:p>
        <w:p w14:paraId="15448FB7" w14:textId="6E3FBEC9" w:rsidR="001F7694" w:rsidRDefault="00000000" w:rsidP="001F7694">
          <w:pPr>
            <w:pStyle w:val="TOC1"/>
            <w:tabs>
              <w:tab w:val="right" w:leader="dot" w:pos="9016"/>
            </w:tabs>
            <w:spacing w:line="360" w:lineRule="auto"/>
            <w:rPr>
              <w:noProof/>
            </w:rPr>
          </w:pPr>
          <w:hyperlink w:anchor="_Toc150870928" w:history="1">
            <w:r w:rsidR="001F7694" w:rsidRPr="007D35DB">
              <w:rPr>
                <w:rStyle w:val="Hyperlink"/>
                <w:noProof/>
              </w:rPr>
              <w:t>Financial Analysis:</w:t>
            </w:r>
            <w:r w:rsidR="001F7694">
              <w:rPr>
                <w:noProof/>
                <w:webHidden/>
              </w:rPr>
              <w:tab/>
            </w:r>
            <w:r w:rsidR="001F7694">
              <w:rPr>
                <w:noProof/>
                <w:webHidden/>
              </w:rPr>
              <w:fldChar w:fldCharType="begin"/>
            </w:r>
            <w:r w:rsidR="001F7694">
              <w:rPr>
                <w:noProof/>
                <w:webHidden/>
              </w:rPr>
              <w:instrText xml:space="preserve"> PAGEREF _Toc150870928 \h </w:instrText>
            </w:r>
            <w:r w:rsidR="001F7694">
              <w:rPr>
                <w:noProof/>
                <w:webHidden/>
              </w:rPr>
            </w:r>
            <w:r w:rsidR="001F7694">
              <w:rPr>
                <w:noProof/>
                <w:webHidden/>
              </w:rPr>
              <w:fldChar w:fldCharType="separate"/>
            </w:r>
            <w:r w:rsidR="00CE537D">
              <w:rPr>
                <w:noProof/>
                <w:webHidden/>
              </w:rPr>
              <w:t>4</w:t>
            </w:r>
            <w:r w:rsidR="001F7694">
              <w:rPr>
                <w:noProof/>
                <w:webHidden/>
              </w:rPr>
              <w:fldChar w:fldCharType="end"/>
            </w:r>
          </w:hyperlink>
        </w:p>
        <w:p w14:paraId="024A1B5A" w14:textId="41C88C29" w:rsidR="001F7694" w:rsidRDefault="00000000" w:rsidP="001F7694">
          <w:pPr>
            <w:pStyle w:val="TOC2"/>
            <w:tabs>
              <w:tab w:val="right" w:leader="dot" w:pos="9016"/>
            </w:tabs>
            <w:spacing w:line="360" w:lineRule="auto"/>
            <w:rPr>
              <w:noProof/>
            </w:rPr>
          </w:pPr>
          <w:hyperlink w:anchor="_Toc150870929" w:history="1">
            <w:r w:rsidR="001F7694" w:rsidRPr="007D35DB">
              <w:rPr>
                <w:rStyle w:val="Hyperlink"/>
                <w:noProof/>
              </w:rPr>
              <w:t>Income Statement Analysis:</w:t>
            </w:r>
            <w:r w:rsidR="001F7694">
              <w:rPr>
                <w:noProof/>
                <w:webHidden/>
              </w:rPr>
              <w:tab/>
            </w:r>
            <w:r w:rsidR="001F7694">
              <w:rPr>
                <w:noProof/>
                <w:webHidden/>
              </w:rPr>
              <w:fldChar w:fldCharType="begin"/>
            </w:r>
            <w:r w:rsidR="001F7694">
              <w:rPr>
                <w:noProof/>
                <w:webHidden/>
              </w:rPr>
              <w:instrText xml:space="preserve"> PAGEREF _Toc150870929 \h </w:instrText>
            </w:r>
            <w:r w:rsidR="001F7694">
              <w:rPr>
                <w:noProof/>
                <w:webHidden/>
              </w:rPr>
            </w:r>
            <w:r w:rsidR="001F7694">
              <w:rPr>
                <w:noProof/>
                <w:webHidden/>
              </w:rPr>
              <w:fldChar w:fldCharType="separate"/>
            </w:r>
            <w:r w:rsidR="00CE537D">
              <w:rPr>
                <w:noProof/>
                <w:webHidden/>
              </w:rPr>
              <w:t>4</w:t>
            </w:r>
            <w:r w:rsidR="001F7694">
              <w:rPr>
                <w:noProof/>
                <w:webHidden/>
              </w:rPr>
              <w:fldChar w:fldCharType="end"/>
            </w:r>
          </w:hyperlink>
        </w:p>
        <w:p w14:paraId="70080430" w14:textId="6D2209A1" w:rsidR="001F7694" w:rsidRDefault="00000000" w:rsidP="001F7694">
          <w:pPr>
            <w:pStyle w:val="TOC2"/>
            <w:tabs>
              <w:tab w:val="right" w:leader="dot" w:pos="9016"/>
            </w:tabs>
            <w:spacing w:line="360" w:lineRule="auto"/>
            <w:rPr>
              <w:noProof/>
            </w:rPr>
          </w:pPr>
          <w:hyperlink w:anchor="_Toc150870930" w:history="1">
            <w:r w:rsidR="001F7694" w:rsidRPr="007D35DB">
              <w:rPr>
                <w:rStyle w:val="Hyperlink"/>
                <w:noProof/>
              </w:rPr>
              <w:t>Balance Sheet Analysis:</w:t>
            </w:r>
            <w:r w:rsidR="001F7694">
              <w:rPr>
                <w:noProof/>
                <w:webHidden/>
              </w:rPr>
              <w:tab/>
            </w:r>
            <w:r w:rsidR="001F7694">
              <w:rPr>
                <w:noProof/>
                <w:webHidden/>
              </w:rPr>
              <w:fldChar w:fldCharType="begin"/>
            </w:r>
            <w:r w:rsidR="001F7694">
              <w:rPr>
                <w:noProof/>
                <w:webHidden/>
              </w:rPr>
              <w:instrText xml:space="preserve"> PAGEREF _Toc150870930 \h </w:instrText>
            </w:r>
            <w:r w:rsidR="001F7694">
              <w:rPr>
                <w:noProof/>
                <w:webHidden/>
              </w:rPr>
            </w:r>
            <w:r w:rsidR="001F7694">
              <w:rPr>
                <w:noProof/>
                <w:webHidden/>
              </w:rPr>
              <w:fldChar w:fldCharType="separate"/>
            </w:r>
            <w:r w:rsidR="00CE537D">
              <w:rPr>
                <w:noProof/>
                <w:webHidden/>
              </w:rPr>
              <w:t>5</w:t>
            </w:r>
            <w:r w:rsidR="001F7694">
              <w:rPr>
                <w:noProof/>
                <w:webHidden/>
              </w:rPr>
              <w:fldChar w:fldCharType="end"/>
            </w:r>
          </w:hyperlink>
        </w:p>
        <w:p w14:paraId="7E95A3FD" w14:textId="002CBB5D" w:rsidR="001F7694" w:rsidRDefault="00000000" w:rsidP="001F7694">
          <w:pPr>
            <w:pStyle w:val="TOC2"/>
            <w:tabs>
              <w:tab w:val="right" w:leader="dot" w:pos="9016"/>
            </w:tabs>
            <w:spacing w:line="360" w:lineRule="auto"/>
            <w:rPr>
              <w:noProof/>
            </w:rPr>
          </w:pPr>
          <w:hyperlink w:anchor="_Toc150870931" w:history="1">
            <w:r w:rsidR="001F7694" w:rsidRPr="007D35DB">
              <w:rPr>
                <w:rStyle w:val="Hyperlink"/>
                <w:noProof/>
              </w:rPr>
              <w:t>Cash Flow Analysis:</w:t>
            </w:r>
            <w:r w:rsidR="001F7694">
              <w:rPr>
                <w:noProof/>
                <w:webHidden/>
              </w:rPr>
              <w:tab/>
            </w:r>
            <w:r w:rsidR="001F7694">
              <w:rPr>
                <w:noProof/>
                <w:webHidden/>
              </w:rPr>
              <w:fldChar w:fldCharType="begin"/>
            </w:r>
            <w:r w:rsidR="001F7694">
              <w:rPr>
                <w:noProof/>
                <w:webHidden/>
              </w:rPr>
              <w:instrText xml:space="preserve"> PAGEREF _Toc150870931 \h </w:instrText>
            </w:r>
            <w:r w:rsidR="001F7694">
              <w:rPr>
                <w:noProof/>
                <w:webHidden/>
              </w:rPr>
            </w:r>
            <w:r w:rsidR="001F7694">
              <w:rPr>
                <w:noProof/>
                <w:webHidden/>
              </w:rPr>
              <w:fldChar w:fldCharType="separate"/>
            </w:r>
            <w:r w:rsidR="00CE537D">
              <w:rPr>
                <w:noProof/>
                <w:webHidden/>
              </w:rPr>
              <w:t>6</w:t>
            </w:r>
            <w:r w:rsidR="001F7694">
              <w:rPr>
                <w:noProof/>
                <w:webHidden/>
              </w:rPr>
              <w:fldChar w:fldCharType="end"/>
            </w:r>
          </w:hyperlink>
        </w:p>
        <w:p w14:paraId="4DC13019" w14:textId="13412741" w:rsidR="001F7694" w:rsidRDefault="00000000" w:rsidP="001F7694">
          <w:pPr>
            <w:pStyle w:val="TOC2"/>
            <w:tabs>
              <w:tab w:val="right" w:leader="dot" w:pos="9016"/>
            </w:tabs>
            <w:spacing w:line="360" w:lineRule="auto"/>
            <w:rPr>
              <w:noProof/>
            </w:rPr>
          </w:pPr>
          <w:hyperlink w:anchor="_Toc150870932" w:history="1">
            <w:r w:rsidR="001F7694" w:rsidRPr="007D35DB">
              <w:rPr>
                <w:rStyle w:val="Hyperlink"/>
                <w:noProof/>
              </w:rPr>
              <w:t>Key Financial Ratios:</w:t>
            </w:r>
            <w:r w:rsidR="001F7694">
              <w:rPr>
                <w:noProof/>
                <w:webHidden/>
              </w:rPr>
              <w:tab/>
            </w:r>
            <w:r w:rsidR="001F7694">
              <w:rPr>
                <w:noProof/>
                <w:webHidden/>
              </w:rPr>
              <w:fldChar w:fldCharType="begin"/>
            </w:r>
            <w:r w:rsidR="001F7694">
              <w:rPr>
                <w:noProof/>
                <w:webHidden/>
              </w:rPr>
              <w:instrText xml:space="preserve"> PAGEREF _Toc150870932 \h </w:instrText>
            </w:r>
            <w:r w:rsidR="001F7694">
              <w:rPr>
                <w:noProof/>
                <w:webHidden/>
              </w:rPr>
            </w:r>
            <w:r w:rsidR="001F7694">
              <w:rPr>
                <w:noProof/>
                <w:webHidden/>
              </w:rPr>
              <w:fldChar w:fldCharType="separate"/>
            </w:r>
            <w:r w:rsidR="00CE537D">
              <w:rPr>
                <w:noProof/>
                <w:webHidden/>
              </w:rPr>
              <w:t>6</w:t>
            </w:r>
            <w:r w:rsidR="001F7694">
              <w:rPr>
                <w:noProof/>
                <w:webHidden/>
              </w:rPr>
              <w:fldChar w:fldCharType="end"/>
            </w:r>
          </w:hyperlink>
        </w:p>
        <w:p w14:paraId="075F0D6C" w14:textId="17C4D1F8" w:rsidR="001F7694" w:rsidRDefault="00000000" w:rsidP="001F7694">
          <w:pPr>
            <w:pStyle w:val="TOC1"/>
            <w:tabs>
              <w:tab w:val="right" w:leader="dot" w:pos="9016"/>
            </w:tabs>
            <w:spacing w:line="360" w:lineRule="auto"/>
            <w:rPr>
              <w:noProof/>
            </w:rPr>
          </w:pPr>
          <w:hyperlink w:anchor="_Toc150870933" w:history="1">
            <w:r w:rsidR="001F7694" w:rsidRPr="007D35DB">
              <w:rPr>
                <w:rStyle w:val="Hyperlink"/>
                <w:noProof/>
              </w:rPr>
              <w:t>SWOT Analysis:</w:t>
            </w:r>
            <w:r w:rsidR="001F7694">
              <w:rPr>
                <w:noProof/>
                <w:webHidden/>
              </w:rPr>
              <w:tab/>
            </w:r>
            <w:r w:rsidR="001F7694">
              <w:rPr>
                <w:noProof/>
                <w:webHidden/>
              </w:rPr>
              <w:fldChar w:fldCharType="begin"/>
            </w:r>
            <w:r w:rsidR="001F7694">
              <w:rPr>
                <w:noProof/>
                <w:webHidden/>
              </w:rPr>
              <w:instrText xml:space="preserve"> PAGEREF _Toc150870933 \h </w:instrText>
            </w:r>
            <w:r w:rsidR="001F7694">
              <w:rPr>
                <w:noProof/>
                <w:webHidden/>
              </w:rPr>
            </w:r>
            <w:r w:rsidR="001F7694">
              <w:rPr>
                <w:noProof/>
                <w:webHidden/>
              </w:rPr>
              <w:fldChar w:fldCharType="separate"/>
            </w:r>
            <w:r w:rsidR="00CE537D">
              <w:rPr>
                <w:noProof/>
                <w:webHidden/>
              </w:rPr>
              <w:t>8</w:t>
            </w:r>
            <w:r w:rsidR="001F7694">
              <w:rPr>
                <w:noProof/>
                <w:webHidden/>
              </w:rPr>
              <w:fldChar w:fldCharType="end"/>
            </w:r>
          </w:hyperlink>
        </w:p>
        <w:p w14:paraId="64928FA5" w14:textId="4D558D02" w:rsidR="001F7694" w:rsidRDefault="00000000" w:rsidP="001F7694">
          <w:pPr>
            <w:pStyle w:val="TOC1"/>
            <w:tabs>
              <w:tab w:val="right" w:leader="dot" w:pos="9016"/>
            </w:tabs>
            <w:spacing w:line="360" w:lineRule="auto"/>
            <w:rPr>
              <w:noProof/>
            </w:rPr>
          </w:pPr>
          <w:hyperlink w:anchor="_Toc150870934" w:history="1">
            <w:r w:rsidR="001F7694" w:rsidRPr="007D35DB">
              <w:rPr>
                <w:rStyle w:val="Hyperlink"/>
                <w:noProof/>
              </w:rPr>
              <w:t>Market Analysis:</w:t>
            </w:r>
            <w:r w:rsidR="001F7694">
              <w:rPr>
                <w:noProof/>
                <w:webHidden/>
              </w:rPr>
              <w:tab/>
            </w:r>
            <w:r w:rsidR="001F7694">
              <w:rPr>
                <w:noProof/>
                <w:webHidden/>
              </w:rPr>
              <w:fldChar w:fldCharType="begin"/>
            </w:r>
            <w:r w:rsidR="001F7694">
              <w:rPr>
                <w:noProof/>
                <w:webHidden/>
              </w:rPr>
              <w:instrText xml:space="preserve"> PAGEREF _Toc150870934 \h </w:instrText>
            </w:r>
            <w:r w:rsidR="001F7694">
              <w:rPr>
                <w:noProof/>
                <w:webHidden/>
              </w:rPr>
            </w:r>
            <w:r w:rsidR="001F7694">
              <w:rPr>
                <w:noProof/>
                <w:webHidden/>
              </w:rPr>
              <w:fldChar w:fldCharType="separate"/>
            </w:r>
            <w:r w:rsidR="00CE537D">
              <w:rPr>
                <w:noProof/>
                <w:webHidden/>
              </w:rPr>
              <w:t>9</w:t>
            </w:r>
            <w:r w:rsidR="001F7694">
              <w:rPr>
                <w:noProof/>
                <w:webHidden/>
              </w:rPr>
              <w:fldChar w:fldCharType="end"/>
            </w:r>
          </w:hyperlink>
        </w:p>
        <w:p w14:paraId="659D9B9C" w14:textId="76E34E92" w:rsidR="001F7694" w:rsidRDefault="00000000" w:rsidP="001F7694">
          <w:pPr>
            <w:pStyle w:val="TOC1"/>
            <w:tabs>
              <w:tab w:val="right" w:leader="dot" w:pos="9016"/>
            </w:tabs>
            <w:spacing w:line="360" w:lineRule="auto"/>
            <w:rPr>
              <w:noProof/>
            </w:rPr>
          </w:pPr>
          <w:hyperlink w:anchor="_Toc150870935" w:history="1">
            <w:r w:rsidR="001F7694" w:rsidRPr="007D35DB">
              <w:rPr>
                <w:rStyle w:val="Hyperlink"/>
                <w:noProof/>
              </w:rPr>
              <w:t>Turnaround strategy:</w:t>
            </w:r>
            <w:r w:rsidR="001F7694">
              <w:rPr>
                <w:noProof/>
                <w:webHidden/>
              </w:rPr>
              <w:tab/>
            </w:r>
            <w:r w:rsidR="001F7694">
              <w:rPr>
                <w:noProof/>
                <w:webHidden/>
              </w:rPr>
              <w:fldChar w:fldCharType="begin"/>
            </w:r>
            <w:r w:rsidR="001F7694">
              <w:rPr>
                <w:noProof/>
                <w:webHidden/>
              </w:rPr>
              <w:instrText xml:space="preserve"> PAGEREF _Toc150870935 \h </w:instrText>
            </w:r>
            <w:r w:rsidR="001F7694">
              <w:rPr>
                <w:noProof/>
                <w:webHidden/>
              </w:rPr>
            </w:r>
            <w:r w:rsidR="001F7694">
              <w:rPr>
                <w:noProof/>
                <w:webHidden/>
              </w:rPr>
              <w:fldChar w:fldCharType="separate"/>
            </w:r>
            <w:r w:rsidR="00CE537D">
              <w:rPr>
                <w:noProof/>
                <w:webHidden/>
              </w:rPr>
              <w:t>10</w:t>
            </w:r>
            <w:r w:rsidR="001F7694">
              <w:rPr>
                <w:noProof/>
                <w:webHidden/>
              </w:rPr>
              <w:fldChar w:fldCharType="end"/>
            </w:r>
          </w:hyperlink>
        </w:p>
        <w:p w14:paraId="6A679460" w14:textId="7B7042B8" w:rsidR="001F7694" w:rsidRDefault="00000000" w:rsidP="001F7694">
          <w:pPr>
            <w:pStyle w:val="TOC1"/>
            <w:tabs>
              <w:tab w:val="right" w:leader="dot" w:pos="9016"/>
            </w:tabs>
            <w:spacing w:line="360" w:lineRule="auto"/>
            <w:rPr>
              <w:noProof/>
            </w:rPr>
          </w:pPr>
          <w:hyperlink w:anchor="_Toc150870936" w:history="1">
            <w:r w:rsidR="001F7694" w:rsidRPr="007D35DB">
              <w:rPr>
                <w:rStyle w:val="Hyperlink"/>
                <w:noProof/>
              </w:rPr>
              <w:t>Financial Projections</w:t>
            </w:r>
            <w:r w:rsidR="001F7694">
              <w:rPr>
                <w:noProof/>
                <w:webHidden/>
              </w:rPr>
              <w:tab/>
            </w:r>
            <w:r w:rsidR="001F7694">
              <w:rPr>
                <w:noProof/>
                <w:webHidden/>
              </w:rPr>
              <w:fldChar w:fldCharType="begin"/>
            </w:r>
            <w:r w:rsidR="001F7694">
              <w:rPr>
                <w:noProof/>
                <w:webHidden/>
              </w:rPr>
              <w:instrText xml:space="preserve"> PAGEREF _Toc150870936 \h </w:instrText>
            </w:r>
            <w:r w:rsidR="001F7694">
              <w:rPr>
                <w:noProof/>
                <w:webHidden/>
              </w:rPr>
            </w:r>
            <w:r w:rsidR="001F7694">
              <w:rPr>
                <w:noProof/>
                <w:webHidden/>
              </w:rPr>
              <w:fldChar w:fldCharType="separate"/>
            </w:r>
            <w:r w:rsidR="00CE537D">
              <w:rPr>
                <w:noProof/>
                <w:webHidden/>
              </w:rPr>
              <w:t>11</w:t>
            </w:r>
            <w:r w:rsidR="001F7694">
              <w:rPr>
                <w:noProof/>
                <w:webHidden/>
              </w:rPr>
              <w:fldChar w:fldCharType="end"/>
            </w:r>
          </w:hyperlink>
        </w:p>
        <w:p w14:paraId="22B40583" w14:textId="09FFE5BA" w:rsidR="001F7694" w:rsidRDefault="00000000" w:rsidP="001F7694">
          <w:pPr>
            <w:pStyle w:val="TOC2"/>
            <w:tabs>
              <w:tab w:val="right" w:leader="dot" w:pos="9016"/>
            </w:tabs>
            <w:spacing w:line="360" w:lineRule="auto"/>
            <w:rPr>
              <w:noProof/>
            </w:rPr>
          </w:pPr>
          <w:hyperlink w:anchor="_Toc150870937" w:history="1">
            <w:r w:rsidR="001F7694" w:rsidRPr="007D35DB">
              <w:rPr>
                <w:rStyle w:val="Hyperlink"/>
                <w:noProof/>
              </w:rPr>
              <w:t>Profit and Loss Statement:</w:t>
            </w:r>
            <w:r w:rsidR="001F7694">
              <w:rPr>
                <w:noProof/>
                <w:webHidden/>
              </w:rPr>
              <w:tab/>
            </w:r>
            <w:r w:rsidR="001F7694">
              <w:rPr>
                <w:noProof/>
                <w:webHidden/>
              </w:rPr>
              <w:fldChar w:fldCharType="begin"/>
            </w:r>
            <w:r w:rsidR="001F7694">
              <w:rPr>
                <w:noProof/>
                <w:webHidden/>
              </w:rPr>
              <w:instrText xml:space="preserve"> PAGEREF _Toc150870937 \h </w:instrText>
            </w:r>
            <w:r w:rsidR="001F7694">
              <w:rPr>
                <w:noProof/>
                <w:webHidden/>
              </w:rPr>
            </w:r>
            <w:r w:rsidR="001F7694">
              <w:rPr>
                <w:noProof/>
                <w:webHidden/>
              </w:rPr>
              <w:fldChar w:fldCharType="separate"/>
            </w:r>
            <w:r w:rsidR="00CE537D">
              <w:rPr>
                <w:noProof/>
                <w:webHidden/>
              </w:rPr>
              <w:t>11</w:t>
            </w:r>
            <w:r w:rsidR="001F7694">
              <w:rPr>
                <w:noProof/>
                <w:webHidden/>
              </w:rPr>
              <w:fldChar w:fldCharType="end"/>
            </w:r>
          </w:hyperlink>
        </w:p>
        <w:p w14:paraId="6F4435DF" w14:textId="1EBC7BFE" w:rsidR="001F7694" w:rsidRDefault="00000000" w:rsidP="001F7694">
          <w:pPr>
            <w:pStyle w:val="TOC2"/>
            <w:tabs>
              <w:tab w:val="right" w:leader="dot" w:pos="9016"/>
            </w:tabs>
            <w:spacing w:line="360" w:lineRule="auto"/>
            <w:rPr>
              <w:noProof/>
            </w:rPr>
          </w:pPr>
          <w:hyperlink w:anchor="_Toc150870938" w:history="1">
            <w:r w:rsidR="001F7694" w:rsidRPr="007D35DB">
              <w:rPr>
                <w:rStyle w:val="Hyperlink"/>
                <w:noProof/>
              </w:rPr>
              <w:t>Cash Flow Statement</w:t>
            </w:r>
            <w:r w:rsidR="001F7694">
              <w:rPr>
                <w:noProof/>
                <w:webHidden/>
              </w:rPr>
              <w:tab/>
            </w:r>
            <w:r w:rsidR="001F7694">
              <w:rPr>
                <w:noProof/>
                <w:webHidden/>
              </w:rPr>
              <w:fldChar w:fldCharType="begin"/>
            </w:r>
            <w:r w:rsidR="001F7694">
              <w:rPr>
                <w:noProof/>
                <w:webHidden/>
              </w:rPr>
              <w:instrText xml:space="preserve"> PAGEREF _Toc150870938 \h </w:instrText>
            </w:r>
            <w:r w:rsidR="001F7694">
              <w:rPr>
                <w:noProof/>
                <w:webHidden/>
              </w:rPr>
            </w:r>
            <w:r w:rsidR="001F7694">
              <w:rPr>
                <w:noProof/>
                <w:webHidden/>
              </w:rPr>
              <w:fldChar w:fldCharType="separate"/>
            </w:r>
            <w:r w:rsidR="00CE537D">
              <w:rPr>
                <w:noProof/>
                <w:webHidden/>
              </w:rPr>
              <w:t>12</w:t>
            </w:r>
            <w:r w:rsidR="001F7694">
              <w:rPr>
                <w:noProof/>
                <w:webHidden/>
              </w:rPr>
              <w:fldChar w:fldCharType="end"/>
            </w:r>
          </w:hyperlink>
        </w:p>
        <w:p w14:paraId="26D3B090" w14:textId="14D65039" w:rsidR="001F7694" w:rsidRDefault="00000000" w:rsidP="001F7694">
          <w:pPr>
            <w:pStyle w:val="TOC2"/>
            <w:tabs>
              <w:tab w:val="right" w:leader="dot" w:pos="9016"/>
            </w:tabs>
            <w:spacing w:line="360" w:lineRule="auto"/>
            <w:rPr>
              <w:noProof/>
            </w:rPr>
          </w:pPr>
          <w:hyperlink w:anchor="_Toc150870939" w:history="1">
            <w:r w:rsidR="001F7694" w:rsidRPr="007D35DB">
              <w:rPr>
                <w:rStyle w:val="Hyperlink"/>
                <w:noProof/>
              </w:rPr>
              <w:t>Balance Sheet:</w:t>
            </w:r>
            <w:r w:rsidR="001F7694">
              <w:rPr>
                <w:noProof/>
                <w:webHidden/>
              </w:rPr>
              <w:tab/>
            </w:r>
            <w:r w:rsidR="001F7694">
              <w:rPr>
                <w:noProof/>
                <w:webHidden/>
              </w:rPr>
              <w:fldChar w:fldCharType="begin"/>
            </w:r>
            <w:r w:rsidR="001F7694">
              <w:rPr>
                <w:noProof/>
                <w:webHidden/>
              </w:rPr>
              <w:instrText xml:space="preserve"> PAGEREF _Toc150870939 \h </w:instrText>
            </w:r>
            <w:r w:rsidR="001F7694">
              <w:rPr>
                <w:noProof/>
                <w:webHidden/>
              </w:rPr>
            </w:r>
            <w:r w:rsidR="001F7694">
              <w:rPr>
                <w:noProof/>
                <w:webHidden/>
              </w:rPr>
              <w:fldChar w:fldCharType="separate"/>
            </w:r>
            <w:r w:rsidR="00CE537D">
              <w:rPr>
                <w:noProof/>
                <w:webHidden/>
              </w:rPr>
              <w:t>13</w:t>
            </w:r>
            <w:r w:rsidR="001F7694">
              <w:rPr>
                <w:noProof/>
                <w:webHidden/>
              </w:rPr>
              <w:fldChar w:fldCharType="end"/>
            </w:r>
          </w:hyperlink>
        </w:p>
        <w:p w14:paraId="2229443A" w14:textId="625C2451" w:rsidR="001F7694" w:rsidRDefault="00000000" w:rsidP="001F7694">
          <w:pPr>
            <w:pStyle w:val="TOC1"/>
            <w:tabs>
              <w:tab w:val="right" w:leader="dot" w:pos="9016"/>
            </w:tabs>
            <w:spacing w:line="360" w:lineRule="auto"/>
            <w:rPr>
              <w:noProof/>
            </w:rPr>
          </w:pPr>
          <w:hyperlink w:anchor="_Toc150870940" w:history="1">
            <w:r w:rsidR="001F7694" w:rsidRPr="007D35DB">
              <w:rPr>
                <w:rStyle w:val="Hyperlink"/>
                <w:noProof/>
              </w:rPr>
              <w:t>Risk Assessments:</w:t>
            </w:r>
            <w:r w:rsidR="001F7694">
              <w:rPr>
                <w:noProof/>
                <w:webHidden/>
              </w:rPr>
              <w:tab/>
            </w:r>
            <w:r w:rsidR="001F7694">
              <w:rPr>
                <w:noProof/>
                <w:webHidden/>
              </w:rPr>
              <w:fldChar w:fldCharType="begin"/>
            </w:r>
            <w:r w:rsidR="001F7694">
              <w:rPr>
                <w:noProof/>
                <w:webHidden/>
              </w:rPr>
              <w:instrText xml:space="preserve"> PAGEREF _Toc150870940 \h </w:instrText>
            </w:r>
            <w:r w:rsidR="001F7694">
              <w:rPr>
                <w:noProof/>
                <w:webHidden/>
              </w:rPr>
            </w:r>
            <w:r w:rsidR="001F7694">
              <w:rPr>
                <w:noProof/>
                <w:webHidden/>
              </w:rPr>
              <w:fldChar w:fldCharType="separate"/>
            </w:r>
            <w:r w:rsidR="00CE537D">
              <w:rPr>
                <w:noProof/>
                <w:webHidden/>
              </w:rPr>
              <w:t>14</w:t>
            </w:r>
            <w:r w:rsidR="001F7694">
              <w:rPr>
                <w:noProof/>
                <w:webHidden/>
              </w:rPr>
              <w:fldChar w:fldCharType="end"/>
            </w:r>
          </w:hyperlink>
        </w:p>
        <w:p w14:paraId="242B3C97" w14:textId="4817D32F" w:rsidR="001F7694" w:rsidRDefault="00000000" w:rsidP="001F7694">
          <w:pPr>
            <w:pStyle w:val="TOC1"/>
            <w:tabs>
              <w:tab w:val="right" w:leader="dot" w:pos="9016"/>
            </w:tabs>
            <w:spacing w:line="360" w:lineRule="auto"/>
            <w:rPr>
              <w:noProof/>
            </w:rPr>
          </w:pPr>
          <w:hyperlink w:anchor="_Toc150870941" w:history="1">
            <w:r w:rsidR="001F7694" w:rsidRPr="007D35DB">
              <w:rPr>
                <w:rStyle w:val="Hyperlink"/>
                <w:noProof/>
              </w:rPr>
              <w:t>Conclusion:</w:t>
            </w:r>
            <w:r w:rsidR="001F7694">
              <w:rPr>
                <w:noProof/>
                <w:webHidden/>
              </w:rPr>
              <w:tab/>
            </w:r>
            <w:r w:rsidR="001F7694">
              <w:rPr>
                <w:noProof/>
                <w:webHidden/>
              </w:rPr>
              <w:fldChar w:fldCharType="begin"/>
            </w:r>
            <w:r w:rsidR="001F7694">
              <w:rPr>
                <w:noProof/>
                <w:webHidden/>
              </w:rPr>
              <w:instrText xml:space="preserve"> PAGEREF _Toc150870941 \h </w:instrText>
            </w:r>
            <w:r w:rsidR="001F7694">
              <w:rPr>
                <w:noProof/>
                <w:webHidden/>
              </w:rPr>
            </w:r>
            <w:r w:rsidR="001F7694">
              <w:rPr>
                <w:noProof/>
                <w:webHidden/>
              </w:rPr>
              <w:fldChar w:fldCharType="separate"/>
            </w:r>
            <w:r w:rsidR="00CE537D">
              <w:rPr>
                <w:noProof/>
                <w:webHidden/>
              </w:rPr>
              <w:t>15</w:t>
            </w:r>
            <w:r w:rsidR="001F7694">
              <w:rPr>
                <w:noProof/>
                <w:webHidden/>
              </w:rPr>
              <w:fldChar w:fldCharType="end"/>
            </w:r>
          </w:hyperlink>
        </w:p>
        <w:p w14:paraId="29C02654" w14:textId="0144FE23" w:rsidR="001F7694" w:rsidRDefault="00000000" w:rsidP="001F7694">
          <w:pPr>
            <w:pStyle w:val="TOC1"/>
            <w:tabs>
              <w:tab w:val="right" w:leader="dot" w:pos="9016"/>
            </w:tabs>
            <w:spacing w:line="360" w:lineRule="auto"/>
            <w:rPr>
              <w:noProof/>
            </w:rPr>
          </w:pPr>
          <w:hyperlink w:anchor="_Toc150870942" w:history="1">
            <w:r w:rsidR="001F7694" w:rsidRPr="007D35DB">
              <w:rPr>
                <w:rStyle w:val="Hyperlink"/>
                <w:noProof/>
              </w:rPr>
              <w:t>Recommendations:</w:t>
            </w:r>
            <w:r w:rsidR="001F7694">
              <w:rPr>
                <w:noProof/>
                <w:webHidden/>
              </w:rPr>
              <w:tab/>
            </w:r>
            <w:r w:rsidR="001F7694">
              <w:rPr>
                <w:noProof/>
                <w:webHidden/>
              </w:rPr>
              <w:fldChar w:fldCharType="begin"/>
            </w:r>
            <w:r w:rsidR="001F7694">
              <w:rPr>
                <w:noProof/>
                <w:webHidden/>
              </w:rPr>
              <w:instrText xml:space="preserve"> PAGEREF _Toc150870942 \h </w:instrText>
            </w:r>
            <w:r w:rsidR="001F7694">
              <w:rPr>
                <w:noProof/>
                <w:webHidden/>
              </w:rPr>
            </w:r>
            <w:r w:rsidR="001F7694">
              <w:rPr>
                <w:noProof/>
                <w:webHidden/>
              </w:rPr>
              <w:fldChar w:fldCharType="separate"/>
            </w:r>
            <w:r w:rsidR="00CE537D">
              <w:rPr>
                <w:noProof/>
                <w:webHidden/>
              </w:rPr>
              <w:t>15</w:t>
            </w:r>
            <w:r w:rsidR="001F7694">
              <w:rPr>
                <w:noProof/>
                <w:webHidden/>
              </w:rPr>
              <w:fldChar w:fldCharType="end"/>
            </w:r>
          </w:hyperlink>
        </w:p>
        <w:p w14:paraId="4B8B2434" w14:textId="0908DA91" w:rsidR="001F7694" w:rsidRDefault="00000000" w:rsidP="001F7694">
          <w:pPr>
            <w:pStyle w:val="TOC1"/>
            <w:tabs>
              <w:tab w:val="right" w:leader="dot" w:pos="9016"/>
            </w:tabs>
            <w:spacing w:line="360" w:lineRule="auto"/>
            <w:rPr>
              <w:noProof/>
            </w:rPr>
          </w:pPr>
          <w:hyperlink w:anchor="_Toc150870943" w:history="1">
            <w:r w:rsidR="001F7694" w:rsidRPr="007D35DB">
              <w:rPr>
                <w:rStyle w:val="Hyperlink"/>
                <w:noProof/>
              </w:rPr>
              <w:t>References:</w:t>
            </w:r>
            <w:r w:rsidR="001F7694">
              <w:rPr>
                <w:noProof/>
                <w:webHidden/>
              </w:rPr>
              <w:tab/>
            </w:r>
            <w:r w:rsidR="001F7694">
              <w:rPr>
                <w:noProof/>
                <w:webHidden/>
              </w:rPr>
              <w:fldChar w:fldCharType="begin"/>
            </w:r>
            <w:r w:rsidR="001F7694">
              <w:rPr>
                <w:noProof/>
                <w:webHidden/>
              </w:rPr>
              <w:instrText xml:space="preserve"> PAGEREF _Toc150870943 \h </w:instrText>
            </w:r>
            <w:r w:rsidR="001F7694">
              <w:rPr>
                <w:noProof/>
                <w:webHidden/>
              </w:rPr>
            </w:r>
            <w:r w:rsidR="001F7694">
              <w:rPr>
                <w:noProof/>
                <w:webHidden/>
              </w:rPr>
              <w:fldChar w:fldCharType="separate"/>
            </w:r>
            <w:r w:rsidR="00CE537D">
              <w:rPr>
                <w:noProof/>
                <w:webHidden/>
              </w:rPr>
              <w:t>16</w:t>
            </w:r>
            <w:r w:rsidR="001F7694">
              <w:rPr>
                <w:noProof/>
                <w:webHidden/>
              </w:rPr>
              <w:fldChar w:fldCharType="end"/>
            </w:r>
          </w:hyperlink>
        </w:p>
        <w:p w14:paraId="33F8C7DE" w14:textId="5A88A16F" w:rsidR="001F7694" w:rsidRDefault="00000000" w:rsidP="001F7694">
          <w:pPr>
            <w:pStyle w:val="TOC1"/>
            <w:tabs>
              <w:tab w:val="right" w:leader="dot" w:pos="9016"/>
            </w:tabs>
            <w:spacing w:line="360" w:lineRule="auto"/>
            <w:rPr>
              <w:noProof/>
            </w:rPr>
          </w:pPr>
          <w:hyperlink w:anchor="_Toc150870944" w:history="1">
            <w:r w:rsidR="001F7694" w:rsidRPr="007D35DB">
              <w:rPr>
                <w:rStyle w:val="Hyperlink"/>
                <w:noProof/>
              </w:rPr>
              <w:t>Appendix:</w:t>
            </w:r>
            <w:r w:rsidR="001F7694">
              <w:rPr>
                <w:noProof/>
                <w:webHidden/>
              </w:rPr>
              <w:tab/>
            </w:r>
            <w:r w:rsidR="001F7694">
              <w:rPr>
                <w:noProof/>
                <w:webHidden/>
              </w:rPr>
              <w:fldChar w:fldCharType="begin"/>
            </w:r>
            <w:r w:rsidR="001F7694">
              <w:rPr>
                <w:noProof/>
                <w:webHidden/>
              </w:rPr>
              <w:instrText xml:space="preserve"> PAGEREF _Toc150870944 \h </w:instrText>
            </w:r>
            <w:r w:rsidR="001F7694">
              <w:rPr>
                <w:noProof/>
                <w:webHidden/>
              </w:rPr>
            </w:r>
            <w:r w:rsidR="001F7694">
              <w:rPr>
                <w:noProof/>
                <w:webHidden/>
              </w:rPr>
              <w:fldChar w:fldCharType="separate"/>
            </w:r>
            <w:r w:rsidR="00CE537D">
              <w:rPr>
                <w:noProof/>
                <w:webHidden/>
              </w:rPr>
              <w:t>18</w:t>
            </w:r>
            <w:r w:rsidR="001F7694">
              <w:rPr>
                <w:noProof/>
                <w:webHidden/>
              </w:rPr>
              <w:fldChar w:fldCharType="end"/>
            </w:r>
          </w:hyperlink>
        </w:p>
        <w:p w14:paraId="568444E4" w14:textId="77777777" w:rsidR="001F7694" w:rsidRDefault="001F7694" w:rsidP="001F7694">
          <w:pPr>
            <w:spacing w:line="360" w:lineRule="auto"/>
            <w:rPr>
              <w:b/>
              <w:bCs/>
              <w:noProof/>
            </w:rPr>
          </w:pPr>
          <w:r>
            <w:rPr>
              <w:b/>
              <w:bCs/>
              <w:noProof/>
            </w:rPr>
            <w:fldChar w:fldCharType="end"/>
          </w:r>
        </w:p>
      </w:sdtContent>
    </w:sdt>
    <w:p w14:paraId="5817FD83" w14:textId="23D25143" w:rsidR="001F7694" w:rsidRPr="001F7694" w:rsidRDefault="001F7694" w:rsidP="001F7694">
      <w:pPr>
        <w:rPr>
          <w:b/>
          <w:bCs/>
          <w:noProof/>
        </w:rPr>
      </w:pPr>
      <w:r>
        <w:br w:type="page"/>
      </w:r>
    </w:p>
    <w:p w14:paraId="307605F4" w14:textId="7E95E8FC" w:rsidR="00D41457" w:rsidRDefault="00D41457" w:rsidP="00004F75">
      <w:pPr>
        <w:pStyle w:val="Heading1"/>
      </w:pPr>
      <w:bookmarkStart w:id="0" w:name="_Toc150870925"/>
      <w:r>
        <w:lastRenderedPageBreak/>
        <w:t>Understand the purpose</w:t>
      </w:r>
      <w:bookmarkEnd w:id="0"/>
      <w:r>
        <w:t xml:space="preserve"> </w:t>
      </w:r>
    </w:p>
    <w:p w14:paraId="4D778192" w14:textId="5A729822" w:rsidR="00D41457" w:rsidRPr="00D41457" w:rsidRDefault="00D41457" w:rsidP="001F7694">
      <w:pPr>
        <w:ind w:firstLine="720"/>
      </w:pPr>
      <w:r>
        <w:t>The main purpose of this assessment is to assess the financial viability of The Seaview Resort and the report will be proposing the turnaround strategy for the resort. The report will understand the reason behind decline in profitability position of The Seaview Resort and will be proposing turnaround strategy for the business.</w:t>
      </w:r>
    </w:p>
    <w:p w14:paraId="592DE8AB" w14:textId="4751B2FE" w:rsidR="00134987" w:rsidRDefault="00004F75" w:rsidP="00004F75">
      <w:pPr>
        <w:pStyle w:val="Heading1"/>
      </w:pPr>
      <w:bookmarkStart w:id="1" w:name="_Toc150870926"/>
      <w:r>
        <w:t>Introduction:</w:t>
      </w:r>
      <w:bookmarkEnd w:id="1"/>
      <w:r>
        <w:t xml:space="preserve"> </w:t>
      </w:r>
    </w:p>
    <w:p w14:paraId="2B375DD4" w14:textId="70142472" w:rsidR="00004F75" w:rsidRDefault="00004F75" w:rsidP="001F7694">
      <w:pPr>
        <w:ind w:firstLine="720"/>
      </w:pPr>
      <w:r>
        <w:t xml:space="preserve">The Seaview Resort is a </w:t>
      </w:r>
      <w:r w:rsidR="00D12A2A">
        <w:t>25-bed</w:t>
      </w:r>
      <w:r>
        <w:t xml:space="preserve"> property that has restaurant, bar and event related facilities for its guests. The Seaview Resort is located on picturesque coastline. It was once regarded as a thriving destination for vacationers that are seeking relaxation and luxury. Nevertheless, in recent years, the resort has also experienced fall in its revenue, occupancy rates and customer satisfaction. The owner of The Seaview Resort has expressed his concern regarding the upcoming feasibility of the business due to the decline in its financial position. </w:t>
      </w:r>
    </w:p>
    <w:p w14:paraId="6765A90F" w14:textId="04044EF4" w:rsidR="00004F75" w:rsidRDefault="00004F75" w:rsidP="001F7694">
      <w:pPr>
        <w:ind w:firstLine="720"/>
      </w:pPr>
      <w:r>
        <w:t>Currently, The Seaview Resort is facing adverse financial situation as business has reported decline in its gross profit and its net income has declined by 11% as compared to the previous year figures of 40,000. The primary reason for decline in profitability position of The Seaview Resort is its continuous falling trend in revenues and over the span of last three years</w:t>
      </w:r>
      <w:r w:rsidR="00D12A2A">
        <w:t xml:space="preserve"> (</w:t>
      </w:r>
      <w:r w:rsidR="00D12A2A">
        <w:rPr>
          <w:shd w:val="clear" w:color="auto" w:fill="FFFFFF"/>
        </w:rPr>
        <w:t>Marsha and Murtaqi 2017</w:t>
      </w:r>
      <w:r w:rsidR="00D12A2A">
        <w:t>)</w:t>
      </w:r>
      <w:r>
        <w:t xml:space="preserve">. The Seaview Resort has experienced continuous rise in its operating expenses and this has contributed to decline in its net profit position. </w:t>
      </w:r>
    </w:p>
    <w:p w14:paraId="31004D6C" w14:textId="396C460E" w:rsidR="00D41457" w:rsidRDefault="00D41457" w:rsidP="001F7694">
      <w:pPr>
        <w:pStyle w:val="Heading1"/>
      </w:pPr>
      <w:bookmarkStart w:id="2" w:name="_Toc150870927"/>
      <w:r>
        <w:t>Scope and Objectives:</w:t>
      </w:r>
      <w:bookmarkEnd w:id="2"/>
    </w:p>
    <w:p w14:paraId="551E8A8A" w14:textId="77777777" w:rsidR="001B4846" w:rsidRDefault="00D41457" w:rsidP="001F7694">
      <w:pPr>
        <w:ind w:firstLine="720"/>
      </w:pPr>
      <w:r>
        <w:t xml:space="preserve">The main scope of this assessment is to </w:t>
      </w:r>
      <w:r w:rsidR="001B4846">
        <w:t xml:space="preserve">conduct a comprehensive financial analysis of The Seaview Resort by reviewing its income statement, balance sheet and cash flow statement. The report will also include calculation of key financial ratios to understand the liquidity, solvency and profitability position of The Seaview Resort. The report aims to identify strength, weaknesses, opportunities and threats faced by The Seaview Resort. The report looks to answer </w:t>
      </w:r>
      <w:r w:rsidR="001B4846">
        <w:lastRenderedPageBreak/>
        <w:t xml:space="preserve">the primary question of declining profitability position of The Seaview Resort and suggesting a turnaround strategy based on the analysis conducted. </w:t>
      </w:r>
    </w:p>
    <w:p w14:paraId="3740D8E8" w14:textId="77777777" w:rsidR="001B4846" w:rsidRDefault="001B4846" w:rsidP="001B4846">
      <w:pPr>
        <w:pStyle w:val="Heading1"/>
      </w:pPr>
      <w:bookmarkStart w:id="3" w:name="_Toc150870928"/>
      <w:r>
        <w:t>Financial Analysis:</w:t>
      </w:r>
      <w:bookmarkEnd w:id="3"/>
      <w:r>
        <w:t xml:space="preserve"> </w:t>
      </w:r>
    </w:p>
    <w:p w14:paraId="2AB85D54" w14:textId="4BABDD1E" w:rsidR="001B4846" w:rsidRDefault="001B4846" w:rsidP="001B4846">
      <w:pPr>
        <w:pStyle w:val="Heading2"/>
      </w:pPr>
      <w:bookmarkStart w:id="4" w:name="_Toc150870929"/>
      <w:r>
        <w:t>Income Statement Analysis:</w:t>
      </w:r>
      <w:bookmarkEnd w:id="4"/>
      <w:r>
        <w:t xml:space="preserve"> </w:t>
      </w:r>
    </w:p>
    <w:tbl>
      <w:tblPr>
        <w:tblW w:w="5000" w:type="pct"/>
        <w:tblLayout w:type="fixed"/>
        <w:tblLook w:val="04A0" w:firstRow="1" w:lastRow="0" w:firstColumn="1" w:lastColumn="0" w:noHBand="0" w:noVBand="1"/>
      </w:tblPr>
      <w:tblGrid>
        <w:gridCol w:w="1271"/>
        <w:gridCol w:w="992"/>
        <w:gridCol w:w="950"/>
        <w:gridCol w:w="1177"/>
        <w:gridCol w:w="1134"/>
        <w:gridCol w:w="974"/>
        <w:gridCol w:w="1423"/>
        <w:gridCol w:w="1095"/>
      </w:tblGrid>
      <w:tr w:rsidR="001B4846" w:rsidRPr="001B4846" w14:paraId="1E74D63F" w14:textId="77777777" w:rsidTr="001B4846">
        <w:trPr>
          <w:trHeight w:val="315"/>
        </w:trPr>
        <w:tc>
          <w:tcPr>
            <w:tcW w:w="5000" w:type="pct"/>
            <w:gridSpan w:val="8"/>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E0FDC9" w14:textId="77777777" w:rsidR="001B4846" w:rsidRPr="001B4846" w:rsidRDefault="001B4846" w:rsidP="001B4846">
            <w:pPr>
              <w:spacing w:after="0" w:line="240" w:lineRule="auto"/>
              <w:jc w:val="center"/>
              <w:rPr>
                <w:rFonts w:eastAsia="Times New Roman" w:cs="Times New Roman"/>
                <w:color w:val="000000"/>
                <w:sz w:val="22"/>
                <w:lang w:eastAsia="en-IN"/>
              </w:rPr>
            </w:pPr>
            <w:r w:rsidRPr="001B4846">
              <w:rPr>
                <w:rFonts w:eastAsia="Times New Roman" w:cs="Times New Roman"/>
                <w:color w:val="000000"/>
                <w:sz w:val="22"/>
                <w:lang w:eastAsia="en-IN"/>
              </w:rPr>
              <w:t>Income Statement Analysis</w:t>
            </w:r>
          </w:p>
        </w:tc>
      </w:tr>
      <w:tr w:rsidR="001B4846" w:rsidRPr="001B4846" w14:paraId="1395F573" w14:textId="77777777" w:rsidTr="001B4846">
        <w:trPr>
          <w:trHeight w:val="315"/>
        </w:trPr>
        <w:tc>
          <w:tcPr>
            <w:tcW w:w="705" w:type="pct"/>
            <w:tcBorders>
              <w:top w:val="nil"/>
              <w:left w:val="single" w:sz="4" w:space="0" w:color="auto"/>
              <w:bottom w:val="single" w:sz="4" w:space="0" w:color="auto"/>
              <w:right w:val="single" w:sz="4" w:space="0" w:color="auto"/>
            </w:tcBorders>
            <w:shd w:val="clear" w:color="auto" w:fill="auto"/>
            <w:noWrap/>
            <w:vAlign w:val="bottom"/>
            <w:hideMark/>
          </w:tcPr>
          <w:p w14:paraId="034BFAA5"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Particular</w:t>
            </w:r>
          </w:p>
        </w:tc>
        <w:tc>
          <w:tcPr>
            <w:tcW w:w="550" w:type="pct"/>
            <w:tcBorders>
              <w:top w:val="nil"/>
              <w:left w:val="nil"/>
              <w:bottom w:val="single" w:sz="4" w:space="0" w:color="auto"/>
              <w:right w:val="single" w:sz="4" w:space="0" w:color="auto"/>
            </w:tcBorders>
            <w:shd w:val="clear" w:color="auto" w:fill="auto"/>
            <w:noWrap/>
            <w:vAlign w:val="bottom"/>
            <w:hideMark/>
          </w:tcPr>
          <w:p w14:paraId="14DB318F"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2022</w:t>
            </w:r>
          </w:p>
        </w:tc>
        <w:tc>
          <w:tcPr>
            <w:tcW w:w="527" w:type="pct"/>
            <w:tcBorders>
              <w:top w:val="nil"/>
              <w:left w:val="nil"/>
              <w:bottom w:val="single" w:sz="4" w:space="0" w:color="auto"/>
              <w:right w:val="single" w:sz="4" w:space="0" w:color="auto"/>
            </w:tcBorders>
            <w:shd w:val="clear" w:color="auto" w:fill="auto"/>
            <w:noWrap/>
            <w:vAlign w:val="bottom"/>
            <w:hideMark/>
          </w:tcPr>
          <w:p w14:paraId="3808F579"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2021</w:t>
            </w:r>
          </w:p>
        </w:tc>
        <w:tc>
          <w:tcPr>
            <w:tcW w:w="653" w:type="pct"/>
            <w:tcBorders>
              <w:top w:val="nil"/>
              <w:left w:val="nil"/>
              <w:bottom w:val="single" w:sz="4" w:space="0" w:color="auto"/>
              <w:right w:val="single" w:sz="4" w:space="0" w:color="auto"/>
            </w:tcBorders>
            <w:shd w:val="clear" w:color="auto" w:fill="auto"/>
            <w:noWrap/>
            <w:vAlign w:val="bottom"/>
            <w:hideMark/>
          </w:tcPr>
          <w:p w14:paraId="4ABDE81E"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Amount Change</w:t>
            </w:r>
          </w:p>
        </w:tc>
        <w:tc>
          <w:tcPr>
            <w:tcW w:w="629" w:type="pct"/>
            <w:tcBorders>
              <w:top w:val="nil"/>
              <w:left w:val="nil"/>
              <w:bottom w:val="single" w:sz="4" w:space="0" w:color="auto"/>
              <w:right w:val="single" w:sz="4" w:space="0" w:color="auto"/>
            </w:tcBorders>
            <w:shd w:val="clear" w:color="auto" w:fill="auto"/>
            <w:noWrap/>
            <w:vAlign w:val="bottom"/>
            <w:hideMark/>
          </w:tcPr>
          <w:p w14:paraId="727E9379" w14:textId="2072DA39" w:rsidR="001B4846" w:rsidRPr="001B4846" w:rsidRDefault="001B4846" w:rsidP="001B4846">
            <w:pPr>
              <w:spacing w:after="0" w:line="240" w:lineRule="auto"/>
              <w:jc w:val="left"/>
              <w:rPr>
                <w:rFonts w:eastAsia="Times New Roman" w:cs="Times New Roman"/>
                <w:color w:val="000000"/>
                <w:sz w:val="22"/>
                <w:lang w:eastAsia="en-IN"/>
              </w:rPr>
            </w:pPr>
            <w:r>
              <w:rPr>
                <w:rFonts w:eastAsia="Times New Roman" w:cs="Times New Roman"/>
                <w:color w:val="000000"/>
                <w:sz w:val="22"/>
                <w:lang w:eastAsia="en-IN"/>
              </w:rPr>
              <w:t>(%) Change</w:t>
            </w:r>
          </w:p>
        </w:tc>
        <w:tc>
          <w:tcPr>
            <w:tcW w:w="540" w:type="pct"/>
            <w:tcBorders>
              <w:top w:val="nil"/>
              <w:left w:val="nil"/>
              <w:bottom w:val="single" w:sz="4" w:space="0" w:color="auto"/>
              <w:right w:val="single" w:sz="4" w:space="0" w:color="auto"/>
            </w:tcBorders>
            <w:shd w:val="clear" w:color="auto" w:fill="auto"/>
            <w:noWrap/>
            <w:vAlign w:val="bottom"/>
            <w:hideMark/>
          </w:tcPr>
          <w:p w14:paraId="7CEC7B38"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2020</w:t>
            </w:r>
          </w:p>
        </w:tc>
        <w:tc>
          <w:tcPr>
            <w:tcW w:w="789" w:type="pct"/>
            <w:tcBorders>
              <w:top w:val="nil"/>
              <w:left w:val="nil"/>
              <w:bottom w:val="single" w:sz="4" w:space="0" w:color="auto"/>
              <w:right w:val="single" w:sz="4" w:space="0" w:color="auto"/>
            </w:tcBorders>
            <w:shd w:val="clear" w:color="auto" w:fill="auto"/>
            <w:noWrap/>
            <w:vAlign w:val="bottom"/>
            <w:hideMark/>
          </w:tcPr>
          <w:p w14:paraId="174013B3"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Amount Change</w:t>
            </w:r>
          </w:p>
        </w:tc>
        <w:tc>
          <w:tcPr>
            <w:tcW w:w="607" w:type="pct"/>
            <w:tcBorders>
              <w:top w:val="nil"/>
              <w:left w:val="nil"/>
              <w:bottom w:val="single" w:sz="4" w:space="0" w:color="auto"/>
              <w:right w:val="single" w:sz="4" w:space="0" w:color="auto"/>
            </w:tcBorders>
            <w:shd w:val="clear" w:color="auto" w:fill="auto"/>
            <w:noWrap/>
            <w:vAlign w:val="bottom"/>
            <w:hideMark/>
          </w:tcPr>
          <w:p w14:paraId="1040735A" w14:textId="5152CD54" w:rsidR="001B4846" w:rsidRPr="001B4846" w:rsidRDefault="001B4846" w:rsidP="001B4846">
            <w:pPr>
              <w:spacing w:after="0" w:line="240" w:lineRule="auto"/>
              <w:jc w:val="left"/>
              <w:rPr>
                <w:rFonts w:eastAsia="Times New Roman" w:cs="Times New Roman"/>
                <w:color w:val="000000"/>
                <w:sz w:val="22"/>
                <w:lang w:eastAsia="en-IN"/>
              </w:rPr>
            </w:pPr>
            <w:r>
              <w:rPr>
                <w:rFonts w:eastAsia="Times New Roman" w:cs="Times New Roman"/>
                <w:color w:val="000000"/>
                <w:sz w:val="22"/>
                <w:lang w:eastAsia="en-IN"/>
              </w:rPr>
              <w:t>(%) Change</w:t>
            </w:r>
          </w:p>
        </w:tc>
      </w:tr>
      <w:tr w:rsidR="001B4846" w:rsidRPr="001B4846" w14:paraId="55B496BD" w14:textId="77777777" w:rsidTr="001B4846">
        <w:trPr>
          <w:trHeight w:val="315"/>
        </w:trPr>
        <w:tc>
          <w:tcPr>
            <w:tcW w:w="705" w:type="pct"/>
            <w:tcBorders>
              <w:top w:val="nil"/>
              <w:left w:val="single" w:sz="4" w:space="0" w:color="auto"/>
              <w:bottom w:val="single" w:sz="4" w:space="0" w:color="auto"/>
              <w:right w:val="single" w:sz="4" w:space="0" w:color="auto"/>
            </w:tcBorders>
            <w:shd w:val="clear" w:color="auto" w:fill="auto"/>
            <w:noWrap/>
            <w:vAlign w:val="bottom"/>
            <w:hideMark/>
          </w:tcPr>
          <w:p w14:paraId="7AF607A1"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Revenue</w:t>
            </w:r>
          </w:p>
        </w:tc>
        <w:tc>
          <w:tcPr>
            <w:tcW w:w="550" w:type="pct"/>
            <w:tcBorders>
              <w:top w:val="nil"/>
              <w:left w:val="nil"/>
              <w:bottom w:val="single" w:sz="4" w:space="0" w:color="auto"/>
              <w:right w:val="single" w:sz="4" w:space="0" w:color="auto"/>
            </w:tcBorders>
            <w:shd w:val="clear" w:color="auto" w:fill="auto"/>
            <w:noWrap/>
            <w:vAlign w:val="bottom"/>
            <w:hideMark/>
          </w:tcPr>
          <w:p w14:paraId="4B8F96EF"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430000</w:t>
            </w:r>
          </w:p>
        </w:tc>
        <w:tc>
          <w:tcPr>
            <w:tcW w:w="527" w:type="pct"/>
            <w:tcBorders>
              <w:top w:val="nil"/>
              <w:left w:val="nil"/>
              <w:bottom w:val="single" w:sz="4" w:space="0" w:color="auto"/>
              <w:right w:val="single" w:sz="4" w:space="0" w:color="auto"/>
            </w:tcBorders>
            <w:shd w:val="clear" w:color="auto" w:fill="auto"/>
            <w:noWrap/>
            <w:vAlign w:val="bottom"/>
            <w:hideMark/>
          </w:tcPr>
          <w:p w14:paraId="5E9E3AF2"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480000</w:t>
            </w:r>
          </w:p>
        </w:tc>
        <w:tc>
          <w:tcPr>
            <w:tcW w:w="653" w:type="pct"/>
            <w:tcBorders>
              <w:top w:val="nil"/>
              <w:left w:val="nil"/>
              <w:bottom w:val="single" w:sz="4" w:space="0" w:color="auto"/>
              <w:right w:val="single" w:sz="4" w:space="0" w:color="auto"/>
            </w:tcBorders>
            <w:shd w:val="clear" w:color="auto" w:fill="auto"/>
            <w:noWrap/>
            <w:vAlign w:val="bottom"/>
            <w:hideMark/>
          </w:tcPr>
          <w:p w14:paraId="774833DF"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-50000</w:t>
            </w:r>
          </w:p>
        </w:tc>
        <w:tc>
          <w:tcPr>
            <w:tcW w:w="629" w:type="pct"/>
            <w:tcBorders>
              <w:top w:val="nil"/>
              <w:left w:val="nil"/>
              <w:bottom w:val="single" w:sz="4" w:space="0" w:color="auto"/>
              <w:right w:val="single" w:sz="4" w:space="0" w:color="auto"/>
            </w:tcBorders>
            <w:shd w:val="clear" w:color="auto" w:fill="auto"/>
            <w:noWrap/>
            <w:vAlign w:val="bottom"/>
            <w:hideMark/>
          </w:tcPr>
          <w:p w14:paraId="27FAE9A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-10.4%</w:t>
            </w:r>
          </w:p>
        </w:tc>
        <w:tc>
          <w:tcPr>
            <w:tcW w:w="540" w:type="pct"/>
            <w:tcBorders>
              <w:top w:val="nil"/>
              <w:left w:val="nil"/>
              <w:bottom w:val="single" w:sz="4" w:space="0" w:color="auto"/>
              <w:right w:val="single" w:sz="4" w:space="0" w:color="auto"/>
            </w:tcBorders>
            <w:shd w:val="clear" w:color="auto" w:fill="auto"/>
            <w:noWrap/>
            <w:vAlign w:val="bottom"/>
            <w:hideMark/>
          </w:tcPr>
          <w:p w14:paraId="5FE34878"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520000</w:t>
            </w:r>
          </w:p>
        </w:tc>
        <w:tc>
          <w:tcPr>
            <w:tcW w:w="789" w:type="pct"/>
            <w:tcBorders>
              <w:top w:val="nil"/>
              <w:left w:val="nil"/>
              <w:bottom w:val="single" w:sz="4" w:space="0" w:color="auto"/>
              <w:right w:val="single" w:sz="4" w:space="0" w:color="auto"/>
            </w:tcBorders>
            <w:shd w:val="clear" w:color="auto" w:fill="auto"/>
            <w:noWrap/>
            <w:vAlign w:val="bottom"/>
            <w:hideMark/>
          </w:tcPr>
          <w:p w14:paraId="2D600D65"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-40000</w:t>
            </w:r>
          </w:p>
        </w:tc>
        <w:tc>
          <w:tcPr>
            <w:tcW w:w="607" w:type="pct"/>
            <w:tcBorders>
              <w:top w:val="nil"/>
              <w:left w:val="nil"/>
              <w:bottom w:val="single" w:sz="4" w:space="0" w:color="auto"/>
              <w:right w:val="single" w:sz="4" w:space="0" w:color="auto"/>
            </w:tcBorders>
            <w:shd w:val="clear" w:color="auto" w:fill="auto"/>
            <w:noWrap/>
            <w:vAlign w:val="bottom"/>
            <w:hideMark/>
          </w:tcPr>
          <w:p w14:paraId="58EEA173"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-7.69%</w:t>
            </w:r>
          </w:p>
        </w:tc>
      </w:tr>
      <w:tr w:rsidR="001B4846" w:rsidRPr="001B4846" w14:paraId="63DAA9F8" w14:textId="77777777" w:rsidTr="001B4846">
        <w:trPr>
          <w:trHeight w:val="315"/>
        </w:trPr>
        <w:tc>
          <w:tcPr>
            <w:tcW w:w="705" w:type="pct"/>
            <w:tcBorders>
              <w:top w:val="nil"/>
              <w:left w:val="single" w:sz="4" w:space="0" w:color="auto"/>
              <w:bottom w:val="single" w:sz="4" w:space="0" w:color="auto"/>
              <w:right w:val="single" w:sz="4" w:space="0" w:color="auto"/>
            </w:tcBorders>
            <w:shd w:val="clear" w:color="auto" w:fill="auto"/>
            <w:noWrap/>
            <w:vAlign w:val="bottom"/>
            <w:hideMark/>
          </w:tcPr>
          <w:p w14:paraId="0C07A1F6"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Operating Expenses</w:t>
            </w:r>
          </w:p>
        </w:tc>
        <w:tc>
          <w:tcPr>
            <w:tcW w:w="550" w:type="pct"/>
            <w:tcBorders>
              <w:top w:val="nil"/>
              <w:left w:val="nil"/>
              <w:bottom w:val="single" w:sz="4" w:space="0" w:color="auto"/>
              <w:right w:val="single" w:sz="4" w:space="0" w:color="auto"/>
            </w:tcBorders>
            <w:shd w:val="clear" w:color="auto" w:fill="auto"/>
            <w:noWrap/>
            <w:vAlign w:val="bottom"/>
            <w:hideMark/>
          </w:tcPr>
          <w:p w14:paraId="1BDD10EB"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450000</w:t>
            </w:r>
          </w:p>
        </w:tc>
        <w:tc>
          <w:tcPr>
            <w:tcW w:w="527" w:type="pct"/>
            <w:tcBorders>
              <w:top w:val="nil"/>
              <w:left w:val="nil"/>
              <w:bottom w:val="single" w:sz="4" w:space="0" w:color="auto"/>
              <w:right w:val="single" w:sz="4" w:space="0" w:color="auto"/>
            </w:tcBorders>
            <w:shd w:val="clear" w:color="auto" w:fill="auto"/>
            <w:noWrap/>
            <w:vAlign w:val="bottom"/>
            <w:hideMark/>
          </w:tcPr>
          <w:p w14:paraId="0ADEC3D8"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400000</w:t>
            </w:r>
          </w:p>
        </w:tc>
        <w:tc>
          <w:tcPr>
            <w:tcW w:w="653" w:type="pct"/>
            <w:tcBorders>
              <w:top w:val="nil"/>
              <w:left w:val="nil"/>
              <w:bottom w:val="single" w:sz="4" w:space="0" w:color="auto"/>
              <w:right w:val="single" w:sz="4" w:space="0" w:color="auto"/>
            </w:tcBorders>
            <w:shd w:val="clear" w:color="auto" w:fill="auto"/>
            <w:noWrap/>
            <w:vAlign w:val="bottom"/>
            <w:hideMark/>
          </w:tcPr>
          <w:p w14:paraId="1F0BD8F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50000</w:t>
            </w:r>
          </w:p>
        </w:tc>
        <w:tc>
          <w:tcPr>
            <w:tcW w:w="629" w:type="pct"/>
            <w:tcBorders>
              <w:top w:val="nil"/>
              <w:left w:val="nil"/>
              <w:bottom w:val="single" w:sz="4" w:space="0" w:color="auto"/>
              <w:right w:val="single" w:sz="4" w:space="0" w:color="auto"/>
            </w:tcBorders>
            <w:shd w:val="clear" w:color="auto" w:fill="auto"/>
            <w:noWrap/>
            <w:vAlign w:val="bottom"/>
            <w:hideMark/>
          </w:tcPr>
          <w:p w14:paraId="24901922"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12.5%</w:t>
            </w:r>
          </w:p>
        </w:tc>
        <w:tc>
          <w:tcPr>
            <w:tcW w:w="540" w:type="pct"/>
            <w:tcBorders>
              <w:top w:val="nil"/>
              <w:left w:val="nil"/>
              <w:bottom w:val="single" w:sz="4" w:space="0" w:color="auto"/>
              <w:right w:val="single" w:sz="4" w:space="0" w:color="auto"/>
            </w:tcBorders>
            <w:shd w:val="clear" w:color="auto" w:fill="auto"/>
            <w:noWrap/>
            <w:vAlign w:val="bottom"/>
            <w:hideMark/>
          </w:tcPr>
          <w:p w14:paraId="4721022C"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390000</w:t>
            </w:r>
          </w:p>
        </w:tc>
        <w:tc>
          <w:tcPr>
            <w:tcW w:w="789" w:type="pct"/>
            <w:tcBorders>
              <w:top w:val="nil"/>
              <w:left w:val="nil"/>
              <w:bottom w:val="single" w:sz="4" w:space="0" w:color="auto"/>
              <w:right w:val="single" w:sz="4" w:space="0" w:color="auto"/>
            </w:tcBorders>
            <w:shd w:val="clear" w:color="auto" w:fill="auto"/>
            <w:noWrap/>
            <w:vAlign w:val="bottom"/>
            <w:hideMark/>
          </w:tcPr>
          <w:p w14:paraId="585D1D23"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10000</w:t>
            </w:r>
          </w:p>
        </w:tc>
        <w:tc>
          <w:tcPr>
            <w:tcW w:w="607" w:type="pct"/>
            <w:tcBorders>
              <w:top w:val="nil"/>
              <w:left w:val="nil"/>
              <w:bottom w:val="single" w:sz="4" w:space="0" w:color="auto"/>
              <w:right w:val="single" w:sz="4" w:space="0" w:color="auto"/>
            </w:tcBorders>
            <w:shd w:val="clear" w:color="auto" w:fill="auto"/>
            <w:noWrap/>
            <w:vAlign w:val="bottom"/>
            <w:hideMark/>
          </w:tcPr>
          <w:p w14:paraId="0733A8A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2.56%</w:t>
            </w:r>
          </w:p>
        </w:tc>
      </w:tr>
      <w:tr w:rsidR="001B4846" w:rsidRPr="001B4846" w14:paraId="4D885FBD" w14:textId="77777777" w:rsidTr="001B4846">
        <w:trPr>
          <w:trHeight w:val="315"/>
        </w:trPr>
        <w:tc>
          <w:tcPr>
            <w:tcW w:w="705" w:type="pct"/>
            <w:tcBorders>
              <w:top w:val="nil"/>
              <w:left w:val="single" w:sz="4" w:space="0" w:color="auto"/>
              <w:bottom w:val="single" w:sz="4" w:space="0" w:color="auto"/>
              <w:right w:val="single" w:sz="4" w:space="0" w:color="auto"/>
            </w:tcBorders>
            <w:shd w:val="clear" w:color="auto" w:fill="auto"/>
            <w:noWrap/>
            <w:vAlign w:val="bottom"/>
            <w:hideMark/>
          </w:tcPr>
          <w:p w14:paraId="56B786FA"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Gross Profit</w:t>
            </w:r>
          </w:p>
        </w:tc>
        <w:tc>
          <w:tcPr>
            <w:tcW w:w="550" w:type="pct"/>
            <w:tcBorders>
              <w:top w:val="nil"/>
              <w:left w:val="nil"/>
              <w:bottom w:val="single" w:sz="4" w:space="0" w:color="auto"/>
              <w:right w:val="single" w:sz="4" w:space="0" w:color="auto"/>
            </w:tcBorders>
            <w:shd w:val="clear" w:color="auto" w:fill="auto"/>
            <w:noWrap/>
            <w:vAlign w:val="bottom"/>
            <w:hideMark/>
          </w:tcPr>
          <w:p w14:paraId="59C216A3"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-20000</w:t>
            </w:r>
          </w:p>
        </w:tc>
        <w:tc>
          <w:tcPr>
            <w:tcW w:w="527" w:type="pct"/>
            <w:tcBorders>
              <w:top w:val="nil"/>
              <w:left w:val="nil"/>
              <w:bottom w:val="single" w:sz="4" w:space="0" w:color="auto"/>
              <w:right w:val="single" w:sz="4" w:space="0" w:color="auto"/>
            </w:tcBorders>
            <w:shd w:val="clear" w:color="auto" w:fill="auto"/>
            <w:noWrap/>
            <w:vAlign w:val="bottom"/>
            <w:hideMark/>
          </w:tcPr>
          <w:p w14:paraId="05EB41B0"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80000</w:t>
            </w:r>
          </w:p>
        </w:tc>
        <w:tc>
          <w:tcPr>
            <w:tcW w:w="653" w:type="pct"/>
            <w:tcBorders>
              <w:top w:val="nil"/>
              <w:left w:val="nil"/>
              <w:bottom w:val="single" w:sz="4" w:space="0" w:color="auto"/>
              <w:right w:val="single" w:sz="4" w:space="0" w:color="auto"/>
            </w:tcBorders>
            <w:shd w:val="clear" w:color="auto" w:fill="auto"/>
            <w:noWrap/>
            <w:vAlign w:val="bottom"/>
            <w:hideMark/>
          </w:tcPr>
          <w:p w14:paraId="2D43A194"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-100000</w:t>
            </w:r>
          </w:p>
        </w:tc>
        <w:tc>
          <w:tcPr>
            <w:tcW w:w="629" w:type="pct"/>
            <w:tcBorders>
              <w:top w:val="nil"/>
              <w:left w:val="nil"/>
              <w:bottom w:val="single" w:sz="4" w:space="0" w:color="auto"/>
              <w:right w:val="single" w:sz="4" w:space="0" w:color="auto"/>
            </w:tcBorders>
            <w:shd w:val="clear" w:color="auto" w:fill="auto"/>
            <w:noWrap/>
            <w:vAlign w:val="bottom"/>
            <w:hideMark/>
          </w:tcPr>
          <w:p w14:paraId="169A7DCA"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-125.0%</w:t>
            </w:r>
          </w:p>
        </w:tc>
        <w:tc>
          <w:tcPr>
            <w:tcW w:w="540" w:type="pct"/>
            <w:tcBorders>
              <w:top w:val="nil"/>
              <w:left w:val="nil"/>
              <w:bottom w:val="single" w:sz="4" w:space="0" w:color="auto"/>
              <w:right w:val="single" w:sz="4" w:space="0" w:color="auto"/>
            </w:tcBorders>
            <w:shd w:val="clear" w:color="auto" w:fill="auto"/>
            <w:noWrap/>
            <w:vAlign w:val="bottom"/>
            <w:hideMark/>
          </w:tcPr>
          <w:p w14:paraId="3FD86BC0"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130000</w:t>
            </w:r>
          </w:p>
        </w:tc>
        <w:tc>
          <w:tcPr>
            <w:tcW w:w="789" w:type="pct"/>
            <w:tcBorders>
              <w:top w:val="nil"/>
              <w:left w:val="nil"/>
              <w:bottom w:val="single" w:sz="4" w:space="0" w:color="auto"/>
              <w:right w:val="single" w:sz="4" w:space="0" w:color="auto"/>
            </w:tcBorders>
            <w:shd w:val="clear" w:color="auto" w:fill="auto"/>
            <w:noWrap/>
            <w:vAlign w:val="bottom"/>
            <w:hideMark/>
          </w:tcPr>
          <w:p w14:paraId="6CAA7585"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-50000</w:t>
            </w:r>
          </w:p>
        </w:tc>
        <w:tc>
          <w:tcPr>
            <w:tcW w:w="607" w:type="pct"/>
            <w:tcBorders>
              <w:top w:val="nil"/>
              <w:left w:val="nil"/>
              <w:bottom w:val="single" w:sz="4" w:space="0" w:color="auto"/>
              <w:right w:val="single" w:sz="4" w:space="0" w:color="auto"/>
            </w:tcBorders>
            <w:shd w:val="clear" w:color="auto" w:fill="auto"/>
            <w:noWrap/>
            <w:vAlign w:val="bottom"/>
            <w:hideMark/>
          </w:tcPr>
          <w:p w14:paraId="626B682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-38.46%</w:t>
            </w:r>
          </w:p>
        </w:tc>
      </w:tr>
      <w:tr w:rsidR="001B4846" w:rsidRPr="001B4846" w14:paraId="149D478C" w14:textId="77777777" w:rsidTr="001B4846">
        <w:trPr>
          <w:trHeight w:val="315"/>
        </w:trPr>
        <w:tc>
          <w:tcPr>
            <w:tcW w:w="705" w:type="pct"/>
            <w:tcBorders>
              <w:top w:val="nil"/>
              <w:left w:val="single" w:sz="4" w:space="0" w:color="auto"/>
              <w:bottom w:val="single" w:sz="4" w:space="0" w:color="auto"/>
              <w:right w:val="single" w:sz="4" w:space="0" w:color="auto"/>
            </w:tcBorders>
            <w:shd w:val="clear" w:color="auto" w:fill="auto"/>
            <w:noWrap/>
            <w:vAlign w:val="bottom"/>
            <w:hideMark/>
          </w:tcPr>
          <w:p w14:paraId="03CDA3E4" w14:textId="77777777" w:rsidR="001B4846" w:rsidRPr="001B4846" w:rsidRDefault="001B4846" w:rsidP="001B4846">
            <w:pPr>
              <w:spacing w:after="0" w:line="240" w:lineRule="auto"/>
              <w:jc w:val="left"/>
              <w:rPr>
                <w:rFonts w:eastAsia="Times New Roman" w:cs="Times New Roman"/>
                <w:color w:val="000000"/>
                <w:sz w:val="22"/>
                <w:lang w:eastAsia="en-IN"/>
              </w:rPr>
            </w:pPr>
            <w:r w:rsidRPr="001B4846">
              <w:rPr>
                <w:rFonts w:eastAsia="Times New Roman" w:cs="Times New Roman"/>
                <w:color w:val="000000"/>
                <w:sz w:val="22"/>
                <w:lang w:eastAsia="en-IN"/>
              </w:rPr>
              <w:t>Net Profit (Loss)</w:t>
            </w:r>
          </w:p>
        </w:tc>
        <w:tc>
          <w:tcPr>
            <w:tcW w:w="550" w:type="pct"/>
            <w:tcBorders>
              <w:top w:val="nil"/>
              <w:left w:val="nil"/>
              <w:bottom w:val="single" w:sz="4" w:space="0" w:color="auto"/>
              <w:right w:val="single" w:sz="4" w:space="0" w:color="auto"/>
            </w:tcBorders>
            <w:shd w:val="clear" w:color="auto" w:fill="auto"/>
            <w:noWrap/>
            <w:vAlign w:val="bottom"/>
            <w:hideMark/>
          </w:tcPr>
          <w:p w14:paraId="03150739"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-47500</w:t>
            </w:r>
          </w:p>
        </w:tc>
        <w:tc>
          <w:tcPr>
            <w:tcW w:w="527" w:type="pct"/>
            <w:tcBorders>
              <w:top w:val="nil"/>
              <w:left w:val="nil"/>
              <w:bottom w:val="single" w:sz="4" w:space="0" w:color="auto"/>
              <w:right w:val="single" w:sz="4" w:space="0" w:color="auto"/>
            </w:tcBorders>
            <w:shd w:val="clear" w:color="auto" w:fill="auto"/>
            <w:noWrap/>
            <w:vAlign w:val="bottom"/>
            <w:hideMark/>
          </w:tcPr>
          <w:p w14:paraId="58C2BB52"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40000</w:t>
            </w:r>
          </w:p>
        </w:tc>
        <w:tc>
          <w:tcPr>
            <w:tcW w:w="653" w:type="pct"/>
            <w:tcBorders>
              <w:top w:val="nil"/>
              <w:left w:val="nil"/>
              <w:bottom w:val="single" w:sz="4" w:space="0" w:color="auto"/>
              <w:right w:val="single" w:sz="4" w:space="0" w:color="auto"/>
            </w:tcBorders>
            <w:shd w:val="clear" w:color="auto" w:fill="auto"/>
            <w:noWrap/>
            <w:vAlign w:val="bottom"/>
            <w:hideMark/>
          </w:tcPr>
          <w:p w14:paraId="419919A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-87500</w:t>
            </w:r>
          </w:p>
        </w:tc>
        <w:tc>
          <w:tcPr>
            <w:tcW w:w="629" w:type="pct"/>
            <w:tcBorders>
              <w:top w:val="nil"/>
              <w:left w:val="nil"/>
              <w:bottom w:val="single" w:sz="4" w:space="0" w:color="auto"/>
              <w:right w:val="single" w:sz="4" w:space="0" w:color="auto"/>
            </w:tcBorders>
            <w:shd w:val="clear" w:color="auto" w:fill="auto"/>
            <w:noWrap/>
            <w:vAlign w:val="bottom"/>
            <w:hideMark/>
          </w:tcPr>
          <w:p w14:paraId="297AC702"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-218.8%</w:t>
            </w:r>
          </w:p>
        </w:tc>
        <w:tc>
          <w:tcPr>
            <w:tcW w:w="540" w:type="pct"/>
            <w:tcBorders>
              <w:top w:val="nil"/>
              <w:left w:val="nil"/>
              <w:bottom w:val="single" w:sz="4" w:space="0" w:color="auto"/>
              <w:right w:val="single" w:sz="4" w:space="0" w:color="auto"/>
            </w:tcBorders>
            <w:shd w:val="clear" w:color="auto" w:fill="auto"/>
            <w:noWrap/>
            <w:vAlign w:val="bottom"/>
            <w:hideMark/>
          </w:tcPr>
          <w:p w14:paraId="6631644D"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78000</w:t>
            </w:r>
          </w:p>
        </w:tc>
        <w:tc>
          <w:tcPr>
            <w:tcW w:w="789" w:type="pct"/>
            <w:tcBorders>
              <w:top w:val="nil"/>
              <w:left w:val="nil"/>
              <w:bottom w:val="single" w:sz="4" w:space="0" w:color="auto"/>
              <w:right w:val="single" w:sz="4" w:space="0" w:color="auto"/>
            </w:tcBorders>
            <w:shd w:val="clear" w:color="auto" w:fill="auto"/>
            <w:noWrap/>
            <w:vAlign w:val="bottom"/>
            <w:hideMark/>
          </w:tcPr>
          <w:p w14:paraId="0FE1D03E"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-38000</w:t>
            </w:r>
          </w:p>
        </w:tc>
        <w:tc>
          <w:tcPr>
            <w:tcW w:w="607" w:type="pct"/>
            <w:tcBorders>
              <w:top w:val="nil"/>
              <w:left w:val="nil"/>
              <w:bottom w:val="single" w:sz="4" w:space="0" w:color="auto"/>
              <w:right w:val="single" w:sz="4" w:space="0" w:color="auto"/>
            </w:tcBorders>
            <w:shd w:val="clear" w:color="auto" w:fill="auto"/>
            <w:noWrap/>
            <w:vAlign w:val="bottom"/>
            <w:hideMark/>
          </w:tcPr>
          <w:p w14:paraId="64FE8E12" w14:textId="77777777" w:rsidR="001B4846" w:rsidRPr="001B4846" w:rsidRDefault="001B4846" w:rsidP="001B4846">
            <w:pPr>
              <w:spacing w:after="0" w:line="240" w:lineRule="auto"/>
              <w:jc w:val="right"/>
              <w:rPr>
                <w:rFonts w:eastAsia="Times New Roman" w:cs="Times New Roman"/>
                <w:color w:val="000000"/>
                <w:sz w:val="22"/>
                <w:lang w:eastAsia="en-IN"/>
              </w:rPr>
            </w:pPr>
            <w:r w:rsidRPr="001B4846">
              <w:rPr>
                <w:rFonts w:eastAsia="Times New Roman" w:cs="Times New Roman"/>
                <w:color w:val="000000"/>
                <w:sz w:val="22"/>
                <w:lang w:eastAsia="en-IN"/>
              </w:rPr>
              <w:t>-48.72%</w:t>
            </w:r>
          </w:p>
        </w:tc>
      </w:tr>
    </w:tbl>
    <w:p w14:paraId="1B4EB61F" w14:textId="7DF08193" w:rsidR="001B4846" w:rsidRDefault="001B4846" w:rsidP="00004F75"/>
    <w:p w14:paraId="0EA7DD7D" w14:textId="496AF754" w:rsidR="001B4846" w:rsidRDefault="001B4846" w:rsidP="001F7694">
      <w:pPr>
        <w:ind w:firstLine="720"/>
      </w:pPr>
      <w:r>
        <w:t xml:space="preserve">The income statement analysis has been conducted for The Seaview Resort to asses the trend of profitability, expense and revenues. </w:t>
      </w:r>
      <w:r w:rsidR="000E040A">
        <w:t>The Seaview Resort reported revenue of 520,000 in the year 2020 while it declined by 7.69% in 2021 to stand at 480,000. A further decline in revenue is noticed in the year 2022 when The Seaview Resort reported revenues of 430,000 as compared to the figures of 2021 when the business derived revenue of 480,000</w:t>
      </w:r>
      <w:r w:rsidR="00D12A2A">
        <w:t xml:space="preserve"> (</w:t>
      </w:r>
      <w:r w:rsidR="00D12A2A">
        <w:rPr>
          <w:shd w:val="clear" w:color="auto" w:fill="FFFFFF"/>
        </w:rPr>
        <w:t>Zor et al. 2018</w:t>
      </w:r>
      <w:r w:rsidR="00D12A2A">
        <w:t>)</w:t>
      </w:r>
      <w:r w:rsidR="000E040A">
        <w:t>. As evident, in the last three years, the revenue of The Seaview Resort has witnessed a continuous declining trend.</w:t>
      </w:r>
    </w:p>
    <w:p w14:paraId="55E4664A" w14:textId="36351072" w:rsidR="000E040A" w:rsidRDefault="000E040A" w:rsidP="001F7694">
      <w:pPr>
        <w:ind w:firstLine="720"/>
      </w:pPr>
      <w:r>
        <w:t>Meanwhile, the operating expense of The Seaview Resort has witnessed a rising trend in the last three years with operating expense standing 390,000 in 2020 to eventually increase in 2022 to stand at 450,000. The net profit margin of Seaview Resort has declined negatively in 2022 as the net profit stood (47,500) from the previous year figure of 40,000</w:t>
      </w:r>
      <w:r w:rsidR="00D12A2A">
        <w:t xml:space="preserve"> (</w:t>
      </w:r>
      <w:r w:rsidR="00D12A2A">
        <w:rPr>
          <w:shd w:val="clear" w:color="auto" w:fill="FFFFFF"/>
        </w:rPr>
        <w:t>Fridson and Alvarez 2022</w:t>
      </w:r>
      <w:r w:rsidR="00D12A2A">
        <w:t>)</w:t>
      </w:r>
      <w:r>
        <w:t>. The decline is mainly attributable to rising operating expense and declining revenue of Seaview Resort.</w:t>
      </w:r>
    </w:p>
    <w:p w14:paraId="2E0840B4" w14:textId="00953FC3" w:rsidR="000E040A" w:rsidRDefault="000E040A" w:rsidP="000E040A">
      <w:pPr>
        <w:jc w:val="center"/>
      </w:pPr>
      <w:r>
        <w:rPr>
          <w:noProof/>
        </w:rPr>
        <w:lastRenderedPageBreak/>
        <w:drawing>
          <wp:inline distT="0" distB="0" distL="0" distR="0" wp14:anchorId="77DEF463" wp14:editId="3F526F27">
            <wp:extent cx="4572000" cy="2743200"/>
            <wp:effectExtent l="0" t="0" r="0" b="0"/>
            <wp:docPr id="1" name="Chart 1">
              <a:extLst xmlns:a="http://schemas.openxmlformats.org/drawingml/2006/main">
                <a:ext uri="{FF2B5EF4-FFF2-40B4-BE49-F238E27FC236}">
                  <a16:creationId xmlns:a16="http://schemas.microsoft.com/office/drawing/2014/main" id="{260A236D-03B2-4180-BBF7-A4F8DC7943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8BBCAE4" w14:textId="6EC4A805" w:rsidR="00450E41" w:rsidRDefault="00450E41" w:rsidP="000E040A">
      <w:pPr>
        <w:jc w:val="center"/>
      </w:pPr>
      <w:r w:rsidRPr="00450E41">
        <w:rPr>
          <w:b/>
          <w:bCs/>
        </w:rPr>
        <w:t>Figure 1:</w:t>
      </w:r>
      <w:r>
        <w:t xml:space="preserve"> Figure showing Income Statement Analysis of Seaview Resort</w:t>
      </w:r>
    </w:p>
    <w:p w14:paraId="096EA87A" w14:textId="5C1E728C" w:rsidR="00450E41" w:rsidRDefault="00450E41" w:rsidP="000E040A">
      <w:pPr>
        <w:jc w:val="center"/>
      </w:pPr>
      <w:r w:rsidRPr="00450E41">
        <w:rPr>
          <w:b/>
          <w:bCs/>
        </w:rPr>
        <w:t>Source:</w:t>
      </w:r>
      <w:r>
        <w:t xml:space="preserve"> (As Created by Author)</w:t>
      </w:r>
    </w:p>
    <w:p w14:paraId="4BE554CD" w14:textId="70CE74C3" w:rsidR="001B4846" w:rsidRDefault="001B4846" w:rsidP="001B4846">
      <w:pPr>
        <w:pStyle w:val="Heading2"/>
      </w:pPr>
      <w:bookmarkStart w:id="5" w:name="_Toc150870930"/>
      <w:r>
        <w:t>Balance Sheet Analysis:</w:t>
      </w:r>
      <w:bookmarkEnd w:id="5"/>
      <w:r>
        <w:t xml:space="preserve"> </w:t>
      </w:r>
    </w:p>
    <w:tbl>
      <w:tblPr>
        <w:tblStyle w:val="GridTable1Light"/>
        <w:tblW w:w="5000" w:type="pct"/>
        <w:tblLook w:val="04A0" w:firstRow="1" w:lastRow="0" w:firstColumn="1" w:lastColumn="0" w:noHBand="0" w:noVBand="1"/>
      </w:tblPr>
      <w:tblGrid>
        <w:gridCol w:w="5078"/>
        <w:gridCol w:w="2063"/>
        <w:gridCol w:w="1875"/>
      </w:tblGrid>
      <w:tr w:rsidR="00550D3C" w:rsidRPr="00550D3C" w14:paraId="1C6C78E8" w14:textId="77777777" w:rsidTr="00550D3C">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404347E2"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Balance Sheet Analysis</w:t>
            </w:r>
          </w:p>
        </w:tc>
        <w:tc>
          <w:tcPr>
            <w:tcW w:w="1144" w:type="pct"/>
            <w:noWrap/>
            <w:hideMark/>
          </w:tcPr>
          <w:p w14:paraId="70297C45" w14:textId="77777777" w:rsidR="00550D3C" w:rsidRPr="00550D3C" w:rsidRDefault="00550D3C" w:rsidP="00550D3C">
            <w:pPr>
              <w:spacing w:line="240" w:lineRule="auto"/>
              <w:jc w:val="righ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2022</w:t>
            </w:r>
          </w:p>
        </w:tc>
        <w:tc>
          <w:tcPr>
            <w:tcW w:w="1040" w:type="pct"/>
            <w:noWrap/>
            <w:hideMark/>
          </w:tcPr>
          <w:p w14:paraId="029154BD" w14:textId="77777777" w:rsidR="00550D3C" w:rsidRPr="00550D3C" w:rsidRDefault="00550D3C" w:rsidP="00550D3C">
            <w:pPr>
              <w:spacing w:line="240" w:lineRule="auto"/>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w:t>
            </w:r>
          </w:p>
        </w:tc>
      </w:tr>
      <w:tr w:rsidR="00550D3C" w:rsidRPr="00550D3C" w14:paraId="6854A7E9"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08671023"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Total Assets</w:t>
            </w:r>
          </w:p>
        </w:tc>
        <w:tc>
          <w:tcPr>
            <w:tcW w:w="1144" w:type="pct"/>
            <w:noWrap/>
            <w:hideMark/>
          </w:tcPr>
          <w:p w14:paraId="74E2CD80"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1030000</w:t>
            </w:r>
          </w:p>
        </w:tc>
        <w:tc>
          <w:tcPr>
            <w:tcW w:w="1040" w:type="pct"/>
            <w:noWrap/>
            <w:hideMark/>
          </w:tcPr>
          <w:p w14:paraId="3BF2AFF2"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100%</w:t>
            </w:r>
          </w:p>
        </w:tc>
      </w:tr>
      <w:tr w:rsidR="00550D3C" w:rsidRPr="00550D3C" w14:paraId="6312FDB9"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12BA7D0C"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Current Assets</w:t>
            </w:r>
          </w:p>
        </w:tc>
        <w:tc>
          <w:tcPr>
            <w:tcW w:w="1144" w:type="pct"/>
            <w:noWrap/>
            <w:hideMark/>
          </w:tcPr>
          <w:p w14:paraId="175C0250"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250000</w:t>
            </w:r>
          </w:p>
        </w:tc>
        <w:tc>
          <w:tcPr>
            <w:tcW w:w="1040" w:type="pct"/>
            <w:noWrap/>
            <w:hideMark/>
          </w:tcPr>
          <w:p w14:paraId="3FD17F72"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24%</w:t>
            </w:r>
          </w:p>
        </w:tc>
      </w:tr>
      <w:tr w:rsidR="00550D3C" w:rsidRPr="00550D3C" w14:paraId="17B7D9AA"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6A9C7CB8"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Property &amp; Equip</w:t>
            </w:r>
          </w:p>
        </w:tc>
        <w:tc>
          <w:tcPr>
            <w:tcW w:w="1144" w:type="pct"/>
            <w:noWrap/>
            <w:hideMark/>
          </w:tcPr>
          <w:p w14:paraId="106988DF"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630000</w:t>
            </w:r>
          </w:p>
        </w:tc>
        <w:tc>
          <w:tcPr>
            <w:tcW w:w="1040" w:type="pct"/>
            <w:noWrap/>
            <w:hideMark/>
          </w:tcPr>
          <w:p w14:paraId="3BB48750"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61%</w:t>
            </w:r>
          </w:p>
        </w:tc>
      </w:tr>
      <w:tr w:rsidR="00550D3C" w:rsidRPr="00550D3C" w14:paraId="789B39B3"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0325FAD2"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Inventory</w:t>
            </w:r>
          </w:p>
        </w:tc>
        <w:tc>
          <w:tcPr>
            <w:tcW w:w="1144" w:type="pct"/>
            <w:noWrap/>
            <w:hideMark/>
          </w:tcPr>
          <w:p w14:paraId="6313F645"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100000</w:t>
            </w:r>
          </w:p>
        </w:tc>
        <w:tc>
          <w:tcPr>
            <w:tcW w:w="1040" w:type="pct"/>
            <w:noWrap/>
            <w:hideMark/>
          </w:tcPr>
          <w:p w14:paraId="0FDBA6D0"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10%</w:t>
            </w:r>
          </w:p>
        </w:tc>
      </w:tr>
      <w:tr w:rsidR="00550D3C" w:rsidRPr="00550D3C" w14:paraId="6ADA90FB"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76017472"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Other Assets</w:t>
            </w:r>
          </w:p>
        </w:tc>
        <w:tc>
          <w:tcPr>
            <w:tcW w:w="1144" w:type="pct"/>
            <w:noWrap/>
            <w:hideMark/>
          </w:tcPr>
          <w:p w14:paraId="30DD3353"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150000</w:t>
            </w:r>
          </w:p>
        </w:tc>
        <w:tc>
          <w:tcPr>
            <w:tcW w:w="1040" w:type="pct"/>
            <w:noWrap/>
            <w:hideMark/>
          </w:tcPr>
          <w:p w14:paraId="3106BF03"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15%</w:t>
            </w:r>
          </w:p>
        </w:tc>
      </w:tr>
      <w:tr w:rsidR="00550D3C" w:rsidRPr="00550D3C" w14:paraId="5B31A87F"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5DF8E48B"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Total Liabilities</w:t>
            </w:r>
          </w:p>
        </w:tc>
        <w:tc>
          <w:tcPr>
            <w:tcW w:w="1144" w:type="pct"/>
            <w:noWrap/>
            <w:hideMark/>
          </w:tcPr>
          <w:p w14:paraId="30648FF9"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580000</w:t>
            </w:r>
          </w:p>
        </w:tc>
        <w:tc>
          <w:tcPr>
            <w:tcW w:w="1040" w:type="pct"/>
            <w:noWrap/>
            <w:hideMark/>
          </w:tcPr>
          <w:p w14:paraId="1CF41761"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100%</w:t>
            </w:r>
          </w:p>
        </w:tc>
      </w:tr>
      <w:tr w:rsidR="00550D3C" w:rsidRPr="00550D3C" w14:paraId="4EF83EC1"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1B19FC30"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Current Liabilities</w:t>
            </w:r>
          </w:p>
        </w:tc>
        <w:tc>
          <w:tcPr>
            <w:tcW w:w="1144" w:type="pct"/>
            <w:noWrap/>
            <w:hideMark/>
          </w:tcPr>
          <w:p w14:paraId="4EEC6E11"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180000</w:t>
            </w:r>
          </w:p>
        </w:tc>
        <w:tc>
          <w:tcPr>
            <w:tcW w:w="1040" w:type="pct"/>
            <w:noWrap/>
            <w:hideMark/>
          </w:tcPr>
          <w:p w14:paraId="5F475798"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31%</w:t>
            </w:r>
          </w:p>
        </w:tc>
      </w:tr>
      <w:tr w:rsidR="00550D3C" w:rsidRPr="00550D3C" w14:paraId="5925A93A"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248C5878"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Long-term Debt</w:t>
            </w:r>
          </w:p>
        </w:tc>
        <w:tc>
          <w:tcPr>
            <w:tcW w:w="1144" w:type="pct"/>
            <w:noWrap/>
            <w:hideMark/>
          </w:tcPr>
          <w:p w14:paraId="372AABB7"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400000</w:t>
            </w:r>
          </w:p>
        </w:tc>
        <w:tc>
          <w:tcPr>
            <w:tcW w:w="1040" w:type="pct"/>
            <w:noWrap/>
            <w:hideMark/>
          </w:tcPr>
          <w:p w14:paraId="7B0A6730"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69%</w:t>
            </w:r>
          </w:p>
        </w:tc>
      </w:tr>
      <w:tr w:rsidR="00550D3C" w:rsidRPr="00550D3C" w14:paraId="2D68D2C9" w14:textId="77777777" w:rsidTr="00550D3C">
        <w:trPr>
          <w:trHeight w:val="315"/>
        </w:trPr>
        <w:tc>
          <w:tcPr>
            <w:cnfStyle w:val="001000000000" w:firstRow="0" w:lastRow="0" w:firstColumn="1" w:lastColumn="0" w:oddVBand="0" w:evenVBand="0" w:oddHBand="0" w:evenHBand="0" w:firstRowFirstColumn="0" w:firstRowLastColumn="0" w:lastRowFirstColumn="0" w:lastRowLastColumn="0"/>
            <w:tcW w:w="2816" w:type="pct"/>
            <w:noWrap/>
            <w:hideMark/>
          </w:tcPr>
          <w:p w14:paraId="14D9FB9A" w14:textId="77777777" w:rsidR="00550D3C" w:rsidRPr="00550D3C" w:rsidRDefault="00550D3C" w:rsidP="00550D3C">
            <w:pPr>
              <w:spacing w:line="240" w:lineRule="auto"/>
              <w:jc w:val="left"/>
              <w:rPr>
                <w:rFonts w:eastAsia="Times New Roman" w:cs="Times New Roman"/>
                <w:color w:val="000000"/>
                <w:szCs w:val="24"/>
                <w:lang w:eastAsia="en-IN"/>
              </w:rPr>
            </w:pPr>
            <w:r w:rsidRPr="00550D3C">
              <w:rPr>
                <w:rFonts w:eastAsia="Times New Roman" w:cs="Times New Roman"/>
                <w:color w:val="000000"/>
                <w:szCs w:val="24"/>
                <w:lang w:eastAsia="en-IN"/>
              </w:rPr>
              <w:t>Equity</w:t>
            </w:r>
          </w:p>
        </w:tc>
        <w:tc>
          <w:tcPr>
            <w:tcW w:w="1144" w:type="pct"/>
            <w:noWrap/>
            <w:hideMark/>
          </w:tcPr>
          <w:p w14:paraId="0995FB25"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450000</w:t>
            </w:r>
          </w:p>
        </w:tc>
        <w:tc>
          <w:tcPr>
            <w:tcW w:w="1040" w:type="pct"/>
            <w:noWrap/>
            <w:hideMark/>
          </w:tcPr>
          <w:p w14:paraId="59D076C2" w14:textId="77777777" w:rsidR="00550D3C" w:rsidRPr="00550D3C" w:rsidRDefault="00550D3C" w:rsidP="00550D3C">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550D3C">
              <w:rPr>
                <w:rFonts w:eastAsia="Times New Roman" w:cs="Times New Roman"/>
                <w:color w:val="000000"/>
                <w:szCs w:val="24"/>
                <w:lang w:eastAsia="en-IN"/>
              </w:rPr>
              <w:t>78%</w:t>
            </w:r>
          </w:p>
        </w:tc>
      </w:tr>
    </w:tbl>
    <w:p w14:paraId="3B6251CE" w14:textId="644A481D" w:rsidR="001B4846" w:rsidRDefault="001B4846" w:rsidP="00004F75"/>
    <w:p w14:paraId="10BD73EE" w14:textId="7EE483FC" w:rsidR="00550D3C" w:rsidRDefault="00550D3C" w:rsidP="00D12A2A">
      <w:pPr>
        <w:ind w:firstLine="720"/>
      </w:pPr>
      <w:r>
        <w:t>The balance sheet analysis of The Seaview Resort shows that total asset of the business is 630,000 and this sums up 61% of the total assets. The current asset of Seaview Resort is 250,000 out of which 100,000 includes inventory. Meanwhile, the current liabilities of Seaview Resort stands 180,000 which sums up 31% of the total liabilities. The current assets of Seaview Resorts covers the current liabilities</w:t>
      </w:r>
      <w:r w:rsidR="00D12A2A">
        <w:t xml:space="preserve"> (</w:t>
      </w:r>
      <w:r w:rsidR="00D12A2A">
        <w:rPr>
          <w:shd w:val="clear" w:color="auto" w:fill="FFFFFF"/>
        </w:rPr>
        <w:t>Revsine, Collins and Johnson 2021</w:t>
      </w:r>
      <w:r w:rsidR="00D12A2A">
        <w:t>)</w:t>
      </w:r>
      <w:r>
        <w:t xml:space="preserve">. The long-term debt of Seaview Resorts stands 400,000 and this sums of 69% of the total liabilities. On the other </w:t>
      </w:r>
      <w:r>
        <w:lastRenderedPageBreak/>
        <w:t xml:space="preserve">hand, the company reported total equity of 450,000. Accordingly, the balance sheet analysis shows that Seaview Resort has very high level of debt as compared to equity since the total liabilities of Seaview Resort has surpassed the total equity of $450,000. The balance sheet analysis shows that Seaview Resort is largely financed by the external creditors </w:t>
      </w:r>
      <w:r w:rsidR="000E3DB1">
        <w:t xml:space="preserve">instead of owner’s equity. </w:t>
      </w:r>
      <w:r>
        <w:t xml:space="preserve"> </w:t>
      </w:r>
    </w:p>
    <w:p w14:paraId="6F3A57A7" w14:textId="68E1B73A" w:rsidR="00D41457" w:rsidRDefault="001B4846" w:rsidP="001B4846">
      <w:pPr>
        <w:pStyle w:val="Heading2"/>
      </w:pPr>
      <w:bookmarkStart w:id="6" w:name="_Toc150870931"/>
      <w:r>
        <w:t>Cash Flow Analysis:</w:t>
      </w:r>
      <w:bookmarkEnd w:id="6"/>
      <w:r>
        <w:t xml:space="preserve">  </w:t>
      </w:r>
    </w:p>
    <w:p w14:paraId="363F1ABE" w14:textId="10506499" w:rsidR="000E3DB1" w:rsidRPr="000E3DB1" w:rsidRDefault="000E3DB1" w:rsidP="000E3DB1">
      <w:pPr>
        <w:ind w:firstLine="720"/>
      </w:pPr>
      <w:r>
        <w:t>The cash flow analysis of Seaview Resort shows that the net cash flow from operations has stood negative for the financial year ended 2022 at (80,000). Meanwhile, The Seaview Resort has incurred capital expenditures of 30,000. The net cash flow of Seaview Resort has stood negatively at (110,000) in 2022. Instead, Seaview Resort would require investment and financing from external sources to cover the differences</w:t>
      </w:r>
      <w:r w:rsidR="00D12A2A">
        <w:t xml:space="preserve"> (</w:t>
      </w:r>
      <w:r w:rsidR="00D12A2A" w:rsidRPr="00D954F8">
        <w:rPr>
          <w:shd w:val="clear" w:color="auto" w:fill="FFFFFF"/>
        </w:rPr>
        <w:t>Kim, Barber and Kim 2019</w:t>
      </w:r>
      <w:r w:rsidR="00D12A2A">
        <w:t>)</w:t>
      </w:r>
      <w:r>
        <w:t xml:space="preserve">. This represents that Seaview Resort has more amount of money outgoing as compared to incoming of funds. The company is not able to cover the expenses from its sales revenue leading to negative cash flow. </w:t>
      </w:r>
    </w:p>
    <w:p w14:paraId="7EA20015" w14:textId="5D6541C2" w:rsidR="001B4846" w:rsidRDefault="001B4846" w:rsidP="001B4846">
      <w:pPr>
        <w:pStyle w:val="Heading2"/>
      </w:pPr>
      <w:bookmarkStart w:id="7" w:name="_Toc150870932"/>
      <w:r>
        <w:t>Key Financial Ratios:</w:t>
      </w:r>
      <w:bookmarkEnd w:id="7"/>
    </w:p>
    <w:tbl>
      <w:tblPr>
        <w:tblStyle w:val="PlainTable5"/>
        <w:tblW w:w="5000" w:type="pct"/>
        <w:tblLook w:val="04A0" w:firstRow="1" w:lastRow="0" w:firstColumn="1" w:lastColumn="0" w:noHBand="0" w:noVBand="1"/>
      </w:tblPr>
      <w:tblGrid>
        <w:gridCol w:w="5977"/>
        <w:gridCol w:w="3049"/>
      </w:tblGrid>
      <w:tr w:rsidR="001B4846" w:rsidRPr="001B4846" w14:paraId="21CF68C8" w14:textId="77777777" w:rsidTr="001B4846">
        <w:trPr>
          <w:cnfStyle w:val="100000000000" w:firstRow="1" w:lastRow="0" w:firstColumn="0" w:lastColumn="0" w:oddVBand="0" w:evenVBand="0" w:oddHBand="0" w:evenHBand="0" w:firstRowFirstColumn="0" w:firstRowLastColumn="0" w:lastRowFirstColumn="0" w:lastRowLastColumn="0"/>
          <w:trHeight w:val="315"/>
        </w:trPr>
        <w:tc>
          <w:tcPr>
            <w:cnfStyle w:val="001000000100" w:firstRow="0" w:lastRow="0" w:firstColumn="1" w:lastColumn="0" w:oddVBand="0" w:evenVBand="0" w:oddHBand="0" w:evenHBand="0" w:firstRowFirstColumn="1" w:firstRowLastColumn="0" w:lastRowFirstColumn="0" w:lastRowLastColumn="0"/>
            <w:tcW w:w="5000" w:type="pct"/>
            <w:gridSpan w:val="2"/>
            <w:noWrap/>
            <w:hideMark/>
          </w:tcPr>
          <w:p w14:paraId="12535422" w14:textId="77777777" w:rsidR="001B4846" w:rsidRPr="001B4846" w:rsidRDefault="001B4846" w:rsidP="001B4846">
            <w:pPr>
              <w:spacing w:line="240" w:lineRule="auto"/>
              <w:jc w:val="center"/>
              <w:rPr>
                <w:rFonts w:eastAsia="Times New Roman" w:cs="Times New Roman"/>
                <w:color w:val="000000"/>
                <w:szCs w:val="24"/>
                <w:lang w:eastAsia="en-IN"/>
              </w:rPr>
            </w:pPr>
            <w:r w:rsidRPr="001B4846">
              <w:rPr>
                <w:rFonts w:eastAsia="Times New Roman" w:cs="Times New Roman"/>
                <w:color w:val="000000"/>
                <w:szCs w:val="24"/>
                <w:lang w:eastAsia="en-IN"/>
              </w:rPr>
              <w:t>Ratio Analysis</w:t>
            </w:r>
          </w:p>
        </w:tc>
      </w:tr>
      <w:tr w:rsidR="001B4846" w:rsidRPr="001B4846" w14:paraId="7B97BE42"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2CF37EA0"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Current Ratio</w:t>
            </w:r>
          </w:p>
        </w:tc>
        <w:tc>
          <w:tcPr>
            <w:tcW w:w="1689" w:type="pct"/>
            <w:noWrap/>
            <w:hideMark/>
          </w:tcPr>
          <w:p w14:paraId="144D7BEC"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2022</w:t>
            </w:r>
          </w:p>
        </w:tc>
      </w:tr>
      <w:tr w:rsidR="001B4846" w:rsidRPr="001B4846" w14:paraId="6D100761"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076AECA8"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Current Assets</w:t>
            </w:r>
          </w:p>
        </w:tc>
        <w:tc>
          <w:tcPr>
            <w:tcW w:w="1689" w:type="pct"/>
            <w:noWrap/>
            <w:hideMark/>
          </w:tcPr>
          <w:p w14:paraId="2C05941E"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250000</w:t>
            </w:r>
          </w:p>
        </w:tc>
      </w:tr>
      <w:tr w:rsidR="001B4846" w:rsidRPr="001B4846" w14:paraId="6DC6095F"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1AF81531"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Current Liabilities</w:t>
            </w:r>
          </w:p>
        </w:tc>
        <w:tc>
          <w:tcPr>
            <w:tcW w:w="1689" w:type="pct"/>
            <w:noWrap/>
            <w:hideMark/>
          </w:tcPr>
          <w:p w14:paraId="3A51C381"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180000</w:t>
            </w:r>
          </w:p>
        </w:tc>
      </w:tr>
      <w:tr w:rsidR="001B4846" w:rsidRPr="001B4846" w14:paraId="747A31EB"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616275B9"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194B2FEC"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1.39</w:t>
            </w:r>
          </w:p>
        </w:tc>
      </w:tr>
      <w:tr w:rsidR="001B4846" w:rsidRPr="001B4846" w14:paraId="44EC55A2"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0EDA05A0"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5D168B56" w14:textId="77777777" w:rsidR="001B4846" w:rsidRPr="001B4846" w:rsidRDefault="001B4846" w:rsidP="001B484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r>
      <w:tr w:rsidR="001B4846" w:rsidRPr="001B4846" w14:paraId="23B0A528"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399DF734"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Quick Ratio</w:t>
            </w:r>
          </w:p>
        </w:tc>
        <w:tc>
          <w:tcPr>
            <w:tcW w:w="1689" w:type="pct"/>
            <w:noWrap/>
            <w:hideMark/>
          </w:tcPr>
          <w:p w14:paraId="7C214713"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2022</w:t>
            </w:r>
          </w:p>
        </w:tc>
      </w:tr>
      <w:tr w:rsidR="001B4846" w:rsidRPr="001B4846" w14:paraId="2B8954DC"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4ABCAFBF"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Current Assets</w:t>
            </w:r>
          </w:p>
        </w:tc>
        <w:tc>
          <w:tcPr>
            <w:tcW w:w="1689" w:type="pct"/>
            <w:noWrap/>
            <w:hideMark/>
          </w:tcPr>
          <w:p w14:paraId="43AEFF6A"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250000</w:t>
            </w:r>
          </w:p>
        </w:tc>
      </w:tr>
      <w:tr w:rsidR="001B4846" w:rsidRPr="001B4846" w14:paraId="76F8C3F3"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4E893D1C"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Less: Inventory</w:t>
            </w:r>
          </w:p>
        </w:tc>
        <w:tc>
          <w:tcPr>
            <w:tcW w:w="1689" w:type="pct"/>
            <w:noWrap/>
            <w:hideMark/>
          </w:tcPr>
          <w:p w14:paraId="01FA3610"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100000</w:t>
            </w:r>
          </w:p>
        </w:tc>
      </w:tr>
      <w:tr w:rsidR="001B4846" w:rsidRPr="001B4846" w14:paraId="330C0A9C"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40822DB4"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Quick Assets</w:t>
            </w:r>
          </w:p>
        </w:tc>
        <w:tc>
          <w:tcPr>
            <w:tcW w:w="1689" w:type="pct"/>
            <w:noWrap/>
            <w:hideMark/>
          </w:tcPr>
          <w:p w14:paraId="5D201680"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150000</w:t>
            </w:r>
          </w:p>
        </w:tc>
      </w:tr>
      <w:tr w:rsidR="001B4846" w:rsidRPr="001B4846" w14:paraId="44102F02"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6FFFE1E7"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Current Liabilities</w:t>
            </w:r>
          </w:p>
        </w:tc>
        <w:tc>
          <w:tcPr>
            <w:tcW w:w="1689" w:type="pct"/>
            <w:noWrap/>
            <w:hideMark/>
          </w:tcPr>
          <w:p w14:paraId="468A55F3"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180000</w:t>
            </w:r>
          </w:p>
        </w:tc>
      </w:tr>
      <w:tr w:rsidR="001B4846" w:rsidRPr="001B4846" w14:paraId="7A90BFF3"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3BE83080"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559970FF"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0.83</w:t>
            </w:r>
          </w:p>
        </w:tc>
      </w:tr>
      <w:tr w:rsidR="001B4846" w:rsidRPr="001B4846" w14:paraId="16DAFC70"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1E20BAE6"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68AED980" w14:textId="77777777" w:rsidR="001B4846" w:rsidRPr="001B4846" w:rsidRDefault="001B4846" w:rsidP="001B484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1B4846" w:rsidRPr="001B4846" w14:paraId="20CA8A73"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6A130E9B"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Debt to Equity Ratio</w:t>
            </w:r>
          </w:p>
        </w:tc>
        <w:tc>
          <w:tcPr>
            <w:tcW w:w="1689" w:type="pct"/>
            <w:noWrap/>
            <w:hideMark/>
          </w:tcPr>
          <w:p w14:paraId="782439CE"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2022</w:t>
            </w:r>
          </w:p>
        </w:tc>
      </w:tr>
      <w:tr w:rsidR="001B4846" w:rsidRPr="001B4846" w14:paraId="02263FBC"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152E25F0"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Total Debt</w:t>
            </w:r>
          </w:p>
        </w:tc>
        <w:tc>
          <w:tcPr>
            <w:tcW w:w="1689" w:type="pct"/>
            <w:noWrap/>
            <w:hideMark/>
          </w:tcPr>
          <w:p w14:paraId="26721898"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400000</w:t>
            </w:r>
          </w:p>
        </w:tc>
      </w:tr>
      <w:tr w:rsidR="001B4846" w:rsidRPr="001B4846" w14:paraId="171BE35D"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1067D1D6"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lastRenderedPageBreak/>
              <w:t>Total Equity</w:t>
            </w:r>
          </w:p>
        </w:tc>
        <w:tc>
          <w:tcPr>
            <w:tcW w:w="1689" w:type="pct"/>
            <w:noWrap/>
            <w:hideMark/>
          </w:tcPr>
          <w:p w14:paraId="79E9BD9B"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450000</w:t>
            </w:r>
          </w:p>
        </w:tc>
      </w:tr>
      <w:tr w:rsidR="001B4846" w:rsidRPr="001B4846" w14:paraId="241DCEA5"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23EE2A99"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02E4F1D3"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0.89</w:t>
            </w:r>
          </w:p>
        </w:tc>
      </w:tr>
      <w:tr w:rsidR="001B4846" w:rsidRPr="001B4846" w14:paraId="0324EAF0"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268D631E"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192031D8" w14:textId="77777777" w:rsidR="001B4846" w:rsidRPr="001B4846" w:rsidRDefault="001B4846" w:rsidP="001B4846">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 w:val="20"/>
                <w:szCs w:val="20"/>
                <w:lang w:eastAsia="en-IN"/>
              </w:rPr>
            </w:pPr>
          </w:p>
        </w:tc>
      </w:tr>
      <w:tr w:rsidR="001B4846" w:rsidRPr="001B4846" w14:paraId="5D3ADDC5"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3A55A6E5"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Return on Assets</w:t>
            </w:r>
          </w:p>
        </w:tc>
        <w:tc>
          <w:tcPr>
            <w:tcW w:w="1689" w:type="pct"/>
            <w:noWrap/>
            <w:hideMark/>
          </w:tcPr>
          <w:p w14:paraId="02F07165"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2022</w:t>
            </w:r>
          </w:p>
        </w:tc>
      </w:tr>
      <w:tr w:rsidR="001B4846" w:rsidRPr="001B4846" w14:paraId="003A2D24"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365AC39C"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Net Profits</w:t>
            </w:r>
          </w:p>
        </w:tc>
        <w:tc>
          <w:tcPr>
            <w:tcW w:w="1689" w:type="pct"/>
            <w:noWrap/>
            <w:hideMark/>
          </w:tcPr>
          <w:p w14:paraId="530EF783"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-47500</w:t>
            </w:r>
          </w:p>
        </w:tc>
      </w:tr>
      <w:tr w:rsidR="001B4846" w:rsidRPr="001B4846" w14:paraId="3D8970FE"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52E27BAB"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Total Assets</w:t>
            </w:r>
          </w:p>
        </w:tc>
        <w:tc>
          <w:tcPr>
            <w:tcW w:w="1689" w:type="pct"/>
            <w:noWrap/>
            <w:hideMark/>
          </w:tcPr>
          <w:p w14:paraId="55AF34CD"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1030000</w:t>
            </w:r>
          </w:p>
        </w:tc>
      </w:tr>
      <w:tr w:rsidR="001B4846" w:rsidRPr="001B4846" w14:paraId="4810CCC4"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5CC095EA"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63442373"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-4.61%</w:t>
            </w:r>
          </w:p>
        </w:tc>
      </w:tr>
      <w:tr w:rsidR="001B4846" w:rsidRPr="001B4846" w14:paraId="732F4B17"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478C5AD0"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6E84AEB5" w14:textId="77777777" w:rsidR="001B4846" w:rsidRPr="001B4846" w:rsidRDefault="001B4846" w:rsidP="001B4846">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 w:val="20"/>
                <w:szCs w:val="20"/>
                <w:lang w:eastAsia="en-IN"/>
              </w:rPr>
            </w:pPr>
          </w:p>
        </w:tc>
      </w:tr>
      <w:tr w:rsidR="001B4846" w:rsidRPr="001B4846" w14:paraId="648697B6"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78609C93"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Return on Equity</w:t>
            </w:r>
          </w:p>
        </w:tc>
        <w:tc>
          <w:tcPr>
            <w:tcW w:w="1689" w:type="pct"/>
            <w:noWrap/>
            <w:hideMark/>
          </w:tcPr>
          <w:p w14:paraId="2D63B0E9"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2022</w:t>
            </w:r>
          </w:p>
        </w:tc>
      </w:tr>
      <w:tr w:rsidR="001B4846" w:rsidRPr="001B4846" w14:paraId="298B5429"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1A76FC62"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Net Profits</w:t>
            </w:r>
          </w:p>
        </w:tc>
        <w:tc>
          <w:tcPr>
            <w:tcW w:w="1689" w:type="pct"/>
            <w:noWrap/>
            <w:hideMark/>
          </w:tcPr>
          <w:p w14:paraId="61BCF838"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-47500</w:t>
            </w:r>
          </w:p>
        </w:tc>
      </w:tr>
      <w:tr w:rsidR="001B4846" w:rsidRPr="001B4846" w14:paraId="64EB2D0B" w14:textId="77777777" w:rsidTr="001B4846">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61287E3C" w14:textId="77777777" w:rsidR="001B4846" w:rsidRPr="001B4846" w:rsidRDefault="001B4846" w:rsidP="001B4846">
            <w:pPr>
              <w:spacing w:line="240" w:lineRule="auto"/>
              <w:jc w:val="left"/>
              <w:rPr>
                <w:rFonts w:eastAsia="Times New Roman" w:cs="Times New Roman"/>
                <w:color w:val="000000"/>
                <w:szCs w:val="24"/>
                <w:lang w:eastAsia="en-IN"/>
              </w:rPr>
            </w:pPr>
            <w:r w:rsidRPr="001B4846">
              <w:rPr>
                <w:rFonts w:eastAsia="Times New Roman" w:cs="Times New Roman"/>
                <w:color w:val="000000"/>
                <w:szCs w:val="24"/>
                <w:lang w:eastAsia="en-IN"/>
              </w:rPr>
              <w:t>Total Equity</w:t>
            </w:r>
          </w:p>
        </w:tc>
        <w:tc>
          <w:tcPr>
            <w:tcW w:w="1689" w:type="pct"/>
            <w:noWrap/>
            <w:hideMark/>
          </w:tcPr>
          <w:p w14:paraId="697FBFBA" w14:textId="77777777" w:rsidR="001B4846" w:rsidRPr="001B4846" w:rsidRDefault="001B4846" w:rsidP="001B4846">
            <w:pPr>
              <w:spacing w:line="240" w:lineRule="auto"/>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450000</w:t>
            </w:r>
          </w:p>
        </w:tc>
      </w:tr>
      <w:tr w:rsidR="001B4846" w:rsidRPr="001B4846" w14:paraId="2FAF5EAB" w14:textId="77777777" w:rsidTr="001B4846">
        <w:trPr>
          <w:trHeight w:val="315"/>
        </w:trPr>
        <w:tc>
          <w:tcPr>
            <w:cnfStyle w:val="001000000000" w:firstRow="0" w:lastRow="0" w:firstColumn="1" w:lastColumn="0" w:oddVBand="0" w:evenVBand="0" w:oddHBand="0" w:evenHBand="0" w:firstRowFirstColumn="0" w:firstRowLastColumn="0" w:lastRowFirstColumn="0" w:lastRowLastColumn="0"/>
            <w:tcW w:w="3311" w:type="pct"/>
            <w:noWrap/>
            <w:hideMark/>
          </w:tcPr>
          <w:p w14:paraId="2D2BDD1C" w14:textId="77777777" w:rsidR="001B4846" w:rsidRPr="001B4846" w:rsidRDefault="001B4846" w:rsidP="001B4846">
            <w:pPr>
              <w:spacing w:line="240" w:lineRule="auto"/>
              <w:jc w:val="right"/>
              <w:rPr>
                <w:rFonts w:eastAsia="Times New Roman" w:cs="Times New Roman"/>
                <w:color w:val="000000"/>
                <w:szCs w:val="24"/>
                <w:lang w:eastAsia="en-IN"/>
              </w:rPr>
            </w:pPr>
          </w:p>
        </w:tc>
        <w:tc>
          <w:tcPr>
            <w:tcW w:w="1689" w:type="pct"/>
            <w:noWrap/>
            <w:hideMark/>
          </w:tcPr>
          <w:p w14:paraId="06CE340C" w14:textId="77777777" w:rsidR="001B4846" w:rsidRPr="001B4846" w:rsidRDefault="001B4846" w:rsidP="001B4846">
            <w:pPr>
              <w:spacing w:line="240" w:lineRule="auto"/>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Cs w:val="24"/>
                <w:lang w:eastAsia="en-IN"/>
              </w:rPr>
            </w:pPr>
            <w:r w:rsidRPr="001B4846">
              <w:rPr>
                <w:rFonts w:eastAsia="Times New Roman" w:cs="Times New Roman"/>
                <w:color w:val="000000"/>
                <w:szCs w:val="24"/>
                <w:lang w:eastAsia="en-IN"/>
              </w:rPr>
              <w:t>-0.1056</w:t>
            </w:r>
          </w:p>
        </w:tc>
      </w:tr>
    </w:tbl>
    <w:p w14:paraId="1098A33E" w14:textId="39C8464D" w:rsidR="001B4846" w:rsidRDefault="001B4846" w:rsidP="00004F75"/>
    <w:p w14:paraId="533DBB55" w14:textId="01166E76" w:rsidR="000E3DB1" w:rsidRDefault="000E3DB1" w:rsidP="00CE75DE">
      <w:pPr>
        <w:ind w:firstLine="720"/>
      </w:pPr>
      <w:r>
        <w:t xml:space="preserve">The ratio analysis conducted for Seaview Resort shows that current ratio of the business has stood 1.39 times in the year 2022. The business will be able to pay its short-term debt obligations that would be falling due inside the span of 12 months period. Meanwhile, the quick ratio for Seaview Resort has stood 0.83 in 2022. The quick ratio of Seaview Resort has been below the standard rule of 1.00 and the business will struggle to pay </w:t>
      </w:r>
      <w:r w:rsidR="00B910E5">
        <w:t>debt obligations that are falling due inside the span of three months</w:t>
      </w:r>
      <w:r w:rsidR="00D12A2A">
        <w:t xml:space="preserve"> (</w:t>
      </w:r>
      <w:r w:rsidR="00D12A2A" w:rsidRPr="00D954F8">
        <w:rPr>
          <w:shd w:val="clear" w:color="auto" w:fill="FFFFFF"/>
        </w:rPr>
        <w:t>Serra-Cantallops</w:t>
      </w:r>
      <w:r w:rsidR="00D12A2A">
        <w:rPr>
          <w:shd w:val="clear" w:color="auto" w:fill="FFFFFF"/>
        </w:rPr>
        <w:t xml:space="preserve"> et al. 2018</w:t>
      </w:r>
      <w:r w:rsidR="00D12A2A">
        <w:t>)</w:t>
      </w:r>
      <w:r w:rsidR="00B910E5">
        <w:t xml:space="preserve">. As a result, Seaview Resort will be forced to sell its capital assets to pay quick debt obligations. </w:t>
      </w:r>
    </w:p>
    <w:p w14:paraId="58D4468E" w14:textId="70F60D0F" w:rsidR="00B910E5" w:rsidRDefault="00B910E5" w:rsidP="00CE75DE">
      <w:pPr>
        <w:ind w:firstLine="720"/>
      </w:pPr>
      <w:r>
        <w:t>The debt-to-equity ratio of Seaview Resort has stood 0.89 in 2022. This implies that Seaview Resort has very higher level of debt as compared to its equity</w:t>
      </w:r>
      <w:r w:rsidR="00D12A2A">
        <w:t xml:space="preserve"> (</w:t>
      </w:r>
      <w:r w:rsidR="00D12A2A" w:rsidRPr="00D954F8">
        <w:rPr>
          <w:shd w:val="clear" w:color="auto" w:fill="FFFFFF"/>
        </w:rPr>
        <w:t>Wan, Chan and Huang 2017</w:t>
      </w:r>
      <w:r w:rsidR="00D12A2A">
        <w:t>)</w:t>
      </w:r>
      <w:r>
        <w:t xml:space="preserve">. The return on assets of Seaview Resort in the year 2022 stood negatively at (4.61). The negative return on asset is an indication that Seaview Resort is not effectively managing its assets to produce greater level of income and the company is not favourable for the investors to make investment. </w:t>
      </w:r>
    </w:p>
    <w:p w14:paraId="1E3DDF87" w14:textId="10887B56" w:rsidR="00B910E5" w:rsidRDefault="00B910E5" w:rsidP="00CE75DE">
      <w:pPr>
        <w:ind w:firstLine="720"/>
      </w:pPr>
      <w:r>
        <w:t xml:space="preserve">The return on equity is regarded as a </w:t>
      </w:r>
      <w:r w:rsidR="00CE75DE">
        <w:t>profitability ratio</w:t>
      </w:r>
      <w:r>
        <w:t xml:space="preserve"> </w:t>
      </w:r>
      <w:r w:rsidR="00CE75DE">
        <w:t xml:space="preserve">which is used in measuring the ability of a company to produce profits from the investment made by the shareholders in company. The return on equity reported by Seaview Resort stands negatively at -10.6%. The negative return on equity is an indication that the company is not making an effective use </w:t>
      </w:r>
      <w:r w:rsidR="00CE75DE">
        <w:lastRenderedPageBreak/>
        <w:t xml:space="preserve">shareholders fund and Seaview is currently struggling to maintaining a positive trend in its income.  </w:t>
      </w:r>
    </w:p>
    <w:p w14:paraId="5EF05C92" w14:textId="1625CD50" w:rsidR="0078514C" w:rsidRDefault="0078514C" w:rsidP="001F7694">
      <w:pPr>
        <w:pStyle w:val="Heading1"/>
      </w:pPr>
      <w:bookmarkStart w:id="8" w:name="_Toc150870933"/>
      <w:r>
        <w:t>SWOT Analysis:</w:t>
      </w:r>
      <w:bookmarkEnd w:id="8"/>
      <w:r>
        <w:t xml:space="preserve"> </w:t>
      </w:r>
    </w:p>
    <w:p w14:paraId="43423288" w14:textId="4F6D14A5" w:rsidR="0078514C" w:rsidRDefault="0078514C" w:rsidP="0078514C">
      <w:r>
        <w:t xml:space="preserve">The SWOT analysis of Seaview Resort is given below in tabular format </w:t>
      </w:r>
    </w:p>
    <w:tbl>
      <w:tblPr>
        <w:tblStyle w:val="TableGrid"/>
        <w:tblW w:w="0" w:type="auto"/>
        <w:tblLook w:val="04A0" w:firstRow="1" w:lastRow="0" w:firstColumn="1" w:lastColumn="0" w:noHBand="0" w:noVBand="1"/>
      </w:tblPr>
      <w:tblGrid>
        <w:gridCol w:w="4508"/>
        <w:gridCol w:w="4508"/>
      </w:tblGrid>
      <w:tr w:rsidR="0078514C" w14:paraId="17826381" w14:textId="77777777" w:rsidTr="0078514C">
        <w:tc>
          <w:tcPr>
            <w:tcW w:w="4508" w:type="dxa"/>
          </w:tcPr>
          <w:p w14:paraId="683FD08E" w14:textId="77777777" w:rsidR="0078514C" w:rsidRPr="001F7694" w:rsidRDefault="0078514C" w:rsidP="0078514C">
            <w:pPr>
              <w:rPr>
                <w:b/>
                <w:bCs/>
              </w:rPr>
            </w:pPr>
            <w:r w:rsidRPr="001F7694">
              <w:rPr>
                <w:b/>
                <w:bCs/>
              </w:rPr>
              <w:t xml:space="preserve">Strength </w:t>
            </w:r>
          </w:p>
          <w:p w14:paraId="6C55623F" w14:textId="11A116EC" w:rsidR="00F24C53" w:rsidRDefault="00F24C53" w:rsidP="00F24C53">
            <w:pPr>
              <w:pStyle w:val="ListParagraph"/>
              <w:numPr>
                <w:ilvl w:val="0"/>
                <w:numId w:val="1"/>
              </w:numPr>
            </w:pPr>
            <w:r>
              <w:t xml:space="preserve">Seaview Resort is located at a very unique picturesque location that has stunning views and it also has serene environment </w:t>
            </w:r>
            <w:r w:rsidR="00BD6868">
              <w:t>to provide guest with memorable and immersive experience</w:t>
            </w:r>
            <w:r w:rsidR="00D12A2A">
              <w:t xml:space="preserve"> (</w:t>
            </w:r>
            <w:r w:rsidR="00D12A2A" w:rsidRPr="00D954F8">
              <w:rPr>
                <w:shd w:val="clear" w:color="auto" w:fill="FFFFFF"/>
              </w:rPr>
              <w:t>Kumar, Chen and Campos 2022</w:t>
            </w:r>
            <w:r w:rsidR="00D12A2A">
              <w:t>)</w:t>
            </w:r>
            <w:r w:rsidR="00BD6868">
              <w:t xml:space="preserve">. </w:t>
            </w:r>
          </w:p>
          <w:p w14:paraId="4BC653FB" w14:textId="77777777" w:rsidR="00BD6868" w:rsidRDefault="00BD6868" w:rsidP="00F24C53">
            <w:pPr>
              <w:pStyle w:val="ListParagraph"/>
              <w:numPr>
                <w:ilvl w:val="0"/>
                <w:numId w:val="1"/>
              </w:numPr>
            </w:pPr>
            <w:r>
              <w:t xml:space="preserve">Seaview Resort has a strong reputation for providing exceptional service and satisfaction to guests to improve the brand loyalty and encourage repeated business. </w:t>
            </w:r>
          </w:p>
          <w:p w14:paraId="581A00C3" w14:textId="719F7149" w:rsidR="00BD6868" w:rsidRDefault="00BD6868" w:rsidP="00F24C53">
            <w:pPr>
              <w:pStyle w:val="ListParagraph"/>
              <w:numPr>
                <w:ilvl w:val="0"/>
                <w:numId w:val="1"/>
              </w:numPr>
            </w:pPr>
            <w:r>
              <w:t>Seaview Resort has luxury accommodations, fine dining and recreational activities for its guests to form an all-encompassing guest experience.</w:t>
            </w:r>
          </w:p>
        </w:tc>
        <w:tc>
          <w:tcPr>
            <w:tcW w:w="4508" w:type="dxa"/>
          </w:tcPr>
          <w:p w14:paraId="3C0ED444" w14:textId="77777777" w:rsidR="0078514C" w:rsidRPr="001F7694" w:rsidRDefault="0078514C" w:rsidP="0078514C">
            <w:pPr>
              <w:rPr>
                <w:b/>
                <w:bCs/>
              </w:rPr>
            </w:pPr>
            <w:r w:rsidRPr="001F7694">
              <w:rPr>
                <w:b/>
                <w:bCs/>
              </w:rPr>
              <w:t xml:space="preserve">Weakness </w:t>
            </w:r>
          </w:p>
          <w:p w14:paraId="7384A1DE" w14:textId="77777777" w:rsidR="00BD6868" w:rsidRDefault="00BD6868" w:rsidP="00BD6868">
            <w:pPr>
              <w:pStyle w:val="ListParagraph"/>
              <w:numPr>
                <w:ilvl w:val="0"/>
                <w:numId w:val="2"/>
              </w:numPr>
            </w:pPr>
            <w:r>
              <w:t xml:space="preserve">The Seaview Resort is located in a very seasonal destinations and it may suffer fluctuations in revenue and occupancy during lean time. </w:t>
            </w:r>
          </w:p>
          <w:p w14:paraId="64143A67" w14:textId="6DC6DDBD" w:rsidR="00BD6868" w:rsidRDefault="00BD6868" w:rsidP="00BD6868">
            <w:pPr>
              <w:pStyle w:val="ListParagraph"/>
              <w:numPr>
                <w:ilvl w:val="0"/>
                <w:numId w:val="2"/>
              </w:numPr>
            </w:pPr>
            <w:r>
              <w:t xml:space="preserve">Seaview Resort has to incur higher operating costs to maintain amenities, staff and facilities at resort. This can affect the profitability. </w:t>
            </w:r>
          </w:p>
          <w:p w14:paraId="789C1945" w14:textId="52926D7E" w:rsidR="00BD6868" w:rsidRDefault="00BD6868" w:rsidP="00BD6868">
            <w:pPr>
              <w:pStyle w:val="ListParagraph"/>
              <w:numPr>
                <w:ilvl w:val="0"/>
                <w:numId w:val="2"/>
              </w:numPr>
            </w:pPr>
            <w:r>
              <w:t>Changes in preference of travel among guests and trends can create an impact on bookings made by guests and overall performance of resort.</w:t>
            </w:r>
          </w:p>
        </w:tc>
      </w:tr>
      <w:tr w:rsidR="0078514C" w14:paraId="03DA6D03" w14:textId="77777777" w:rsidTr="0078514C">
        <w:tc>
          <w:tcPr>
            <w:tcW w:w="4508" w:type="dxa"/>
          </w:tcPr>
          <w:p w14:paraId="7FC9091E" w14:textId="77777777" w:rsidR="0078514C" w:rsidRPr="001F7694" w:rsidRDefault="0078514C" w:rsidP="0078514C">
            <w:pPr>
              <w:rPr>
                <w:b/>
                <w:bCs/>
              </w:rPr>
            </w:pPr>
            <w:r w:rsidRPr="001F7694">
              <w:rPr>
                <w:b/>
                <w:bCs/>
              </w:rPr>
              <w:t xml:space="preserve">Opportunities </w:t>
            </w:r>
          </w:p>
          <w:p w14:paraId="5F060C6A" w14:textId="77777777" w:rsidR="00BD6868" w:rsidRDefault="00BD6868" w:rsidP="00BD6868">
            <w:pPr>
              <w:pStyle w:val="ListParagraph"/>
              <w:numPr>
                <w:ilvl w:val="0"/>
                <w:numId w:val="3"/>
              </w:numPr>
            </w:pPr>
            <w:r>
              <w:lastRenderedPageBreak/>
              <w:t xml:space="preserve">Seaview Resort can reposition the resort so that it can attract new other segments such as adventure enthusiasts, wellness travellers and families to increase the consumer base. </w:t>
            </w:r>
          </w:p>
          <w:p w14:paraId="3CA398D6" w14:textId="64F5AD89" w:rsidR="00BD6868" w:rsidRDefault="00BD6868" w:rsidP="00BD6868">
            <w:pPr>
              <w:pStyle w:val="ListParagraph"/>
              <w:numPr>
                <w:ilvl w:val="0"/>
                <w:numId w:val="3"/>
              </w:numPr>
            </w:pPr>
            <w:r>
              <w:t>Implementing the eco-friendly initiatives and sustainable practices as this will help in appealing environmentally conscious travellers and improve the image of resort</w:t>
            </w:r>
            <w:r w:rsidR="00D12A2A">
              <w:t xml:space="preserve"> (</w:t>
            </w:r>
            <w:r w:rsidR="00D12A2A" w:rsidRPr="00D954F8">
              <w:rPr>
                <w:shd w:val="clear" w:color="auto" w:fill="FFFFFF"/>
              </w:rPr>
              <w:t>Alrawadieh, Alrawadieh and Cetin 2021</w:t>
            </w:r>
            <w:r w:rsidR="00D12A2A">
              <w:t>)</w:t>
            </w:r>
            <w:r>
              <w:t xml:space="preserve">. </w:t>
            </w:r>
          </w:p>
          <w:p w14:paraId="00301406" w14:textId="6E75E04E" w:rsidR="00BD6868" w:rsidRDefault="00BD6868" w:rsidP="00BD6868">
            <w:pPr>
              <w:pStyle w:val="ListParagraph"/>
              <w:numPr>
                <w:ilvl w:val="0"/>
                <w:numId w:val="3"/>
              </w:numPr>
            </w:pPr>
            <w:r>
              <w:t xml:space="preserve">Seaview Resort can collaborate with local businesses and offer its customers with unique local experiences as this will help in providing guests with reliable as well as enriching stay. </w:t>
            </w:r>
          </w:p>
        </w:tc>
        <w:tc>
          <w:tcPr>
            <w:tcW w:w="4508" w:type="dxa"/>
          </w:tcPr>
          <w:p w14:paraId="7AB3D781" w14:textId="77777777" w:rsidR="0078514C" w:rsidRPr="001F7694" w:rsidRDefault="0078514C" w:rsidP="0078514C">
            <w:pPr>
              <w:rPr>
                <w:b/>
                <w:bCs/>
              </w:rPr>
            </w:pPr>
            <w:r w:rsidRPr="001F7694">
              <w:rPr>
                <w:b/>
                <w:bCs/>
              </w:rPr>
              <w:lastRenderedPageBreak/>
              <w:t xml:space="preserve">Threats </w:t>
            </w:r>
          </w:p>
          <w:p w14:paraId="58938087" w14:textId="77777777" w:rsidR="00102F18" w:rsidRDefault="00BD6868" w:rsidP="00BD6868">
            <w:pPr>
              <w:pStyle w:val="ListParagraph"/>
              <w:numPr>
                <w:ilvl w:val="0"/>
                <w:numId w:val="4"/>
              </w:numPr>
            </w:pPr>
            <w:r>
              <w:lastRenderedPageBreak/>
              <w:t xml:space="preserve">The economic uncertainties can negatively create an impact on travellers that follow budgets. This may result in reduced bookings from guests and </w:t>
            </w:r>
            <w:r w:rsidR="00102F18">
              <w:t xml:space="preserve">lesser revenue. </w:t>
            </w:r>
          </w:p>
          <w:p w14:paraId="4F7CDA95" w14:textId="13AB966B" w:rsidR="00BD6868" w:rsidRDefault="00102F18" w:rsidP="00BD6868">
            <w:pPr>
              <w:pStyle w:val="ListParagraph"/>
              <w:numPr>
                <w:ilvl w:val="0"/>
                <w:numId w:val="4"/>
              </w:numPr>
            </w:pPr>
            <w:r>
              <w:t xml:space="preserve">Any kind of changes in local regulations or policies from government can negatively create an impact on the operation of resort and experience of guests. </w:t>
            </w:r>
            <w:r w:rsidR="00BD6868">
              <w:t xml:space="preserve"> </w:t>
            </w:r>
          </w:p>
        </w:tc>
      </w:tr>
    </w:tbl>
    <w:p w14:paraId="26BDD981" w14:textId="38B63E8B" w:rsidR="0078514C" w:rsidRDefault="0078514C" w:rsidP="0078514C"/>
    <w:p w14:paraId="428A32C3" w14:textId="09E4DC74" w:rsidR="00102F18" w:rsidRDefault="00102F18" w:rsidP="001F7694">
      <w:pPr>
        <w:pStyle w:val="Heading1"/>
      </w:pPr>
      <w:bookmarkStart w:id="9" w:name="_Toc150870934"/>
      <w:r>
        <w:t>Market Analysis:</w:t>
      </w:r>
      <w:bookmarkEnd w:id="9"/>
      <w:r>
        <w:t xml:space="preserve"> </w:t>
      </w:r>
    </w:p>
    <w:p w14:paraId="3B79B904" w14:textId="7CB4BBFB" w:rsidR="00102F18" w:rsidRDefault="00102F18" w:rsidP="001F7694">
      <w:pPr>
        <w:ind w:firstLine="720"/>
      </w:pPr>
      <w:r>
        <w:t xml:space="preserve">The global hospitality market has witnessed growth from $4,390.59 billion in the year 2022 to $4,699 billion in the year 2023 at a CAGR rate of 7.00%. The hospitality market is anticipated to rise to $4,816 billion in the year 2027 based on the CAGR of 5.5%. The growth in hospitality industry is largely aided by economic growth that is projected in majority of </w:t>
      </w:r>
      <w:r>
        <w:lastRenderedPageBreak/>
        <w:t>developed and developing nations</w:t>
      </w:r>
      <w:r w:rsidR="00D12A2A">
        <w:t xml:space="preserve"> (</w:t>
      </w:r>
      <w:r w:rsidR="00D12A2A" w:rsidRPr="00D954F8">
        <w:rPr>
          <w:shd w:val="clear" w:color="auto" w:fill="FFFFFF"/>
        </w:rPr>
        <w:t>Finkler, Calabrese and Smith 2022</w:t>
      </w:r>
      <w:r w:rsidR="00D12A2A">
        <w:t>)</w:t>
      </w:r>
      <w:r>
        <w:t xml:space="preserve">. As per the IMF, globally GDP has grown by 3.3% in 2020 and 3.4% in the year 2021. </w:t>
      </w:r>
    </w:p>
    <w:p w14:paraId="2BE9F16F" w14:textId="57CFF943" w:rsidR="00102F18" w:rsidRDefault="00102F18" w:rsidP="001F7694">
      <w:pPr>
        <w:ind w:firstLine="720"/>
      </w:pPr>
      <w:r>
        <w:t>The recovery of commodity prices following significant fall in historic period is further anticipated to help the market growth. The developed countries are anticipated to record growth throughout the projected period. Furthermore, the emerging market is anticipated to grow slightly quicker than the developed market under the projected period. Therefore, steady economic growth is anticipated to drive the market throughout the projected period</w:t>
      </w:r>
      <w:r w:rsidR="00D12A2A">
        <w:t xml:space="preserve"> (</w:t>
      </w:r>
      <w:r w:rsidR="00D12A2A" w:rsidRPr="00D954F8">
        <w:rPr>
          <w:shd w:val="clear" w:color="auto" w:fill="FFFFFF"/>
        </w:rPr>
        <w:t>Pawlicz and Napierala 2017</w:t>
      </w:r>
      <w:r w:rsidR="00D12A2A">
        <w:t>)</w:t>
      </w:r>
      <w:r>
        <w:t xml:space="preserve">. </w:t>
      </w:r>
      <w:r w:rsidR="00F14E69">
        <w:t xml:space="preserve">The target customers for hotel industry comprises of families, business travellers, solo travellers, retirees, medical tourists, couples, backpackers and adventures. The hospitality industry also target travellers on the basis of demographics, involving age, gender, income level and other individual characteristics. </w:t>
      </w:r>
    </w:p>
    <w:p w14:paraId="27DDD3A0" w14:textId="7CD94222" w:rsidR="00F14E69" w:rsidRDefault="00F14E69" w:rsidP="001F7694">
      <w:pPr>
        <w:pStyle w:val="Heading1"/>
      </w:pPr>
      <w:bookmarkStart w:id="10" w:name="_Toc150870935"/>
      <w:r>
        <w:t>Turnaround strategy:</w:t>
      </w:r>
      <w:bookmarkEnd w:id="10"/>
      <w:r>
        <w:t xml:space="preserve"> </w:t>
      </w:r>
    </w:p>
    <w:p w14:paraId="35CAFA94" w14:textId="60C438F3" w:rsidR="00F14E69" w:rsidRDefault="00F14E69" w:rsidP="0078514C">
      <w:r>
        <w:t xml:space="preserve">The turnaround strategy for suggested to Seaview Resort are as follows; </w:t>
      </w:r>
    </w:p>
    <w:p w14:paraId="62C9B9F0" w14:textId="52F7585B" w:rsidR="00F14E69" w:rsidRDefault="00F14E69" w:rsidP="00F14E69">
      <w:pPr>
        <w:pStyle w:val="ListParagraph"/>
        <w:numPr>
          <w:ilvl w:val="0"/>
          <w:numId w:val="5"/>
        </w:numPr>
      </w:pPr>
      <w:r w:rsidRPr="001F7694">
        <w:rPr>
          <w:b/>
          <w:bCs/>
        </w:rPr>
        <w:t>Making investment in automation and streamlining the procedures</w:t>
      </w:r>
      <w:r>
        <w:t>: Seaview Resort is recommended to implemented a customer relationship management so that it can operate in a seamless way while engaging with guests</w:t>
      </w:r>
      <w:r w:rsidR="00D12A2A">
        <w:t xml:space="preserve"> (</w:t>
      </w:r>
      <w:r w:rsidR="00D12A2A" w:rsidRPr="00D954F8">
        <w:rPr>
          <w:shd w:val="clear" w:color="auto" w:fill="FFFFFF"/>
        </w:rPr>
        <w:t>Radojevic, Stanisic and Stanic 2017</w:t>
      </w:r>
      <w:r w:rsidR="00D12A2A">
        <w:t>)</w:t>
      </w:r>
      <w:r>
        <w:t xml:space="preserve">. The CRM software will allow Seaview Resort to keep electronic profiles of guests that comprises of keeping track of guests reviews. </w:t>
      </w:r>
    </w:p>
    <w:p w14:paraId="1DC2887B" w14:textId="200DD3F2" w:rsidR="00F14E69" w:rsidRDefault="00F14E69" w:rsidP="00F14E69">
      <w:pPr>
        <w:pStyle w:val="ListParagraph"/>
        <w:numPr>
          <w:ilvl w:val="0"/>
          <w:numId w:val="5"/>
        </w:numPr>
      </w:pPr>
      <w:r w:rsidRPr="001F7694">
        <w:rPr>
          <w:b/>
          <w:bCs/>
        </w:rPr>
        <w:t>Cutting down unwanted expenses:</w:t>
      </w:r>
      <w:r>
        <w:t xml:space="preserve"> Seaview Resort should cut down its unnecessary operational expenses. At first, Seaview Resort must prioritize costs and it should cut down those items that falls at the bottom of lists</w:t>
      </w:r>
      <w:r w:rsidR="00D12A2A">
        <w:t xml:space="preserve"> (</w:t>
      </w:r>
      <w:r w:rsidR="00D12A2A" w:rsidRPr="00D954F8">
        <w:rPr>
          <w:shd w:val="clear" w:color="auto" w:fill="FFFFFF"/>
        </w:rPr>
        <w:t>Ozdemir</w:t>
      </w:r>
      <w:r w:rsidR="00D12A2A">
        <w:rPr>
          <w:shd w:val="clear" w:color="auto" w:fill="FFFFFF"/>
        </w:rPr>
        <w:t xml:space="preserve"> et al. 2022</w:t>
      </w:r>
      <w:r w:rsidR="00D12A2A">
        <w:t>)</w:t>
      </w:r>
      <w:r>
        <w:t xml:space="preserve">. Seaview Resort is also recommended to provide cross-training to its existing staff members during financially challenging times as precaution to manage future short supply of staffs. </w:t>
      </w:r>
    </w:p>
    <w:p w14:paraId="1A6EAFF7" w14:textId="48BEDC90" w:rsidR="00F14E69" w:rsidRDefault="00F14E69" w:rsidP="00F14E69">
      <w:pPr>
        <w:pStyle w:val="ListParagraph"/>
        <w:numPr>
          <w:ilvl w:val="0"/>
          <w:numId w:val="5"/>
        </w:numPr>
      </w:pPr>
      <w:r w:rsidRPr="001F7694">
        <w:rPr>
          <w:b/>
          <w:bCs/>
        </w:rPr>
        <w:lastRenderedPageBreak/>
        <w:t>Improving the demand forecasting:</w:t>
      </w:r>
      <w:r>
        <w:t xml:space="preserve"> Seaview Resort managers should be on top level to manage or forecast the demand as a notable part of budget planning. Seaview Resort managers should be in touch with those metrics which are highly valuable</w:t>
      </w:r>
      <w:r w:rsidR="00520F39">
        <w:t xml:space="preserve">. Seaview Resort can achieve accuracy by accurately forecasting from the past experience and assessment of historical data. </w:t>
      </w:r>
    </w:p>
    <w:p w14:paraId="5D2062C4" w14:textId="3D98889E" w:rsidR="00520F39" w:rsidRDefault="00520F39" w:rsidP="00F14E69">
      <w:pPr>
        <w:pStyle w:val="ListParagraph"/>
        <w:numPr>
          <w:ilvl w:val="0"/>
          <w:numId w:val="5"/>
        </w:numPr>
      </w:pPr>
      <w:r w:rsidRPr="001F7694">
        <w:rPr>
          <w:b/>
          <w:bCs/>
        </w:rPr>
        <w:t>Implementing low season tactics:</w:t>
      </w:r>
      <w:r>
        <w:t xml:space="preserve"> Seaview Resort should implement correct tactics such as providing huge discounts during low seasons to revamp the bookings</w:t>
      </w:r>
      <w:r w:rsidR="00D12A2A">
        <w:t xml:space="preserve"> (</w:t>
      </w:r>
      <w:r w:rsidR="00D12A2A" w:rsidRPr="00D954F8">
        <w:rPr>
          <w:shd w:val="clear" w:color="auto" w:fill="FFFFFF"/>
        </w:rPr>
        <w:t>Antonova, Ruiz-Rosa and Mendoza-Jimenez 2021</w:t>
      </w:r>
      <w:r w:rsidR="00D12A2A">
        <w:t>)</w:t>
      </w:r>
      <w:r>
        <w:t xml:space="preserve">. Implementing smart ideas through planning and </w:t>
      </w:r>
      <w:r w:rsidR="00C016DF">
        <w:t>innovative thinking</w:t>
      </w:r>
      <w:r>
        <w:t xml:space="preserve"> can help in attracting more number of guests during off-season.</w:t>
      </w:r>
    </w:p>
    <w:p w14:paraId="11DB6F41" w14:textId="6688DB34" w:rsidR="00520F39" w:rsidRDefault="00520F39" w:rsidP="001F7694">
      <w:pPr>
        <w:pStyle w:val="Heading1"/>
      </w:pPr>
      <w:bookmarkStart w:id="11" w:name="_Toc150870936"/>
      <w:r>
        <w:t>Financial Projections</w:t>
      </w:r>
      <w:bookmarkEnd w:id="11"/>
    </w:p>
    <w:p w14:paraId="2B4E4843" w14:textId="48E7F590" w:rsidR="001F7694" w:rsidRDefault="001F7694" w:rsidP="001F7694">
      <w:pPr>
        <w:pStyle w:val="Heading2"/>
      </w:pPr>
      <w:bookmarkStart w:id="12" w:name="_Toc150870937"/>
      <w:r>
        <w:t>Profit and Loss Statement:</w:t>
      </w:r>
      <w:bookmarkEnd w:id="12"/>
      <w:r>
        <w:t xml:space="preserve"> </w:t>
      </w:r>
    </w:p>
    <w:p w14:paraId="05C46471" w14:textId="25C91103" w:rsidR="001F7694" w:rsidRDefault="001F7694" w:rsidP="00520F39">
      <w:r w:rsidRPr="001F7694">
        <w:rPr>
          <w:noProof/>
        </w:rPr>
        <w:lastRenderedPageBreak/>
        <w:drawing>
          <wp:inline distT="0" distB="0" distL="0" distR="0" wp14:anchorId="22DA3789" wp14:editId="77F2A794">
            <wp:extent cx="5731510" cy="61868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6186805"/>
                    </a:xfrm>
                    <a:prstGeom prst="rect">
                      <a:avLst/>
                    </a:prstGeom>
                    <a:noFill/>
                    <a:ln>
                      <a:noFill/>
                    </a:ln>
                  </pic:spPr>
                </pic:pic>
              </a:graphicData>
            </a:graphic>
          </wp:inline>
        </w:drawing>
      </w:r>
    </w:p>
    <w:p w14:paraId="0F67B645" w14:textId="013024B8" w:rsidR="001F7694" w:rsidRDefault="001F7694" w:rsidP="001F7694">
      <w:pPr>
        <w:pStyle w:val="Heading2"/>
      </w:pPr>
      <w:bookmarkStart w:id="13" w:name="_Toc150870938"/>
      <w:r>
        <w:t>Cash Flow Statement</w:t>
      </w:r>
      <w:bookmarkEnd w:id="13"/>
      <w:r>
        <w:t xml:space="preserve"> </w:t>
      </w:r>
    </w:p>
    <w:tbl>
      <w:tblPr>
        <w:tblW w:w="5000" w:type="pct"/>
        <w:tblLook w:val="04A0" w:firstRow="1" w:lastRow="0" w:firstColumn="1" w:lastColumn="0" w:noHBand="0" w:noVBand="1"/>
      </w:tblPr>
      <w:tblGrid>
        <w:gridCol w:w="4033"/>
        <w:gridCol w:w="1450"/>
        <w:gridCol w:w="1176"/>
        <w:gridCol w:w="1176"/>
        <w:gridCol w:w="1176"/>
      </w:tblGrid>
      <w:tr w:rsidR="001F7694" w:rsidRPr="00002CA0" w14:paraId="63A43687" w14:textId="77777777" w:rsidTr="001F7694">
        <w:trPr>
          <w:trHeight w:val="315"/>
        </w:trPr>
        <w:tc>
          <w:tcPr>
            <w:tcW w:w="2259"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55B91760"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xml:space="preserve">(1) SALES FORECAST </w:t>
            </w:r>
          </w:p>
        </w:tc>
        <w:tc>
          <w:tcPr>
            <w:tcW w:w="825" w:type="pct"/>
            <w:tcBorders>
              <w:top w:val="single" w:sz="8" w:space="0" w:color="auto"/>
              <w:left w:val="nil"/>
              <w:bottom w:val="single" w:sz="4" w:space="0" w:color="auto"/>
              <w:right w:val="single" w:sz="4" w:space="0" w:color="auto"/>
            </w:tcBorders>
            <w:shd w:val="clear" w:color="auto" w:fill="auto"/>
            <w:noWrap/>
            <w:vAlign w:val="bottom"/>
            <w:hideMark/>
          </w:tcPr>
          <w:p w14:paraId="38C2A6A0"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single" w:sz="8" w:space="0" w:color="auto"/>
              <w:left w:val="nil"/>
              <w:bottom w:val="single" w:sz="4" w:space="0" w:color="auto"/>
              <w:right w:val="single" w:sz="4" w:space="0" w:color="auto"/>
            </w:tcBorders>
            <w:shd w:val="clear" w:color="auto" w:fill="auto"/>
            <w:noWrap/>
            <w:vAlign w:val="bottom"/>
            <w:hideMark/>
          </w:tcPr>
          <w:p w14:paraId="1E7F1F6B"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single" w:sz="8" w:space="0" w:color="auto"/>
              <w:left w:val="nil"/>
              <w:bottom w:val="single" w:sz="4" w:space="0" w:color="auto"/>
              <w:right w:val="single" w:sz="4" w:space="0" w:color="auto"/>
            </w:tcBorders>
            <w:shd w:val="clear" w:color="auto" w:fill="auto"/>
            <w:noWrap/>
            <w:vAlign w:val="bottom"/>
            <w:hideMark/>
          </w:tcPr>
          <w:p w14:paraId="0DE516CE"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single" w:sz="8" w:space="0" w:color="auto"/>
              <w:left w:val="nil"/>
              <w:bottom w:val="single" w:sz="4" w:space="0" w:color="auto"/>
              <w:right w:val="single" w:sz="4" w:space="0" w:color="auto"/>
            </w:tcBorders>
            <w:shd w:val="clear" w:color="auto" w:fill="auto"/>
            <w:noWrap/>
            <w:vAlign w:val="bottom"/>
            <w:hideMark/>
          </w:tcPr>
          <w:p w14:paraId="28A88287"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39086A1E"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2DCCCFCE"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Year</w:t>
            </w:r>
          </w:p>
        </w:tc>
        <w:tc>
          <w:tcPr>
            <w:tcW w:w="825" w:type="pct"/>
            <w:tcBorders>
              <w:top w:val="nil"/>
              <w:left w:val="nil"/>
              <w:bottom w:val="single" w:sz="4" w:space="0" w:color="auto"/>
              <w:right w:val="single" w:sz="4" w:space="0" w:color="auto"/>
            </w:tcBorders>
            <w:shd w:val="clear" w:color="auto" w:fill="auto"/>
            <w:noWrap/>
            <w:vAlign w:val="bottom"/>
            <w:hideMark/>
          </w:tcPr>
          <w:p w14:paraId="254CE7DB"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0</w:t>
            </w:r>
          </w:p>
        </w:tc>
        <w:tc>
          <w:tcPr>
            <w:tcW w:w="639" w:type="pct"/>
            <w:tcBorders>
              <w:top w:val="nil"/>
              <w:left w:val="nil"/>
              <w:bottom w:val="single" w:sz="4" w:space="0" w:color="auto"/>
              <w:right w:val="single" w:sz="4" w:space="0" w:color="auto"/>
            </w:tcBorders>
            <w:shd w:val="clear" w:color="auto" w:fill="auto"/>
            <w:noWrap/>
            <w:vAlign w:val="bottom"/>
            <w:hideMark/>
          </w:tcPr>
          <w:p w14:paraId="1267841E"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1</w:t>
            </w:r>
          </w:p>
        </w:tc>
        <w:tc>
          <w:tcPr>
            <w:tcW w:w="639" w:type="pct"/>
            <w:tcBorders>
              <w:top w:val="nil"/>
              <w:left w:val="nil"/>
              <w:bottom w:val="single" w:sz="4" w:space="0" w:color="auto"/>
              <w:right w:val="single" w:sz="4" w:space="0" w:color="auto"/>
            </w:tcBorders>
            <w:shd w:val="clear" w:color="auto" w:fill="auto"/>
            <w:noWrap/>
            <w:vAlign w:val="bottom"/>
            <w:hideMark/>
          </w:tcPr>
          <w:p w14:paraId="28443849"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2</w:t>
            </w:r>
          </w:p>
        </w:tc>
        <w:tc>
          <w:tcPr>
            <w:tcW w:w="639" w:type="pct"/>
            <w:tcBorders>
              <w:top w:val="nil"/>
              <w:left w:val="nil"/>
              <w:bottom w:val="single" w:sz="4" w:space="0" w:color="auto"/>
              <w:right w:val="single" w:sz="4" w:space="0" w:color="auto"/>
            </w:tcBorders>
            <w:shd w:val="clear" w:color="auto" w:fill="auto"/>
            <w:noWrap/>
            <w:vAlign w:val="bottom"/>
            <w:hideMark/>
          </w:tcPr>
          <w:p w14:paraId="5C3003A3"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3</w:t>
            </w:r>
          </w:p>
        </w:tc>
      </w:tr>
      <w:tr w:rsidR="001F7694" w:rsidRPr="00002CA0" w14:paraId="7762707A"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12DBDBF0"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xml:space="preserve">Projected Sales </w:t>
            </w:r>
          </w:p>
        </w:tc>
        <w:tc>
          <w:tcPr>
            <w:tcW w:w="825" w:type="pct"/>
            <w:tcBorders>
              <w:top w:val="nil"/>
              <w:left w:val="nil"/>
              <w:bottom w:val="single" w:sz="4" w:space="0" w:color="auto"/>
              <w:right w:val="single" w:sz="4" w:space="0" w:color="auto"/>
            </w:tcBorders>
            <w:shd w:val="clear" w:color="auto" w:fill="auto"/>
            <w:noWrap/>
            <w:vAlign w:val="bottom"/>
            <w:hideMark/>
          </w:tcPr>
          <w:p w14:paraId="17915444"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D5A7285"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5,50,000</w:t>
            </w:r>
          </w:p>
        </w:tc>
        <w:tc>
          <w:tcPr>
            <w:tcW w:w="639" w:type="pct"/>
            <w:tcBorders>
              <w:top w:val="nil"/>
              <w:left w:val="nil"/>
              <w:bottom w:val="single" w:sz="4" w:space="0" w:color="auto"/>
              <w:right w:val="single" w:sz="4" w:space="0" w:color="auto"/>
            </w:tcBorders>
            <w:shd w:val="clear" w:color="auto" w:fill="auto"/>
            <w:noWrap/>
            <w:vAlign w:val="bottom"/>
            <w:hideMark/>
          </w:tcPr>
          <w:p w14:paraId="51E82C89"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6,05,000</w:t>
            </w:r>
          </w:p>
        </w:tc>
        <w:tc>
          <w:tcPr>
            <w:tcW w:w="639" w:type="pct"/>
            <w:tcBorders>
              <w:top w:val="nil"/>
              <w:left w:val="nil"/>
              <w:bottom w:val="single" w:sz="4" w:space="0" w:color="auto"/>
              <w:right w:val="single" w:sz="4" w:space="0" w:color="auto"/>
            </w:tcBorders>
            <w:shd w:val="clear" w:color="auto" w:fill="auto"/>
            <w:noWrap/>
            <w:vAlign w:val="bottom"/>
            <w:hideMark/>
          </w:tcPr>
          <w:p w14:paraId="530163E7"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6,65,500</w:t>
            </w:r>
          </w:p>
        </w:tc>
      </w:tr>
      <w:tr w:rsidR="001F7694" w:rsidRPr="00002CA0" w14:paraId="06B5941E"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1681F72D"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xml:space="preserve">(b) Cost of goods </w:t>
            </w:r>
          </w:p>
        </w:tc>
        <w:tc>
          <w:tcPr>
            <w:tcW w:w="825" w:type="pct"/>
            <w:tcBorders>
              <w:top w:val="nil"/>
              <w:left w:val="nil"/>
              <w:bottom w:val="single" w:sz="4" w:space="0" w:color="auto"/>
              <w:right w:val="single" w:sz="4" w:space="0" w:color="auto"/>
            </w:tcBorders>
            <w:shd w:val="clear" w:color="auto" w:fill="auto"/>
            <w:noWrap/>
            <w:vAlign w:val="bottom"/>
            <w:hideMark/>
          </w:tcPr>
          <w:p w14:paraId="12F440C2"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F6509ED"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3,25,000</w:t>
            </w:r>
          </w:p>
        </w:tc>
        <w:tc>
          <w:tcPr>
            <w:tcW w:w="639" w:type="pct"/>
            <w:tcBorders>
              <w:top w:val="nil"/>
              <w:left w:val="nil"/>
              <w:bottom w:val="single" w:sz="4" w:space="0" w:color="auto"/>
              <w:right w:val="single" w:sz="4" w:space="0" w:color="auto"/>
            </w:tcBorders>
            <w:shd w:val="clear" w:color="auto" w:fill="auto"/>
            <w:noWrap/>
            <w:vAlign w:val="bottom"/>
            <w:hideMark/>
          </w:tcPr>
          <w:p w14:paraId="223A8C76"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3,34,750</w:t>
            </w:r>
          </w:p>
        </w:tc>
        <w:tc>
          <w:tcPr>
            <w:tcW w:w="639" w:type="pct"/>
            <w:tcBorders>
              <w:top w:val="nil"/>
              <w:left w:val="nil"/>
              <w:bottom w:val="single" w:sz="4" w:space="0" w:color="auto"/>
              <w:right w:val="single" w:sz="4" w:space="0" w:color="auto"/>
            </w:tcBorders>
            <w:shd w:val="clear" w:color="auto" w:fill="auto"/>
            <w:noWrap/>
            <w:vAlign w:val="bottom"/>
            <w:hideMark/>
          </w:tcPr>
          <w:p w14:paraId="3B2B49A8"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3,51,488</w:t>
            </w:r>
          </w:p>
        </w:tc>
      </w:tr>
      <w:tr w:rsidR="001F7694" w:rsidRPr="00002CA0" w14:paraId="1A4A81F6"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7EFFED74"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825" w:type="pct"/>
            <w:tcBorders>
              <w:top w:val="nil"/>
              <w:left w:val="nil"/>
              <w:bottom w:val="single" w:sz="4" w:space="0" w:color="auto"/>
              <w:right w:val="single" w:sz="4" w:space="0" w:color="auto"/>
            </w:tcBorders>
            <w:shd w:val="clear" w:color="auto" w:fill="auto"/>
            <w:noWrap/>
            <w:vAlign w:val="bottom"/>
            <w:hideMark/>
          </w:tcPr>
          <w:p w14:paraId="3B4581F0"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7496A555"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5251A337"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20EF6034"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 </w:t>
            </w:r>
          </w:p>
        </w:tc>
      </w:tr>
      <w:tr w:rsidR="001F7694" w:rsidRPr="00002CA0" w14:paraId="781928CA"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37687064" w14:textId="77777777" w:rsidR="001F7694" w:rsidRPr="00002CA0" w:rsidRDefault="001F7694" w:rsidP="002F32FB">
            <w:pPr>
              <w:spacing w:after="0" w:line="240" w:lineRule="auto"/>
              <w:jc w:val="left"/>
              <w:rPr>
                <w:rFonts w:eastAsia="Times New Roman" w:cs="Times New Roman"/>
                <w:b/>
                <w:bCs/>
                <w:szCs w:val="24"/>
                <w:lang w:eastAsia="en-IN"/>
              </w:rPr>
            </w:pPr>
            <w:r w:rsidRPr="00002CA0">
              <w:rPr>
                <w:rFonts w:eastAsia="Times New Roman" w:cs="Times New Roman"/>
                <w:b/>
                <w:bCs/>
                <w:szCs w:val="24"/>
                <w:lang w:eastAsia="en-IN"/>
              </w:rPr>
              <w:t xml:space="preserve">(2) CASHFLOW FORECAST </w:t>
            </w:r>
          </w:p>
        </w:tc>
        <w:tc>
          <w:tcPr>
            <w:tcW w:w="825" w:type="pct"/>
            <w:tcBorders>
              <w:top w:val="nil"/>
              <w:left w:val="nil"/>
              <w:bottom w:val="single" w:sz="4" w:space="0" w:color="auto"/>
              <w:right w:val="single" w:sz="4" w:space="0" w:color="auto"/>
            </w:tcBorders>
            <w:shd w:val="clear" w:color="auto" w:fill="auto"/>
            <w:noWrap/>
            <w:vAlign w:val="bottom"/>
            <w:hideMark/>
          </w:tcPr>
          <w:p w14:paraId="3CAC84BE" w14:textId="77777777" w:rsidR="001F7694" w:rsidRPr="00002CA0" w:rsidRDefault="001F7694" w:rsidP="002F32FB">
            <w:pPr>
              <w:spacing w:after="0" w:line="240" w:lineRule="auto"/>
              <w:jc w:val="left"/>
              <w:rPr>
                <w:rFonts w:eastAsia="Times New Roman" w:cs="Times New Roman"/>
                <w:b/>
                <w:bCs/>
                <w:szCs w:val="24"/>
                <w:lang w:eastAsia="en-IN"/>
              </w:rPr>
            </w:pPr>
            <w:r w:rsidRPr="00002CA0">
              <w:rPr>
                <w:rFonts w:eastAsia="Times New Roman" w:cs="Times New Roman"/>
                <w:b/>
                <w:bCs/>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16D53C0" w14:textId="77777777" w:rsidR="001F7694" w:rsidRPr="00002CA0" w:rsidRDefault="001F7694" w:rsidP="002F32FB">
            <w:pPr>
              <w:spacing w:after="0" w:line="240" w:lineRule="auto"/>
              <w:jc w:val="left"/>
              <w:rPr>
                <w:rFonts w:eastAsia="Times New Roman" w:cs="Times New Roman"/>
                <w:szCs w:val="24"/>
                <w:lang w:eastAsia="en-IN"/>
              </w:rPr>
            </w:pPr>
            <w:r w:rsidRPr="00002CA0">
              <w:rPr>
                <w:rFonts w:eastAsia="Times New Roman" w:cs="Times New Roman"/>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1A32C7B7" w14:textId="77777777" w:rsidR="001F7694" w:rsidRPr="00002CA0" w:rsidRDefault="001F7694" w:rsidP="002F32FB">
            <w:pPr>
              <w:spacing w:after="0" w:line="240" w:lineRule="auto"/>
              <w:jc w:val="left"/>
              <w:rPr>
                <w:rFonts w:eastAsia="Times New Roman" w:cs="Times New Roman"/>
                <w:color w:val="000080"/>
                <w:szCs w:val="24"/>
                <w:lang w:eastAsia="en-IN"/>
              </w:rPr>
            </w:pPr>
            <w:r w:rsidRPr="00002CA0">
              <w:rPr>
                <w:rFonts w:eastAsia="Times New Roman" w:cs="Times New Roman"/>
                <w:color w:val="00008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29247E97" w14:textId="77777777" w:rsidR="001F7694" w:rsidRPr="00002CA0" w:rsidRDefault="001F7694" w:rsidP="002F32FB">
            <w:pPr>
              <w:spacing w:after="0" w:line="240" w:lineRule="auto"/>
              <w:jc w:val="left"/>
              <w:rPr>
                <w:rFonts w:eastAsia="Times New Roman" w:cs="Times New Roman"/>
                <w:color w:val="000080"/>
                <w:szCs w:val="24"/>
                <w:lang w:eastAsia="en-IN"/>
              </w:rPr>
            </w:pPr>
            <w:r w:rsidRPr="00002CA0">
              <w:rPr>
                <w:rFonts w:eastAsia="Times New Roman" w:cs="Times New Roman"/>
                <w:color w:val="000080"/>
                <w:szCs w:val="24"/>
                <w:lang w:eastAsia="en-IN"/>
              </w:rPr>
              <w:t> </w:t>
            </w:r>
          </w:p>
        </w:tc>
      </w:tr>
      <w:tr w:rsidR="001F7694" w:rsidRPr="00002CA0" w14:paraId="0A6C6FAC"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783EC796"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825" w:type="pct"/>
            <w:tcBorders>
              <w:top w:val="nil"/>
              <w:left w:val="nil"/>
              <w:bottom w:val="single" w:sz="4" w:space="0" w:color="auto"/>
              <w:right w:val="single" w:sz="4" w:space="0" w:color="auto"/>
            </w:tcBorders>
            <w:shd w:val="clear" w:color="auto" w:fill="auto"/>
            <w:noWrap/>
            <w:vAlign w:val="bottom"/>
            <w:hideMark/>
          </w:tcPr>
          <w:p w14:paraId="1B7BCF96"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Preop</w:t>
            </w:r>
          </w:p>
        </w:tc>
        <w:tc>
          <w:tcPr>
            <w:tcW w:w="639" w:type="pct"/>
            <w:tcBorders>
              <w:top w:val="nil"/>
              <w:left w:val="nil"/>
              <w:bottom w:val="single" w:sz="4" w:space="0" w:color="auto"/>
              <w:right w:val="single" w:sz="4" w:space="0" w:color="auto"/>
            </w:tcBorders>
            <w:shd w:val="clear" w:color="auto" w:fill="auto"/>
            <w:noWrap/>
            <w:vAlign w:val="bottom"/>
            <w:hideMark/>
          </w:tcPr>
          <w:p w14:paraId="77D77E56"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2116A912"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7D60ECE1"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46998832"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7D04DDBE"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Year</w:t>
            </w:r>
          </w:p>
        </w:tc>
        <w:tc>
          <w:tcPr>
            <w:tcW w:w="825" w:type="pct"/>
            <w:tcBorders>
              <w:top w:val="nil"/>
              <w:left w:val="nil"/>
              <w:bottom w:val="single" w:sz="4" w:space="0" w:color="auto"/>
              <w:right w:val="single" w:sz="4" w:space="0" w:color="auto"/>
            </w:tcBorders>
            <w:shd w:val="clear" w:color="auto" w:fill="auto"/>
            <w:noWrap/>
            <w:vAlign w:val="bottom"/>
            <w:hideMark/>
          </w:tcPr>
          <w:p w14:paraId="3EBBAE12"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0</w:t>
            </w:r>
          </w:p>
        </w:tc>
        <w:tc>
          <w:tcPr>
            <w:tcW w:w="639" w:type="pct"/>
            <w:tcBorders>
              <w:top w:val="nil"/>
              <w:left w:val="nil"/>
              <w:bottom w:val="single" w:sz="4" w:space="0" w:color="auto"/>
              <w:right w:val="single" w:sz="4" w:space="0" w:color="auto"/>
            </w:tcBorders>
            <w:shd w:val="clear" w:color="auto" w:fill="auto"/>
            <w:noWrap/>
            <w:vAlign w:val="bottom"/>
            <w:hideMark/>
          </w:tcPr>
          <w:p w14:paraId="4111BFAE"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1</w:t>
            </w:r>
          </w:p>
        </w:tc>
        <w:tc>
          <w:tcPr>
            <w:tcW w:w="639" w:type="pct"/>
            <w:tcBorders>
              <w:top w:val="nil"/>
              <w:left w:val="nil"/>
              <w:bottom w:val="single" w:sz="4" w:space="0" w:color="auto"/>
              <w:right w:val="single" w:sz="4" w:space="0" w:color="auto"/>
            </w:tcBorders>
            <w:shd w:val="clear" w:color="auto" w:fill="auto"/>
            <w:noWrap/>
            <w:vAlign w:val="bottom"/>
            <w:hideMark/>
          </w:tcPr>
          <w:p w14:paraId="60F35990"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2</w:t>
            </w:r>
          </w:p>
        </w:tc>
        <w:tc>
          <w:tcPr>
            <w:tcW w:w="639" w:type="pct"/>
            <w:tcBorders>
              <w:top w:val="nil"/>
              <w:left w:val="nil"/>
              <w:bottom w:val="single" w:sz="4" w:space="0" w:color="auto"/>
              <w:right w:val="single" w:sz="4" w:space="0" w:color="auto"/>
            </w:tcBorders>
            <w:shd w:val="clear" w:color="auto" w:fill="auto"/>
            <w:noWrap/>
            <w:vAlign w:val="bottom"/>
            <w:hideMark/>
          </w:tcPr>
          <w:p w14:paraId="72BFE3F8"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3</w:t>
            </w:r>
          </w:p>
        </w:tc>
      </w:tr>
      <w:tr w:rsidR="001F7694" w:rsidRPr="00002CA0" w14:paraId="303614ED"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0B0ABD9C"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825" w:type="pct"/>
            <w:tcBorders>
              <w:top w:val="nil"/>
              <w:left w:val="nil"/>
              <w:bottom w:val="single" w:sz="4" w:space="0" w:color="auto"/>
              <w:right w:val="single" w:sz="4" w:space="0" w:color="auto"/>
            </w:tcBorders>
            <w:shd w:val="clear" w:color="auto" w:fill="auto"/>
            <w:noWrap/>
            <w:vAlign w:val="bottom"/>
            <w:hideMark/>
          </w:tcPr>
          <w:p w14:paraId="3618BC2D"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6DF7CE28"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56ACBD21"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BE08AB5"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03486C6C"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25CD9367" w14:textId="77777777" w:rsidR="001F7694" w:rsidRPr="00002CA0" w:rsidRDefault="001F7694" w:rsidP="002F32FB">
            <w:pPr>
              <w:spacing w:after="0" w:line="240" w:lineRule="auto"/>
              <w:jc w:val="left"/>
              <w:rPr>
                <w:rFonts w:eastAsia="Times New Roman" w:cs="Times New Roman"/>
                <w:b/>
                <w:bCs/>
                <w:szCs w:val="24"/>
                <w:lang w:eastAsia="en-IN"/>
              </w:rPr>
            </w:pPr>
            <w:r w:rsidRPr="00002CA0">
              <w:rPr>
                <w:rFonts w:eastAsia="Times New Roman" w:cs="Times New Roman"/>
                <w:b/>
                <w:bCs/>
                <w:szCs w:val="24"/>
                <w:lang w:eastAsia="en-IN"/>
              </w:rPr>
              <w:lastRenderedPageBreak/>
              <w:t>CASH INFLOWS</w:t>
            </w:r>
          </w:p>
        </w:tc>
        <w:tc>
          <w:tcPr>
            <w:tcW w:w="825" w:type="pct"/>
            <w:tcBorders>
              <w:top w:val="nil"/>
              <w:left w:val="nil"/>
              <w:bottom w:val="single" w:sz="4" w:space="0" w:color="auto"/>
              <w:right w:val="single" w:sz="4" w:space="0" w:color="auto"/>
            </w:tcBorders>
            <w:shd w:val="clear" w:color="auto" w:fill="auto"/>
            <w:noWrap/>
            <w:vAlign w:val="bottom"/>
            <w:hideMark/>
          </w:tcPr>
          <w:p w14:paraId="5A9C9EF2" w14:textId="77777777" w:rsidR="001F7694" w:rsidRPr="00002CA0" w:rsidRDefault="001F7694" w:rsidP="002F32FB">
            <w:pPr>
              <w:spacing w:after="0" w:line="240" w:lineRule="auto"/>
              <w:jc w:val="left"/>
              <w:rPr>
                <w:rFonts w:eastAsia="Times New Roman" w:cs="Times New Roman"/>
                <w:b/>
                <w:bCs/>
                <w:szCs w:val="24"/>
                <w:lang w:eastAsia="en-IN"/>
              </w:rPr>
            </w:pPr>
            <w:r w:rsidRPr="00002CA0">
              <w:rPr>
                <w:rFonts w:eastAsia="Times New Roman" w:cs="Times New Roman"/>
                <w:b/>
                <w:bCs/>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58AA386"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72B01DF3"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6979DE0C"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2DE5E83C"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0C741A98" w14:textId="77777777" w:rsidR="001F7694" w:rsidRPr="00002CA0" w:rsidRDefault="001F7694" w:rsidP="002F32FB">
            <w:pPr>
              <w:spacing w:after="0" w:line="240" w:lineRule="auto"/>
              <w:jc w:val="left"/>
              <w:rPr>
                <w:rFonts w:eastAsia="Times New Roman" w:cs="Times New Roman"/>
                <w:szCs w:val="24"/>
                <w:lang w:eastAsia="en-IN"/>
              </w:rPr>
            </w:pPr>
            <w:r w:rsidRPr="00002CA0">
              <w:rPr>
                <w:rFonts w:eastAsia="Times New Roman" w:cs="Times New Roman"/>
                <w:szCs w:val="24"/>
                <w:lang w:eastAsia="en-IN"/>
              </w:rPr>
              <w:t>Cash from Sales</w:t>
            </w:r>
          </w:p>
        </w:tc>
        <w:tc>
          <w:tcPr>
            <w:tcW w:w="825" w:type="pct"/>
            <w:tcBorders>
              <w:top w:val="nil"/>
              <w:left w:val="nil"/>
              <w:bottom w:val="single" w:sz="4" w:space="0" w:color="auto"/>
              <w:right w:val="single" w:sz="4" w:space="0" w:color="auto"/>
            </w:tcBorders>
            <w:shd w:val="clear" w:color="auto" w:fill="auto"/>
            <w:noWrap/>
            <w:vAlign w:val="bottom"/>
            <w:hideMark/>
          </w:tcPr>
          <w:p w14:paraId="5D2CE4E7"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1E565EC8" w14:textId="77777777" w:rsidR="001F7694" w:rsidRPr="00002CA0" w:rsidRDefault="001F7694" w:rsidP="002F32FB">
            <w:pPr>
              <w:spacing w:after="0" w:line="240" w:lineRule="auto"/>
              <w:jc w:val="right"/>
              <w:rPr>
                <w:rFonts w:eastAsia="Times New Roman" w:cs="Times New Roman"/>
                <w:szCs w:val="24"/>
                <w:lang w:eastAsia="en-IN"/>
              </w:rPr>
            </w:pPr>
            <w:r w:rsidRPr="00002CA0">
              <w:rPr>
                <w:rFonts w:eastAsia="Times New Roman" w:cs="Times New Roman"/>
                <w:szCs w:val="24"/>
                <w:lang w:eastAsia="en-IN"/>
              </w:rPr>
              <w:t>5,50,000</w:t>
            </w:r>
          </w:p>
        </w:tc>
        <w:tc>
          <w:tcPr>
            <w:tcW w:w="639" w:type="pct"/>
            <w:tcBorders>
              <w:top w:val="nil"/>
              <w:left w:val="nil"/>
              <w:bottom w:val="single" w:sz="4" w:space="0" w:color="auto"/>
              <w:right w:val="single" w:sz="4" w:space="0" w:color="auto"/>
            </w:tcBorders>
            <w:shd w:val="clear" w:color="auto" w:fill="auto"/>
            <w:noWrap/>
            <w:vAlign w:val="bottom"/>
            <w:hideMark/>
          </w:tcPr>
          <w:p w14:paraId="727EE649" w14:textId="77777777" w:rsidR="001F7694" w:rsidRPr="00002CA0" w:rsidRDefault="001F7694" w:rsidP="002F32FB">
            <w:pPr>
              <w:spacing w:after="0" w:line="240" w:lineRule="auto"/>
              <w:jc w:val="right"/>
              <w:rPr>
                <w:rFonts w:eastAsia="Times New Roman" w:cs="Times New Roman"/>
                <w:szCs w:val="24"/>
                <w:lang w:eastAsia="en-IN"/>
              </w:rPr>
            </w:pPr>
            <w:r w:rsidRPr="00002CA0">
              <w:rPr>
                <w:rFonts w:eastAsia="Times New Roman" w:cs="Times New Roman"/>
                <w:szCs w:val="24"/>
                <w:lang w:eastAsia="en-IN"/>
              </w:rPr>
              <w:t>6,05,000</w:t>
            </w:r>
          </w:p>
        </w:tc>
        <w:tc>
          <w:tcPr>
            <w:tcW w:w="639" w:type="pct"/>
            <w:tcBorders>
              <w:top w:val="nil"/>
              <w:left w:val="nil"/>
              <w:bottom w:val="single" w:sz="4" w:space="0" w:color="auto"/>
              <w:right w:val="single" w:sz="4" w:space="0" w:color="auto"/>
            </w:tcBorders>
            <w:shd w:val="clear" w:color="auto" w:fill="auto"/>
            <w:noWrap/>
            <w:vAlign w:val="bottom"/>
            <w:hideMark/>
          </w:tcPr>
          <w:p w14:paraId="0955713D" w14:textId="77777777" w:rsidR="001F7694" w:rsidRPr="00002CA0" w:rsidRDefault="001F7694" w:rsidP="002F32FB">
            <w:pPr>
              <w:spacing w:after="0" w:line="240" w:lineRule="auto"/>
              <w:jc w:val="right"/>
              <w:rPr>
                <w:rFonts w:eastAsia="Times New Roman" w:cs="Times New Roman"/>
                <w:szCs w:val="24"/>
                <w:lang w:eastAsia="en-IN"/>
              </w:rPr>
            </w:pPr>
            <w:r w:rsidRPr="00002CA0">
              <w:rPr>
                <w:rFonts w:eastAsia="Times New Roman" w:cs="Times New Roman"/>
                <w:szCs w:val="24"/>
                <w:lang w:eastAsia="en-IN"/>
              </w:rPr>
              <w:t>6,65,500</w:t>
            </w:r>
          </w:p>
        </w:tc>
      </w:tr>
      <w:tr w:rsidR="001F7694" w:rsidRPr="00002CA0" w14:paraId="319DD394"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680B0CAD"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825" w:type="pct"/>
            <w:tcBorders>
              <w:top w:val="nil"/>
              <w:left w:val="nil"/>
              <w:bottom w:val="single" w:sz="4" w:space="0" w:color="auto"/>
              <w:right w:val="single" w:sz="4" w:space="0" w:color="auto"/>
            </w:tcBorders>
            <w:shd w:val="clear" w:color="auto" w:fill="auto"/>
            <w:noWrap/>
            <w:vAlign w:val="bottom"/>
            <w:hideMark/>
          </w:tcPr>
          <w:p w14:paraId="0AF2429C"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0AF21485"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0409EE7D"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0C0EDF6B"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54D2B1A4"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0ECAA817"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Directors loans</w:t>
            </w:r>
          </w:p>
        </w:tc>
        <w:tc>
          <w:tcPr>
            <w:tcW w:w="825" w:type="pct"/>
            <w:tcBorders>
              <w:top w:val="nil"/>
              <w:left w:val="nil"/>
              <w:bottom w:val="single" w:sz="4" w:space="0" w:color="auto"/>
              <w:right w:val="single" w:sz="4" w:space="0" w:color="auto"/>
            </w:tcBorders>
            <w:shd w:val="clear" w:color="auto" w:fill="auto"/>
            <w:noWrap/>
            <w:vAlign w:val="bottom"/>
            <w:hideMark/>
          </w:tcPr>
          <w:p w14:paraId="0F9F2D3C"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2,00,000</w:t>
            </w:r>
          </w:p>
        </w:tc>
        <w:tc>
          <w:tcPr>
            <w:tcW w:w="639" w:type="pct"/>
            <w:tcBorders>
              <w:top w:val="nil"/>
              <w:left w:val="nil"/>
              <w:bottom w:val="single" w:sz="4" w:space="0" w:color="auto"/>
              <w:right w:val="single" w:sz="4" w:space="0" w:color="auto"/>
            </w:tcBorders>
            <w:shd w:val="clear" w:color="auto" w:fill="auto"/>
            <w:noWrap/>
            <w:vAlign w:val="bottom"/>
            <w:hideMark/>
          </w:tcPr>
          <w:p w14:paraId="68971715"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2,00,000</w:t>
            </w:r>
          </w:p>
        </w:tc>
        <w:tc>
          <w:tcPr>
            <w:tcW w:w="639" w:type="pct"/>
            <w:tcBorders>
              <w:top w:val="nil"/>
              <w:left w:val="nil"/>
              <w:bottom w:val="single" w:sz="4" w:space="0" w:color="auto"/>
              <w:right w:val="single" w:sz="4" w:space="0" w:color="auto"/>
            </w:tcBorders>
            <w:shd w:val="clear" w:color="auto" w:fill="auto"/>
            <w:noWrap/>
            <w:vAlign w:val="bottom"/>
            <w:hideMark/>
          </w:tcPr>
          <w:p w14:paraId="075D7AFE"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2,00,000</w:t>
            </w:r>
          </w:p>
        </w:tc>
        <w:tc>
          <w:tcPr>
            <w:tcW w:w="639" w:type="pct"/>
            <w:tcBorders>
              <w:top w:val="nil"/>
              <w:left w:val="nil"/>
              <w:bottom w:val="single" w:sz="4" w:space="0" w:color="auto"/>
              <w:right w:val="single" w:sz="4" w:space="0" w:color="auto"/>
            </w:tcBorders>
            <w:shd w:val="clear" w:color="auto" w:fill="auto"/>
            <w:noWrap/>
            <w:vAlign w:val="bottom"/>
            <w:hideMark/>
          </w:tcPr>
          <w:p w14:paraId="28440724"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2,00,000</w:t>
            </w:r>
          </w:p>
        </w:tc>
      </w:tr>
      <w:tr w:rsidR="001F7694" w:rsidRPr="00002CA0" w14:paraId="1D4E5E06"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31F5B7F2"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Capital Employed</w:t>
            </w:r>
          </w:p>
        </w:tc>
        <w:tc>
          <w:tcPr>
            <w:tcW w:w="825" w:type="pct"/>
            <w:tcBorders>
              <w:top w:val="nil"/>
              <w:left w:val="nil"/>
              <w:bottom w:val="single" w:sz="4" w:space="0" w:color="auto"/>
              <w:right w:val="single" w:sz="4" w:space="0" w:color="auto"/>
            </w:tcBorders>
            <w:shd w:val="clear" w:color="auto" w:fill="auto"/>
            <w:noWrap/>
            <w:vAlign w:val="bottom"/>
            <w:hideMark/>
          </w:tcPr>
          <w:p w14:paraId="3A9E90D0"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1,00,000</w:t>
            </w:r>
          </w:p>
        </w:tc>
        <w:tc>
          <w:tcPr>
            <w:tcW w:w="639" w:type="pct"/>
            <w:tcBorders>
              <w:top w:val="nil"/>
              <w:left w:val="nil"/>
              <w:bottom w:val="single" w:sz="4" w:space="0" w:color="auto"/>
              <w:right w:val="single" w:sz="4" w:space="0" w:color="auto"/>
            </w:tcBorders>
            <w:shd w:val="clear" w:color="auto" w:fill="auto"/>
            <w:noWrap/>
            <w:vAlign w:val="bottom"/>
            <w:hideMark/>
          </w:tcPr>
          <w:p w14:paraId="7026437E"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4,50,000</w:t>
            </w:r>
          </w:p>
        </w:tc>
        <w:tc>
          <w:tcPr>
            <w:tcW w:w="639" w:type="pct"/>
            <w:tcBorders>
              <w:top w:val="nil"/>
              <w:left w:val="nil"/>
              <w:bottom w:val="single" w:sz="4" w:space="0" w:color="auto"/>
              <w:right w:val="single" w:sz="4" w:space="0" w:color="auto"/>
            </w:tcBorders>
            <w:shd w:val="clear" w:color="auto" w:fill="auto"/>
            <w:noWrap/>
            <w:vAlign w:val="bottom"/>
            <w:hideMark/>
          </w:tcPr>
          <w:p w14:paraId="06F82101"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4,95,000</w:t>
            </w:r>
          </w:p>
        </w:tc>
        <w:tc>
          <w:tcPr>
            <w:tcW w:w="639" w:type="pct"/>
            <w:tcBorders>
              <w:top w:val="nil"/>
              <w:left w:val="nil"/>
              <w:bottom w:val="single" w:sz="4" w:space="0" w:color="auto"/>
              <w:right w:val="single" w:sz="4" w:space="0" w:color="auto"/>
            </w:tcBorders>
            <w:shd w:val="clear" w:color="auto" w:fill="auto"/>
            <w:noWrap/>
            <w:vAlign w:val="bottom"/>
            <w:hideMark/>
          </w:tcPr>
          <w:p w14:paraId="7816C9F3" w14:textId="77777777" w:rsidR="001F7694" w:rsidRPr="00002CA0" w:rsidRDefault="001F7694" w:rsidP="002F32FB">
            <w:pPr>
              <w:spacing w:after="0" w:line="240" w:lineRule="auto"/>
              <w:jc w:val="right"/>
              <w:rPr>
                <w:rFonts w:eastAsia="Times New Roman" w:cs="Times New Roman"/>
                <w:color w:val="000000"/>
                <w:szCs w:val="24"/>
                <w:lang w:eastAsia="en-IN"/>
              </w:rPr>
            </w:pPr>
            <w:r w:rsidRPr="00002CA0">
              <w:rPr>
                <w:rFonts w:eastAsia="Times New Roman" w:cs="Times New Roman"/>
                <w:color w:val="000000"/>
                <w:szCs w:val="24"/>
                <w:lang w:eastAsia="en-IN"/>
              </w:rPr>
              <w:t>5,44,500</w:t>
            </w:r>
          </w:p>
        </w:tc>
      </w:tr>
      <w:tr w:rsidR="001F7694" w:rsidRPr="00002CA0" w14:paraId="2B26E6F9"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6279D1A3"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Other cash inflows</w:t>
            </w:r>
          </w:p>
        </w:tc>
        <w:tc>
          <w:tcPr>
            <w:tcW w:w="825" w:type="pct"/>
            <w:tcBorders>
              <w:top w:val="nil"/>
              <w:left w:val="nil"/>
              <w:bottom w:val="single" w:sz="4" w:space="0" w:color="auto"/>
              <w:right w:val="single" w:sz="4" w:space="0" w:color="auto"/>
            </w:tcBorders>
            <w:shd w:val="clear" w:color="auto" w:fill="auto"/>
            <w:noWrap/>
            <w:vAlign w:val="bottom"/>
            <w:hideMark/>
          </w:tcPr>
          <w:p w14:paraId="766C42A9"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3246558A"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F4C6A9F"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1A32749"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0337A094"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0E77B4ED"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825" w:type="pct"/>
            <w:tcBorders>
              <w:top w:val="nil"/>
              <w:left w:val="nil"/>
              <w:bottom w:val="single" w:sz="4" w:space="0" w:color="auto"/>
              <w:right w:val="single" w:sz="4" w:space="0" w:color="auto"/>
            </w:tcBorders>
            <w:shd w:val="clear" w:color="auto" w:fill="auto"/>
            <w:noWrap/>
            <w:vAlign w:val="bottom"/>
            <w:hideMark/>
          </w:tcPr>
          <w:p w14:paraId="2164B31A"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2F37BF78"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08B91BF7"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c>
          <w:tcPr>
            <w:tcW w:w="639" w:type="pct"/>
            <w:tcBorders>
              <w:top w:val="nil"/>
              <w:left w:val="nil"/>
              <w:bottom w:val="single" w:sz="4" w:space="0" w:color="auto"/>
              <w:right w:val="single" w:sz="4" w:space="0" w:color="auto"/>
            </w:tcBorders>
            <w:shd w:val="clear" w:color="auto" w:fill="auto"/>
            <w:noWrap/>
            <w:vAlign w:val="bottom"/>
            <w:hideMark/>
          </w:tcPr>
          <w:p w14:paraId="40727D24" w14:textId="77777777" w:rsidR="001F7694" w:rsidRPr="00002CA0" w:rsidRDefault="001F7694" w:rsidP="002F32FB">
            <w:pPr>
              <w:spacing w:after="0" w:line="240" w:lineRule="auto"/>
              <w:jc w:val="left"/>
              <w:rPr>
                <w:rFonts w:eastAsia="Times New Roman" w:cs="Times New Roman"/>
                <w:color w:val="000000"/>
                <w:szCs w:val="24"/>
                <w:lang w:eastAsia="en-IN"/>
              </w:rPr>
            </w:pPr>
            <w:r w:rsidRPr="00002CA0">
              <w:rPr>
                <w:rFonts w:eastAsia="Times New Roman" w:cs="Times New Roman"/>
                <w:color w:val="000000"/>
                <w:szCs w:val="24"/>
                <w:lang w:eastAsia="en-IN"/>
              </w:rPr>
              <w:t> </w:t>
            </w:r>
          </w:p>
        </w:tc>
      </w:tr>
      <w:tr w:rsidR="001F7694" w:rsidRPr="00002CA0" w14:paraId="49BA4085" w14:textId="77777777" w:rsidTr="001F7694">
        <w:trPr>
          <w:trHeight w:val="315"/>
        </w:trPr>
        <w:tc>
          <w:tcPr>
            <w:tcW w:w="2259" w:type="pct"/>
            <w:tcBorders>
              <w:top w:val="nil"/>
              <w:left w:val="single" w:sz="8" w:space="0" w:color="auto"/>
              <w:bottom w:val="single" w:sz="4" w:space="0" w:color="auto"/>
              <w:right w:val="single" w:sz="4" w:space="0" w:color="auto"/>
            </w:tcBorders>
            <w:shd w:val="clear" w:color="auto" w:fill="auto"/>
            <w:noWrap/>
            <w:vAlign w:val="bottom"/>
            <w:hideMark/>
          </w:tcPr>
          <w:p w14:paraId="081800B8" w14:textId="77777777" w:rsidR="001F7694" w:rsidRPr="00002CA0" w:rsidRDefault="001F7694" w:rsidP="002F32FB">
            <w:pPr>
              <w:spacing w:after="0" w:line="240" w:lineRule="auto"/>
              <w:jc w:val="left"/>
              <w:rPr>
                <w:rFonts w:eastAsia="Times New Roman" w:cs="Times New Roman"/>
                <w:b/>
                <w:bCs/>
                <w:color w:val="000000"/>
                <w:szCs w:val="24"/>
                <w:lang w:eastAsia="en-IN"/>
              </w:rPr>
            </w:pPr>
            <w:r w:rsidRPr="00002CA0">
              <w:rPr>
                <w:rFonts w:eastAsia="Times New Roman" w:cs="Times New Roman"/>
                <w:b/>
                <w:bCs/>
                <w:color w:val="000000"/>
                <w:szCs w:val="24"/>
                <w:lang w:eastAsia="en-IN"/>
              </w:rPr>
              <w:t>TOTAL CASH INFLOW</w:t>
            </w:r>
          </w:p>
        </w:tc>
        <w:tc>
          <w:tcPr>
            <w:tcW w:w="825" w:type="pct"/>
            <w:tcBorders>
              <w:top w:val="nil"/>
              <w:left w:val="nil"/>
              <w:bottom w:val="single" w:sz="4" w:space="0" w:color="auto"/>
              <w:right w:val="single" w:sz="4" w:space="0" w:color="auto"/>
            </w:tcBorders>
            <w:shd w:val="clear" w:color="auto" w:fill="auto"/>
            <w:noWrap/>
            <w:vAlign w:val="bottom"/>
            <w:hideMark/>
          </w:tcPr>
          <w:p w14:paraId="1BE05A1B"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3,00,000</w:t>
            </w:r>
          </w:p>
        </w:tc>
        <w:tc>
          <w:tcPr>
            <w:tcW w:w="639" w:type="pct"/>
            <w:tcBorders>
              <w:top w:val="nil"/>
              <w:left w:val="nil"/>
              <w:bottom w:val="single" w:sz="4" w:space="0" w:color="auto"/>
              <w:right w:val="single" w:sz="4" w:space="0" w:color="auto"/>
            </w:tcBorders>
            <w:shd w:val="clear" w:color="auto" w:fill="auto"/>
            <w:noWrap/>
            <w:vAlign w:val="bottom"/>
            <w:hideMark/>
          </w:tcPr>
          <w:p w14:paraId="08ED7E51"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12,00,000</w:t>
            </w:r>
          </w:p>
        </w:tc>
        <w:tc>
          <w:tcPr>
            <w:tcW w:w="639" w:type="pct"/>
            <w:tcBorders>
              <w:top w:val="nil"/>
              <w:left w:val="nil"/>
              <w:bottom w:val="single" w:sz="4" w:space="0" w:color="auto"/>
              <w:right w:val="single" w:sz="4" w:space="0" w:color="auto"/>
            </w:tcBorders>
            <w:shd w:val="clear" w:color="auto" w:fill="auto"/>
            <w:noWrap/>
            <w:vAlign w:val="bottom"/>
            <w:hideMark/>
          </w:tcPr>
          <w:p w14:paraId="1A139CB8"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13,00,000</w:t>
            </w:r>
          </w:p>
        </w:tc>
        <w:tc>
          <w:tcPr>
            <w:tcW w:w="639" w:type="pct"/>
            <w:tcBorders>
              <w:top w:val="nil"/>
              <w:left w:val="nil"/>
              <w:bottom w:val="single" w:sz="4" w:space="0" w:color="auto"/>
              <w:right w:val="single" w:sz="4" w:space="0" w:color="auto"/>
            </w:tcBorders>
            <w:shd w:val="clear" w:color="auto" w:fill="auto"/>
            <w:noWrap/>
            <w:vAlign w:val="bottom"/>
            <w:hideMark/>
          </w:tcPr>
          <w:p w14:paraId="7D6FEBE9" w14:textId="77777777" w:rsidR="001F7694" w:rsidRPr="00002CA0" w:rsidRDefault="001F7694" w:rsidP="002F32FB">
            <w:pPr>
              <w:spacing w:after="0" w:line="240" w:lineRule="auto"/>
              <w:jc w:val="right"/>
              <w:rPr>
                <w:rFonts w:eastAsia="Times New Roman" w:cs="Times New Roman"/>
                <w:b/>
                <w:bCs/>
                <w:color w:val="000000"/>
                <w:szCs w:val="24"/>
                <w:lang w:eastAsia="en-IN"/>
              </w:rPr>
            </w:pPr>
            <w:r w:rsidRPr="00002CA0">
              <w:rPr>
                <w:rFonts w:eastAsia="Times New Roman" w:cs="Times New Roman"/>
                <w:b/>
                <w:bCs/>
                <w:color w:val="000000"/>
                <w:szCs w:val="24"/>
                <w:lang w:eastAsia="en-IN"/>
              </w:rPr>
              <w:t>14,10,000</w:t>
            </w:r>
          </w:p>
        </w:tc>
      </w:tr>
    </w:tbl>
    <w:p w14:paraId="2ED567A3" w14:textId="0949FBB9" w:rsidR="00002CA0" w:rsidRDefault="00002CA0" w:rsidP="00520F39"/>
    <w:tbl>
      <w:tblPr>
        <w:tblW w:w="9529" w:type="dxa"/>
        <w:tblLook w:val="04A0" w:firstRow="1" w:lastRow="0" w:firstColumn="1" w:lastColumn="0" w:noHBand="0" w:noVBand="1"/>
      </w:tblPr>
      <w:tblGrid>
        <w:gridCol w:w="4622"/>
        <w:gridCol w:w="1471"/>
        <w:gridCol w:w="1084"/>
        <w:gridCol w:w="1176"/>
        <w:gridCol w:w="1176"/>
      </w:tblGrid>
      <w:tr w:rsidR="001F7694" w:rsidRPr="001F7694" w14:paraId="3E7E6BEF" w14:textId="77777777" w:rsidTr="001F7694">
        <w:trPr>
          <w:trHeight w:val="315"/>
        </w:trPr>
        <w:tc>
          <w:tcPr>
            <w:tcW w:w="4622"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0405DB8"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CASH OUTFLOWS</w:t>
            </w:r>
          </w:p>
        </w:tc>
        <w:tc>
          <w:tcPr>
            <w:tcW w:w="1471" w:type="dxa"/>
            <w:tcBorders>
              <w:top w:val="single" w:sz="4" w:space="0" w:color="auto"/>
              <w:left w:val="nil"/>
              <w:bottom w:val="single" w:sz="4" w:space="0" w:color="auto"/>
              <w:right w:val="single" w:sz="4" w:space="0" w:color="auto"/>
            </w:tcBorders>
            <w:shd w:val="clear" w:color="auto" w:fill="auto"/>
            <w:noWrap/>
            <w:vAlign w:val="bottom"/>
            <w:hideMark/>
          </w:tcPr>
          <w:p w14:paraId="20583F20"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084" w:type="dxa"/>
            <w:tcBorders>
              <w:top w:val="single" w:sz="4" w:space="0" w:color="auto"/>
              <w:left w:val="nil"/>
              <w:bottom w:val="single" w:sz="4" w:space="0" w:color="auto"/>
              <w:right w:val="single" w:sz="4" w:space="0" w:color="auto"/>
            </w:tcBorders>
            <w:shd w:val="clear" w:color="auto" w:fill="auto"/>
            <w:noWrap/>
            <w:vAlign w:val="bottom"/>
            <w:hideMark/>
          </w:tcPr>
          <w:p w14:paraId="747A7BF3"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176" w:type="dxa"/>
            <w:tcBorders>
              <w:top w:val="single" w:sz="4" w:space="0" w:color="auto"/>
              <w:left w:val="nil"/>
              <w:bottom w:val="single" w:sz="4" w:space="0" w:color="auto"/>
              <w:right w:val="single" w:sz="4" w:space="0" w:color="auto"/>
            </w:tcBorders>
            <w:shd w:val="clear" w:color="auto" w:fill="auto"/>
            <w:noWrap/>
            <w:vAlign w:val="bottom"/>
            <w:hideMark/>
          </w:tcPr>
          <w:p w14:paraId="19F20481"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176" w:type="dxa"/>
            <w:tcBorders>
              <w:top w:val="single" w:sz="4" w:space="0" w:color="auto"/>
              <w:left w:val="nil"/>
              <w:bottom w:val="single" w:sz="4" w:space="0" w:color="auto"/>
              <w:right w:val="single" w:sz="4" w:space="0" w:color="auto"/>
            </w:tcBorders>
            <w:shd w:val="clear" w:color="auto" w:fill="auto"/>
            <w:noWrap/>
            <w:vAlign w:val="bottom"/>
            <w:hideMark/>
          </w:tcPr>
          <w:p w14:paraId="74A379A4"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r>
      <w:tr w:rsidR="001F7694" w:rsidRPr="001F7694" w14:paraId="6A19B7E2" w14:textId="77777777" w:rsidTr="001F7694">
        <w:trPr>
          <w:trHeight w:val="315"/>
        </w:trPr>
        <w:tc>
          <w:tcPr>
            <w:tcW w:w="4622" w:type="dxa"/>
            <w:tcBorders>
              <w:top w:val="nil"/>
              <w:left w:val="single" w:sz="8" w:space="0" w:color="auto"/>
              <w:bottom w:val="single" w:sz="4" w:space="0" w:color="auto"/>
              <w:right w:val="single" w:sz="4" w:space="0" w:color="auto"/>
            </w:tcBorders>
            <w:shd w:val="clear" w:color="000000" w:fill="FFFFFF"/>
            <w:noWrap/>
            <w:vAlign w:val="bottom"/>
            <w:hideMark/>
          </w:tcPr>
          <w:p w14:paraId="12FF8445"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471" w:type="dxa"/>
            <w:tcBorders>
              <w:top w:val="nil"/>
              <w:left w:val="nil"/>
              <w:bottom w:val="single" w:sz="4" w:space="0" w:color="auto"/>
              <w:right w:val="single" w:sz="4" w:space="0" w:color="auto"/>
            </w:tcBorders>
            <w:shd w:val="clear" w:color="000000" w:fill="FFFFFF"/>
            <w:noWrap/>
            <w:vAlign w:val="bottom"/>
            <w:hideMark/>
          </w:tcPr>
          <w:p w14:paraId="6F8219BD"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084" w:type="dxa"/>
            <w:tcBorders>
              <w:top w:val="nil"/>
              <w:left w:val="nil"/>
              <w:bottom w:val="single" w:sz="4" w:space="0" w:color="auto"/>
              <w:right w:val="single" w:sz="4" w:space="0" w:color="auto"/>
            </w:tcBorders>
            <w:shd w:val="clear" w:color="000000" w:fill="FFFFFF"/>
            <w:noWrap/>
            <w:vAlign w:val="bottom"/>
            <w:hideMark/>
          </w:tcPr>
          <w:p w14:paraId="6D225D38"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176" w:type="dxa"/>
            <w:tcBorders>
              <w:top w:val="nil"/>
              <w:left w:val="nil"/>
              <w:bottom w:val="single" w:sz="4" w:space="0" w:color="auto"/>
              <w:right w:val="single" w:sz="4" w:space="0" w:color="auto"/>
            </w:tcBorders>
            <w:shd w:val="clear" w:color="000000" w:fill="FFFFFF"/>
            <w:noWrap/>
            <w:vAlign w:val="bottom"/>
            <w:hideMark/>
          </w:tcPr>
          <w:p w14:paraId="5A5F2D65"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c>
          <w:tcPr>
            <w:tcW w:w="1176" w:type="dxa"/>
            <w:tcBorders>
              <w:top w:val="nil"/>
              <w:left w:val="nil"/>
              <w:bottom w:val="single" w:sz="4" w:space="0" w:color="auto"/>
              <w:right w:val="single" w:sz="4" w:space="0" w:color="auto"/>
            </w:tcBorders>
            <w:shd w:val="clear" w:color="000000" w:fill="FFFFFF"/>
            <w:noWrap/>
            <w:vAlign w:val="bottom"/>
            <w:hideMark/>
          </w:tcPr>
          <w:p w14:paraId="105D65DE"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w:t>
            </w:r>
          </w:p>
        </w:tc>
      </w:tr>
      <w:tr w:rsidR="001F7694" w:rsidRPr="001F7694" w14:paraId="7CEF0B33"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7B048D1" w14:textId="77777777" w:rsidR="001F7694" w:rsidRPr="001F7694" w:rsidRDefault="001F7694" w:rsidP="001F7694">
            <w:pPr>
              <w:spacing w:after="0" w:line="240" w:lineRule="auto"/>
              <w:jc w:val="left"/>
              <w:rPr>
                <w:rFonts w:eastAsia="Times New Roman" w:cs="Times New Roman"/>
                <w:b/>
                <w:bCs/>
                <w:i/>
                <w:iCs/>
                <w:szCs w:val="24"/>
                <w:lang w:eastAsia="en-IN"/>
              </w:rPr>
            </w:pPr>
            <w:r w:rsidRPr="001F7694">
              <w:rPr>
                <w:rFonts w:eastAsia="Times New Roman" w:cs="Times New Roman"/>
                <w:b/>
                <w:bCs/>
                <w:i/>
                <w:iCs/>
                <w:szCs w:val="24"/>
                <w:lang w:eastAsia="en-IN"/>
              </w:rPr>
              <w:t>Payments for materials</w:t>
            </w:r>
          </w:p>
        </w:tc>
        <w:tc>
          <w:tcPr>
            <w:tcW w:w="1471" w:type="dxa"/>
            <w:tcBorders>
              <w:top w:val="nil"/>
              <w:left w:val="nil"/>
              <w:bottom w:val="single" w:sz="4" w:space="0" w:color="auto"/>
              <w:right w:val="single" w:sz="4" w:space="0" w:color="auto"/>
            </w:tcBorders>
            <w:shd w:val="clear" w:color="auto" w:fill="auto"/>
            <w:noWrap/>
            <w:vAlign w:val="bottom"/>
            <w:hideMark/>
          </w:tcPr>
          <w:p w14:paraId="40E67376"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63E84151"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3,25,000</w:t>
            </w:r>
          </w:p>
        </w:tc>
        <w:tc>
          <w:tcPr>
            <w:tcW w:w="1176" w:type="dxa"/>
            <w:tcBorders>
              <w:top w:val="nil"/>
              <w:left w:val="nil"/>
              <w:bottom w:val="single" w:sz="4" w:space="0" w:color="auto"/>
              <w:right w:val="single" w:sz="4" w:space="0" w:color="auto"/>
            </w:tcBorders>
            <w:shd w:val="clear" w:color="auto" w:fill="auto"/>
            <w:noWrap/>
            <w:vAlign w:val="bottom"/>
            <w:hideMark/>
          </w:tcPr>
          <w:p w14:paraId="601EBD41"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3,34,750</w:t>
            </w:r>
          </w:p>
        </w:tc>
        <w:tc>
          <w:tcPr>
            <w:tcW w:w="1176" w:type="dxa"/>
            <w:tcBorders>
              <w:top w:val="nil"/>
              <w:left w:val="nil"/>
              <w:bottom w:val="single" w:sz="4" w:space="0" w:color="auto"/>
              <w:right w:val="single" w:sz="4" w:space="0" w:color="auto"/>
            </w:tcBorders>
            <w:shd w:val="clear" w:color="auto" w:fill="auto"/>
            <w:noWrap/>
            <w:vAlign w:val="bottom"/>
            <w:hideMark/>
          </w:tcPr>
          <w:p w14:paraId="164F57FC"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3,51,488</w:t>
            </w:r>
          </w:p>
        </w:tc>
      </w:tr>
      <w:tr w:rsidR="001F7694" w:rsidRPr="001F7694" w14:paraId="0C7B845A"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98DAD9E" w14:textId="77777777" w:rsidR="001F7694" w:rsidRPr="001F7694" w:rsidRDefault="001F7694" w:rsidP="001F7694">
            <w:pPr>
              <w:spacing w:after="0" w:line="240" w:lineRule="auto"/>
              <w:jc w:val="left"/>
              <w:rPr>
                <w:rFonts w:eastAsia="Times New Roman" w:cs="Times New Roman"/>
                <w:b/>
                <w:bCs/>
                <w:i/>
                <w:iCs/>
                <w:szCs w:val="24"/>
                <w:lang w:eastAsia="en-IN"/>
              </w:rPr>
            </w:pPr>
            <w:r w:rsidRPr="001F7694">
              <w:rPr>
                <w:rFonts w:eastAsia="Times New Roman" w:cs="Times New Roman"/>
                <w:b/>
                <w:bCs/>
                <w:i/>
                <w:iCs/>
                <w:szCs w:val="24"/>
                <w:lang w:eastAsia="en-IN"/>
              </w:rPr>
              <w:t>operating expenses (         )</w:t>
            </w:r>
          </w:p>
        </w:tc>
        <w:tc>
          <w:tcPr>
            <w:tcW w:w="1471" w:type="dxa"/>
            <w:tcBorders>
              <w:top w:val="nil"/>
              <w:left w:val="nil"/>
              <w:bottom w:val="single" w:sz="4" w:space="0" w:color="auto"/>
              <w:right w:val="single" w:sz="4" w:space="0" w:color="auto"/>
            </w:tcBorders>
            <w:shd w:val="clear" w:color="auto" w:fill="auto"/>
            <w:noWrap/>
            <w:vAlign w:val="bottom"/>
            <w:hideMark/>
          </w:tcPr>
          <w:p w14:paraId="4B4A7D9C"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03C1A337"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369F2AC8"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1338FE2B"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r>
      <w:tr w:rsidR="001F7694" w:rsidRPr="001F7694" w14:paraId="47CB6238"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991242B"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Premises (rent, rates)</w:t>
            </w:r>
          </w:p>
        </w:tc>
        <w:tc>
          <w:tcPr>
            <w:tcW w:w="1471" w:type="dxa"/>
            <w:tcBorders>
              <w:top w:val="nil"/>
              <w:left w:val="nil"/>
              <w:bottom w:val="single" w:sz="4" w:space="0" w:color="auto"/>
              <w:right w:val="single" w:sz="4" w:space="0" w:color="auto"/>
            </w:tcBorders>
            <w:shd w:val="clear" w:color="auto" w:fill="auto"/>
            <w:noWrap/>
            <w:vAlign w:val="bottom"/>
            <w:hideMark/>
          </w:tcPr>
          <w:p w14:paraId="50257DA8"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49526F92"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9,500</w:t>
            </w:r>
          </w:p>
        </w:tc>
        <w:tc>
          <w:tcPr>
            <w:tcW w:w="1176" w:type="dxa"/>
            <w:tcBorders>
              <w:top w:val="nil"/>
              <w:left w:val="nil"/>
              <w:bottom w:val="single" w:sz="4" w:space="0" w:color="auto"/>
              <w:right w:val="single" w:sz="4" w:space="0" w:color="auto"/>
            </w:tcBorders>
            <w:shd w:val="clear" w:color="auto" w:fill="auto"/>
            <w:noWrap/>
            <w:vAlign w:val="bottom"/>
            <w:hideMark/>
          </w:tcPr>
          <w:p w14:paraId="7A8F1033"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9,785</w:t>
            </w:r>
          </w:p>
        </w:tc>
        <w:tc>
          <w:tcPr>
            <w:tcW w:w="1176" w:type="dxa"/>
            <w:tcBorders>
              <w:top w:val="nil"/>
              <w:left w:val="nil"/>
              <w:bottom w:val="single" w:sz="4" w:space="0" w:color="auto"/>
              <w:right w:val="single" w:sz="4" w:space="0" w:color="auto"/>
            </w:tcBorders>
            <w:shd w:val="clear" w:color="auto" w:fill="auto"/>
            <w:noWrap/>
            <w:vAlign w:val="bottom"/>
            <w:hideMark/>
          </w:tcPr>
          <w:p w14:paraId="5D6D5E66"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10,274</w:t>
            </w:r>
          </w:p>
        </w:tc>
      </w:tr>
      <w:tr w:rsidR="001F7694" w:rsidRPr="001F7694" w14:paraId="3645EAD1"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6083DF26"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Wages and salaries</w:t>
            </w:r>
          </w:p>
        </w:tc>
        <w:tc>
          <w:tcPr>
            <w:tcW w:w="1471" w:type="dxa"/>
            <w:tcBorders>
              <w:top w:val="nil"/>
              <w:left w:val="nil"/>
              <w:bottom w:val="single" w:sz="4" w:space="0" w:color="auto"/>
              <w:right w:val="single" w:sz="4" w:space="0" w:color="auto"/>
            </w:tcBorders>
            <w:shd w:val="clear" w:color="auto" w:fill="auto"/>
            <w:noWrap/>
            <w:vAlign w:val="bottom"/>
            <w:hideMark/>
          </w:tcPr>
          <w:p w14:paraId="3E14A8B8"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3999749C"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5,500</w:t>
            </w:r>
          </w:p>
        </w:tc>
        <w:tc>
          <w:tcPr>
            <w:tcW w:w="1176" w:type="dxa"/>
            <w:tcBorders>
              <w:top w:val="nil"/>
              <w:left w:val="nil"/>
              <w:bottom w:val="single" w:sz="4" w:space="0" w:color="auto"/>
              <w:right w:val="single" w:sz="4" w:space="0" w:color="auto"/>
            </w:tcBorders>
            <w:shd w:val="clear" w:color="auto" w:fill="auto"/>
            <w:noWrap/>
            <w:vAlign w:val="bottom"/>
            <w:hideMark/>
          </w:tcPr>
          <w:p w14:paraId="4F1B4F60"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5,665</w:t>
            </w:r>
          </w:p>
        </w:tc>
        <w:tc>
          <w:tcPr>
            <w:tcW w:w="1176" w:type="dxa"/>
            <w:tcBorders>
              <w:top w:val="nil"/>
              <w:left w:val="nil"/>
              <w:bottom w:val="single" w:sz="4" w:space="0" w:color="auto"/>
              <w:right w:val="single" w:sz="4" w:space="0" w:color="auto"/>
            </w:tcBorders>
            <w:shd w:val="clear" w:color="auto" w:fill="auto"/>
            <w:noWrap/>
            <w:vAlign w:val="bottom"/>
            <w:hideMark/>
          </w:tcPr>
          <w:p w14:paraId="65C0F362"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5,948</w:t>
            </w:r>
          </w:p>
        </w:tc>
      </w:tr>
      <w:tr w:rsidR="001F7694" w:rsidRPr="001F7694" w14:paraId="453D69A7"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334E2333"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General expenses</w:t>
            </w:r>
          </w:p>
        </w:tc>
        <w:tc>
          <w:tcPr>
            <w:tcW w:w="1471" w:type="dxa"/>
            <w:tcBorders>
              <w:top w:val="nil"/>
              <w:left w:val="nil"/>
              <w:bottom w:val="single" w:sz="4" w:space="0" w:color="auto"/>
              <w:right w:val="single" w:sz="4" w:space="0" w:color="auto"/>
            </w:tcBorders>
            <w:shd w:val="clear" w:color="auto" w:fill="auto"/>
            <w:noWrap/>
            <w:vAlign w:val="bottom"/>
            <w:hideMark/>
          </w:tcPr>
          <w:p w14:paraId="57A93C1C"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1273DD2F"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2,900</w:t>
            </w:r>
          </w:p>
        </w:tc>
        <w:tc>
          <w:tcPr>
            <w:tcW w:w="1176" w:type="dxa"/>
            <w:tcBorders>
              <w:top w:val="nil"/>
              <w:left w:val="nil"/>
              <w:bottom w:val="single" w:sz="4" w:space="0" w:color="auto"/>
              <w:right w:val="single" w:sz="4" w:space="0" w:color="auto"/>
            </w:tcBorders>
            <w:shd w:val="clear" w:color="auto" w:fill="auto"/>
            <w:noWrap/>
            <w:vAlign w:val="bottom"/>
            <w:hideMark/>
          </w:tcPr>
          <w:p w14:paraId="01F913D8"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2,987</w:t>
            </w:r>
          </w:p>
        </w:tc>
        <w:tc>
          <w:tcPr>
            <w:tcW w:w="1176" w:type="dxa"/>
            <w:tcBorders>
              <w:top w:val="nil"/>
              <w:left w:val="nil"/>
              <w:bottom w:val="single" w:sz="4" w:space="0" w:color="auto"/>
              <w:right w:val="single" w:sz="4" w:space="0" w:color="auto"/>
            </w:tcBorders>
            <w:shd w:val="clear" w:color="auto" w:fill="auto"/>
            <w:noWrap/>
            <w:vAlign w:val="bottom"/>
            <w:hideMark/>
          </w:tcPr>
          <w:p w14:paraId="4B7AE8AF"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3,136</w:t>
            </w:r>
          </w:p>
        </w:tc>
      </w:tr>
      <w:tr w:rsidR="001F7694" w:rsidRPr="001F7694" w14:paraId="6B31EF38"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600B019C"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Interest and bank charges payable</w:t>
            </w:r>
          </w:p>
        </w:tc>
        <w:tc>
          <w:tcPr>
            <w:tcW w:w="1471" w:type="dxa"/>
            <w:tcBorders>
              <w:top w:val="nil"/>
              <w:left w:val="nil"/>
              <w:bottom w:val="single" w:sz="4" w:space="0" w:color="auto"/>
              <w:right w:val="single" w:sz="4" w:space="0" w:color="auto"/>
            </w:tcBorders>
            <w:shd w:val="clear" w:color="auto" w:fill="auto"/>
            <w:noWrap/>
            <w:vAlign w:val="bottom"/>
            <w:hideMark/>
          </w:tcPr>
          <w:p w14:paraId="2149A4A0"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213D57A2"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18,600</w:t>
            </w:r>
          </w:p>
        </w:tc>
        <w:tc>
          <w:tcPr>
            <w:tcW w:w="1176" w:type="dxa"/>
            <w:tcBorders>
              <w:top w:val="nil"/>
              <w:left w:val="nil"/>
              <w:bottom w:val="single" w:sz="4" w:space="0" w:color="auto"/>
              <w:right w:val="single" w:sz="4" w:space="0" w:color="auto"/>
            </w:tcBorders>
            <w:shd w:val="clear" w:color="auto" w:fill="auto"/>
            <w:noWrap/>
            <w:vAlign w:val="bottom"/>
            <w:hideMark/>
          </w:tcPr>
          <w:p w14:paraId="49579C98"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19,158</w:t>
            </w:r>
          </w:p>
        </w:tc>
        <w:tc>
          <w:tcPr>
            <w:tcW w:w="1176" w:type="dxa"/>
            <w:tcBorders>
              <w:top w:val="nil"/>
              <w:left w:val="nil"/>
              <w:bottom w:val="single" w:sz="4" w:space="0" w:color="auto"/>
              <w:right w:val="single" w:sz="4" w:space="0" w:color="auto"/>
            </w:tcBorders>
            <w:shd w:val="clear" w:color="auto" w:fill="auto"/>
            <w:noWrap/>
            <w:vAlign w:val="bottom"/>
            <w:hideMark/>
          </w:tcPr>
          <w:p w14:paraId="411F5CA5"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20,116</w:t>
            </w:r>
          </w:p>
        </w:tc>
      </w:tr>
      <w:tr w:rsidR="001F7694" w:rsidRPr="001F7694" w14:paraId="3DB9321B"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5B329E8"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Lease payments</w:t>
            </w:r>
          </w:p>
        </w:tc>
        <w:tc>
          <w:tcPr>
            <w:tcW w:w="1471" w:type="dxa"/>
            <w:tcBorders>
              <w:top w:val="nil"/>
              <w:left w:val="nil"/>
              <w:bottom w:val="single" w:sz="4" w:space="0" w:color="auto"/>
              <w:right w:val="single" w:sz="4" w:space="0" w:color="auto"/>
            </w:tcBorders>
            <w:shd w:val="clear" w:color="auto" w:fill="auto"/>
            <w:noWrap/>
            <w:vAlign w:val="bottom"/>
            <w:hideMark/>
          </w:tcPr>
          <w:p w14:paraId="755B9F24"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56F51DA4"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18,600</w:t>
            </w:r>
          </w:p>
        </w:tc>
        <w:tc>
          <w:tcPr>
            <w:tcW w:w="1176" w:type="dxa"/>
            <w:tcBorders>
              <w:top w:val="nil"/>
              <w:left w:val="nil"/>
              <w:bottom w:val="single" w:sz="4" w:space="0" w:color="auto"/>
              <w:right w:val="single" w:sz="4" w:space="0" w:color="auto"/>
            </w:tcBorders>
            <w:shd w:val="clear" w:color="auto" w:fill="auto"/>
            <w:noWrap/>
            <w:vAlign w:val="bottom"/>
            <w:hideMark/>
          </w:tcPr>
          <w:p w14:paraId="147EF645"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19,158</w:t>
            </w:r>
          </w:p>
        </w:tc>
        <w:tc>
          <w:tcPr>
            <w:tcW w:w="1176" w:type="dxa"/>
            <w:tcBorders>
              <w:top w:val="nil"/>
              <w:left w:val="nil"/>
              <w:bottom w:val="single" w:sz="4" w:space="0" w:color="auto"/>
              <w:right w:val="single" w:sz="4" w:space="0" w:color="auto"/>
            </w:tcBorders>
            <w:shd w:val="clear" w:color="auto" w:fill="auto"/>
            <w:noWrap/>
            <w:vAlign w:val="bottom"/>
            <w:hideMark/>
          </w:tcPr>
          <w:p w14:paraId="65BA78CD"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20,116</w:t>
            </w:r>
          </w:p>
        </w:tc>
      </w:tr>
      <w:tr w:rsidR="001F7694" w:rsidRPr="001F7694" w14:paraId="61473A1F"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04C4034A" w14:textId="77777777" w:rsidR="001F7694" w:rsidRPr="001F7694" w:rsidRDefault="001F7694" w:rsidP="001F7694">
            <w:pPr>
              <w:spacing w:after="0" w:line="240" w:lineRule="auto"/>
              <w:jc w:val="left"/>
              <w:rPr>
                <w:rFonts w:eastAsia="Times New Roman" w:cs="Times New Roman"/>
                <w:b/>
                <w:bCs/>
                <w:i/>
                <w:iCs/>
                <w:szCs w:val="24"/>
                <w:lang w:eastAsia="en-IN"/>
              </w:rPr>
            </w:pPr>
            <w:r w:rsidRPr="001F7694">
              <w:rPr>
                <w:rFonts w:eastAsia="Times New Roman" w:cs="Times New Roman"/>
                <w:b/>
                <w:bCs/>
                <w:i/>
                <w:iCs/>
                <w:szCs w:val="24"/>
                <w:lang w:eastAsia="en-IN"/>
              </w:rPr>
              <w:t>Corporation Tax</w:t>
            </w:r>
          </w:p>
        </w:tc>
        <w:tc>
          <w:tcPr>
            <w:tcW w:w="1471" w:type="dxa"/>
            <w:tcBorders>
              <w:top w:val="nil"/>
              <w:left w:val="nil"/>
              <w:bottom w:val="single" w:sz="4" w:space="0" w:color="auto"/>
              <w:right w:val="single" w:sz="4" w:space="0" w:color="auto"/>
            </w:tcBorders>
            <w:shd w:val="clear" w:color="auto" w:fill="auto"/>
            <w:noWrap/>
            <w:vAlign w:val="bottom"/>
            <w:hideMark/>
          </w:tcPr>
          <w:p w14:paraId="6EBEDA50"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2ACA2441"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-17,550</w:t>
            </w:r>
          </w:p>
        </w:tc>
        <w:tc>
          <w:tcPr>
            <w:tcW w:w="1176" w:type="dxa"/>
            <w:tcBorders>
              <w:top w:val="nil"/>
              <w:left w:val="nil"/>
              <w:bottom w:val="single" w:sz="4" w:space="0" w:color="auto"/>
              <w:right w:val="single" w:sz="4" w:space="0" w:color="auto"/>
            </w:tcBorders>
            <w:shd w:val="clear" w:color="auto" w:fill="auto"/>
            <w:noWrap/>
            <w:vAlign w:val="bottom"/>
            <w:hideMark/>
          </w:tcPr>
          <w:p w14:paraId="27DD8863"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-6,527</w:t>
            </w:r>
          </w:p>
        </w:tc>
        <w:tc>
          <w:tcPr>
            <w:tcW w:w="1176" w:type="dxa"/>
            <w:tcBorders>
              <w:top w:val="nil"/>
              <w:left w:val="nil"/>
              <w:bottom w:val="single" w:sz="4" w:space="0" w:color="auto"/>
              <w:right w:val="single" w:sz="4" w:space="0" w:color="auto"/>
            </w:tcBorders>
            <w:shd w:val="clear" w:color="auto" w:fill="auto"/>
            <w:noWrap/>
            <w:vAlign w:val="bottom"/>
            <w:hideMark/>
          </w:tcPr>
          <w:p w14:paraId="78C60F55"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2,222</w:t>
            </w:r>
          </w:p>
        </w:tc>
      </w:tr>
      <w:tr w:rsidR="001F7694" w:rsidRPr="001F7694" w14:paraId="6F03A1E6"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048D960D" w14:textId="77777777" w:rsidR="001F7694" w:rsidRPr="001F7694" w:rsidRDefault="001F7694" w:rsidP="001F7694">
            <w:pPr>
              <w:spacing w:after="0" w:line="240" w:lineRule="auto"/>
              <w:jc w:val="left"/>
              <w:rPr>
                <w:rFonts w:eastAsia="Times New Roman" w:cs="Times New Roman"/>
                <w:b/>
                <w:bCs/>
                <w:i/>
                <w:iCs/>
                <w:color w:val="000000"/>
                <w:szCs w:val="24"/>
                <w:lang w:eastAsia="en-IN"/>
              </w:rPr>
            </w:pPr>
            <w:r w:rsidRPr="001F7694">
              <w:rPr>
                <w:rFonts w:eastAsia="Times New Roman" w:cs="Times New Roman"/>
                <w:b/>
                <w:bCs/>
                <w:i/>
                <w:iCs/>
                <w:color w:val="000000"/>
                <w:szCs w:val="24"/>
                <w:lang w:eastAsia="en-IN"/>
              </w:rPr>
              <w:t>Market survey costs</w:t>
            </w:r>
          </w:p>
        </w:tc>
        <w:tc>
          <w:tcPr>
            <w:tcW w:w="1471" w:type="dxa"/>
            <w:tcBorders>
              <w:top w:val="nil"/>
              <w:left w:val="nil"/>
              <w:bottom w:val="single" w:sz="4" w:space="0" w:color="auto"/>
              <w:right w:val="single" w:sz="4" w:space="0" w:color="auto"/>
            </w:tcBorders>
            <w:shd w:val="clear" w:color="auto" w:fill="auto"/>
            <w:noWrap/>
            <w:vAlign w:val="bottom"/>
            <w:hideMark/>
          </w:tcPr>
          <w:p w14:paraId="46C21B95"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1FA8F913"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5,200</w:t>
            </w:r>
          </w:p>
        </w:tc>
        <w:tc>
          <w:tcPr>
            <w:tcW w:w="1176" w:type="dxa"/>
            <w:tcBorders>
              <w:top w:val="nil"/>
              <w:left w:val="nil"/>
              <w:bottom w:val="single" w:sz="4" w:space="0" w:color="auto"/>
              <w:right w:val="single" w:sz="4" w:space="0" w:color="auto"/>
            </w:tcBorders>
            <w:shd w:val="clear" w:color="auto" w:fill="auto"/>
            <w:noWrap/>
            <w:vAlign w:val="bottom"/>
            <w:hideMark/>
          </w:tcPr>
          <w:p w14:paraId="30680E7E"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5,356</w:t>
            </w:r>
          </w:p>
        </w:tc>
        <w:tc>
          <w:tcPr>
            <w:tcW w:w="1176" w:type="dxa"/>
            <w:tcBorders>
              <w:top w:val="nil"/>
              <w:left w:val="nil"/>
              <w:bottom w:val="single" w:sz="4" w:space="0" w:color="auto"/>
              <w:right w:val="single" w:sz="4" w:space="0" w:color="auto"/>
            </w:tcBorders>
            <w:shd w:val="clear" w:color="auto" w:fill="auto"/>
            <w:noWrap/>
            <w:vAlign w:val="bottom"/>
            <w:hideMark/>
          </w:tcPr>
          <w:p w14:paraId="2300C148"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5,624</w:t>
            </w:r>
          </w:p>
        </w:tc>
      </w:tr>
      <w:tr w:rsidR="001F7694" w:rsidRPr="001F7694" w14:paraId="7A0B22A8"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966DDFA" w14:textId="77777777" w:rsidR="001F7694" w:rsidRPr="001F7694" w:rsidRDefault="001F7694" w:rsidP="001F7694">
            <w:pPr>
              <w:spacing w:after="0" w:line="240" w:lineRule="auto"/>
              <w:jc w:val="left"/>
              <w:rPr>
                <w:rFonts w:eastAsia="Times New Roman" w:cs="Times New Roman"/>
                <w:b/>
                <w:bCs/>
                <w:i/>
                <w:iCs/>
                <w:color w:val="000000"/>
                <w:szCs w:val="24"/>
                <w:lang w:eastAsia="en-IN"/>
              </w:rPr>
            </w:pPr>
            <w:r w:rsidRPr="001F7694">
              <w:rPr>
                <w:rFonts w:eastAsia="Times New Roman" w:cs="Times New Roman"/>
                <w:b/>
                <w:bCs/>
                <w:i/>
                <w:iCs/>
                <w:color w:val="000000"/>
                <w:szCs w:val="24"/>
                <w:lang w:eastAsia="en-IN"/>
              </w:rPr>
              <w:t>Other preliminary expenses</w:t>
            </w:r>
          </w:p>
        </w:tc>
        <w:tc>
          <w:tcPr>
            <w:tcW w:w="1471" w:type="dxa"/>
            <w:tcBorders>
              <w:top w:val="nil"/>
              <w:left w:val="nil"/>
              <w:bottom w:val="single" w:sz="4" w:space="0" w:color="auto"/>
              <w:right w:val="single" w:sz="4" w:space="0" w:color="auto"/>
            </w:tcBorders>
            <w:shd w:val="clear" w:color="auto" w:fill="auto"/>
            <w:noWrap/>
            <w:vAlign w:val="bottom"/>
            <w:hideMark/>
          </w:tcPr>
          <w:p w14:paraId="7A5EAF89"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1D811461"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2,900</w:t>
            </w:r>
          </w:p>
        </w:tc>
        <w:tc>
          <w:tcPr>
            <w:tcW w:w="1176" w:type="dxa"/>
            <w:tcBorders>
              <w:top w:val="nil"/>
              <w:left w:val="nil"/>
              <w:bottom w:val="single" w:sz="4" w:space="0" w:color="auto"/>
              <w:right w:val="single" w:sz="4" w:space="0" w:color="auto"/>
            </w:tcBorders>
            <w:shd w:val="clear" w:color="auto" w:fill="auto"/>
            <w:noWrap/>
            <w:vAlign w:val="bottom"/>
            <w:hideMark/>
          </w:tcPr>
          <w:p w14:paraId="7BF79F95"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2,987</w:t>
            </w:r>
          </w:p>
        </w:tc>
        <w:tc>
          <w:tcPr>
            <w:tcW w:w="1176" w:type="dxa"/>
            <w:tcBorders>
              <w:top w:val="nil"/>
              <w:left w:val="nil"/>
              <w:bottom w:val="single" w:sz="4" w:space="0" w:color="auto"/>
              <w:right w:val="single" w:sz="4" w:space="0" w:color="auto"/>
            </w:tcBorders>
            <w:shd w:val="clear" w:color="auto" w:fill="auto"/>
            <w:noWrap/>
            <w:vAlign w:val="bottom"/>
            <w:hideMark/>
          </w:tcPr>
          <w:p w14:paraId="65B208DE"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3,136</w:t>
            </w:r>
          </w:p>
        </w:tc>
      </w:tr>
      <w:tr w:rsidR="001F7694" w:rsidRPr="001F7694" w14:paraId="5AD92344"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183D8A75" w14:textId="77777777" w:rsidR="001F7694" w:rsidRPr="001F7694" w:rsidRDefault="001F7694" w:rsidP="001F7694">
            <w:pPr>
              <w:spacing w:after="0" w:line="240" w:lineRule="auto"/>
              <w:jc w:val="left"/>
              <w:rPr>
                <w:rFonts w:eastAsia="Times New Roman" w:cs="Times New Roman"/>
                <w:b/>
                <w:bCs/>
                <w:i/>
                <w:iCs/>
                <w:color w:val="000000"/>
                <w:szCs w:val="24"/>
                <w:lang w:eastAsia="en-IN"/>
              </w:rPr>
            </w:pPr>
            <w:r w:rsidRPr="001F7694">
              <w:rPr>
                <w:rFonts w:eastAsia="Times New Roman" w:cs="Times New Roman"/>
                <w:b/>
                <w:bCs/>
                <w:i/>
                <w:iCs/>
                <w:color w:val="000000"/>
                <w:szCs w:val="24"/>
                <w:lang w:eastAsia="en-IN"/>
              </w:rPr>
              <w:t>capital expenditure</w:t>
            </w:r>
          </w:p>
        </w:tc>
        <w:tc>
          <w:tcPr>
            <w:tcW w:w="1471" w:type="dxa"/>
            <w:tcBorders>
              <w:top w:val="nil"/>
              <w:left w:val="nil"/>
              <w:bottom w:val="single" w:sz="4" w:space="0" w:color="auto"/>
              <w:right w:val="single" w:sz="4" w:space="0" w:color="auto"/>
            </w:tcBorders>
            <w:shd w:val="clear" w:color="auto" w:fill="auto"/>
            <w:noWrap/>
            <w:vAlign w:val="bottom"/>
            <w:hideMark/>
          </w:tcPr>
          <w:p w14:paraId="0BF57510"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62989005"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11DA0C47"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7515A7F4"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r>
      <w:tr w:rsidR="001F7694" w:rsidRPr="001F7694" w14:paraId="58B17095" w14:textId="77777777" w:rsidTr="001F7694">
        <w:trPr>
          <w:trHeight w:val="37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572AC9A2"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Plant and other capital expenditure</w:t>
            </w:r>
          </w:p>
        </w:tc>
        <w:tc>
          <w:tcPr>
            <w:tcW w:w="1471" w:type="dxa"/>
            <w:tcBorders>
              <w:top w:val="nil"/>
              <w:left w:val="nil"/>
              <w:bottom w:val="single" w:sz="4" w:space="0" w:color="auto"/>
              <w:right w:val="single" w:sz="4" w:space="0" w:color="auto"/>
            </w:tcBorders>
            <w:shd w:val="clear" w:color="auto" w:fill="auto"/>
            <w:noWrap/>
            <w:vAlign w:val="bottom"/>
            <w:hideMark/>
          </w:tcPr>
          <w:p w14:paraId="1F863534"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0</w:t>
            </w:r>
          </w:p>
        </w:tc>
        <w:tc>
          <w:tcPr>
            <w:tcW w:w="1084" w:type="dxa"/>
            <w:tcBorders>
              <w:top w:val="nil"/>
              <w:left w:val="nil"/>
              <w:bottom w:val="single" w:sz="4" w:space="0" w:color="auto"/>
              <w:right w:val="single" w:sz="4" w:space="0" w:color="auto"/>
            </w:tcBorders>
            <w:shd w:val="clear" w:color="auto" w:fill="auto"/>
            <w:noWrap/>
            <w:vAlign w:val="bottom"/>
            <w:hideMark/>
          </w:tcPr>
          <w:p w14:paraId="7AB3CE33"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1,73,000</w:t>
            </w:r>
          </w:p>
        </w:tc>
        <w:tc>
          <w:tcPr>
            <w:tcW w:w="1176" w:type="dxa"/>
            <w:tcBorders>
              <w:top w:val="nil"/>
              <w:left w:val="nil"/>
              <w:bottom w:val="single" w:sz="4" w:space="0" w:color="auto"/>
              <w:right w:val="single" w:sz="4" w:space="0" w:color="auto"/>
            </w:tcBorders>
            <w:shd w:val="clear" w:color="auto" w:fill="auto"/>
            <w:noWrap/>
            <w:vAlign w:val="bottom"/>
            <w:hideMark/>
          </w:tcPr>
          <w:p w14:paraId="5EFA7136"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1,73,000</w:t>
            </w:r>
          </w:p>
        </w:tc>
        <w:tc>
          <w:tcPr>
            <w:tcW w:w="1176" w:type="dxa"/>
            <w:tcBorders>
              <w:top w:val="nil"/>
              <w:left w:val="nil"/>
              <w:bottom w:val="single" w:sz="4" w:space="0" w:color="auto"/>
              <w:right w:val="single" w:sz="4" w:space="0" w:color="auto"/>
            </w:tcBorders>
            <w:shd w:val="clear" w:color="auto" w:fill="auto"/>
            <w:noWrap/>
            <w:vAlign w:val="bottom"/>
            <w:hideMark/>
          </w:tcPr>
          <w:p w14:paraId="48D61A08" w14:textId="77777777" w:rsidR="001F7694" w:rsidRPr="001F7694" w:rsidRDefault="001F7694" w:rsidP="001F7694">
            <w:pPr>
              <w:spacing w:after="0" w:line="240" w:lineRule="auto"/>
              <w:jc w:val="right"/>
              <w:rPr>
                <w:rFonts w:eastAsia="Times New Roman" w:cs="Times New Roman"/>
                <w:color w:val="000000"/>
                <w:szCs w:val="24"/>
                <w:lang w:eastAsia="en-IN"/>
              </w:rPr>
            </w:pPr>
            <w:r w:rsidRPr="001F7694">
              <w:rPr>
                <w:rFonts w:eastAsia="Times New Roman" w:cs="Times New Roman"/>
                <w:color w:val="000000"/>
                <w:szCs w:val="24"/>
                <w:lang w:eastAsia="en-IN"/>
              </w:rPr>
              <w:t>1,73,000</w:t>
            </w:r>
          </w:p>
        </w:tc>
      </w:tr>
      <w:tr w:rsidR="001F7694" w:rsidRPr="001F7694" w14:paraId="3B0CBBB5"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2A38EF81" w14:textId="77777777" w:rsidR="001F7694" w:rsidRPr="001F7694" w:rsidRDefault="001F7694" w:rsidP="001F7694">
            <w:pPr>
              <w:spacing w:after="0" w:line="240" w:lineRule="auto"/>
              <w:jc w:val="left"/>
              <w:rPr>
                <w:rFonts w:eastAsia="Times New Roman" w:cs="Times New Roman"/>
                <w:b/>
                <w:bCs/>
                <w:i/>
                <w:iCs/>
                <w:color w:val="000000"/>
                <w:szCs w:val="24"/>
                <w:lang w:eastAsia="en-IN"/>
              </w:rPr>
            </w:pPr>
            <w:r w:rsidRPr="001F7694">
              <w:rPr>
                <w:rFonts w:eastAsia="Times New Roman" w:cs="Times New Roman"/>
                <w:b/>
                <w:bCs/>
                <w:i/>
                <w:iCs/>
                <w:color w:val="000000"/>
                <w:szCs w:val="24"/>
                <w:lang w:eastAsia="en-IN"/>
              </w:rPr>
              <w:t>financing repayments</w:t>
            </w:r>
          </w:p>
        </w:tc>
        <w:tc>
          <w:tcPr>
            <w:tcW w:w="1471" w:type="dxa"/>
            <w:tcBorders>
              <w:top w:val="nil"/>
              <w:left w:val="nil"/>
              <w:bottom w:val="single" w:sz="4" w:space="0" w:color="auto"/>
              <w:right w:val="single" w:sz="4" w:space="0" w:color="auto"/>
            </w:tcBorders>
            <w:shd w:val="clear" w:color="auto" w:fill="auto"/>
            <w:noWrap/>
            <w:vAlign w:val="bottom"/>
            <w:hideMark/>
          </w:tcPr>
          <w:p w14:paraId="6548E680"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38BFB702"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2DDCA0E5"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04152A84"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r>
      <w:tr w:rsidR="001F7694" w:rsidRPr="001F7694" w14:paraId="53E20495" w14:textId="77777777" w:rsidTr="001F7694">
        <w:trPr>
          <w:trHeight w:val="330"/>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7289D99B"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Loan repayments</w:t>
            </w:r>
          </w:p>
        </w:tc>
        <w:tc>
          <w:tcPr>
            <w:tcW w:w="1471" w:type="dxa"/>
            <w:tcBorders>
              <w:top w:val="nil"/>
              <w:left w:val="nil"/>
              <w:bottom w:val="single" w:sz="4" w:space="0" w:color="auto"/>
              <w:right w:val="single" w:sz="4" w:space="0" w:color="auto"/>
            </w:tcBorders>
            <w:shd w:val="clear" w:color="auto" w:fill="auto"/>
            <w:noWrap/>
            <w:vAlign w:val="bottom"/>
            <w:hideMark/>
          </w:tcPr>
          <w:p w14:paraId="2D6DFAC2" w14:textId="77777777" w:rsidR="001F7694" w:rsidRPr="001F7694" w:rsidRDefault="001F7694" w:rsidP="001F7694">
            <w:pPr>
              <w:spacing w:after="0" w:line="240" w:lineRule="auto"/>
              <w:jc w:val="left"/>
              <w:rPr>
                <w:rFonts w:eastAsia="Times New Roman" w:cs="Times New Roman"/>
                <w:szCs w:val="24"/>
                <w:lang w:eastAsia="en-IN"/>
              </w:rPr>
            </w:pPr>
            <w:r w:rsidRPr="001F7694">
              <w:rPr>
                <w:rFonts w:eastAsia="Times New Roman" w:cs="Times New Roman"/>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6F39AA3B"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12449DC3"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16,000</w:t>
            </w:r>
          </w:p>
        </w:tc>
        <w:tc>
          <w:tcPr>
            <w:tcW w:w="1176" w:type="dxa"/>
            <w:tcBorders>
              <w:top w:val="nil"/>
              <w:left w:val="nil"/>
              <w:bottom w:val="single" w:sz="4" w:space="0" w:color="auto"/>
              <w:right w:val="single" w:sz="4" w:space="0" w:color="auto"/>
            </w:tcBorders>
            <w:shd w:val="clear" w:color="auto" w:fill="auto"/>
            <w:noWrap/>
            <w:vAlign w:val="bottom"/>
            <w:hideMark/>
          </w:tcPr>
          <w:p w14:paraId="6D64ECEC" w14:textId="77777777" w:rsidR="001F7694" w:rsidRPr="001F7694" w:rsidRDefault="001F7694" w:rsidP="001F7694">
            <w:pPr>
              <w:spacing w:after="0" w:line="240" w:lineRule="auto"/>
              <w:jc w:val="right"/>
              <w:rPr>
                <w:rFonts w:eastAsia="Times New Roman" w:cs="Times New Roman"/>
                <w:szCs w:val="24"/>
                <w:lang w:eastAsia="en-IN"/>
              </w:rPr>
            </w:pPr>
            <w:r w:rsidRPr="001F7694">
              <w:rPr>
                <w:rFonts w:eastAsia="Times New Roman" w:cs="Times New Roman"/>
                <w:szCs w:val="24"/>
                <w:lang w:eastAsia="en-IN"/>
              </w:rPr>
              <w:t>16,000</w:t>
            </w:r>
          </w:p>
        </w:tc>
      </w:tr>
      <w:tr w:rsidR="001F7694" w:rsidRPr="001F7694" w14:paraId="565D2A8D" w14:textId="77777777" w:rsidTr="001F7694">
        <w:trPr>
          <w:trHeight w:val="315"/>
        </w:trPr>
        <w:tc>
          <w:tcPr>
            <w:tcW w:w="4622" w:type="dxa"/>
            <w:tcBorders>
              <w:top w:val="nil"/>
              <w:left w:val="single" w:sz="8" w:space="0" w:color="auto"/>
              <w:bottom w:val="single" w:sz="4" w:space="0" w:color="auto"/>
              <w:right w:val="single" w:sz="4" w:space="0" w:color="auto"/>
            </w:tcBorders>
            <w:shd w:val="clear" w:color="000000" w:fill="C4D79B"/>
            <w:noWrap/>
            <w:vAlign w:val="bottom"/>
            <w:hideMark/>
          </w:tcPr>
          <w:p w14:paraId="20D6A2DF" w14:textId="77777777" w:rsidR="001F7694" w:rsidRPr="001F7694" w:rsidRDefault="001F7694" w:rsidP="001F7694">
            <w:pPr>
              <w:spacing w:after="0" w:line="240" w:lineRule="auto"/>
              <w:jc w:val="left"/>
              <w:rPr>
                <w:rFonts w:eastAsia="Times New Roman" w:cs="Times New Roman"/>
                <w:b/>
                <w:bCs/>
                <w:color w:val="000000"/>
                <w:szCs w:val="24"/>
                <w:lang w:eastAsia="en-IN"/>
              </w:rPr>
            </w:pPr>
            <w:r w:rsidRPr="001F7694">
              <w:rPr>
                <w:rFonts w:eastAsia="Times New Roman" w:cs="Times New Roman"/>
                <w:b/>
                <w:bCs/>
                <w:color w:val="000000"/>
                <w:szCs w:val="24"/>
                <w:lang w:eastAsia="en-IN"/>
              </w:rPr>
              <w:t xml:space="preserve">TOTAL CASH OUTFLOWS </w:t>
            </w:r>
          </w:p>
        </w:tc>
        <w:tc>
          <w:tcPr>
            <w:tcW w:w="1471" w:type="dxa"/>
            <w:tcBorders>
              <w:top w:val="nil"/>
              <w:left w:val="nil"/>
              <w:bottom w:val="single" w:sz="4" w:space="0" w:color="auto"/>
              <w:right w:val="single" w:sz="4" w:space="0" w:color="auto"/>
            </w:tcBorders>
            <w:shd w:val="clear" w:color="000000" w:fill="C4D79B"/>
            <w:noWrap/>
            <w:vAlign w:val="bottom"/>
            <w:hideMark/>
          </w:tcPr>
          <w:p w14:paraId="6532F736"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0</w:t>
            </w:r>
          </w:p>
        </w:tc>
        <w:tc>
          <w:tcPr>
            <w:tcW w:w="1084" w:type="dxa"/>
            <w:tcBorders>
              <w:top w:val="nil"/>
              <w:left w:val="nil"/>
              <w:bottom w:val="single" w:sz="4" w:space="0" w:color="auto"/>
              <w:right w:val="single" w:sz="4" w:space="0" w:color="auto"/>
            </w:tcBorders>
            <w:shd w:val="clear" w:color="000000" w:fill="C4D79B"/>
            <w:noWrap/>
            <w:vAlign w:val="bottom"/>
            <w:hideMark/>
          </w:tcPr>
          <w:p w14:paraId="6F42C747"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5,43,650</w:t>
            </w:r>
          </w:p>
        </w:tc>
        <w:tc>
          <w:tcPr>
            <w:tcW w:w="1176" w:type="dxa"/>
            <w:tcBorders>
              <w:top w:val="nil"/>
              <w:left w:val="nil"/>
              <w:bottom w:val="single" w:sz="4" w:space="0" w:color="auto"/>
              <w:right w:val="single" w:sz="4" w:space="0" w:color="auto"/>
            </w:tcBorders>
            <w:shd w:val="clear" w:color="000000" w:fill="C4D79B"/>
            <w:noWrap/>
            <w:vAlign w:val="bottom"/>
            <w:hideMark/>
          </w:tcPr>
          <w:p w14:paraId="6FE3E7E0"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5,82,320</w:t>
            </w:r>
          </w:p>
        </w:tc>
        <w:tc>
          <w:tcPr>
            <w:tcW w:w="1176" w:type="dxa"/>
            <w:tcBorders>
              <w:top w:val="nil"/>
              <w:left w:val="nil"/>
              <w:bottom w:val="single" w:sz="4" w:space="0" w:color="auto"/>
              <w:right w:val="single" w:sz="4" w:space="0" w:color="auto"/>
            </w:tcBorders>
            <w:shd w:val="clear" w:color="000000" w:fill="C4D79B"/>
            <w:noWrap/>
            <w:vAlign w:val="bottom"/>
            <w:hideMark/>
          </w:tcPr>
          <w:p w14:paraId="15436A99"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6,11,060</w:t>
            </w:r>
          </w:p>
        </w:tc>
      </w:tr>
      <w:tr w:rsidR="001F7694" w:rsidRPr="001F7694" w14:paraId="064DB429"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4F363B30" w14:textId="77777777" w:rsidR="001F7694" w:rsidRPr="001F7694" w:rsidRDefault="001F7694" w:rsidP="001F7694">
            <w:pPr>
              <w:spacing w:after="0" w:line="240" w:lineRule="auto"/>
              <w:jc w:val="left"/>
              <w:rPr>
                <w:rFonts w:eastAsia="Times New Roman" w:cs="Times New Roman"/>
                <w:b/>
                <w:bCs/>
                <w:i/>
                <w:iCs/>
                <w:color w:val="000000"/>
                <w:szCs w:val="24"/>
                <w:u w:val="single"/>
                <w:lang w:eastAsia="en-IN"/>
              </w:rPr>
            </w:pPr>
            <w:r w:rsidRPr="001F7694">
              <w:rPr>
                <w:rFonts w:eastAsia="Times New Roman" w:cs="Times New Roman"/>
                <w:b/>
                <w:bCs/>
                <w:i/>
                <w:iCs/>
                <w:color w:val="000000"/>
                <w:szCs w:val="24"/>
                <w:u w:val="single"/>
                <w:lang w:eastAsia="en-IN"/>
              </w:rPr>
              <w:t>Cash flow summary</w:t>
            </w:r>
          </w:p>
        </w:tc>
        <w:tc>
          <w:tcPr>
            <w:tcW w:w="1471" w:type="dxa"/>
            <w:tcBorders>
              <w:top w:val="nil"/>
              <w:left w:val="nil"/>
              <w:bottom w:val="single" w:sz="4" w:space="0" w:color="auto"/>
              <w:right w:val="single" w:sz="4" w:space="0" w:color="auto"/>
            </w:tcBorders>
            <w:shd w:val="clear" w:color="000000" w:fill="FFFFFF"/>
            <w:noWrap/>
            <w:vAlign w:val="bottom"/>
            <w:hideMark/>
          </w:tcPr>
          <w:p w14:paraId="6E8983B7"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084" w:type="dxa"/>
            <w:tcBorders>
              <w:top w:val="nil"/>
              <w:left w:val="nil"/>
              <w:bottom w:val="single" w:sz="4" w:space="0" w:color="auto"/>
              <w:right w:val="single" w:sz="4" w:space="0" w:color="auto"/>
            </w:tcBorders>
            <w:shd w:val="clear" w:color="000000" w:fill="FFFFFF"/>
            <w:noWrap/>
            <w:vAlign w:val="bottom"/>
            <w:hideMark/>
          </w:tcPr>
          <w:p w14:paraId="2C8EF72C"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000000" w:fill="FFFFFF"/>
            <w:noWrap/>
            <w:vAlign w:val="bottom"/>
            <w:hideMark/>
          </w:tcPr>
          <w:p w14:paraId="03AD17D9"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000000" w:fill="FFFFFF"/>
            <w:noWrap/>
            <w:vAlign w:val="bottom"/>
            <w:hideMark/>
          </w:tcPr>
          <w:p w14:paraId="2278908A"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r>
      <w:tr w:rsidR="001F7694" w:rsidRPr="001F7694" w14:paraId="5BD1F5EF" w14:textId="77777777" w:rsidTr="001F7694">
        <w:trPr>
          <w:trHeight w:val="330"/>
        </w:trPr>
        <w:tc>
          <w:tcPr>
            <w:tcW w:w="4622" w:type="dxa"/>
            <w:tcBorders>
              <w:top w:val="nil"/>
              <w:left w:val="single" w:sz="8" w:space="0" w:color="auto"/>
              <w:bottom w:val="single" w:sz="4" w:space="0" w:color="auto"/>
              <w:right w:val="single" w:sz="4" w:space="0" w:color="auto"/>
            </w:tcBorders>
            <w:shd w:val="clear" w:color="000000" w:fill="B8CCE4"/>
            <w:noWrap/>
            <w:vAlign w:val="bottom"/>
            <w:hideMark/>
          </w:tcPr>
          <w:p w14:paraId="6E053AF2" w14:textId="77777777" w:rsidR="001F7694" w:rsidRPr="001F7694" w:rsidRDefault="001F7694" w:rsidP="001F7694">
            <w:pPr>
              <w:spacing w:after="0" w:line="240" w:lineRule="auto"/>
              <w:jc w:val="left"/>
              <w:rPr>
                <w:rFonts w:eastAsia="Times New Roman" w:cs="Times New Roman"/>
                <w:b/>
                <w:bCs/>
                <w:szCs w:val="24"/>
                <w:lang w:eastAsia="en-IN"/>
              </w:rPr>
            </w:pPr>
            <w:r w:rsidRPr="001F7694">
              <w:rPr>
                <w:rFonts w:eastAsia="Times New Roman" w:cs="Times New Roman"/>
                <w:b/>
                <w:bCs/>
                <w:szCs w:val="24"/>
                <w:lang w:eastAsia="en-IN"/>
              </w:rPr>
              <w:t xml:space="preserve">NET CASHFLOW FOR PERIOD </w:t>
            </w:r>
          </w:p>
        </w:tc>
        <w:tc>
          <w:tcPr>
            <w:tcW w:w="1471" w:type="dxa"/>
            <w:tcBorders>
              <w:top w:val="nil"/>
              <w:left w:val="nil"/>
              <w:bottom w:val="single" w:sz="4" w:space="0" w:color="auto"/>
              <w:right w:val="single" w:sz="4" w:space="0" w:color="auto"/>
            </w:tcBorders>
            <w:shd w:val="clear" w:color="000000" w:fill="B8CCE4"/>
            <w:noWrap/>
            <w:vAlign w:val="bottom"/>
            <w:hideMark/>
          </w:tcPr>
          <w:p w14:paraId="59B33CA4" w14:textId="77777777" w:rsidR="001F7694" w:rsidRPr="001F7694" w:rsidRDefault="001F7694" w:rsidP="001F7694">
            <w:pPr>
              <w:spacing w:after="0" w:line="240" w:lineRule="auto"/>
              <w:jc w:val="right"/>
              <w:rPr>
                <w:rFonts w:eastAsia="Times New Roman" w:cs="Times New Roman"/>
                <w:b/>
                <w:bCs/>
                <w:color w:val="000000"/>
                <w:szCs w:val="24"/>
                <w:lang w:eastAsia="en-IN"/>
              </w:rPr>
            </w:pPr>
            <w:r w:rsidRPr="001F7694">
              <w:rPr>
                <w:rFonts w:eastAsia="Times New Roman" w:cs="Times New Roman"/>
                <w:b/>
                <w:bCs/>
                <w:color w:val="000000"/>
                <w:szCs w:val="24"/>
                <w:lang w:eastAsia="en-IN"/>
              </w:rPr>
              <w:t>3,00,000</w:t>
            </w:r>
          </w:p>
        </w:tc>
        <w:tc>
          <w:tcPr>
            <w:tcW w:w="1084" w:type="dxa"/>
            <w:tcBorders>
              <w:top w:val="nil"/>
              <w:left w:val="nil"/>
              <w:bottom w:val="single" w:sz="4" w:space="0" w:color="auto"/>
              <w:right w:val="single" w:sz="4" w:space="0" w:color="auto"/>
            </w:tcBorders>
            <w:shd w:val="clear" w:color="000000" w:fill="B8CCE4"/>
            <w:noWrap/>
            <w:vAlign w:val="bottom"/>
            <w:hideMark/>
          </w:tcPr>
          <w:p w14:paraId="4C2A3A9E" w14:textId="77777777" w:rsidR="001F7694" w:rsidRPr="001F7694" w:rsidRDefault="001F7694" w:rsidP="001F7694">
            <w:pPr>
              <w:spacing w:after="0" w:line="240" w:lineRule="auto"/>
              <w:jc w:val="right"/>
              <w:rPr>
                <w:rFonts w:eastAsia="Times New Roman" w:cs="Times New Roman"/>
                <w:b/>
                <w:bCs/>
                <w:color w:val="000000"/>
                <w:szCs w:val="24"/>
                <w:lang w:eastAsia="en-IN"/>
              </w:rPr>
            </w:pPr>
            <w:r w:rsidRPr="001F7694">
              <w:rPr>
                <w:rFonts w:eastAsia="Times New Roman" w:cs="Times New Roman"/>
                <w:b/>
                <w:bCs/>
                <w:color w:val="000000"/>
                <w:szCs w:val="24"/>
                <w:lang w:eastAsia="en-IN"/>
              </w:rPr>
              <w:t>6,56,350</w:t>
            </w:r>
          </w:p>
        </w:tc>
        <w:tc>
          <w:tcPr>
            <w:tcW w:w="1176" w:type="dxa"/>
            <w:tcBorders>
              <w:top w:val="nil"/>
              <w:left w:val="nil"/>
              <w:bottom w:val="single" w:sz="4" w:space="0" w:color="auto"/>
              <w:right w:val="single" w:sz="4" w:space="0" w:color="auto"/>
            </w:tcBorders>
            <w:shd w:val="clear" w:color="000000" w:fill="B8CCE4"/>
            <w:noWrap/>
            <w:vAlign w:val="bottom"/>
            <w:hideMark/>
          </w:tcPr>
          <w:p w14:paraId="0B178D7A" w14:textId="77777777" w:rsidR="001F7694" w:rsidRPr="001F7694" w:rsidRDefault="001F7694" w:rsidP="001F7694">
            <w:pPr>
              <w:spacing w:after="0" w:line="240" w:lineRule="auto"/>
              <w:jc w:val="right"/>
              <w:rPr>
                <w:rFonts w:eastAsia="Times New Roman" w:cs="Times New Roman"/>
                <w:b/>
                <w:bCs/>
                <w:color w:val="000000"/>
                <w:szCs w:val="24"/>
                <w:lang w:eastAsia="en-IN"/>
              </w:rPr>
            </w:pPr>
            <w:r w:rsidRPr="001F7694">
              <w:rPr>
                <w:rFonts w:eastAsia="Times New Roman" w:cs="Times New Roman"/>
                <w:b/>
                <w:bCs/>
                <w:color w:val="000000"/>
                <w:szCs w:val="24"/>
                <w:lang w:eastAsia="en-IN"/>
              </w:rPr>
              <w:t>7,17,681</w:t>
            </w:r>
          </w:p>
        </w:tc>
        <w:tc>
          <w:tcPr>
            <w:tcW w:w="1176" w:type="dxa"/>
            <w:tcBorders>
              <w:top w:val="nil"/>
              <w:left w:val="nil"/>
              <w:bottom w:val="single" w:sz="4" w:space="0" w:color="auto"/>
              <w:right w:val="single" w:sz="4" w:space="0" w:color="auto"/>
            </w:tcBorders>
            <w:shd w:val="clear" w:color="000000" w:fill="B8CCE4"/>
            <w:noWrap/>
            <w:vAlign w:val="bottom"/>
            <w:hideMark/>
          </w:tcPr>
          <w:p w14:paraId="219B3F23" w14:textId="77777777" w:rsidR="001F7694" w:rsidRPr="001F7694" w:rsidRDefault="001F7694" w:rsidP="001F7694">
            <w:pPr>
              <w:spacing w:after="0" w:line="240" w:lineRule="auto"/>
              <w:jc w:val="right"/>
              <w:rPr>
                <w:rFonts w:eastAsia="Times New Roman" w:cs="Times New Roman"/>
                <w:b/>
                <w:bCs/>
                <w:color w:val="000000"/>
                <w:szCs w:val="24"/>
                <w:lang w:eastAsia="en-IN"/>
              </w:rPr>
            </w:pPr>
            <w:r w:rsidRPr="001F7694">
              <w:rPr>
                <w:rFonts w:eastAsia="Times New Roman" w:cs="Times New Roman"/>
                <w:b/>
                <w:bCs/>
                <w:color w:val="000000"/>
                <w:szCs w:val="24"/>
                <w:lang w:eastAsia="en-IN"/>
              </w:rPr>
              <w:t>7,98,940</w:t>
            </w:r>
          </w:p>
        </w:tc>
      </w:tr>
      <w:tr w:rsidR="001F7694" w:rsidRPr="001F7694" w14:paraId="0969AD88" w14:textId="77777777" w:rsidTr="001F7694">
        <w:trPr>
          <w:trHeight w:val="315"/>
        </w:trPr>
        <w:tc>
          <w:tcPr>
            <w:tcW w:w="4622" w:type="dxa"/>
            <w:tcBorders>
              <w:top w:val="nil"/>
              <w:left w:val="single" w:sz="8" w:space="0" w:color="auto"/>
              <w:bottom w:val="single" w:sz="4" w:space="0" w:color="auto"/>
              <w:right w:val="single" w:sz="4" w:space="0" w:color="auto"/>
            </w:tcBorders>
            <w:shd w:val="clear" w:color="000000" w:fill="B8CCE4"/>
            <w:noWrap/>
            <w:vAlign w:val="bottom"/>
            <w:hideMark/>
          </w:tcPr>
          <w:p w14:paraId="20D4B1F6" w14:textId="77777777" w:rsidR="001F7694" w:rsidRPr="001F7694" w:rsidRDefault="001F7694" w:rsidP="001F7694">
            <w:pPr>
              <w:spacing w:after="0" w:line="240" w:lineRule="auto"/>
              <w:jc w:val="left"/>
              <w:rPr>
                <w:rFonts w:eastAsia="Times New Roman" w:cs="Times New Roman"/>
                <w:b/>
                <w:bCs/>
                <w:szCs w:val="24"/>
                <w:lang w:eastAsia="en-IN"/>
              </w:rPr>
            </w:pPr>
            <w:r w:rsidRPr="001F7694">
              <w:rPr>
                <w:rFonts w:eastAsia="Times New Roman" w:cs="Times New Roman"/>
                <w:b/>
                <w:bCs/>
                <w:szCs w:val="24"/>
                <w:lang w:eastAsia="en-IN"/>
              </w:rPr>
              <w:t xml:space="preserve">OPENING CASH BALANCE </w:t>
            </w:r>
          </w:p>
        </w:tc>
        <w:tc>
          <w:tcPr>
            <w:tcW w:w="1471" w:type="dxa"/>
            <w:tcBorders>
              <w:top w:val="nil"/>
              <w:left w:val="nil"/>
              <w:bottom w:val="single" w:sz="4" w:space="0" w:color="auto"/>
              <w:right w:val="single" w:sz="4" w:space="0" w:color="auto"/>
            </w:tcBorders>
            <w:shd w:val="clear" w:color="000000" w:fill="B8CCE4"/>
            <w:noWrap/>
            <w:vAlign w:val="bottom"/>
            <w:hideMark/>
          </w:tcPr>
          <w:p w14:paraId="1ABBDF92"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0</w:t>
            </w:r>
          </w:p>
        </w:tc>
        <w:tc>
          <w:tcPr>
            <w:tcW w:w="1084" w:type="dxa"/>
            <w:tcBorders>
              <w:top w:val="nil"/>
              <w:left w:val="nil"/>
              <w:bottom w:val="single" w:sz="4" w:space="0" w:color="auto"/>
              <w:right w:val="single" w:sz="4" w:space="0" w:color="auto"/>
            </w:tcBorders>
            <w:shd w:val="clear" w:color="000000" w:fill="B8CCE4"/>
            <w:noWrap/>
            <w:vAlign w:val="bottom"/>
            <w:hideMark/>
          </w:tcPr>
          <w:p w14:paraId="347C962B"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3,00,000</w:t>
            </w:r>
          </w:p>
        </w:tc>
        <w:tc>
          <w:tcPr>
            <w:tcW w:w="1176" w:type="dxa"/>
            <w:tcBorders>
              <w:top w:val="nil"/>
              <w:left w:val="nil"/>
              <w:bottom w:val="single" w:sz="4" w:space="0" w:color="auto"/>
              <w:right w:val="single" w:sz="4" w:space="0" w:color="auto"/>
            </w:tcBorders>
            <w:shd w:val="clear" w:color="000000" w:fill="B8CCE4"/>
            <w:noWrap/>
            <w:vAlign w:val="bottom"/>
            <w:hideMark/>
          </w:tcPr>
          <w:p w14:paraId="2A99B6F4"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9,56,350</w:t>
            </w:r>
          </w:p>
        </w:tc>
        <w:tc>
          <w:tcPr>
            <w:tcW w:w="1176" w:type="dxa"/>
            <w:tcBorders>
              <w:top w:val="nil"/>
              <w:left w:val="nil"/>
              <w:bottom w:val="single" w:sz="4" w:space="0" w:color="auto"/>
              <w:right w:val="single" w:sz="4" w:space="0" w:color="auto"/>
            </w:tcBorders>
            <w:shd w:val="clear" w:color="000000" w:fill="B8CCE4"/>
            <w:noWrap/>
            <w:vAlign w:val="bottom"/>
            <w:hideMark/>
          </w:tcPr>
          <w:p w14:paraId="660C857B"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16,74,031</w:t>
            </w:r>
          </w:p>
        </w:tc>
      </w:tr>
      <w:tr w:rsidR="001F7694" w:rsidRPr="001F7694" w14:paraId="4D224F92" w14:textId="77777777" w:rsidTr="001F7694">
        <w:trPr>
          <w:trHeight w:val="315"/>
        </w:trPr>
        <w:tc>
          <w:tcPr>
            <w:tcW w:w="4622" w:type="dxa"/>
            <w:tcBorders>
              <w:top w:val="nil"/>
              <w:left w:val="single" w:sz="8" w:space="0" w:color="auto"/>
              <w:bottom w:val="single" w:sz="4" w:space="0" w:color="auto"/>
              <w:right w:val="single" w:sz="4" w:space="0" w:color="auto"/>
            </w:tcBorders>
            <w:shd w:val="clear" w:color="000000" w:fill="B8CCE4"/>
            <w:noWrap/>
            <w:vAlign w:val="bottom"/>
            <w:hideMark/>
          </w:tcPr>
          <w:p w14:paraId="3632F8D3" w14:textId="77777777" w:rsidR="001F7694" w:rsidRPr="001F7694" w:rsidRDefault="001F7694" w:rsidP="001F7694">
            <w:pPr>
              <w:spacing w:after="0" w:line="240" w:lineRule="auto"/>
              <w:jc w:val="left"/>
              <w:rPr>
                <w:rFonts w:eastAsia="Times New Roman" w:cs="Times New Roman"/>
                <w:b/>
                <w:bCs/>
                <w:szCs w:val="24"/>
                <w:lang w:eastAsia="en-IN"/>
              </w:rPr>
            </w:pPr>
            <w:r w:rsidRPr="001F7694">
              <w:rPr>
                <w:rFonts w:eastAsia="Times New Roman" w:cs="Times New Roman"/>
                <w:b/>
                <w:bCs/>
                <w:szCs w:val="24"/>
                <w:lang w:eastAsia="en-IN"/>
              </w:rPr>
              <w:t>CLOSING CASH BALANCE</w:t>
            </w:r>
          </w:p>
        </w:tc>
        <w:tc>
          <w:tcPr>
            <w:tcW w:w="1471" w:type="dxa"/>
            <w:tcBorders>
              <w:top w:val="nil"/>
              <w:left w:val="nil"/>
              <w:bottom w:val="single" w:sz="4" w:space="0" w:color="auto"/>
              <w:right w:val="single" w:sz="4" w:space="0" w:color="auto"/>
            </w:tcBorders>
            <w:shd w:val="clear" w:color="000000" w:fill="B8CCE4"/>
            <w:noWrap/>
            <w:vAlign w:val="bottom"/>
            <w:hideMark/>
          </w:tcPr>
          <w:p w14:paraId="5C8075E4"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3,00,000</w:t>
            </w:r>
          </w:p>
        </w:tc>
        <w:tc>
          <w:tcPr>
            <w:tcW w:w="1084" w:type="dxa"/>
            <w:tcBorders>
              <w:top w:val="nil"/>
              <w:left w:val="nil"/>
              <w:bottom w:val="single" w:sz="4" w:space="0" w:color="auto"/>
              <w:right w:val="single" w:sz="4" w:space="0" w:color="auto"/>
            </w:tcBorders>
            <w:shd w:val="clear" w:color="000000" w:fill="B8CCE4"/>
            <w:noWrap/>
            <w:vAlign w:val="bottom"/>
            <w:hideMark/>
          </w:tcPr>
          <w:p w14:paraId="4737915B"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9,56,350</w:t>
            </w:r>
          </w:p>
        </w:tc>
        <w:tc>
          <w:tcPr>
            <w:tcW w:w="1176" w:type="dxa"/>
            <w:tcBorders>
              <w:top w:val="nil"/>
              <w:left w:val="nil"/>
              <w:bottom w:val="single" w:sz="4" w:space="0" w:color="auto"/>
              <w:right w:val="single" w:sz="4" w:space="0" w:color="auto"/>
            </w:tcBorders>
            <w:shd w:val="clear" w:color="000000" w:fill="B8CCE4"/>
            <w:noWrap/>
            <w:vAlign w:val="bottom"/>
            <w:hideMark/>
          </w:tcPr>
          <w:p w14:paraId="39D02E9E"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16,74,031</w:t>
            </w:r>
          </w:p>
        </w:tc>
        <w:tc>
          <w:tcPr>
            <w:tcW w:w="1176" w:type="dxa"/>
            <w:tcBorders>
              <w:top w:val="nil"/>
              <w:left w:val="nil"/>
              <w:bottom w:val="single" w:sz="4" w:space="0" w:color="auto"/>
              <w:right w:val="single" w:sz="4" w:space="0" w:color="auto"/>
            </w:tcBorders>
            <w:shd w:val="clear" w:color="000000" w:fill="B8CCE4"/>
            <w:noWrap/>
            <w:vAlign w:val="bottom"/>
            <w:hideMark/>
          </w:tcPr>
          <w:p w14:paraId="02994615" w14:textId="77777777" w:rsidR="001F7694" w:rsidRPr="001F7694" w:rsidRDefault="001F7694" w:rsidP="001F7694">
            <w:pPr>
              <w:spacing w:after="0" w:line="240" w:lineRule="auto"/>
              <w:jc w:val="right"/>
              <w:rPr>
                <w:rFonts w:eastAsia="Times New Roman" w:cs="Times New Roman"/>
                <w:b/>
                <w:bCs/>
                <w:szCs w:val="24"/>
                <w:lang w:eastAsia="en-IN"/>
              </w:rPr>
            </w:pPr>
            <w:r w:rsidRPr="001F7694">
              <w:rPr>
                <w:rFonts w:eastAsia="Times New Roman" w:cs="Times New Roman"/>
                <w:b/>
                <w:bCs/>
                <w:szCs w:val="24"/>
                <w:lang w:eastAsia="en-IN"/>
              </w:rPr>
              <w:t>24,72,970</w:t>
            </w:r>
          </w:p>
        </w:tc>
      </w:tr>
      <w:tr w:rsidR="001F7694" w:rsidRPr="001F7694" w14:paraId="4A06E17D" w14:textId="77777777" w:rsidTr="001F7694">
        <w:trPr>
          <w:trHeight w:val="315"/>
        </w:trPr>
        <w:tc>
          <w:tcPr>
            <w:tcW w:w="4622" w:type="dxa"/>
            <w:tcBorders>
              <w:top w:val="nil"/>
              <w:left w:val="single" w:sz="8" w:space="0" w:color="auto"/>
              <w:bottom w:val="single" w:sz="4" w:space="0" w:color="auto"/>
              <w:right w:val="single" w:sz="4" w:space="0" w:color="auto"/>
            </w:tcBorders>
            <w:shd w:val="clear" w:color="auto" w:fill="auto"/>
            <w:noWrap/>
            <w:vAlign w:val="bottom"/>
            <w:hideMark/>
          </w:tcPr>
          <w:p w14:paraId="385379DF"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471" w:type="dxa"/>
            <w:tcBorders>
              <w:top w:val="nil"/>
              <w:left w:val="nil"/>
              <w:bottom w:val="single" w:sz="4" w:space="0" w:color="auto"/>
              <w:right w:val="single" w:sz="4" w:space="0" w:color="auto"/>
            </w:tcBorders>
            <w:shd w:val="clear" w:color="auto" w:fill="auto"/>
            <w:noWrap/>
            <w:vAlign w:val="bottom"/>
            <w:hideMark/>
          </w:tcPr>
          <w:p w14:paraId="757724B8"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084" w:type="dxa"/>
            <w:tcBorders>
              <w:top w:val="nil"/>
              <w:left w:val="nil"/>
              <w:bottom w:val="single" w:sz="4" w:space="0" w:color="auto"/>
              <w:right w:val="single" w:sz="4" w:space="0" w:color="auto"/>
            </w:tcBorders>
            <w:shd w:val="clear" w:color="auto" w:fill="auto"/>
            <w:noWrap/>
            <w:vAlign w:val="bottom"/>
            <w:hideMark/>
          </w:tcPr>
          <w:p w14:paraId="76C89656"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083C45E0"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c>
          <w:tcPr>
            <w:tcW w:w="1176" w:type="dxa"/>
            <w:tcBorders>
              <w:top w:val="nil"/>
              <w:left w:val="nil"/>
              <w:bottom w:val="single" w:sz="4" w:space="0" w:color="auto"/>
              <w:right w:val="single" w:sz="4" w:space="0" w:color="auto"/>
            </w:tcBorders>
            <w:shd w:val="clear" w:color="auto" w:fill="auto"/>
            <w:noWrap/>
            <w:vAlign w:val="bottom"/>
            <w:hideMark/>
          </w:tcPr>
          <w:p w14:paraId="0B5153C2" w14:textId="77777777" w:rsidR="001F7694" w:rsidRPr="001F7694" w:rsidRDefault="001F7694" w:rsidP="001F7694">
            <w:pPr>
              <w:spacing w:after="0" w:line="240" w:lineRule="auto"/>
              <w:jc w:val="left"/>
              <w:rPr>
                <w:rFonts w:eastAsia="Times New Roman" w:cs="Times New Roman"/>
                <w:color w:val="000000"/>
                <w:szCs w:val="24"/>
                <w:lang w:eastAsia="en-IN"/>
              </w:rPr>
            </w:pPr>
            <w:r w:rsidRPr="001F7694">
              <w:rPr>
                <w:rFonts w:eastAsia="Times New Roman" w:cs="Times New Roman"/>
                <w:color w:val="000000"/>
                <w:szCs w:val="24"/>
                <w:lang w:eastAsia="en-IN"/>
              </w:rPr>
              <w:t> </w:t>
            </w:r>
          </w:p>
        </w:tc>
      </w:tr>
    </w:tbl>
    <w:p w14:paraId="764A8DAB" w14:textId="3313DEF7" w:rsidR="001F7694" w:rsidRDefault="001F7694" w:rsidP="00520F39"/>
    <w:p w14:paraId="1C5D697F" w14:textId="2365CA27" w:rsidR="001F7694" w:rsidRDefault="001F7694" w:rsidP="001F7694">
      <w:pPr>
        <w:pStyle w:val="Heading2"/>
      </w:pPr>
      <w:bookmarkStart w:id="14" w:name="_Toc150870939"/>
      <w:r>
        <w:t>Balance Sheet:</w:t>
      </w:r>
      <w:bookmarkEnd w:id="14"/>
      <w:r>
        <w:t xml:space="preserve"> </w:t>
      </w:r>
    </w:p>
    <w:p w14:paraId="1308FB95" w14:textId="3E03AE37" w:rsidR="001F7694" w:rsidRDefault="001F7694" w:rsidP="00520F39">
      <w:r w:rsidRPr="001F7694">
        <w:rPr>
          <w:noProof/>
        </w:rPr>
        <w:lastRenderedPageBreak/>
        <w:drawing>
          <wp:inline distT="0" distB="0" distL="0" distR="0" wp14:anchorId="031DE6BF" wp14:editId="39BCF7EB">
            <wp:extent cx="5286375" cy="26098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86375" cy="2609850"/>
                    </a:xfrm>
                    <a:prstGeom prst="rect">
                      <a:avLst/>
                    </a:prstGeom>
                    <a:noFill/>
                    <a:ln>
                      <a:noFill/>
                    </a:ln>
                  </pic:spPr>
                </pic:pic>
              </a:graphicData>
            </a:graphic>
          </wp:inline>
        </w:drawing>
      </w:r>
    </w:p>
    <w:p w14:paraId="2E3F36D1" w14:textId="4059953F" w:rsidR="001F7694" w:rsidRDefault="001F7694" w:rsidP="00520F39">
      <w:r w:rsidRPr="001F7694">
        <w:rPr>
          <w:noProof/>
        </w:rPr>
        <w:drawing>
          <wp:inline distT="0" distB="0" distL="0" distR="0" wp14:anchorId="681E187C" wp14:editId="65AD31BA">
            <wp:extent cx="5286375" cy="26098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6375" cy="2609850"/>
                    </a:xfrm>
                    <a:prstGeom prst="rect">
                      <a:avLst/>
                    </a:prstGeom>
                    <a:noFill/>
                    <a:ln>
                      <a:noFill/>
                    </a:ln>
                  </pic:spPr>
                </pic:pic>
              </a:graphicData>
            </a:graphic>
          </wp:inline>
        </w:drawing>
      </w:r>
    </w:p>
    <w:p w14:paraId="57780DDD" w14:textId="1644F07A" w:rsidR="00520F39" w:rsidRDefault="00520F39" w:rsidP="001F7694">
      <w:pPr>
        <w:pStyle w:val="Heading1"/>
      </w:pPr>
      <w:bookmarkStart w:id="15" w:name="_Toc150870940"/>
      <w:r>
        <w:t>Risk Assessments:</w:t>
      </w:r>
      <w:bookmarkEnd w:id="15"/>
    </w:p>
    <w:p w14:paraId="6DCA26B3" w14:textId="57331A3B" w:rsidR="00520F39" w:rsidRDefault="00520F39" w:rsidP="00520F39">
      <w:r>
        <w:t>The risk assessment and mitigation plan for Seaview Resort are as follows</w:t>
      </w:r>
    </w:p>
    <w:p w14:paraId="5E822C6A" w14:textId="58CB2F88" w:rsidR="00520F39" w:rsidRDefault="00520F39" w:rsidP="00520F39">
      <w:pPr>
        <w:pStyle w:val="ListParagraph"/>
        <w:numPr>
          <w:ilvl w:val="0"/>
          <w:numId w:val="6"/>
        </w:numPr>
      </w:pPr>
      <w:r w:rsidRPr="001F7694">
        <w:rPr>
          <w:b/>
          <w:bCs/>
        </w:rPr>
        <w:t>Shortage of experienced personnel:</w:t>
      </w:r>
      <w:r>
        <w:t xml:space="preserve"> As Seaview Resort continues to grow under new turnaround strategy, the business may face shortage of experienced personnel due to poaching of experienced staff</w:t>
      </w:r>
      <w:r w:rsidR="00D12A2A">
        <w:t xml:space="preserve"> (</w:t>
      </w:r>
      <w:r w:rsidR="00D12A2A" w:rsidRPr="00D954F8">
        <w:rPr>
          <w:shd w:val="clear" w:color="auto" w:fill="FFFFFF"/>
        </w:rPr>
        <w:t>Mak and Chang 2019</w:t>
      </w:r>
      <w:r w:rsidR="00D12A2A">
        <w:t>)</w:t>
      </w:r>
      <w:r>
        <w:t xml:space="preserve">. Seaview Resort should recognize and address the wages as well as workers satisfaction issues to keep its staff motivated and contented. </w:t>
      </w:r>
    </w:p>
    <w:p w14:paraId="5A1D868D" w14:textId="0F809780" w:rsidR="00520F39" w:rsidRDefault="00C016DF" w:rsidP="00520F39">
      <w:pPr>
        <w:pStyle w:val="ListParagraph"/>
        <w:numPr>
          <w:ilvl w:val="0"/>
          <w:numId w:val="6"/>
        </w:numPr>
      </w:pPr>
      <w:r w:rsidRPr="001F7694">
        <w:rPr>
          <w:b/>
          <w:bCs/>
        </w:rPr>
        <w:lastRenderedPageBreak/>
        <w:t>Rising cost of daily operations:</w:t>
      </w:r>
      <w:r>
        <w:t xml:space="preserve"> Seaview Resort faces the challenge of rise in daily operation cost. The price inflation of every day use products such as eatables and other supplies can be challenging for Seaview Resort</w:t>
      </w:r>
      <w:r w:rsidR="00D12A2A">
        <w:t xml:space="preserve"> (</w:t>
      </w:r>
      <w:r w:rsidR="00D12A2A" w:rsidRPr="00D954F8">
        <w:rPr>
          <w:shd w:val="clear" w:color="auto" w:fill="FFFFFF"/>
        </w:rPr>
        <w:t>Rodríguez-García</w:t>
      </w:r>
      <w:r w:rsidR="00D12A2A">
        <w:rPr>
          <w:shd w:val="clear" w:color="auto" w:fill="FFFFFF"/>
        </w:rPr>
        <w:t xml:space="preserve"> et al. 2023</w:t>
      </w:r>
      <w:r w:rsidR="00D12A2A">
        <w:t>)</w:t>
      </w:r>
      <w:r>
        <w:t xml:space="preserve">. The viable solution for Seaview Resort is to constantly implement check on inventory, stock control and reducing the wastage. </w:t>
      </w:r>
    </w:p>
    <w:p w14:paraId="74B671B4" w14:textId="44D56EEF" w:rsidR="00C016DF" w:rsidRDefault="00C016DF" w:rsidP="001F7694">
      <w:pPr>
        <w:pStyle w:val="Heading1"/>
      </w:pPr>
      <w:bookmarkStart w:id="16" w:name="_Toc150870941"/>
      <w:r>
        <w:t>Conclusion:</w:t>
      </w:r>
      <w:bookmarkEnd w:id="16"/>
      <w:r>
        <w:t xml:space="preserve"> </w:t>
      </w:r>
    </w:p>
    <w:p w14:paraId="4B0D9739" w14:textId="16822A7A" w:rsidR="00C016DF" w:rsidRDefault="00C016DF" w:rsidP="001F7694">
      <w:pPr>
        <w:ind w:firstLine="720"/>
      </w:pPr>
      <w:r>
        <w:t>On a conclusive note, Seaview Resort can turnaround the business into a profitable venture by implementing smart and innovative thinking. This includes providing customers with huge discount during the lean times</w:t>
      </w:r>
      <w:r w:rsidR="00002CA0">
        <w:t xml:space="preserve">. The Seaview Resort should commence tailoring its guests experience with the help of smart technology such as chatbots to provide answers to every questions instantly. This would help in further increasing the bookings for Seaview Resort and also it will help in boosting its revenues. </w:t>
      </w:r>
    </w:p>
    <w:p w14:paraId="5BE7A64A" w14:textId="3EC2B340" w:rsidR="00C016DF" w:rsidRDefault="00C016DF" w:rsidP="001F7694">
      <w:pPr>
        <w:pStyle w:val="Heading1"/>
      </w:pPr>
      <w:bookmarkStart w:id="17" w:name="_Toc150870942"/>
      <w:r>
        <w:t>Recommendations:</w:t>
      </w:r>
      <w:bookmarkEnd w:id="17"/>
      <w:r>
        <w:t xml:space="preserve"> </w:t>
      </w:r>
    </w:p>
    <w:p w14:paraId="4E637E28" w14:textId="647BA41C" w:rsidR="00C016DF" w:rsidRDefault="00C016DF" w:rsidP="00C016DF">
      <w:r>
        <w:t xml:space="preserve">The recommendations that can be given to Seaview Resort are as follows; </w:t>
      </w:r>
    </w:p>
    <w:p w14:paraId="7653B2BD" w14:textId="4E105D1E" w:rsidR="00C016DF" w:rsidRDefault="00C016DF" w:rsidP="00C016DF">
      <w:pPr>
        <w:pStyle w:val="ListParagraph"/>
        <w:numPr>
          <w:ilvl w:val="0"/>
          <w:numId w:val="7"/>
        </w:numPr>
      </w:pPr>
      <w:r>
        <w:t xml:space="preserve">Seaview Resort is recommended to implement cost saving strategies at the property to manage the impact of rising cost of daily operations. </w:t>
      </w:r>
    </w:p>
    <w:p w14:paraId="64D12781" w14:textId="0B9CC578" w:rsidR="00C016DF" w:rsidRDefault="00C016DF" w:rsidP="00C016DF">
      <w:pPr>
        <w:pStyle w:val="ListParagraph"/>
        <w:numPr>
          <w:ilvl w:val="0"/>
          <w:numId w:val="7"/>
        </w:numPr>
      </w:pPr>
      <w:r>
        <w:t xml:space="preserve">Seaview Resort is recommended to hire and maintain staffs having multiple skills. The owner should provide cross training to current staff during financially challenging times as precaution to manage future short supply of staffs. </w:t>
      </w:r>
    </w:p>
    <w:p w14:paraId="18503FEC" w14:textId="3F22E900" w:rsidR="00C016DF" w:rsidRDefault="00C016DF" w:rsidP="00C016DF">
      <w:pPr>
        <w:pStyle w:val="ListParagraph"/>
        <w:numPr>
          <w:ilvl w:val="0"/>
          <w:numId w:val="7"/>
        </w:numPr>
      </w:pPr>
      <w:r>
        <w:t xml:space="preserve">Seaview Resort is recommended to revamp its pricing and cancellation policy to attract more number of guests. </w:t>
      </w:r>
    </w:p>
    <w:p w14:paraId="3951885B" w14:textId="77777777" w:rsidR="00C016DF" w:rsidRDefault="00C016DF" w:rsidP="00C016DF"/>
    <w:p w14:paraId="64511950" w14:textId="47BF6236" w:rsidR="001F7694" w:rsidRDefault="001F7694">
      <w:pPr>
        <w:spacing w:line="259" w:lineRule="auto"/>
        <w:jc w:val="left"/>
      </w:pPr>
      <w:r>
        <w:br w:type="page"/>
      </w:r>
    </w:p>
    <w:p w14:paraId="142780AB" w14:textId="67876B12" w:rsidR="00520F39" w:rsidRDefault="001F7694" w:rsidP="001F7694">
      <w:pPr>
        <w:pStyle w:val="Heading1"/>
      </w:pPr>
      <w:bookmarkStart w:id="18" w:name="_Toc150870943"/>
      <w:r>
        <w:lastRenderedPageBreak/>
        <w:t>References:</w:t>
      </w:r>
      <w:bookmarkEnd w:id="18"/>
    </w:p>
    <w:p w14:paraId="3BC43077" w14:textId="77777777" w:rsidR="00D12A2A" w:rsidRDefault="00D12A2A" w:rsidP="00D954F8">
      <w:r w:rsidRPr="00D954F8">
        <w:rPr>
          <w:shd w:val="clear" w:color="auto" w:fill="FFFFFF"/>
        </w:rPr>
        <w:t>Alrawadieh, Z., Alrawadieh, Z. and Cetin, G., 2021. Digital transformation and revenue management: Evidence from the hotel industry. </w:t>
      </w:r>
      <w:r w:rsidRPr="00D954F8">
        <w:rPr>
          <w:i/>
          <w:iCs/>
          <w:shd w:val="clear" w:color="auto" w:fill="FFFFFF"/>
        </w:rPr>
        <w:t>Tourism Economics</w:t>
      </w:r>
      <w:r w:rsidRPr="00D954F8">
        <w:rPr>
          <w:shd w:val="clear" w:color="auto" w:fill="FFFFFF"/>
        </w:rPr>
        <w:t>, </w:t>
      </w:r>
      <w:r w:rsidRPr="00D954F8">
        <w:rPr>
          <w:i/>
          <w:iCs/>
          <w:shd w:val="clear" w:color="auto" w:fill="FFFFFF"/>
        </w:rPr>
        <w:t>27</w:t>
      </w:r>
      <w:r w:rsidRPr="00D954F8">
        <w:rPr>
          <w:shd w:val="clear" w:color="auto" w:fill="FFFFFF"/>
        </w:rPr>
        <w:t>(2), pp.328-345.</w:t>
      </w:r>
      <w:r>
        <w:t xml:space="preserve"> </w:t>
      </w:r>
    </w:p>
    <w:p w14:paraId="708424D6" w14:textId="77777777" w:rsidR="00D12A2A" w:rsidRDefault="00D12A2A" w:rsidP="00D954F8">
      <w:r w:rsidRPr="00D954F8">
        <w:rPr>
          <w:shd w:val="clear" w:color="auto" w:fill="FFFFFF"/>
        </w:rPr>
        <w:t>Antonova, N., Ruiz-Rosa, I. and Mendoza-Jimenez, J., 2021. Water resources in the hotel industry: a systematic literature review. </w:t>
      </w:r>
      <w:r w:rsidRPr="00D954F8">
        <w:rPr>
          <w:i/>
          <w:iCs/>
          <w:shd w:val="clear" w:color="auto" w:fill="FFFFFF"/>
        </w:rPr>
        <w:t>International Journal of Contemporary Hospitality Management</w:t>
      </w:r>
      <w:r w:rsidRPr="00D954F8">
        <w:rPr>
          <w:shd w:val="clear" w:color="auto" w:fill="FFFFFF"/>
        </w:rPr>
        <w:t>, </w:t>
      </w:r>
      <w:r w:rsidRPr="00D954F8">
        <w:rPr>
          <w:i/>
          <w:iCs/>
          <w:shd w:val="clear" w:color="auto" w:fill="FFFFFF"/>
        </w:rPr>
        <w:t>33</w:t>
      </w:r>
      <w:r w:rsidRPr="00D954F8">
        <w:rPr>
          <w:shd w:val="clear" w:color="auto" w:fill="FFFFFF"/>
        </w:rPr>
        <w:t>(2), pp.628-649.</w:t>
      </w:r>
      <w:r>
        <w:t xml:space="preserve"> </w:t>
      </w:r>
    </w:p>
    <w:p w14:paraId="18861D41" w14:textId="77777777" w:rsidR="00D12A2A" w:rsidRDefault="00D12A2A" w:rsidP="00D954F8">
      <w:r w:rsidRPr="00D954F8">
        <w:rPr>
          <w:shd w:val="clear" w:color="auto" w:fill="FFFFFF"/>
        </w:rPr>
        <w:t>Finkler, S.A., Calabrese, T.D. and Smith, D.L., 2022. </w:t>
      </w:r>
      <w:r w:rsidRPr="00D954F8">
        <w:rPr>
          <w:i/>
          <w:iCs/>
          <w:shd w:val="clear" w:color="auto" w:fill="FFFFFF"/>
        </w:rPr>
        <w:t>Financial management for public, health, and not-for-profit organizations</w:t>
      </w:r>
      <w:r w:rsidRPr="00D954F8">
        <w:rPr>
          <w:shd w:val="clear" w:color="auto" w:fill="FFFFFF"/>
        </w:rPr>
        <w:t>. CQ Press.</w:t>
      </w:r>
      <w:r>
        <w:t xml:space="preserve"> </w:t>
      </w:r>
    </w:p>
    <w:p w14:paraId="6C1D15A9" w14:textId="77777777" w:rsidR="00D12A2A" w:rsidRDefault="00D12A2A" w:rsidP="00D954F8">
      <w:pPr>
        <w:rPr>
          <w:shd w:val="clear" w:color="auto" w:fill="FFFFFF"/>
        </w:rPr>
      </w:pPr>
      <w:r>
        <w:rPr>
          <w:shd w:val="clear" w:color="auto" w:fill="FFFFFF"/>
        </w:rPr>
        <w:t>Fridson, M.S. and Alvarez, F., 2022. </w:t>
      </w:r>
      <w:r>
        <w:rPr>
          <w:i/>
          <w:iCs/>
          <w:shd w:val="clear" w:color="auto" w:fill="FFFFFF"/>
        </w:rPr>
        <w:t>Financial statement analysis: a practitioner's guide</w:t>
      </w:r>
      <w:r>
        <w:rPr>
          <w:shd w:val="clear" w:color="auto" w:fill="FFFFFF"/>
        </w:rPr>
        <w:t>. John Wiley &amp; Sons.</w:t>
      </w:r>
    </w:p>
    <w:p w14:paraId="32D4E670" w14:textId="77777777" w:rsidR="00D12A2A" w:rsidRDefault="00D12A2A" w:rsidP="00D954F8">
      <w:r w:rsidRPr="00D954F8">
        <w:rPr>
          <w:shd w:val="clear" w:color="auto" w:fill="FFFFFF"/>
        </w:rPr>
        <w:t>Kim, Y.H., Barber, N. and Kim, D.K., 2019. Sustainability research in the hotel industry: Past, present, and future. </w:t>
      </w:r>
      <w:r w:rsidRPr="00D954F8">
        <w:rPr>
          <w:i/>
          <w:iCs/>
          <w:shd w:val="clear" w:color="auto" w:fill="FFFFFF"/>
        </w:rPr>
        <w:t>Journal of Hospitality Marketing &amp; Management</w:t>
      </w:r>
      <w:r w:rsidRPr="00D954F8">
        <w:rPr>
          <w:shd w:val="clear" w:color="auto" w:fill="FFFFFF"/>
        </w:rPr>
        <w:t>, </w:t>
      </w:r>
      <w:r w:rsidRPr="00D954F8">
        <w:rPr>
          <w:i/>
          <w:iCs/>
          <w:shd w:val="clear" w:color="auto" w:fill="FFFFFF"/>
        </w:rPr>
        <w:t>28</w:t>
      </w:r>
      <w:r w:rsidRPr="00D954F8">
        <w:rPr>
          <w:shd w:val="clear" w:color="auto" w:fill="FFFFFF"/>
        </w:rPr>
        <w:t>(5), pp.576-620.</w:t>
      </w:r>
      <w:r>
        <w:t xml:space="preserve"> </w:t>
      </w:r>
    </w:p>
    <w:p w14:paraId="2C991BD9" w14:textId="77777777" w:rsidR="00D12A2A" w:rsidRDefault="00D12A2A" w:rsidP="00D954F8">
      <w:r w:rsidRPr="00D954F8">
        <w:rPr>
          <w:shd w:val="clear" w:color="auto" w:fill="FFFFFF"/>
        </w:rPr>
        <w:t>Kumar, A., Chen, Y. and Campos, A., 2022. The financial management of hotel companies: Performance and financial constraints.</w:t>
      </w:r>
      <w:r>
        <w:t xml:space="preserve"> </w:t>
      </w:r>
    </w:p>
    <w:p w14:paraId="08CE206A" w14:textId="77777777" w:rsidR="00D12A2A" w:rsidRDefault="00D12A2A" w:rsidP="00D954F8">
      <w:r w:rsidRPr="00D954F8">
        <w:rPr>
          <w:shd w:val="clear" w:color="auto" w:fill="FFFFFF"/>
        </w:rPr>
        <w:t>Mak, A.H. and Chang, R.C., 2019. The driving and restraining forces for environmental strategy adoption in the hotel industry: A force field analysis approach. </w:t>
      </w:r>
      <w:r w:rsidRPr="00D954F8">
        <w:rPr>
          <w:i/>
          <w:iCs/>
          <w:shd w:val="clear" w:color="auto" w:fill="FFFFFF"/>
        </w:rPr>
        <w:t>Tourism Management</w:t>
      </w:r>
      <w:r w:rsidRPr="00D954F8">
        <w:rPr>
          <w:shd w:val="clear" w:color="auto" w:fill="FFFFFF"/>
        </w:rPr>
        <w:t>, </w:t>
      </w:r>
      <w:r w:rsidRPr="00D954F8">
        <w:rPr>
          <w:i/>
          <w:iCs/>
          <w:shd w:val="clear" w:color="auto" w:fill="FFFFFF"/>
        </w:rPr>
        <w:t>73</w:t>
      </w:r>
      <w:r w:rsidRPr="00D954F8">
        <w:rPr>
          <w:shd w:val="clear" w:color="auto" w:fill="FFFFFF"/>
        </w:rPr>
        <w:t>, pp.48-60.</w:t>
      </w:r>
      <w:r>
        <w:t xml:space="preserve"> </w:t>
      </w:r>
    </w:p>
    <w:p w14:paraId="66BE280B" w14:textId="77777777" w:rsidR="00D12A2A" w:rsidRDefault="00D12A2A" w:rsidP="00D954F8">
      <w:pPr>
        <w:rPr>
          <w:shd w:val="clear" w:color="auto" w:fill="FFFFFF"/>
        </w:rPr>
      </w:pPr>
      <w:r>
        <w:rPr>
          <w:shd w:val="clear" w:color="auto" w:fill="FFFFFF"/>
        </w:rPr>
        <w:t>Marsha, N. and Murtaqi, I., 2017. The effect of financial ratios on firm value in the food and beverage sector of the IDX. </w:t>
      </w:r>
      <w:r>
        <w:rPr>
          <w:i/>
          <w:iCs/>
          <w:shd w:val="clear" w:color="auto" w:fill="FFFFFF"/>
        </w:rPr>
        <w:t>Journal of business and management</w:t>
      </w:r>
      <w:r>
        <w:rPr>
          <w:shd w:val="clear" w:color="auto" w:fill="FFFFFF"/>
        </w:rPr>
        <w:t>, </w:t>
      </w:r>
      <w:r>
        <w:rPr>
          <w:i/>
          <w:iCs/>
          <w:shd w:val="clear" w:color="auto" w:fill="FFFFFF"/>
        </w:rPr>
        <w:t>6</w:t>
      </w:r>
      <w:r>
        <w:rPr>
          <w:shd w:val="clear" w:color="auto" w:fill="FFFFFF"/>
        </w:rPr>
        <w:t>(2), pp.214-226.</w:t>
      </w:r>
    </w:p>
    <w:p w14:paraId="28132E46" w14:textId="77777777" w:rsidR="00D12A2A" w:rsidRDefault="00D12A2A" w:rsidP="00D954F8">
      <w:r w:rsidRPr="00D954F8">
        <w:rPr>
          <w:shd w:val="clear" w:color="auto" w:fill="FFFFFF"/>
        </w:rPr>
        <w:t>Ozdemir, O., Kizildag, M., Dogru, T. and Madanoglu, M., 2022. Measuring the effect of infectious disease-induced uncertainty on hotel room demand: a longitudinal analysis of US hotel industry. </w:t>
      </w:r>
      <w:r w:rsidRPr="00D954F8">
        <w:rPr>
          <w:i/>
          <w:iCs/>
          <w:shd w:val="clear" w:color="auto" w:fill="FFFFFF"/>
        </w:rPr>
        <w:t>International Journal of Hospitality Management</w:t>
      </w:r>
      <w:r w:rsidRPr="00D954F8">
        <w:rPr>
          <w:shd w:val="clear" w:color="auto" w:fill="FFFFFF"/>
        </w:rPr>
        <w:t>, </w:t>
      </w:r>
      <w:r w:rsidRPr="00D954F8">
        <w:rPr>
          <w:i/>
          <w:iCs/>
          <w:shd w:val="clear" w:color="auto" w:fill="FFFFFF"/>
        </w:rPr>
        <w:t>103</w:t>
      </w:r>
      <w:r w:rsidRPr="00D954F8">
        <w:rPr>
          <w:shd w:val="clear" w:color="auto" w:fill="FFFFFF"/>
        </w:rPr>
        <w:t>, p.103189.</w:t>
      </w:r>
      <w:r>
        <w:t xml:space="preserve"> </w:t>
      </w:r>
    </w:p>
    <w:p w14:paraId="02E30C13" w14:textId="77777777" w:rsidR="00D12A2A" w:rsidRDefault="00D12A2A" w:rsidP="00D954F8">
      <w:r w:rsidRPr="00D954F8">
        <w:rPr>
          <w:shd w:val="clear" w:color="auto" w:fill="FFFFFF"/>
        </w:rPr>
        <w:lastRenderedPageBreak/>
        <w:t>Pawlicz, A. and Napierala, T., 2017. The determinants of hotel room rates: an analysis of the hotel industry in Warsaw, Poland. </w:t>
      </w:r>
      <w:r w:rsidRPr="00D954F8">
        <w:rPr>
          <w:i/>
          <w:iCs/>
          <w:shd w:val="clear" w:color="auto" w:fill="FFFFFF"/>
        </w:rPr>
        <w:t>International Journal of Contemporary Hospitality Management</w:t>
      </w:r>
      <w:r w:rsidRPr="00D954F8">
        <w:rPr>
          <w:shd w:val="clear" w:color="auto" w:fill="FFFFFF"/>
        </w:rPr>
        <w:t>, </w:t>
      </w:r>
      <w:r w:rsidRPr="00D954F8">
        <w:rPr>
          <w:i/>
          <w:iCs/>
          <w:shd w:val="clear" w:color="auto" w:fill="FFFFFF"/>
        </w:rPr>
        <w:t>29</w:t>
      </w:r>
      <w:r w:rsidRPr="00D954F8">
        <w:rPr>
          <w:shd w:val="clear" w:color="auto" w:fill="FFFFFF"/>
        </w:rPr>
        <w:t>(1), pp.571-588.</w:t>
      </w:r>
      <w:r>
        <w:t xml:space="preserve"> </w:t>
      </w:r>
    </w:p>
    <w:p w14:paraId="5B52E3CE" w14:textId="77777777" w:rsidR="00D12A2A" w:rsidRDefault="00D12A2A" w:rsidP="00D954F8">
      <w:r w:rsidRPr="00D954F8">
        <w:rPr>
          <w:shd w:val="clear" w:color="auto" w:fill="FFFFFF"/>
        </w:rPr>
        <w:t>Radojevic, T., Stanisic, N. and Stanic, N., 2017. Inside the rating scores: A multilevel analysis of the factors influencing customer satisfaction in the hotel industry. </w:t>
      </w:r>
      <w:r w:rsidRPr="00D954F8">
        <w:rPr>
          <w:i/>
          <w:iCs/>
          <w:shd w:val="clear" w:color="auto" w:fill="FFFFFF"/>
        </w:rPr>
        <w:t>Cornell Hospitality Quarterly</w:t>
      </w:r>
      <w:r w:rsidRPr="00D954F8">
        <w:rPr>
          <w:shd w:val="clear" w:color="auto" w:fill="FFFFFF"/>
        </w:rPr>
        <w:t>, </w:t>
      </w:r>
      <w:r w:rsidRPr="00D954F8">
        <w:rPr>
          <w:i/>
          <w:iCs/>
          <w:shd w:val="clear" w:color="auto" w:fill="FFFFFF"/>
        </w:rPr>
        <w:t>58</w:t>
      </w:r>
      <w:r w:rsidRPr="00D954F8">
        <w:rPr>
          <w:shd w:val="clear" w:color="auto" w:fill="FFFFFF"/>
        </w:rPr>
        <w:t>(2), pp.134-164.</w:t>
      </w:r>
      <w:r>
        <w:t xml:space="preserve"> </w:t>
      </w:r>
    </w:p>
    <w:p w14:paraId="15FA4ACE" w14:textId="77777777" w:rsidR="00D12A2A" w:rsidRDefault="00D12A2A" w:rsidP="00D954F8">
      <w:r>
        <w:rPr>
          <w:shd w:val="clear" w:color="auto" w:fill="FFFFFF"/>
        </w:rPr>
        <w:t>Revsine, L., Collins, D.W. and Johnson, W.B., 2021. </w:t>
      </w:r>
      <w:r>
        <w:rPr>
          <w:i/>
          <w:iCs/>
          <w:shd w:val="clear" w:color="auto" w:fill="FFFFFF"/>
        </w:rPr>
        <w:t>Financial reporting &amp; analysis</w:t>
      </w:r>
      <w:r>
        <w:rPr>
          <w:shd w:val="clear" w:color="auto" w:fill="FFFFFF"/>
        </w:rPr>
        <w:t>. McGraw-Hill.</w:t>
      </w:r>
    </w:p>
    <w:p w14:paraId="3E1479B5" w14:textId="77777777" w:rsidR="00D12A2A" w:rsidRDefault="00D12A2A" w:rsidP="00D954F8">
      <w:pPr>
        <w:rPr>
          <w:shd w:val="clear" w:color="auto" w:fill="FFFFFF"/>
        </w:rPr>
      </w:pPr>
      <w:r w:rsidRPr="00D954F8">
        <w:rPr>
          <w:shd w:val="clear" w:color="auto" w:fill="FFFFFF"/>
        </w:rPr>
        <w:t>Rodríguez-García, R., Ferrero-Ferrero, I. and Fernández-Izquierdo, M.Á., 2023. Analysis of integration of sustainability in sustainability certifications in the hotel industry. </w:t>
      </w:r>
      <w:r w:rsidRPr="00D954F8">
        <w:rPr>
          <w:i/>
          <w:iCs/>
          <w:shd w:val="clear" w:color="auto" w:fill="FFFFFF"/>
        </w:rPr>
        <w:t>Frontiers in Sustainability</w:t>
      </w:r>
      <w:r w:rsidRPr="00D954F8">
        <w:rPr>
          <w:shd w:val="clear" w:color="auto" w:fill="FFFFFF"/>
        </w:rPr>
        <w:t>, </w:t>
      </w:r>
      <w:r w:rsidRPr="00D954F8">
        <w:rPr>
          <w:i/>
          <w:iCs/>
          <w:shd w:val="clear" w:color="auto" w:fill="FFFFFF"/>
        </w:rPr>
        <w:t>4</w:t>
      </w:r>
      <w:r w:rsidRPr="00D954F8">
        <w:rPr>
          <w:shd w:val="clear" w:color="auto" w:fill="FFFFFF"/>
        </w:rPr>
        <w:t>, p.1116359.</w:t>
      </w:r>
    </w:p>
    <w:p w14:paraId="328DE96D" w14:textId="77777777" w:rsidR="00D12A2A" w:rsidRDefault="00D12A2A" w:rsidP="00D954F8">
      <w:r w:rsidRPr="00D954F8">
        <w:rPr>
          <w:shd w:val="clear" w:color="auto" w:fill="FFFFFF"/>
        </w:rPr>
        <w:t>Serra-Cantallops, A., Peña-Miranda, D.D., Ramón-Cardona, J. and Martorell-Cunill, O., 2018. Progress in research on CSR and the hotel industry (2006-2015). </w:t>
      </w:r>
      <w:r w:rsidRPr="00D954F8">
        <w:rPr>
          <w:i/>
          <w:iCs/>
          <w:shd w:val="clear" w:color="auto" w:fill="FFFFFF"/>
        </w:rPr>
        <w:t>Cornell Hospitality Quarterly</w:t>
      </w:r>
      <w:r w:rsidRPr="00D954F8">
        <w:rPr>
          <w:shd w:val="clear" w:color="auto" w:fill="FFFFFF"/>
        </w:rPr>
        <w:t>, </w:t>
      </w:r>
      <w:r w:rsidRPr="00D954F8">
        <w:rPr>
          <w:i/>
          <w:iCs/>
          <w:shd w:val="clear" w:color="auto" w:fill="FFFFFF"/>
        </w:rPr>
        <w:t>59</w:t>
      </w:r>
      <w:r w:rsidRPr="00D954F8">
        <w:rPr>
          <w:shd w:val="clear" w:color="auto" w:fill="FFFFFF"/>
        </w:rPr>
        <w:t>(1), pp.15-38.</w:t>
      </w:r>
      <w:r>
        <w:t xml:space="preserve"> </w:t>
      </w:r>
    </w:p>
    <w:p w14:paraId="0940B7D1" w14:textId="77777777" w:rsidR="00D12A2A" w:rsidRDefault="00D12A2A" w:rsidP="00D954F8">
      <w:r w:rsidRPr="00D954F8">
        <w:rPr>
          <w:shd w:val="clear" w:color="auto" w:fill="FFFFFF"/>
        </w:rPr>
        <w:t>Wan, Y.K.P., Chan, S.H.J. and Huang, H.L.W., 2017. Environmental awareness, initiatives and performance in the hotel industry of Macau. </w:t>
      </w:r>
      <w:r w:rsidRPr="00D954F8">
        <w:rPr>
          <w:i/>
          <w:iCs/>
          <w:shd w:val="clear" w:color="auto" w:fill="FFFFFF"/>
        </w:rPr>
        <w:t>Tourism Review</w:t>
      </w:r>
      <w:r w:rsidRPr="00D954F8">
        <w:rPr>
          <w:shd w:val="clear" w:color="auto" w:fill="FFFFFF"/>
        </w:rPr>
        <w:t>, </w:t>
      </w:r>
      <w:r w:rsidRPr="00D954F8">
        <w:rPr>
          <w:i/>
          <w:iCs/>
          <w:shd w:val="clear" w:color="auto" w:fill="FFFFFF"/>
        </w:rPr>
        <w:t>72</w:t>
      </w:r>
      <w:r w:rsidRPr="00D954F8">
        <w:rPr>
          <w:shd w:val="clear" w:color="auto" w:fill="FFFFFF"/>
        </w:rPr>
        <w:t>(1), pp.87-103.</w:t>
      </w:r>
      <w:r>
        <w:t xml:space="preserve"> </w:t>
      </w:r>
    </w:p>
    <w:p w14:paraId="12D88FC4" w14:textId="77777777" w:rsidR="00D12A2A" w:rsidRDefault="00D12A2A" w:rsidP="00D954F8">
      <w:pPr>
        <w:rPr>
          <w:shd w:val="clear" w:color="auto" w:fill="FFFFFF"/>
        </w:rPr>
      </w:pPr>
      <w:r>
        <w:rPr>
          <w:shd w:val="clear" w:color="auto" w:fill="FFFFFF"/>
        </w:rPr>
        <w:t>Zorn, A., Esteves, M., Baur, I. and Lips, M., 2018. Financial ratios as indicators of economic sustainability: A quantitative analysis for Swiss dairy farms. </w:t>
      </w:r>
      <w:r>
        <w:rPr>
          <w:i/>
          <w:iCs/>
          <w:shd w:val="clear" w:color="auto" w:fill="FFFFFF"/>
        </w:rPr>
        <w:t>Sustainability</w:t>
      </w:r>
      <w:r>
        <w:rPr>
          <w:shd w:val="clear" w:color="auto" w:fill="FFFFFF"/>
        </w:rPr>
        <w:t>, </w:t>
      </w:r>
      <w:r>
        <w:rPr>
          <w:i/>
          <w:iCs/>
          <w:shd w:val="clear" w:color="auto" w:fill="FFFFFF"/>
        </w:rPr>
        <w:t>10</w:t>
      </w:r>
      <w:r>
        <w:rPr>
          <w:shd w:val="clear" w:color="auto" w:fill="FFFFFF"/>
        </w:rPr>
        <w:t>(8), p.2942.</w:t>
      </w:r>
    </w:p>
    <w:p w14:paraId="53F63FBA" w14:textId="28B29EEB" w:rsidR="001F7694" w:rsidRDefault="001F7694" w:rsidP="00D954F8">
      <w:pPr>
        <w:spacing w:line="259" w:lineRule="auto"/>
        <w:jc w:val="left"/>
      </w:pPr>
      <w:r>
        <w:br w:type="page"/>
      </w:r>
    </w:p>
    <w:p w14:paraId="3FDEC6CE" w14:textId="1272FB86" w:rsidR="001F7694" w:rsidRDefault="001F7694" w:rsidP="001F7694">
      <w:pPr>
        <w:pStyle w:val="Heading1"/>
      </w:pPr>
      <w:bookmarkStart w:id="19" w:name="_Toc150870944"/>
      <w:r>
        <w:lastRenderedPageBreak/>
        <w:t>Appendix:</w:t>
      </w:r>
      <w:bookmarkEnd w:id="19"/>
    </w:p>
    <w:p w14:paraId="6027EDDD" w14:textId="223C02C9" w:rsidR="001F7694" w:rsidRDefault="001F7694" w:rsidP="00520F39">
      <w:r w:rsidRPr="001F7694">
        <w:rPr>
          <w:noProof/>
        </w:rPr>
        <w:drawing>
          <wp:inline distT="0" distB="0" distL="0" distR="0" wp14:anchorId="5DB77869" wp14:editId="368EE034">
            <wp:extent cx="5286375" cy="1209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86375" cy="1209675"/>
                    </a:xfrm>
                    <a:prstGeom prst="rect">
                      <a:avLst/>
                    </a:prstGeom>
                    <a:noFill/>
                    <a:ln>
                      <a:noFill/>
                    </a:ln>
                  </pic:spPr>
                </pic:pic>
              </a:graphicData>
            </a:graphic>
          </wp:inline>
        </w:drawing>
      </w:r>
    </w:p>
    <w:p w14:paraId="22BEB302" w14:textId="77777777" w:rsidR="00520F39" w:rsidRPr="00004F75" w:rsidRDefault="00520F39" w:rsidP="00520F39"/>
    <w:sectPr w:rsidR="00520F39" w:rsidRPr="00004F75" w:rsidSect="001F7694">
      <w:head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53715B" w14:textId="77777777" w:rsidR="006D4164" w:rsidRDefault="006D4164" w:rsidP="001F7694">
      <w:pPr>
        <w:spacing w:after="0" w:line="240" w:lineRule="auto"/>
      </w:pPr>
      <w:r>
        <w:separator/>
      </w:r>
    </w:p>
  </w:endnote>
  <w:endnote w:type="continuationSeparator" w:id="0">
    <w:p w14:paraId="152ED45E" w14:textId="77777777" w:rsidR="006D4164" w:rsidRDefault="006D4164" w:rsidP="001F7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21D692" w14:textId="77777777" w:rsidR="006D4164" w:rsidRDefault="006D4164" w:rsidP="001F7694">
      <w:pPr>
        <w:spacing w:after="0" w:line="240" w:lineRule="auto"/>
      </w:pPr>
      <w:r>
        <w:separator/>
      </w:r>
    </w:p>
  </w:footnote>
  <w:footnote w:type="continuationSeparator" w:id="0">
    <w:p w14:paraId="679797A3" w14:textId="77777777" w:rsidR="006D4164" w:rsidRDefault="006D4164" w:rsidP="001F7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601AF" w14:textId="7089DF91" w:rsidR="001F7694" w:rsidRDefault="001F7694">
    <w:pPr>
      <w:pStyle w:val="Header"/>
    </w:pPr>
    <w:r>
      <w:rPr>
        <w:noProof/>
      </w:rPr>
      <mc:AlternateContent>
        <mc:Choice Requires="wps">
          <w:drawing>
            <wp:anchor distT="0" distB="0" distL="114300" distR="114300" simplePos="0" relativeHeight="251660288" behindDoc="0" locked="0" layoutInCell="0" allowOverlap="1" wp14:anchorId="7452B1BD" wp14:editId="23798770">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E3FEFD5" w14:textId="446BBB4C" w:rsidR="001F7694" w:rsidRDefault="001F7694" w:rsidP="001F7694">
                          <w:pPr>
                            <w:spacing w:after="0" w:line="240" w:lineRule="auto"/>
                            <w:rPr>
                              <w:noProof/>
                            </w:rPr>
                          </w:pPr>
                          <w:r>
                            <w:t>FINANCIAL MANAGEMENT FOR HOTEL INDUSTRY</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452B1BD"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E3FEFD5" w14:textId="446BBB4C" w:rsidR="001F7694" w:rsidRDefault="001F7694" w:rsidP="001F7694">
                    <w:pPr>
                      <w:spacing w:after="0" w:line="240" w:lineRule="auto"/>
                      <w:rPr>
                        <w:noProof/>
                      </w:rPr>
                    </w:pPr>
                    <w:r>
                      <w:t>FINANCIAL MANAGEMENT FOR HOTEL INDUSTRY</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084D9D32" wp14:editId="249441E9">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614B4FE6" w14:textId="77777777" w:rsidR="001F7694" w:rsidRDefault="001F7694">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84D9D3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614B4FE6" w14:textId="77777777" w:rsidR="001F7694" w:rsidRDefault="001F7694">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55D3D" w14:textId="77777777" w:rsidR="001F7694" w:rsidRDefault="001F7694" w:rsidP="001F7694">
    <w:pPr>
      <w:pStyle w:val="Header"/>
    </w:pPr>
    <w:r>
      <w:t xml:space="preserve">Running head: FINANCIAL MANAGEMENT FOR HOTEL INDUSTRY </w:t>
    </w:r>
  </w:p>
  <w:p w14:paraId="713FD005" w14:textId="77777777" w:rsidR="001F7694" w:rsidRDefault="001F76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C1C9F"/>
    <w:multiLevelType w:val="hybridMultilevel"/>
    <w:tmpl w:val="73A045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F125ED"/>
    <w:multiLevelType w:val="hybridMultilevel"/>
    <w:tmpl w:val="5C1C3C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B402F7"/>
    <w:multiLevelType w:val="hybridMultilevel"/>
    <w:tmpl w:val="DFDEEC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E0D6672"/>
    <w:multiLevelType w:val="hybridMultilevel"/>
    <w:tmpl w:val="7BB8A30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B727F54"/>
    <w:multiLevelType w:val="hybridMultilevel"/>
    <w:tmpl w:val="FF20FB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E6E7E29"/>
    <w:multiLevelType w:val="hybridMultilevel"/>
    <w:tmpl w:val="A1E66A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05E4829"/>
    <w:multiLevelType w:val="hybridMultilevel"/>
    <w:tmpl w:val="2B0E2C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FEE403C"/>
    <w:multiLevelType w:val="hybridMultilevel"/>
    <w:tmpl w:val="F6E42B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13335961">
    <w:abstractNumId w:val="2"/>
  </w:num>
  <w:num w:numId="2" w16cid:durableId="594368335">
    <w:abstractNumId w:val="1"/>
  </w:num>
  <w:num w:numId="3" w16cid:durableId="1281255409">
    <w:abstractNumId w:val="5"/>
  </w:num>
  <w:num w:numId="4" w16cid:durableId="1566646023">
    <w:abstractNumId w:val="6"/>
  </w:num>
  <w:num w:numId="5" w16cid:durableId="1887713826">
    <w:abstractNumId w:val="7"/>
  </w:num>
  <w:num w:numId="6" w16cid:durableId="594285466">
    <w:abstractNumId w:val="3"/>
  </w:num>
  <w:num w:numId="7" w16cid:durableId="965508609">
    <w:abstractNumId w:val="0"/>
  </w:num>
  <w:num w:numId="8" w16cid:durableId="2839246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F75"/>
    <w:rsid w:val="00002CA0"/>
    <w:rsid w:val="00004F75"/>
    <w:rsid w:val="000524A2"/>
    <w:rsid w:val="000E040A"/>
    <w:rsid w:val="000E3DB1"/>
    <w:rsid w:val="00102F18"/>
    <w:rsid w:val="00134987"/>
    <w:rsid w:val="00151A8E"/>
    <w:rsid w:val="001B4846"/>
    <w:rsid w:val="001F7694"/>
    <w:rsid w:val="004279EB"/>
    <w:rsid w:val="00450E41"/>
    <w:rsid w:val="004D2BBB"/>
    <w:rsid w:val="00520F39"/>
    <w:rsid w:val="00550D3C"/>
    <w:rsid w:val="006D4164"/>
    <w:rsid w:val="0078514C"/>
    <w:rsid w:val="00B910E5"/>
    <w:rsid w:val="00BD6868"/>
    <w:rsid w:val="00C016DF"/>
    <w:rsid w:val="00CC5B59"/>
    <w:rsid w:val="00CE537D"/>
    <w:rsid w:val="00CE75DE"/>
    <w:rsid w:val="00D12A2A"/>
    <w:rsid w:val="00D41457"/>
    <w:rsid w:val="00D954F8"/>
    <w:rsid w:val="00F14E69"/>
    <w:rsid w:val="00F24C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042E8E"/>
  <w15:chartTrackingRefBased/>
  <w15:docId w15:val="{8A467BA5-EC5B-4FDA-B66E-D47D960C4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F7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004F75"/>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004F75"/>
    <w:pPr>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F75"/>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04F75"/>
    <w:rPr>
      <w:rFonts w:ascii="Times New Roman" w:hAnsi="Times New Roman"/>
      <w:b/>
      <w:sz w:val="24"/>
    </w:rPr>
  </w:style>
  <w:style w:type="table" w:styleId="PlainTable1">
    <w:name w:val="Plain Table 1"/>
    <w:basedOn w:val="TableNormal"/>
    <w:uiPriority w:val="41"/>
    <w:rsid w:val="001B48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1B484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B484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550D3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7851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24C53"/>
    <w:pPr>
      <w:ind w:left="720"/>
      <w:contextualSpacing/>
    </w:pPr>
  </w:style>
  <w:style w:type="paragraph" w:styleId="Header">
    <w:name w:val="header"/>
    <w:basedOn w:val="Normal"/>
    <w:link w:val="HeaderChar"/>
    <w:uiPriority w:val="99"/>
    <w:unhideWhenUsed/>
    <w:rsid w:val="001F7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7694"/>
    <w:rPr>
      <w:rFonts w:ascii="Times New Roman" w:hAnsi="Times New Roman"/>
      <w:sz w:val="24"/>
    </w:rPr>
  </w:style>
  <w:style w:type="paragraph" w:styleId="Footer">
    <w:name w:val="footer"/>
    <w:basedOn w:val="Normal"/>
    <w:link w:val="FooterChar"/>
    <w:uiPriority w:val="99"/>
    <w:unhideWhenUsed/>
    <w:rsid w:val="001F7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7694"/>
    <w:rPr>
      <w:rFonts w:ascii="Times New Roman" w:hAnsi="Times New Roman"/>
      <w:sz w:val="24"/>
    </w:rPr>
  </w:style>
  <w:style w:type="paragraph" w:styleId="TOCHeading">
    <w:name w:val="TOC Heading"/>
    <w:basedOn w:val="Heading1"/>
    <w:next w:val="Normal"/>
    <w:uiPriority w:val="39"/>
    <w:unhideWhenUsed/>
    <w:qFormat/>
    <w:rsid w:val="001F769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F7694"/>
    <w:pPr>
      <w:spacing w:after="100"/>
    </w:pPr>
  </w:style>
  <w:style w:type="paragraph" w:styleId="TOC2">
    <w:name w:val="toc 2"/>
    <w:basedOn w:val="Normal"/>
    <w:next w:val="Normal"/>
    <w:autoRedefine/>
    <w:uiPriority w:val="39"/>
    <w:unhideWhenUsed/>
    <w:rsid w:val="001F7694"/>
    <w:pPr>
      <w:spacing w:after="100"/>
      <w:ind w:left="240"/>
    </w:pPr>
  </w:style>
  <w:style w:type="character" w:styleId="Hyperlink">
    <w:name w:val="Hyperlink"/>
    <w:basedOn w:val="DefaultParagraphFont"/>
    <w:uiPriority w:val="99"/>
    <w:unhideWhenUsed/>
    <w:rsid w:val="001F769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3181340">
      <w:bodyDiv w:val="1"/>
      <w:marLeft w:val="0"/>
      <w:marRight w:val="0"/>
      <w:marTop w:val="0"/>
      <w:marBottom w:val="0"/>
      <w:divBdr>
        <w:top w:val="none" w:sz="0" w:space="0" w:color="auto"/>
        <w:left w:val="none" w:sz="0" w:space="0" w:color="auto"/>
        <w:bottom w:val="none" w:sz="0" w:space="0" w:color="auto"/>
        <w:right w:val="none" w:sz="0" w:space="0" w:color="auto"/>
      </w:divBdr>
    </w:div>
    <w:div w:id="919218511">
      <w:bodyDiv w:val="1"/>
      <w:marLeft w:val="0"/>
      <w:marRight w:val="0"/>
      <w:marTop w:val="0"/>
      <w:marBottom w:val="0"/>
      <w:divBdr>
        <w:top w:val="none" w:sz="0" w:space="0" w:color="auto"/>
        <w:left w:val="none" w:sz="0" w:space="0" w:color="auto"/>
        <w:bottom w:val="none" w:sz="0" w:space="0" w:color="auto"/>
        <w:right w:val="none" w:sz="0" w:space="0" w:color="auto"/>
      </w:divBdr>
    </w:div>
    <w:div w:id="1035083780">
      <w:bodyDiv w:val="1"/>
      <w:marLeft w:val="0"/>
      <w:marRight w:val="0"/>
      <w:marTop w:val="0"/>
      <w:marBottom w:val="0"/>
      <w:divBdr>
        <w:top w:val="none" w:sz="0" w:space="0" w:color="auto"/>
        <w:left w:val="none" w:sz="0" w:space="0" w:color="auto"/>
        <w:bottom w:val="none" w:sz="0" w:space="0" w:color="auto"/>
        <w:right w:val="none" w:sz="0" w:space="0" w:color="auto"/>
      </w:divBdr>
    </w:div>
    <w:div w:id="1167476649">
      <w:bodyDiv w:val="1"/>
      <w:marLeft w:val="0"/>
      <w:marRight w:val="0"/>
      <w:marTop w:val="0"/>
      <w:marBottom w:val="0"/>
      <w:divBdr>
        <w:top w:val="none" w:sz="0" w:space="0" w:color="auto"/>
        <w:left w:val="none" w:sz="0" w:space="0" w:color="auto"/>
        <w:bottom w:val="none" w:sz="0" w:space="0" w:color="auto"/>
        <w:right w:val="none" w:sz="0" w:space="0" w:color="auto"/>
      </w:divBdr>
    </w:div>
    <w:div w:id="1739982684">
      <w:bodyDiv w:val="1"/>
      <w:marLeft w:val="0"/>
      <w:marRight w:val="0"/>
      <w:marTop w:val="0"/>
      <w:marBottom w:val="0"/>
      <w:divBdr>
        <w:top w:val="none" w:sz="0" w:space="0" w:color="auto"/>
        <w:left w:val="none" w:sz="0" w:space="0" w:color="auto"/>
        <w:bottom w:val="none" w:sz="0" w:space="0" w:color="auto"/>
        <w:right w:val="none" w:sz="0" w:space="0" w:color="auto"/>
      </w:divBdr>
    </w:div>
    <w:div w:id="1750617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Income Statement Analysis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Sheet2!$O$2</c:f>
              <c:strCache>
                <c:ptCount val="1"/>
                <c:pt idx="0">
                  <c:v>2022</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trendline>
            <c:spPr>
              <a:ln w="19050" cap="rnd">
                <a:solidFill>
                  <a:schemeClr val="accent1"/>
                </a:solidFill>
              </a:ln>
              <a:effectLst/>
            </c:spPr>
            <c:trendlineType val="linear"/>
            <c:dispRSqr val="0"/>
            <c:dispEq val="0"/>
          </c:trendline>
          <c:cat>
            <c:strRef>
              <c:f>Sheet2!$N$3:$N$6</c:f>
              <c:strCache>
                <c:ptCount val="4"/>
                <c:pt idx="0">
                  <c:v>Revenue</c:v>
                </c:pt>
                <c:pt idx="1">
                  <c:v>Operating Expenses</c:v>
                </c:pt>
                <c:pt idx="2">
                  <c:v>Gross Profit</c:v>
                </c:pt>
                <c:pt idx="3">
                  <c:v>Net Profit (Loss)</c:v>
                </c:pt>
              </c:strCache>
            </c:strRef>
          </c:cat>
          <c:val>
            <c:numRef>
              <c:f>Sheet2!$O$3:$O$6</c:f>
              <c:numCache>
                <c:formatCode>General</c:formatCode>
                <c:ptCount val="4"/>
                <c:pt idx="0">
                  <c:v>430000</c:v>
                </c:pt>
                <c:pt idx="1">
                  <c:v>450000</c:v>
                </c:pt>
                <c:pt idx="2">
                  <c:v>-20000</c:v>
                </c:pt>
                <c:pt idx="3">
                  <c:v>-47500</c:v>
                </c:pt>
              </c:numCache>
            </c:numRef>
          </c:val>
          <c:extLst>
            <c:ext xmlns:c16="http://schemas.microsoft.com/office/drawing/2014/chart" uri="{C3380CC4-5D6E-409C-BE32-E72D297353CC}">
              <c16:uniqueId val="{00000001-4895-4D71-8B02-CC23D414DF1D}"/>
            </c:ext>
          </c:extLst>
        </c:ser>
        <c:ser>
          <c:idx val="1"/>
          <c:order val="1"/>
          <c:tx>
            <c:strRef>
              <c:f>Sheet2!$P$2</c:f>
              <c:strCache>
                <c:ptCount val="1"/>
                <c:pt idx="0">
                  <c:v>2021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Sheet2!$N$3:$N$6</c:f>
              <c:strCache>
                <c:ptCount val="4"/>
                <c:pt idx="0">
                  <c:v>Revenue</c:v>
                </c:pt>
                <c:pt idx="1">
                  <c:v>Operating Expenses</c:v>
                </c:pt>
                <c:pt idx="2">
                  <c:v>Gross Profit</c:v>
                </c:pt>
                <c:pt idx="3">
                  <c:v>Net Profit (Loss)</c:v>
                </c:pt>
              </c:strCache>
            </c:strRef>
          </c:cat>
          <c:val>
            <c:numRef>
              <c:f>Sheet2!$P$3:$P$6</c:f>
              <c:numCache>
                <c:formatCode>General</c:formatCode>
                <c:ptCount val="4"/>
                <c:pt idx="0">
                  <c:v>480000</c:v>
                </c:pt>
                <c:pt idx="1">
                  <c:v>400000</c:v>
                </c:pt>
                <c:pt idx="2">
                  <c:v>80000</c:v>
                </c:pt>
                <c:pt idx="3">
                  <c:v>40000</c:v>
                </c:pt>
              </c:numCache>
            </c:numRef>
          </c:val>
          <c:extLst>
            <c:ext xmlns:c16="http://schemas.microsoft.com/office/drawing/2014/chart" uri="{C3380CC4-5D6E-409C-BE32-E72D297353CC}">
              <c16:uniqueId val="{00000002-4895-4D71-8B02-CC23D414DF1D}"/>
            </c:ext>
          </c:extLst>
        </c:ser>
        <c:ser>
          <c:idx val="2"/>
          <c:order val="2"/>
          <c:tx>
            <c:strRef>
              <c:f>Sheet2!$Q$2</c:f>
              <c:strCache>
                <c:ptCount val="1"/>
                <c:pt idx="0">
                  <c:v>2020</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Sheet2!$N$3:$N$6</c:f>
              <c:strCache>
                <c:ptCount val="4"/>
                <c:pt idx="0">
                  <c:v>Revenue</c:v>
                </c:pt>
                <c:pt idx="1">
                  <c:v>Operating Expenses</c:v>
                </c:pt>
                <c:pt idx="2">
                  <c:v>Gross Profit</c:v>
                </c:pt>
                <c:pt idx="3">
                  <c:v>Net Profit (Loss)</c:v>
                </c:pt>
              </c:strCache>
            </c:strRef>
          </c:cat>
          <c:val>
            <c:numRef>
              <c:f>Sheet2!$Q$3:$Q$6</c:f>
              <c:numCache>
                <c:formatCode>General</c:formatCode>
                <c:ptCount val="4"/>
                <c:pt idx="0">
                  <c:v>520000</c:v>
                </c:pt>
                <c:pt idx="1">
                  <c:v>390000</c:v>
                </c:pt>
                <c:pt idx="2">
                  <c:v>130000</c:v>
                </c:pt>
                <c:pt idx="3">
                  <c:v>78000</c:v>
                </c:pt>
              </c:numCache>
            </c:numRef>
          </c:val>
          <c:extLst>
            <c:ext xmlns:c16="http://schemas.microsoft.com/office/drawing/2014/chart" uri="{C3380CC4-5D6E-409C-BE32-E72D297353CC}">
              <c16:uniqueId val="{00000003-4895-4D71-8B02-CC23D414DF1D}"/>
            </c:ext>
          </c:extLst>
        </c:ser>
        <c:dLbls>
          <c:showLegendKey val="0"/>
          <c:showVal val="0"/>
          <c:showCatName val="0"/>
          <c:showSerName val="0"/>
          <c:showPercent val="0"/>
          <c:showBubbleSize val="0"/>
        </c:dLbls>
        <c:gapWidth val="100"/>
        <c:overlap val="-24"/>
        <c:axId val="1242934287"/>
        <c:axId val="1413318159"/>
      </c:barChart>
      <c:catAx>
        <c:axId val="1242934287"/>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413318159"/>
        <c:crosses val="autoZero"/>
        <c:auto val="1"/>
        <c:lblAlgn val="ctr"/>
        <c:lblOffset val="100"/>
        <c:noMultiLvlLbl val="0"/>
      </c:catAx>
      <c:valAx>
        <c:axId val="141331815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42934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B51EDB-3B13-42F4-8E78-C11968AA1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3206</Words>
  <Characters>18275</Characters>
  <Application>Microsoft Office Word</Application>
  <DocSecurity>0</DocSecurity>
  <Lines>152</Lines>
  <Paragraphs>42</Paragraphs>
  <ScaleCrop>false</ScaleCrop>
  <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3</cp:revision>
  <dcterms:created xsi:type="dcterms:W3CDTF">2023-11-16T17:24:00Z</dcterms:created>
  <dcterms:modified xsi:type="dcterms:W3CDTF">2023-11-16T17:26:00Z</dcterms:modified>
</cp:coreProperties>
</file>