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B92AB" w14:textId="77777777" w:rsidR="00DD1E77" w:rsidRDefault="00000000">
      <w:pPr>
        <w:spacing w:after="907" w:line="259" w:lineRule="auto"/>
        <w:ind w:left="2970" w:firstLine="0"/>
        <w:jc w:val="left"/>
      </w:pPr>
      <w:r>
        <w:rPr>
          <w:noProof/>
        </w:rPr>
        <w:drawing>
          <wp:inline distT="0" distB="0" distL="0" distR="0" wp14:anchorId="525FC739" wp14:editId="3F6AAC40">
            <wp:extent cx="2171700" cy="866775"/>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7"/>
                    <a:stretch>
                      <a:fillRect/>
                    </a:stretch>
                  </pic:blipFill>
                  <pic:spPr>
                    <a:xfrm>
                      <a:off x="0" y="0"/>
                      <a:ext cx="2171700" cy="866775"/>
                    </a:xfrm>
                    <a:prstGeom prst="rect">
                      <a:avLst/>
                    </a:prstGeom>
                  </pic:spPr>
                </pic:pic>
              </a:graphicData>
            </a:graphic>
          </wp:inline>
        </w:drawing>
      </w:r>
    </w:p>
    <w:p w14:paraId="345693EC" w14:textId="77777777" w:rsidR="00DD1E77" w:rsidRDefault="00000000">
      <w:pPr>
        <w:spacing w:after="783" w:line="259" w:lineRule="auto"/>
        <w:ind w:left="0" w:right="1726" w:firstLine="0"/>
        <w:jc w:val="right"/>
      </w:pPr>
      <w:r>
        <w:rPr>
          <w:sz w:val="40"/>
        </w:rPr>
        <w:t>Strategic Management (LCMB7003)</w:t>
      </w:r>
    </w:p>
    <w:p w14:paraId="78758A7D" w14:textId="77777777" w:rsidR="00DD1E77" w:rsidRDefault="00000000">
      <w:pPr>
        <w:spacing w:after="0" w:line="259" w:lineRule="auto"/>
        <w:ind w:left="0" w:right="1695" w:firstLine="0"/>
        <w:jc w:val="right"/>
      </w:pPr>
      <w:r>
        <w:rPr>
          <w:rFonts w:ascii="Arial" w:eastAsia="Arial" w:hAnsi="Arial" w:cs="Arial"/>
          <w:b/>
          <w:sz w:val="40"/>
        </w:rPr>
        <w:t xml:space="preserve">Strategic Analysis of </w:t>
      </w:r>
      <w:r>
        <w:rPr>
          <w:rFonts w:ascii="Arial" w:eastAsia="Arial" w:hAnsi="Arial" w:cs="Arial"/>
          <w:b/>
          <w:color w:val="FF0000"/>
          <w:sz w:val="40"/>
        </w:rPr>
        <w:t>DELL</w:t>
      </w:r>
    </w:p>
    <w:p w14:paraId="504EE1BC" w14:textId="77777777" w:rsidR="00DD1E77" w:rsidRDefault="00000000">
      <w:pPr>
        <w:spacing w:after="1081" w:line="259" w:lineRule="auto"/>
        <w:ind w:left="2393" w:firstLine="0"/>
        <w:jc w:val="left"/>
      </w:pPr>
      <w:r>
        <w:rPr>
          <w:noProof/>
        </w:rPr>
        <w:drawing>
          <wp:inline distT="0" distB="0" distL="0" distR="0" wp14:anchorId="7A5EE538" wp14:editId="258C8A9C">
            <wp:extent cx="2905125" cy="2905125"/>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stretch>
                      <a:fillRect/>
                    </a:stretch>
                  </pic:blipFill>
                  <pic:spPr>
                    <a:xfrm>
                      <a:off x="0" y="0"/>
                      <a:ext cx="2905125" cy="2905125"/>
                    </a:xfrm>
                    <a:prstGeom prst="rect">
                      <a:avLst/>
                    </a:prstGeom>
                  </pic:spPr>
                </pic:pic>
              </a:graphicData>
            </a:graphic>
          </wp:inline>
        </w:drawing>
      </w:r>
    </w:p>
    <w:p w14:paraId="7D36BABE" w14:textId="77777777" w:rsidR="00DD1E77" w:rsidRDefault="00000000">
      <w:pPr>
        <w:spacing w:after="262" w:line="259" w:lineRule="auto"/>
        <w:ind w:left="-5"/>
        <w:jc w:val="left"/>
      </w:pPr>
      <w:r>
        <w:rPr>
          <w:sz w:val="28"/>
        </w:rPr>
        <w:t>Student name: SANJAY PRAKASH SUGUMARAN</w:t>
      </w:r>
    </w:p>
    <w:p w14:paraId="37A6F5DF" w14:textId="77777777" w:rsidR="00DD1E77" w:rsidRDefault="00000000">
      <w:pPr>
        <w:spacing w:after="262" w:line="259" w:lineRule="auto"/>
        <w:ind w:left="-5"/>
        <w:jc w:val="left"/>
      </w:pPr>
      <w:r>
        <w:rPr>
          <w:sz w:val="28"/>
        </w:rPr>
        <w:t>Student Number: 2128846</w:t>
      </w:r>
    </w:p>
    <w:p w14:paraId="1B3346C1" w14:textId="77777777" w:rsidR="00DD1E77" w:rsidRDefault="00000000">
      <w:pPr>
        <w:spacing w:after="262" w:line="259" w:lineRule="auto"/>
        <w:ind w:left="-5"/>
        <w:jc w:val="left"/>
      </w:pPr>
      <w:r>
        <w:rPr>
          <w:sz w:val="28"/>
        </w:rPr>
        <w:t xml:space="preserve">Lecturer: Gladius </w:t>
      </w:r>
      <w:proofErr w:type="spellStart"/>
      <w:r>
        <w:rPr>
          <w:sz w:val="28"/>
        </w:rPr>
        <w:t>Kulothungan</w:t>
      </w:r>
      <w:proofErr w:type="spellEnd"/>
    </w:p>
    <w:p w14:paraId="192E0C51" w14:textId="77777777" w:rsidR="00DD1E77" w:rsidRDefault="00000000">
      <w:pPr>
        <w:spacing w:after="262" w:line="259" w:lineRule="auto"/>
        <w:ind w:left="-5"/>
        <w:jc w:val="left"/>
      </w:pPr>
      <w:r>
        <w:rPr>
          <w:sz w:val="28"/>
        </w:rPr>
        <w:t>Word count:5615</w:t>
      </w:r>
    </w:p>
    <w:p w14:paraId="169B4DBB" w14:textId="77777777" w:rsidR="00DD1E77" w:rsidRDefault="00000000">
      <w:pPr>
        <w:spacing w:after="262" w:line="259" w:lineRule="auto"/>
        <w:ind w:left="-5"/>
        <w:jc w:val="left"/>
      </w:pPr>
      <w:r>
        <w:rPr>
          <w:sz w:val="28"/>
        </w:rPr>
        <w:t>Submission Date: 08/09/2023</w:t>
      </w:r>
    </w:p>
    <w:p w14:paraId="5F01AB4A" w14:textId="77777777" w:rsidR="00DD1E77" w:rsidRDefault="00000000">
      <w:pPr>
        <w:tabs>
          <w:tab w:val="right" w:pos="9360"/>
        </w:tabs>
        <w:spacing w:after="67" w:line="265" w:lineRule="auto"/>
        <w:ind w:left="-15" w:firstLine="0"/>
        <w:jc w:val="left"/>
      </w:pPr>
      <w:r>
        <w:rPr>
          <w:b/>
        </w:rPr>
        <w:lastRenderedPageBreak/>
        <w:t>LIST OF FIGURES</w:t>
      </w:r>
      <w:r>
        <w:rPr>
          <w:b/>
        </w:rPr>
        <w:tab/>
        <w:t>2</w:t>
      </w:r>
    </w:p>
    <w:p w14:paraId="5E15241A" w14:textId="77777777" w:rsidR="00DD1E77" w:rsidRDefault="00000000">
      <w:pPr>
        <w:tabs>
          <w:tab w:val="center" w:pos="1270"/>
          <w:tab w:val="right" w:pos="9360"/>
        </w:tabs>
        <w:spacing w:after="0" w:line="324" w:lineRule="auto"/>
        <w:ind w:left="-15" w:firstLine="0"/>
        <w:jc w:val="left"/>
      </w:pPr>
      <w:r>
        <w:rPr>
          <w:rFonts w:ascii="Calibri" w:eastAsia="Calibri" w:hAnsi="Calibri" w:cs="Calibri"/>
          <w:sz w:val="22"/>
        </w:rPr>
        <w:tab/>
      </w:r>
      <w:r>
        <w:t>LIST OF TABLES</w:t>
      </w:r>
      <w:r>
        <w:tab/>
        <w:t>2</w:t>
      </w:r>
    </w:p>
    <w:sdt>
      <w:sdtPr>
        <w:rPr>
          <w:b w:val="0"/>
        </w:rPr>
        <w:id w:val="749016640"/>
        <w:docPartObj>
          <w:docPartGallery w:val="Table of Contents"/>
        </w:docPartObj>
      </w:sdtPr>
      <w:sdtContent>
        <w:p w14:paraId="6C16DAB3" w14:textId="77777777" w:rsidR="00DD1E77" w:rsidRDefault="00000000">
          <w:pPr>
            <w:pStyle w:val="TOC1"/>
            <w:tabs>
              <w:tab w:val="right" w:pos="9360"/>
            </w:tabs>
          </w:pPr>
          <w:r>
            <w:fldChar w:fldCharType="begin"/>
          </w:r>
          <w:r>
            <w:instrText xml:space="preserve"> TOC \o "1-3" \h \z \u </w:instrText>
          </w:r>
          <w:r>
            <w:fldChar w:fldCharType="separate"/>
          </w:r>
          <w:hyperlink w:anchor="_Toc61247">
            <w:r>
              <w:t>ABBREVIATIONS</w:t>
            </w:r>
            <w:r>
              <w:tab/>
            </w:r>
            <w:r>
              <w:fldChar w:fldCharType="begin"/>
            </w:r>
            <w:r>
              <w:instrText>PAGEREF _Toc61247 \h</w:instrText>
            </w:r>
            <w:r>
              <w:fldChar w:fldCharType="separate"/>
            </w:r>
            <w:r>
              <w:t>1</w:t>
            </w:r>
            <w:r>
              <w:fldChar w:fldCharType="end"/>
            </w:r>
          </w:hyperlink>
        </w:p>
        <w:p w14:paraId="43D0FC63" w14:textId="77777777" w:rsidR="00DD1E77" w:rsidRDefault="00000000">
          <w:pPr>
            <w:pStyle w:val="TOC1"/>
            <w:tabs>
              <w:tab w:val="right" w:pos="9360"/>
            </w:tabs>
          </w:pPr>
          <w:hyperlink w:anchor="_Toc61248">
            <w:r>
              <w:t>1.INTRODUCTION</w:t>
            </w:r>
            <w:r>
              <w:tab/>
            </w:r>
            <w:r>
              <w:fldChar w:fldCharType="begin"/>
            </w:r>
            <w:r>
              <w:instrText>PAGEREF _Toc61248 \h</w:instrText>
            </w:r>
            <w:r>
              <w:fldChar w:fldCharType="separate"/>
            </w:r>
            <w:r>
              <w:t>2</w:t>
            </w:r>
            <w:r>
              <w:fldChar w:fldCharType="end"/>
            </w:r>
          </w:hyperlink>
        </w:p>
        <w:p w14:paraId="436F4971" w14:textId="77777777" w:rsidR="00DD1E77" w:rsidRDefault="00000000">
          <w:pPr>
            <w:pStyle w:val="TOC2"/>
            <w:tabs>
              <w:tab w:val="right" w:pos="9360"/>
            </w:tabs>
          </w:pPr>
          <w:hyperlink w:anchor="_Toc61249">
            <w:r>
              <w:t>1.1 Dell Technologies Inc</w:t>
            </w:r>
            <w:r>
              <w:tab/>
            </w:r>
            <w:r>
              <w:fldChar w:fldCharType="begin"/>
            </w:r>
            <w:r>
              <w:instrText>PAGEREF _Toc61249 \h</w:instrText>
            </w:r>
            <w:r>
              <w:fldChar w:fldCharType="separate"/>
            </w:r>
            <w:r>
              <w:t>2</w:t>
            </w:r>
            <w:r>
              <w:fldChar w:fldCharType="end"/>
            </w:r>
          </w:hyperlink>
        </w:p>
        <w:p w14:paraId="1F6147F9" w14:textId="77777777" w:rsidR="00DD1E77" w:rsidRDefault="00000000">
          <w:pPr>
            <w:pStyle w:val="TOC3"/>
            <w:tabs>
              <w:tab w:val="right" w:pos="9360"/>
            </w:tabs>
          </w:pPr>
          <w:hyperlink w:anchor="_Toc61250">
            <w:r>
              <w:t>1.1.1 Mission and Objectives</w:t>
            </w:r>
            <w:r>
              <w:tab/>
            </w:r>
            <w:r>
              <w:fldChar w:fldCharType="begin"/>
            </w:r>
            <w:r>
              <w:instrText>PAGEREF _Toc61250 \h</w:instrText>
            </w:r>
            <w:r>
              <w:fldChar w:fldCharType="separate"/>
            </w:r>
            <w:r>
              <w:t>3</w:t>
            </w:r>
            <w:r>
              <w:fldChar w:fldCharType="end"/>
            </w:r>
          </w:hyperlink>
        </w:p>
        <w:p w14:paraId="7212DFB7" w14:textId="77777777" w:rsidR="00DD1E77" w:rsidRDefault="00000000">
          <w:pPr>
            <w:pStyle w:val="TOC1"/>
            <w:tabs>
              <w:tab w:val="right" w:pos="9360"/>
            </w:tabs>
          </w:pPr>
          <w:hyperlink w:anchor="_Toc61251">
            <w:r>
              <w:t>2. ENVIRONMENTAL ANALYSIS</w:t>
            </w:r>
            <w:r>
              <w:tab/>
            </w:r>
            <w:r>
              <w:fldChar w:fldCharType="begin"/>
            </w:r>
            <w:r>
              <w:instrText>PAGEREF _Toc61251 \h</w:instrText>
            </w:r>
            <w:r>
              <w:fldChar w:fldCharType="separate"/>
            </w:r>
            <w:r>
              <w:t>5</w:t>
            </w:r>
            <w:r>
              <w:fldChar w:fldCharType="end"/>
            </w:r>
          </w:hyperlink>
        </w:p>
        <w:p w14:paraId="591D5B87" w14:textId="77777777" w:rsidR="00DD1E77" w:rsidRDefault="00000000">
          <w:pPr>
            <w:pStyle w:val="TOC2"/>
            <w:tabs>
              <w:tab w:val="right" w:pos="9360"/>
            </w:tabs>
          </w:pPr>
          <w:hyperlink w:anchor="_Toc61252">
            <w:r>
              <w:t>2.1 Macro-Environment Analysis</w:t>
            </w:r>
            <w:r>
              <w:tab/>
            </w:r>
            <w:r>
              <w:fldChar w:fldCharType="begin"/>
            </w:r>
            <w:r>
              <w:instrText>PAGEREF _Toc61252 \h</w:instrText>
            </w:r>
            <w:r>
              <w:fldChar w:fldCharType="separate"/>
            </w:r>
            <w:r>
              <w:t>6</w:t>
            </w:r>
            <w:r>
              <w:fldChar w:fldCharType="end"/>
            </w:r>
          </w:hyperlink>
        </w:p>
        <w:p w14:paraId="564D212F" w14:textId="77777777" w:rsidR="00DD1E77" w:rsidRDefault="00000000">
          <w:pPr>
            <w:pStyle w:val="TOC3"/>
            <w:tabs>
              <w:tab w:val="right" w:pos="9360"/>
            </w:tabs>
          </w:pPr>
          <w:hyperlink w:anchor="_Toc61253">
            <w:r>
              <w:t>2.1.1 PESTEL Analysis</w:t>
            </w:r>
            <w:r>
              <w:tab/>
            </w:r>
            <w:r>
              <w:fldChar w:fldCharType="begin"/>
            </w:r>
            <w:r>
              <w:instrText>PAGEREF _Toc61253 \h</w:instrText>
            </w:r>
            <w:r>
              <w:fldChar w:fldCharType="separate"/>
            </w:r>
            <w:r>
              <w:t>6</w:t>
            </w:r>
            <w:r>
              <w:fldChar w:fldCharType="end"/>
            </w:r>
          </w:hyperlink>
        </w:p>
        <w:p w14:paraId="67FEEB6D" w14:textId="77777777" w:rsidR="00DD1E77" w:rsidRDefault="00000000">
          <w:pPr>
            <w:pStyle w:val="TOC2"/>
            <w:tabs>
              <w:tab w:val="right" w:pos="9360"/>
            </w:tabs>
          </w:pPr>
          <w:hyperlink w:anchor="_Toc61254">
            <w:r>
              <w:t>2.2 MICRO-ENVIRONMENT ANALYSIS</w:t>
            </w:r>
            <w:r>
              <w:tab/>
            </w:r>
            <w:r>
              <w:fldChar w:fldCharType="begin"/>
            </w:r>
            <w:r>
              <w:instrText>PAGEREF _Toc61254 \h</w:instrText>
            </w:r>
            <w:r>
              <w:fldChar w:fldCharType="separate"/>
            </w:r>
            <w:r>
              <w:t>8</w:t>
            </w:r>
            <w:r>
              <w:fldChar w:fldCharType="end"/>
            </w:r>
          </w:hyperlink>
        </w:p>
        <w:p w14:paraId="399AAF42" w14:textId="77777777" w:rsidR="00DD1E77" w:rsidRDefault="00000000">
          <w:pPr>
            <w:pStyle w:val="TOC3"/>
            <w:tabs>
              <w:tab w:val="right" w:pos="9360"/>
            </w:tabs>
          </w:pPr>
          <w:hyperlink w:anchor="_Toc61255">
            <w:r>
              <w:t>2.2.1 Industry Life Cycle</w:t>
            </w:r>
            <w:r>
              <w:tab/>
            </w:r>
            <w:r>
              <w:fldChar w:fldCharType="begin"/>
            </w:r>
            <w:r>
              <w:instrText>PAGEREF _Toc61255 \h</w:instrText>
            </w:r>
            <w:r>
              <w:fldChar w:fldCharType="separate"/>
            </w:r>
            <w:r>
              <w:t>8</w:t>
            </w:r>
            <w:r>
              <w:fldChar w:fldCharType="end"/>
            </w:r>
          </w:hyperlink>
        </w:p>
        <w:p w14:paraId="7E4237B6" w14:textId="77777777" w:rsidR="00DD1E77" w:rsidRDefault="00000000">
          <w:pPr>
            <w:pStyle w:val="TOC3"/>
            <w:tabs>
              <w:tab w:val="right" w:pos="9360"/>
            </w:tabs>
          </w:pPr>
          <w:hyperlink w:anchor="_Toc61256">
            <w:r>
              <w:t>2.2.2 Porter’s Industry Five Forces Analysis</w:t>
            </w:r>
            <w:r>
              <w:tab/>
            </w:r>
            <w:r>
              <w:fldChar w:fldCharType="begin"/>
            </w:r>
            <w:r>
              <w:instrText>PAGEREF _Toc61256 \h</w:instrText>
            </w:r>
            <w:r>
              <w:fldChar w:fldCharType="separate"/>
            </w:r>
            <w:r>
              <w:t>10</w:t>
            </w:r>
            <w:r>
              <w:fldChar w:fldCharType="end"/>
            </w:r>
          </w:hyperlink>
        </w:p>
        <w:p w14:paraId="4D603EEC" w14:textId="77777777" w:rsidR="00DD1E77" w:rsidRDefault="00000000">
          <w:pPr>
            <w:pStyle w:val="TOC1"/>
            <w:tabs>
              <w:tab w:val="right" w:pos="9360"/>
            </w:tabs>
          </w:pPr>
          <w:hyperlink w:anchor="_Toc61257">
            <w:r>
              <w:t>3.INTERNAL ANALYSIS</w:t>
            </w:r>
            <w:r>
              <w:tab/>
            </w:r>
            <w:r>
              <w:fldChar w:fldCharType="begin"/>
            </w:r>
            <w:r>
              <w:instrText>PAGEREF _Toc61257 \h</w:instrText>
            </w:r>
            <w:r>
              <w:fldChar w:fldCharType="separate"/>
            </w:r>
            <w:r>
              <w:t>12</w:t>
            </w:r>
            <w:r>
              <w:fldChar w:fldCharType="end"/>
            </w:r>
          </w:hyperlink>
        </w:p>
        <w:p w14:paraId="005ABCAE" w14:textId="77777777" w:rsidR="00DD1E77" w:rsidRDefault="00000000">
          <w:pPr>
            <w:pStyle w:val="TOC2"/>
            <w:tabs>
              <w:tab w:val="right" w:pos="9360"/>
            </w:tabs>
          </w:pPr>
          <w:hyperlink w:anchor="_Toc61258">
            <w:r>
              <w:t>3.1 Dell’s Strategic Resources and Capabilities</w:t>
            </w:r>
            <w:r>
              <w:tab/>
            </w:r>
            <w:r>
              <w:fldChar w:fldCharType="begin"/>
            </w:r>
            <w:r>
              <w:instrText>PAGEREF _Toc61258 \h</w:instrText>
            </w:r>
            <w:r>
              <w:fldChar w:fldCharType="separate"/>
            </w:r>
            <w:r>
              <w:t>12</w:t>
            </w:r>
            <w:r>
              <w:fldChar w:fldCharType="end"/>
            </w:r>
          </w:hyperlink>
        </w:p>
        <w:p w14:paraId="340503A1" w14:textId="77777777" w:rsidR="00DD1E77" w:rsidRDefault="00000000">
          <w:pPr>
            <w:pStyle w:val="TOC2"/>
            <w:tabs>
              <w:tab w:val="right" w:pos="9360"/>
            </w:tabs>
          </w:pPr>
          <w:hyperlink w:anchor="_Toc61259">
            <w:r>
              <w:t>3.2 VALUE CHAIN ANALYSIS OF DELL TECHNOLOGIES</w:t>
            </w:r>
            <w:r>
              <w:tab/>
            </w:r>
            <w:r>
              <w:fldChar w:fldCharType="begin"/>
            </w:r>
            <w:r>
              <w:instrText>PAGEREF _Toc61259 \h</w:instrText>
            </w:r>
            <w:r>
              <w:fldChar w:fldCharType="separate"/>
            </w:r>
            <w:r>
              <w:t>14</w:t>
            </w:r>
            <w:r>
              <w:fldChar w:fldCharType="end"/>
            </w:r>
          </w:hyperlink>
        </w:p>
        <w:p w14:paraId="3F68F59B" w14:textId="77777777" w:rsidR="00DD1E77" w:rsidRDefault="00000000">
          <w:pPr>
            <w:pStyle w:val="TOC3"/>
            <w:tabs>
              <w:tab w:val="right" w:pos="9360"/>
            </w:tabs>
          </w:pPr>
          <w:hyperlink w:anchor="_Toc61260">
            <w:r>
              <w:t>Primary Activities:</w:t>
            </w:r>
            <w:r>
              <w:tab/>
            </w:r>
            <w:r>
              <w:fldChar w:fldCharType="begin"/>
            </w:r>
            <w:r>
              <w:instrText>PAGEREF _Toc61260 \h</w:instrText>
            </w:r>
            <w:r>
              <w:fldChar w:fldCharType="separate"/>
            </w:r>
            <w:r>
              <w:t>14</w:t>
            </w:r>
            <w:r>
              <w:fldChar w:fldCharType="end"/>
            </w:r>
          </w:hyperlink>
        </w:p>
        <w:p w14:paraId="38A3136D" w14:textId="77777777" w:rsidR="00DD1E77" w:rsidRDefault="00000000">
          <w:pPr>
            <w:pStyle w:val="TOC3"/>
            <w:tabs>
              <w:tab w:val="right" w:pos="9360"/>
            </w:tabs>
          </w:pPr>
          <w:hyperlink w:anchor="_Toc61261">
            <w:r>
              <w:t>Secondary Activities</w:t>
            </w:r>
            <w:r>
              <w:tab/>
            </w:r>
            <w:r>
              <w:fldChar w:fldCharType="begin"/>
            </w:r>
            <w:r>
              <w:instrText>PAGEREF _Toc61261 \h</w:instrText>
            </w:r>
            <w:r>
              <w:fldChar w:fldCharType="separate"/>
            </w:r>
            <w:r>
              <w:t>15</w:t>
            </w:r>
            <w:r>
              <w:fldChar w:fldCharType="end"/>
            </w:r>
          </w:hyperlink>
        </w:p>
        <w:p w14:paraId="632D0773" w14:textId="77777777" w:rsidR="00DD1E77" w:rsidRDefault="00000000">
          <w:pPr>
            <w:pStyle w:val="TOC2"/>
            <w:tabs>
              <w:tab w:val="right" w:pos="9360"/>
            </w:tabs>
          </w:pPr>
          <w:hyperlink w:anchor="_Toc61262">
            <w:r>
              <w:t>3.3 VRIO Analysis</w:t>
            </w:r>
            <w:r>
              <w:tab/>
            </w:r>
            <w:r>
              <w:fldChar w:fldCharType="begin"/>
            </w:r>
            <w:r>
              <w:instrText>PAGEREF _Toc61262 \h</w:instrText>
            </w:r>
            <w:r>
              <w:fldChar w:fldCharType="separate"/>
            </w:r>
            <w:r>
              <w:t>16</w:t>
            </w:r>
            <w:r>
              <w:fldChar w:fldCharType="end"/>
            </w:r>
          </w:hyperlink>
        </w:p>
        <w:p w14:paraId="5183B239" w14:textId="77777777" w:rsidR="00DD1E77" w:rsidRDefault="00000000">
          <w:pPr>
            <w:pStyle w:val="TOC2"/>
            <w:tabs>
              <w:tab w:val="right" w:pos="9360"/>
            </w:tabs>
          </w:pPr>
          <w:hyperlink w:anchor="_Toc61263">
            <w:r>
              <w:t>3.4 SWOT</w:t>
            </w:r>
            <w:r>
              <w:tab/>
            </w:r>
            <w:r>
              <w:fldChar w:fldCharType="begin"/>
            </w:r>
            <w:r>
              <w:instrText>PAGEREF _Toc61263 \h</w:instrText>
            </w:r>
            <w:r>
              <w:fldChar w:fldCharType="separate"/>
            </w:r>
            <w:r>
              <w:t>19</w:t>
            </w:r>
            <w:r>
              <w:fldChar w:fldCharType="end"/>
            </w:r>
          </w:hyperlink>
        </w:p>
        <w:p w14:paraId="445920AE" w14:textId="77777777" w:rsidR="00DD1E77" w:rsidRDefault="00000000">
          <w:pPr>
            <w:pStyle w:val="TOC1"/>
            <w:tabs>
              <w:tab w:val="right" w:pos="9360"/>
            </w:tabs>
          </w:pPr>
          <w:hyperlink w:anchor="_Toc61264">
            <w:r>
              <w:t>4. STRATEGIES TO SUSTAIN COMPETITIVE ADVANTAGE</w:t>
            </w:r>
            <w:r>
              <w:tab/>
            </w:r>
            <w:r>
              <w:fldChar w:fldCharType="begin"/>
            </w:r>
            <w:r>
              <w:instrText>PAGEREF _Toc61264 \h</w:instrText>
            </w:r>
            <w:r>
              <w:fldChar w:fldCharType="separate"/>
            </w:r>
            <w:r>
              <w:t>22</w:t>
            </w:r>
            <w:r>
              <w:fldChar w:fldCharType="end"/>
            </w:r>
          </w:hyperlink>
        </w:p>
        <w:p w14:paraId="2A47833C" w14:textId="77777777" w:rsidR="00DD1E77" w:rsidRDefault="00000000">
          <w:pPr>
            <w:pStyle w:val="TOC1"/>
            <w:tabs>
              <w:tab w:val="right" w:pos="9360"/>
            </w:tabs>
          </w:pPr>
          <w:hyperlink w:anchor="_Toc61265">
            <w:r>
              <w:t>5. GROWTH STRATEGIES</w:t>
            </w:r>
            <w:r>
              <w:tab/>
            </w:r>
            <w:r>
              <w:fldChar w:fldCharType="begin"/>
            </w:r>
            <w:r>
              <w:instrText>PAGEREF _Toc61265 \h</w:instrText>
            </w:r>
            <w:r>
              <w:fldChar w:fldCharType="separate"/>
            </w:r>
            <w:r>
              <w:t>24</w:t>
            </w:r>
            <w:r>
              <w:fldChar w:fldCharType="end"/>
            </w:r>
          </w:hyperlink>
        </w:p>
        <w:p w14:paraId="14826E57" w14:textId="77777777" w:rsidR="00DD1E77" w:rsidRDefault="00000000">
          <w:pPr>
            <w:pStyle w:val="TOC1"/>
            <w:tabs>
              <w:tab w:val="right" w:pos="9360"/>
            </w:tabs>
          </w:pPr>
          <w:hyperlink w:anchor="_Toc61266">
            <w:r>
              <w:t>6. GREEN STRATEGY AND CORPORATE SOCIAL RESPONSIBILITY (CSR)</w:t>
            </w:r>
            <w:r>
              <w:tab/>
            </w:r>
            <w:r>
              <w:fldChar w:fldCharType="begin"/>
            </w:r>
            <w:r>
              <w:instrText>PAGEREF _Toc61266 \h</w:instrText>
            </w:r>
            <w:r>
              <w:fldChar w:fldCharType="separate"/>
            </w:r>
            <w:r>
              <w:t>26</w:t>
            </w:r>
            <w:r>
              <w:fldChar w:fldCharType="end"/>
            </w:r>
          </w:hyperlink>
        </w:p>
        <w:p w14:paraId="6ACFB567" w14:textId="77777777" w:rsidR="00DD1E77" w:rsidRDefault="00000000">
          <w:pPr>
            <w:pStyle w:val="TOC1"/>
            <w:tabs>
              <w:tab w:val="right" w:pos="9360"/>
            </w:tabs>
          </w:pPr>
          <w:hyperlink w:anchor="_Toc61267">
            <w:r>
              <w:t>7.RECOMMENDATIONS AND CONCLUSIONS</w:t>
            </w:r>
            <w:r>
              <w:tab/>
            </w:r>
            <w:r>
              <w:fldChar w:fldCharType="begin"/>
            </w:r>
            <w:r>
              <w:instrText>PAGEREF _Toc61267 \h</w:instrText>
            </w:r>
            <w:r>
              <w:fldChar w:fldCharType="separate"/>
            </w:r>
            <w:r>
              <w:t>27</w:t>
            </w:r>
            <w:r>
              <w:fldChar w:fldCharType="end"/>
            </w:r>
          </w:hyperlink>
        </w:p>
        <w:p w14:paraId="3D6F1A4B" w14:textId="77777777" w:rsidR="00DD1E77" w:rsidRDefault="00000000">
          <w:pPr>
            <w:pStyle w:val="TOC1"/>
            <w:tabs>
              <w:tab w:val="right" w:pos="9360"/>
            </w:tabs>
          </w:pPr>
          <w:hyperlink w:anchor="_Toc61268">
            <w:r>
              <w:t>REFERENCES</w:t>
            </w:r>
            <w:r>
              <w:tab/>
            </w:r>
            <w:r>
              <w:fldChar w:fldCharType="begin"/>
            </w:r>
            <w:r>
              <w:instrText>PAGEREF _Toc61268 \h</w:instrText>
            </w:r>
            <w:r>
              <w:fldChar w:fldCharType="separate"/>
            </w:r>
            <w:r>
              <w:t>30</w:t>
            </w:r>
            <w:r>
              <w:fldChar w:fldCharType="end"/>
            </w:r>
          </w:hyperlink>
        </w:p>
        <w:p w14:paraId="6A507C0C" w14:textId="77777777" w:rsidR="00DD1E77" w:rsidRDefault="00000000">
          <w:r>
            <w:fldChar w:fldCharType="end"/>
          </w:r>
        </w:p>
      </w:sdtContent>
    </w:sdt>
    <w:p w14:paraId="1087EDFE" w14:textId="77777777" w:rsidR="00590331" w:rsidRDefault="00590331">
      <w:pPr>
        <w:spacing w:after="344" w:line="265" w:lineRule="auto"/>
        <w:ind w:left="-5"/>
        <w:jc w:val="left"/>
        <w:rPr>
          <w:b/>
          <w:sz w:val="28"/>
          <w:u w:val="single" w:color="000000"/>
        </w:rPr>
      </w:pPr>
    </w:p>
    <w:p w14:paraId="56F52419" w14:textId="77777777" w:rsidR="00590331" w:rsidRDefault="00590331">
      <w:pPr>
        <w:spacing w:after="344" w:line="265" w:lineRule="auto"/>
        <w:ind w:left="-5"/>
        <w:jc w:val="left"/>
        <w:rPr>
          <w:b/>
          <w:sz w:val="28"/>
          <w:u w:val="single" w:color="000000"/>
        </w:rPr>
      </w:pPr>
    </w:p>
    <w:p w14:paraId="058123A7" w14:textId="77777777" w:rsidR="00590331" w:rsidRDefault="00590331">
      <w:pPr>
        <w:spacing w:after="344" w:line="265" w:lineRule="auto"/>
        <w:ind w:left="-5"/>
        <w:jc w:val="left"/>
        <w:rPr>
          <w:b/>
          <w:sz w:val="28"/>
          <w:u w:val="single" w:color="000000"/>
        </w:rPr>
      </w:pPr>
    </w:p>
    <w:p w14:paraId="54FDC860" w14:textId="77777777" w:rsidR="00590331" w:rsidRDefault="00590331">
      <w:pPr>
        <w:spacing w:after="344" w:line="265" w:lineRule="auto"/>
        <w:ind w:left="-5"/>
        <w:jc w:val="left"/>
        <w:rPr>
          <w:b/>
          <w:sz w:val="28"/>
          <w:u w:val="single" w:color="000000"/>
        </w:rPr>
      </w:pPr>
    </w:p>
    <w:p w14:paraId="2CB3B92B" w14:textId="46415F9C" w:rsidR="00DD1E77" w:rsidRDefault="00000000">
      <w:pPr>
        <w:spacing w:after="344" w:line="265" w:lineRule="auto"/>
        <w:ind w:left="-5"/>
        <w:jc w:val="left"/>
      </w:pPr>
      <w:r>
        <w:rPr>
          <w:b/>
          <w:sz w:val="28"/>
          <w:u w:val="single" w:color="000000"/>
        </w:rPr>
        <w:lastRenderedPageBreak/>
        <w:t>LIST OF FIGURES</w:t>
      </w:r>
    </w:p>
    <w:p w14:paraId="05D3742D" w14:textId="77777777" w:rsidR="00DD1E77" w:rsidRDefault="00000000">
      <w:pPr>
        <w:tabs>
          <w:tab w:val="center" w:pos="8700"/>
        </w:tabs>
        <w:spacing w:after="160" w:line="259" w:lineRule="auto"/>
        <w:ind w:left="0" w:firstLine="0"/>
        <w:jc w:val="left"/>
      </w:pPr>
      <w:r>
        <w:t>Figure 1:Dell Technologies revenue worldwide from 2015 to 2023</w:t>
      </w:r>
      <w:r>
        <w:tab/>
        <w:t>3</w:t>
      </w:r>
    </w:p>
    <w:p w14:paraId="1C1C95C0" w14:textId="77777777" w:rsidR="00DD1E77" w:rsidRDefault="00000000">
      <w:pPr>
        <w:tabs>
          <w:tab w:val="center" w:pos="8700"/>
        </w:tabs>
        <w:spacing w:after="160" w:line="259" w:lineRule="auto"/>
        <w:ind w:left="0" w:firstLine="0"/>
        <w:jc w:val="left"/>
      </w:pPr>
      <w:r>
        <w:t>Figure 2: The Athlete’s micro- and macro-environmental influences.</w:t>
      </w:r>
      <w:r>
        <w:tab/>
        <w:t>5</w:t>
      </w:r>
    </w:p>
    <w:p w14:paraId="0FA9B175" w14:textId="77777777" w:rsidR="00DD1E77" w:rsidRDefault="00000000">
      <w:pPr>
        <w:tabs>
          <w:tab w:val="center" w:pos="8700"/>
        </w:tabs>
        <w:spacing w:after="160" w:line="259" w:lineRule="auto"/>
        <w:ind w:left="0" w:firstLine="0"/>
        <w:jc w:val="left"/>
      </w:pPr>
      <w:r>
        <w:t>Figure 3: P.E.S.T.E.L. analysis (</w:t>
      </w:r>
      <w:proofErr w:type="spellStart"/>
      <w:r>
        <w:t>Source:Wheelen</w:t>
      </w:r>
      <w:proofErr w:type="spellEnd"/>
      <w:r>
        <w:t xml:space="preserve"> &amp; Hunger 2002)</w:t>
      </w:r>
      <w:r>
        <w:tab/>
        <w:t>6</w:t>
      </w:r>
    </w:p>
    <w:p w14:paraId="7C098CA6" w14:textId="77777777" w:rsidR="00DD1E77" w:rsidRDefault="00000000">
      <w:pPr>
        <w:tabs>
          <w:tab w:val="center" w:pos="8700"/>
        </w:tabs>
        <w:spacing w:after="160" w:line="259" w:lineRule="auto"/>
        <w:ind w:left="0" w:firstLine="0"/>
        <w:jc w:val="left"/>
      </w:pPr>
      <w:r>
        <w:t>Figure 4: Industry life cycle and characteristics</w:t>
      </w:r>
      <w:r>
        <w:tab/>
        <w:t>8</w:t>
      </w:r>
    </w:p>
    <w:p w14:paraId="1565B085" w14:textId="77777777" w:rsidR="00DD1E77" w:rsidRDefault="00000000">
      <w:pPr>
        <w:tabs>
          <w:tab w:val="center" w:pos="8760"/>
        </w:tabs>
        <w:spacing w:after="160" w:line="259" w:lineRule="auto"/>
        <w:ind w:left="0" w:firstLine="0"/>
        <w:jc w:val="left"/>
      </w:pPr>
      <w:r>
        <w:t>Figure 5: Porter's five forces</w:t>
      </w:r>
      <w:r>
        <w:tab/>
        <w:t>10</w:t>
      </w:r>
    </w:p>
    <w:p w14:paraId="7931ADAA" w14:textId="77777777" w:rsidR="00DD1E77" w:rsidRDefault="00000000">
      <w:pPr>
        <w:tabs>
          <w:tab w:val="center" w:pos="8760"/>
        </w:tabs>
        <w:spacing w:after="160" w:line="259" w:lineRule="auto"/>
        <w:ind w:left="0" w:firstLine="0"/>
        <w:jc w:val="left"/>
      </w:pPr>
      <w:r>
        <w:t>Figure 6: Value chain Framework</w:t>
      </w:r>
      <w:r>
        <w:tab/>
        <w:t>14</w:t>
      </w:r>
    </w:p>
    <w:p w14:paraId="01E03A50" w14:textId="77777777" w:rsidR="00DD1E77" w:rsidRDefault="00000000">
      <w:pPr>
        <w:tabs>
          <w:tab w:val="center" w:pos="8760"/>
        </w:tabs>
        <w:spacing w:after="160" w:line="259" w:lineRule="auto"/>
        <w:ind w:left="0" w:firstLine="0"/>
        <w:jc w:val="left"/>
      </w:pPr>
      <w:r>
        <w:t>Figure 7: VRIO Framework Process</w:t>
      </w:r>
      <w:r>
        <w:tab/>
        <w:t>17</w:t>
      </w:r>
    </w:p>
    <w:p w14:paraId="1229C3BD" w14:textId="77777777" w:rsidR="00DD1E77" w:rsidRDefault="00000000">
      <w:pPr>
        <w:tabs>
          <w:tab w:val="center" w:pos="8760"/>
        </w:tabs>
        <w:spacing w:after="160" w:line="259" w:lineRule="auto"/>
        <w:ind w:left="0" w:firstLine="0"/>
        <w:jc w:val="left"/>
      </w:pPr>
      <w:r>
        <w:t>Figure 8: The basic framework of SWOT analysis</w:t>
      </w:r>
      <w:r>
        <w:tab/>
        <w:t>19</w:t>
      </w:r>
    </w:p>
    <w:p w14:paraId="6746F7BC" w14:textId="77777777" w:rsidR="00DD1E77" w:rsidRDefault="00000000">
      <w:pPr>
        <w:tabs>
          <w:tab w:val="center" w:pos="8760"/>
        </w:tabs>
        <w:spacing w:after="160" w:line="259" w:lineRule="auto"/>
        <w:ind w:left="0" w:firstLine="0"/>
        <w:jc w:val="left"/>
      </w:pPr>
      <w:r>
        <w:t>Figure 9: Porter's generic strategies</w:t>
      </w:r>
      <w:r>
        <w:tab/>
        <w:t>22</w:t>
      </w:r>
    </w:p>
    <w:p w14:paraId="289AE27B" w14:textId="77777777" w:rsidR="00DD1E77" w:rsidRDefault="00000000">
      <w:pPr>
        <w:tabs>
          <w:tab w:val="center" w:pos="8760"/>
        </w:tabs>
        <w:spacing w:after="160" w:line="259" w:lineRule="auto"/>
        <w:ind w:left="0" w:firstLine="0"/>
        <w:jc w:val="left"/>
      </w:pPr>
      <w:r>
        <w:t>Figure 10: The Ansoff Matrix</w:t>
      </w:r>
      <w:r>
        <w:tab/>
        <w:t>24</w:t>
      </w:r>
    </w:p>
    <w:p w14:paraId="58EF53D6" w14:textId="77777777" w:rsidR="00DD1E77" w:rsidRDefault="00000000">
      <w:pPr>
        <w:spacing w:after="143" w:line="265" w:lineRule="auto"/>
        <w:ind w:left="-5"/>
        <w:jc w:val="left"/>
      </w:pPr>
      <w:r>
        <w:rPr>
          <w:b/>
        </w:rPr>
        <w:t>LIST OF TABLES</w:t>
      </w:r>
    </w:p>
    <w:p w14:paraId="707019B2" w14:textId="77777777" w:rsidR="00DD1E77" w:rsidRDefault="00000000">
      <w:pPr>
        <w:spacing w:after="149" w:line="259" w:lineRule="auto"/>
        <w:ind w:left="-5"/>
      </w:pPr>
      <w:r>
        <w:t>Table 1: VRIO Analysis</w:t>
      </w:r>
    </w:p>
    <w:p w14:paraId="1796C385" w14:textId="77777777" w:rsidR="00DD1E77" w:rsidRDefault="00000000">
      <w:pPr>
        <w:spacing w:after="0" w:line="259" w:lineRule="auto"/>
        <w:ind w:left="-5"/>
      </w:pPr>
      <w:r>
        <w:t>Table 2: SWOT Analysis</w:t>
      </w:r>
    </w:p>
    <w:p w14:paraId="0DD7708E" w14:textId="77777777" w:rsidR="00DD1E77" w:rsidRDefault="00DD1E77">
      <w:pPr>
        <w:sectPr w:rsidR="00DD1E77" w:rsidSect="00590331">
          <w:footerReference w:type="even" r:id="rId9"/>
          <w:footerReference w:type="default" r:id="rId10"/>
          <w:footerReference w:type="first" r:id="rId11"/>
          <w:pgSz w:w="12240" w:h="15840"/>
          <w:pgMar w:top="1512" w:right="1440" w:bottom="1489"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1D05A3A5" w14:textId="77777777" w:rsidR="00DD1E77" w:rsidRDefault="00000000">
      <w:pPr>
        <w:pStyle w:val="Heading1"/>
        <w:spacing w:after="601"/>
        <w:ind w:left="-5"/>
      </w:pPr>
      <w:bookmarkStart w:id="0" w:name="_Toc61247"/>
      <w:r>
        <w:lastRenderedPageBreak/>
        <w:t>ABBREVIATIONS</w:t>
      </w:r>
      <w:bookmarkEnd w:id="0"/>
    </w:p>
    <w:p w14:paraId="7C63C349" w14:textId="77777777" w:rsidR="00DD1E77" w:rsidRDefault="00000000">
      <w:pPr>
        <w:spacing w:after="149" w:line="259" w:lineRule="auto"/>
        <w:ind w:left="-5"/>
      </w:pPr>
      <w:r>
        <w:t>PESTEL - Political, Economic, Social, Technological, Environmental, Legal</w:t>
      </w:r>
    </w:p>
    <w:p w14:paraId="1A47B943" w14:textId="77777777" w:rsidR="00DD1E77" w:rsidRDefault="00000000">
      <w:pPr>
        <w:spacing w:after="149" w:line="259" w:lineRule="auto"/>
        <w:ind w:left="-5"/>
      </w:pPr>
      <w:r>
        <w:t>CSR - Corporate Social Responsibility</w:t>
      </w:r>
    </w:p>
    <w:p w14:paraId="4C9B0EFD" w14:textId="77777777" w:rsidR="00DD1E77" w:rsidRDefault="00000000">
      <w:pPr>
        <w:spacing w:after="149" w:line="259" w:lineRule="auto"/>
        <w:ind w:left="-5"/>
      </w:pPr>
      <w:r>
        <w:t>ISG - Infrastructure Solutions Group</w:t>
      </w:r>
    </w:p>
    <w:p w14:paraId="739ADCF8" w14:textId="77777777" w:rsidR="00DD1E77" w:rsidRDefault="00000000">
      <w:pPr>
        <w:spacing w:after="149" w:line="259" w:lineRule="auto"/>
        <w:ind w:left="-5"/>
      </w:pPr>
      <w:r>
        <w:t>CSG - Client Solutions Group</w:t>
      </w:r>
    </w:p>
    <w:p w14:paraId="171C06DD" w14:textId="77777777" w:rsidR="00DD1E77" w:rsidRDefault="00000000">
      <w:pPr>
        <w:spacing w:after="149" w:line="259" w:lineRule="auto"/>
        <w:ind w:left="-5"/>
      </w:pPr>
      <w:r>
        <w:t>AI - Artificial Intelligence</w:t>
      </w:r>
    </w:p>
    <w:p w14:paraId="29400E00" w14:textId="77777777" w:rsidR="00DD1E77" w:rsidRDefault="00000000">
      <w:pPr>
        <w:spacing w:after="149" w:line="259" w:lineRule="auto"/>
        <w:ind w:left="-5"/>
      </w:pPr>
      <w:r>
        <w:t>IoT - Internet of Things</w:t>
      </w:r>
    </w:p>
    <w:p w14:paraId="1965D4F1" w14:textId="77777777" w:rsidR="00DD1E77" w:rsidRDefault="00000000">
      <w:pPr>
        <w:spacing w:after="149" w:line="259" w:lineRule="auto"/>
        <w:ind w:left="-5"/>
      </w:pPr>
      <w:r>
        <w:t>SaaS - Software as a Service</w:t>
      </w:r>
    </w:p>
    <w:p w14:paraId="72A6EB34" w14:textId="77777777" w:rsidR="00DD1E77" w:rsidRDefault="00000000">
      <w:pPr>
        <w:spacing w:after="149" w:line="259" w:lineRule="auto"/>
        <w:ind w:left="-5"/>
      </w:pPr>
      <w:r>
        <w:t>R&amp;D - Research and Development</w:t>
      </w:r>
    </w:p>
    <w:p w14:paraId="089A18F0" w14:textId="77777777" w:rsidR="00DD1E77" w:rsidRDefault="00000000">
      <w:pPr>
        <w:spacing w:after="149" w:line="259" w:lineRule="auto"/>
        <w:ind w:left="-5"/>
      </w:pPr>
      <w:r>
        <w:t>GDPR - General Data Protection Regulation</w:t>
      </w:r>
    </w:p>
    <w:p w14:paraId="1ABB6A29" w14:textId="77777777" w:rsidR="00DD1E77" w:rsidRDefault="00000000">
      <w:pPr>
        <w:spacing w:after="149" w:line="259" w:lineRule="auto"/>
        <w:ind w:left="-5"/>
      </w:pPr>
      <w:r>
        <w:t>SMBs - Small and Medium-sized Businesses</w:t>
      </w:r>
    </w:p>
    <w:p w14:paraId="22E45880" w14:textId="77777777" w:rsidR="00DD1E77" w:rsidRDefault="00000000">
      <w:pPr>
        <w:spacing w:after="149" w:line="259" w:lineRule="auto"/>
        <w:ind w:left="-5"/>
      </w:pPr>
      <w:r>
        <w:t>SWOT - Strengths, Weaknesses, Opportunities, Threats</w:t>
      </w:r>
    </w:p>
    <w:p w14:paraId="2D23E36B" w14:textId="77777777" w:rsidR="00DD1E77" w:rsidRDefault="00000000">
      <w:pPr>
        <w:spacing w:after="149" w:line="259" w:lineRule="auto"/>
        <w:ind w:left="-5"/>
      </w:pPr>
      <w:r>
        <w:t>KPIs - Key Performance Indicators</w:t>
      </w:r>
    </w:p>
    <w:p w14:paraId="54D84D32" w14:textId="77777777" w:rsidR="00DD1E77" w:rsidRDefault="00000000">
      <w:pPr>
        <w:spacing w:after="149" w:line="259" w:lineRule="auto"/>
        <w:ind w:left="-5"/>
      </w:pPr>
      <w:r>
        <w:t>CRM - Customer Relationship Management</w:t>
      </w:r>
    </w:p>
    <w:p w14:paraId="09166264" w14:textId="77777777" w:rsidR="00DD1E77" w:rsidRDefault="00000000">
      <w:pPr>
        <w:spacing w:after="149" w:line="259" w:lineRule="auto"/>
        <w:ind w:left="-5"/>
      </w:pPr>
      <w:r>
        <w:t>IT - Information Technology</w:t>
      </w:r>
    </w:p>
    <w:p w14:paraId="3AC94708" w14:textId="77777777" w:rsidR="00DD1E77" w:rsidRDefault="00000000">
      <w:pPr>
        <w:spacing w:after="149" w:line="259" w:lineRule="auto"/>
        <w:ind w:left="-5"/>
      </w:pPr>
      <w:r>
        <w:t>VRIO - Valuable, Rare, Inimitable, Organization</w:t>
      </w:r>
    </w:p>
    <w:p w14:paraId="56B6DA4B" w14:textId="77777777" w:rsidR="00DD1E77" w:rsidRDefault="00000000">
      <w:pPr>
        <w:spacing w:after="149" w:line="259" w:lineRule="auto"/>
        <w:ind w:left="-5"/>
      </w:pPr>
      <w:r>
        <w:t>HP - Hewlett Packard</w:t>
      </w:r>
    </w:p>
    <w:p w14:paraId="3FE147A9" w14:textId="77777777" w:rsidR="00DD1E77" w:rsidRDefault="00000000">
      <w:pPr>
        <w:spacing w:line="259" w:lineRule="auto"/>
        <w:ind w:left="-5"/>
      </w:pPr>
      <w:r>
        <w:t>IBM - International Business Machines</w:t>
      </w:r>
    </w:p>
    <w:p w14:paraId="45A1524C" w14:textId="77777777" w:rsidR="00590331" w:rsidRDefault="00590331">
      <w:pPr>
        <w:pStyle w:val="Heading1"/>
        <w:ind w:left="-5"/>
      </w:pPr>
      <w:bookmarkStart w:id="1" w:name="_Toc61248"/>
    </w:p>
    <w:p w14:paraId="007B0974" w14:textId="77777777" w:rsidR="00590331" w:rsidRDefault="00590331">
      <w:pPr>
        <w:pStyle w:val="Heading1"/>
        <w:ind w:left="-5"/>
      </w:pPr>
    </w:p>
    <w:p w14:paraId="0087DBCF" w14:textId="77777777" w:rsidR="00590331" w:rsidRDefault="00590331">
      <w:pPr>
        <w:pStyle w:val="Heading1"/>
        <w:ind w:left="-5"/>
      </w:pPr>
    </w:p>
    <w:p w14:paraId="4087051F" w14:textId="5B2A4AE3" w:rsidR="00DD1E77" w:rsidRDefault="00000000">
      <w:pPr>
        <w:pStyle w:val="Heading1"/>
        <w:ind w:left="-5"/>
      </w:pPr>
      <w:r>
        <w:t>1.INTRODUCTION</w:t>
      </w:r>
      <w:bookmarkEnd w:id="1"/>
    </w:p>
    <w:p w14:paraId="16DC513A" w14:textId="77777777" w:rsidR="00DD1E77" w:rsidRDefault="00000000">
      <w:pPr>
        <w:ind w:left="-5"/>
      </w:pPr>
      <w:r>
        <w:t xml:space="preserve">This report aims to conduct an exhaustive strategic analysis of Dell Technologies Inc., a global titan in the technology industry. The broad range of products offered by Dell includes anything from servers and storage systems to software and a number of services. The paper looks at both internal and external factors influencing Dell's strategic decisions by using academic frameworks like PESTEL Analysis, Porter's Five Forces, Value Chain Analysis, and the VRIO model. This multifaceted strategy enables a thorough comprehension of the competitive environment facing the organisation. The examination also looks at Dell's efforts in sustainability and corporate social responsibility (CSR), and it concludes with useful suggestions. This report, which is aimed at corporate strategists, academics, and technology experts, provides both theoretical understanding and real-world insights into Dell Technologies' strategic </w:t>
      </w:r>
      <w:proofErr w:type="spellStart"/>
      <w:r>
        <w:t>management.The</w:t>
      </w:r>
      <w:proofErr w:type="spellEnd"/>
      <w:r>
        <w:t xml:space="preserve"> report is organised to give a comprehensive and cogent overview; it starts with Dell's goals and mission, then moves on to external and internal analysis, and it ends with strategies for maintaining competitive advantage and growth.</w:t>
      </w:r>
    </w:p>
    <w:p w14:paraId="1D24E52E" w14:textId="77777777" w:rsidR="00DD1E77" w:rsidRDefault="00000000">
      <w:pPr>
        <w:pStyle w:val="Heading2"/>
        <w:spacing w:after="557"/>
        <w:ind w:left="-5"/>
      </w:pPr>
      <w:bookmarkStart w:id="2" w:name="_Toc61249"/>
      <w:r>
        <w:t>1.1 Dell Technologies Inc</w:t>
      </w:r>
      <w:bookmarkEnd w:id="2"/>
    </w:p>
    <w:p w14:paraId="2B78D7A6" w14:textId="77777777" w:rsidR="00DD1E77" w:rsidRDefault="00000000">
      <w:pPr>
        <w:ind w:left="-5"/>
      </w:pPr>
      <w:r>
        <w:t xml:space="preserve">Dell Technologies Inc. is a global technology leader providing a diversified range of solutions, including servers, storage devices, workstations, and software services. With a headcount exceeding 165,000 employees globally, Dell is widely present in more than 180 nations. Infrastructure Solutions Group (ISG), Client Solutions Group (CSG), VMware, and Dell Technologies Capital are the company's four primary business segments. CSG strives to fulfil the </w:t>
      </w:r>
      <w:r>
        <w:lastRenderedPageBreak/>
        <w:t>computing requirements of both individual customers and businesses, whereas ISG concentrates on supplying cutting-edge infrastructure capabilities. VMware, on the other hand, is an expert in digital workspace and cloud infrastructure. The company's investment arm, Dell Technologies Capital, focuses on early-stage firms with significant growth potential in technological fields that complement Dell's strategic priorities. Dell has effectively transitioned from a PC-centric business to a comprehensive provider of end-to-end IT solutions, with reported revenue of over $94 billion in the fiscal year 2021.</w:t>
      </w:r>
    </w:p>
    <w:p w14:paraId="55F5CF26" w14:textId="77777777" w:rsidR="00DD1E77" w:rsidRDefault="00000000">
      <w:pPr>
        <w:spacing w:after="248" w:line="259" w:lineRule="auto"/>
        <w:ind w:left="270" w:firstLine="0"/>
        <w:jc w:val="left"/>
      </w:pPr>
      <w:r>
        <w:rPr>
          <w:noProof/>
        </w:rPr>
        <w:drawing>
          <wp:inline distT="0" distB="0" distL="0" distR="0" wp14:anchorId="1BAE407E" wp14:editId="06ECCFA2">
            <wp:extent cx="5600700" cy="3600450"/>
            <wp:effectExtent l="0" t="0" r="0" b="0"/>
            <wp:docPr id="844" name="Picture 844"/>
            <wp:cNvGraphicFramePr/>
            <a:graphic xmlns:a="http://schemas.openxmlformats.org/drawingml/2006/main">
              <a:graphicData uri="http://schemas.openxmlformats.org/drawingml/2006/picture">
                <pic:pic xmlns:pic="http://schemas.openxmlformats.org/drawingml/2006/picture">
                  <pic:nvPicPr>
                    <pic:cNvPr id="844" name="Picture 844"/>
                    <pic:cNvPicPr/>
                  </pic:nvPicPr>
                  <pic:blipFill>
                    <a:blip r:embed="rId12"/>
                    <a:stretch>
                      <a:fillRect/>
                    </a:stretch>
                  </pic:blipFill>
                  <pic:spPr>
                    <a:xfrm>
                      <a:off x="0" y="0"/>
                      <a:ext cx="5600700" cy="3600450"/>
                    </a:xfrm>
                    <a:prstGeom prst="rect">
                      <a:avLst/>
                    </a:prstGeom>
                  </pic:spPr>
                </pic:pic>
              </a:graphicData>
            </a:graphic>
          </wp:inline>
        </w:drawing>
      </w:r>
    </w:p>
    <w:p w14:paraId="5218C875" w14:textId="77777777" w:rsidR="00DD1E77" w:rsidRDefault="00000000">
      <w:pPr>
        <w:spacing w:after="120" w:line="259" w:lineRule="auto"/>
        <w:ind w:left="169"/>
      </w:pPr>
      <w:r>
        <w:t>Figure 1:Dell Technologies revenue worldwide from 2015 to 2023, by segment(in billion U.S.</w:t>
      </w:r>
    </w:p>
    <w:p w14:paraId="1BCF20AD" w14:textId="77777777" w:rsidR="00DD1E77" w:rsidRDefault="00000000">
      <w:pPr>
        <w:spacing w:after="114" w:line="265" w:lineRule="auto"/>
        <w:ind w:left="10"/>
        <w:jc w:val="center"/>
      </w:pPr>
      <w:r>
        <w:t>dollars)(</w:t>
      </w:r>
      <w:proofErr w:type="spellStart"/>
      <w:r>
        <w:t>Source:Statista</w:t>
      </w:r>
      <w:proofErr w:type="spellEnd"/>
      <w:r>
        <w:t>)</w:t>
      </w:r>
    </w:p>
    <w:p w14:paraId="74253D19" w14:textId="77777777" w:rsidR="00DD1E77" w:rsidRDefault="00000000">
      <w:pPr>
        <w:pStyle w:val="Heading3"/>
        <w:ind w:left="-5"/>
      </w:pPr>
      <w:bookmarkStart w:id="3" w:name="_Toc61250"/>
      <w:r>
        <w:t>1.1.1 Mission and Objectives</w:t>
      </w:r>
      <w:bookmarkEnd w:id="3"/>
    </w:p>
    <w:p w14:paraId="53A5E762" w14:textId="77777777" w:rsidR="00DD1E77" w:rsidRDefault="00000000">
      <w:pPr>
        <w:ind w:left="-5"/>
      </w:pPr>
      <w:r>
        <w:t>"To empower nations, communities, customers, and people everywhere to use technology to realise their dreams," is the company's stated mission. its company's commitment to enabling digital transformation and resolving complicated issues through technology innovation is encapsulated in its mission statement, which is more than just a tagline. The mission is supported by a list of specific goals:</w:t>
      </w:r>
    </w:p>
    <w:p w14:paraId="1EAA8BD2" w14:textId="77777777" w:rsidR="00DD1E77" w:rsidRDefault="00000000">
      <w:pPr>
        <w:ind w:left="-5"/>
      </w:pPr>
      <w:r>
        <w:rPr>
          <w:b/>
          <w:i/>
        </w:rPr>
        <w:lastRenderedPageBreak/>
        <w:t>Drive Innovation</w:t>
      </w:r>
      <w:r>
        <w:t>: Dell consistently invests in R&amp;D with the goal of being a leader in technical innovation. This makes it possible for the business to launch distinctive goods that address changing client needs.</w:t>
      </w:r>
    </w:p>
    <w:p w14:paraId="0FC2BC60" w14:textId="77777777" w:rsidR="00DD1E77" w:rsidRDefault="00000000">
      <w:pPr>
        <w:ind w:left="-5"/>
      </w:pPr>
      <w:r>
        <w:rPr>
          <w:b/>
          <w:i/>
        </w:rPr>
        <w:t xml:space="preserve">Operational </w:t>
      </w:r>
      <w:proofErr w:type="spellStart"/>
      <w:r>
        <w:rPr>
          <w:b/>
          <w:i/>
        </w:rPr>
        <w:t>Excellence</w:t>
      </w:r>
      <w:r>
        <w:t>:The</w:t>
      </w:r>
      <w:proofErr w:type="spellEnd"/>
      <w:r>
        <w:t xml:space="preserve"> core of Dell's strategy is efficiency. The business seeks to provide premium goods and services at affordable pricing through streamlining procedures and supply chain optimisation.</w:t>
      </w:r>
    </w:p>
    <w:p w14:paraId="3CC1747C" w14:textId="77777777" w:rsidR="00DD1E77" w:rsidRDefault="00000000">
      <w:pPr>
        <w:ind w:left="-5"/>
      </w:pPr>
      <w:r>
        <w:rPr>
          <w:b/>
          <w:i/>
        </w:rPr>
        <w:t xml:space="preserve">Customer </w:t>
      </w:r>
      <w:proofErr w:type="spellStart"/>
      <w:r>
        <w:rPr>
          <w:b/>
          <w:i/>
        </w:rPr>
        <w:t>Relationships:</w:t>
      </w:r>
      <w:r>
        <w:t>Dell</w:t>
      </w:r>
      <w:proofErr w:type="spellEnd"/>
      <w:r>
        <w:t xml:space="preserve"> places a high importance on client satisfaction and strives to offer the best sales and customer service. A tighter relationship with clients is made possible by the direct sales strategy, which improves personalization and service.</w:t>
      </w:r>
    </w:p>
    <w:p w14:paraId="649E8912" w14:textId="77777777" w:rsidR="00DD1E77" w:rsidRDefault="00000000">
      <w:pPr>
        <w:ind w:left="-5"/>
      </w:pPr>
      <w:r>
        <w:rPr>
          <w:b/>
          <w:i/>
        </w:rPr>
        <w:t xml:space="preserve">Strategic Partnerships and Growth Strategy: : </w:t>
      </w:r>
      <w:r>
        <w:t xml:space="preserve">Dell wants to provide its customers with a more comprehensive solution portfolio, therefore it has formed partnerships with other industry </w:t>
      </w:r>
      <w:proofErr w:type="spellStart"/>
      <w:r>
        <w:t>titans.Dell</w:t>
      </w:r>
      <w:proofErr w:type="spellEnd"/>
      <w:r>
        <w:t xml:space="preserve"> is dedicated to expanding through both organic growth and wise acquisitions. This dual strategy enables the business to quickly increase its operations and broaden its product line.</w:t>
      </w:r>
    </w:p>
    <w:p w14:paraId="30FD5114" w14:textId="77777777" w:rsidR="00DD1E77" w:rsidRDefault="00000000">
      <w:pPr>
        <w:spacing w:after="431" w:line="368" w:lineRule="auto"/>
        <w:ind w:left="-5" w:right="-10"/>
        <w:jc w:val="left"/>
      </w:pPr>
      <w:r>
        <w:rPr>
          <w:b/>
          <w:i/>
        </w:rPr>
        <w:t xml:space="preserve">Financial Strength: </w:t>
      </w:r>
      <w:r>
        <w:t>Maintaining a strong balance sheet and financial flexibility is crucial for supporting the company’s various strategic initiatives, including R&amp;D, acquisitions, and global expansion.</w:t>
      </w:r>
    </w:p>
    <w:p w14:paraId="011C486E" w14:textId="77777777" w:rsidR="00DD1E77" w:rsidRDefault="00000000">
      <w:pPr>
        <w:ind w:left="-5"/>
      </w:pPr>
      <w:r>
        <w:rPr>
          <w:b/>
          <w:i/>
        </w:rPr>
        <w:t xml:space="preserve">Social Responsibility: </w:t>
      </w:r>
      <w:r>
        <w:t>Dell is dedicated to operating its business ethically and seeks to improve society through a number of CSR activities.</w:t>
      </w:r>
      <w:r>
        <w:br w:type="page"/>
      </w:r>
    </w:p>
    <w:p w14:paraId="35136779" w14:textId="77777777" w:rsidR="00DD1E77" w:rsidRDefault="00000000">
      <w:pPr>
        <w:pStyle w:val="Heading1"/>
        <w:ind w:left="-5"/>
      </w:pPr>
      <w:bookmarkStart w:id="4" w:name="_Toc61251"/>
      <w:r>
        <w:lastRenderedPageBreak/>
        <w:t>2. ENVIRONMENTAL ANALYSIS</w:t>
      </w:r>
      <w:bookmarkEnd w:id="4"/>
    </w:p>
    <w:p w14:paraId="447559AF" w14:textId="77777777" w:rsidR="00DD1E77" w:rsidRDefault="00000000">
      <w:pPr>
        <w:spacing w:after="138"/>
        <w:ind w:left="-5"/>
      </w:pPr>
      <w:r>
        <w:t>The environment in which the technology sector operates is extremely unstable and undergoing fast change. Dell Technologies' strategy decisions are greatly influenced by the macro- and micro-environments in which it operates (Porter, 2008). The opportunities and difficulties Dell encounters are influenced by a number of variables, including the state of the global economy and industry-specific developments. For understanding Dell's strategic management decisions, it is essential to comprehend these variables. In-depth analyses of the macro-environmental elements using the PESTEL framework and the micro-environmental factors using the industrial life cycle and Porter's Five Forces model are provided in this part.</w:t>
      </w:r>
    </w:p>
    <w:p w14:paraId="64FE73EA" w14:textId="77777777" w:rsidR="00DD1E77" w:rsidRDefault="00000000">
      <w:pPr>
        <w:spacing w:after="248" w:line="259" w:lineRule="auto"/>
        <w:ind w:left="2100" w:firstLine="0"/>
        <w:jc w:val="left"/>
      </w:pPr>
      <w:r>
        <w:rPr>
          <w:noProof/>
        </w:rPr>
        <w:drawing>
          <wp:inline distT="0" distB="0" distL="0" distR="0" wp14:anchorId="45E6339F" wp14:editId="2B573653">
            <wp:extent cx="3276600" cy="3371850"/>
            <wp:effectExtent l="0" t="0" r="0" b="0"/>
            <wp:docPr id="1114" name="Picture 1114"/>
            <wp:cNvGraphicFramePr/>
            <a:graphic xmlns:a="http://schemas.openxmlformats.org/drawingml/2006/main">
              <a:graphicData uri="http://schemas.openxmlformats.org/drawingml/2006/picture">
                <pic:pic xmlns:pic="http://schemas.openxmlformats.org/drawingml/2006/picture">
                  <pic:nvPicPr>
                    <pic:cNvPr id="1114" name="Picture 1114"/>
                    <pic:cNvPicPr/>
                  </pic:nvPicPr>
                  <pic:blipFill>
                    <a:blip r:embed="rId13"/>
                    <a:stretch>
                      <a:fillRect/>
                    </a:stretch>
                  </pic:blipFill>
                  <pic:spPr>
                    <a:xfrm>
                      <a:off x="0" y="0"/>
                      <a:ext cx="3276600" cy="3371850"/>
                    </a:xfrm>
                    <a:prstGeom prst="rect">
                      <a:avLst/>
                    </a:prstGeom>
                  </pic:spPr>
                </pic:pic>
              </a:graphicData>
            </a:graphic>
          </wp:inline>
        </w:drawing>
      </w:r>
    </w:p>
    <w:p w14:paraId="10B1B85E" w14:textId="77777777" w:rsidR="00DD1E77" w:rsidRDefault="00000000">
      <w:pPr>
        <w:spacing w:after="0" w:line="363" w:lineRule="auto"/>
        <w:ind w:left="10"/>
        <w:jc w:val="center"/>
      </w:pPr>
      <w:r>
        <w:t>Figure 2: The Athlete’s micro- and macro-environmental influences. (Source: Smith, J., 2021, https://www.researchgate.net/figure/The-Athletes-micro-and-macro-environmental-influences-D</w:t>
      </w:r>
    </w:p>
    <w:p w14:paraId="0CFAB842" w14:textId="77777777" w:rsidR="00DD1E77" w:rsidRDefault="00000000">
      <w:pPr>
        <w:spacing w:after="114" w:line="265" w:lineRule="auto"/>
        <w:ind w:left="10"/>
        <w:jc w:val="center"/>
      </w:pPr>
      <w:r>
        <w:t>escriptive-caption-Three_fig1_361269118)</w:t>
      </w:r>
    </w:p>
    <w:p w14:paraId="097B61BE" w14:textId="77777777" w:rsidR="00DD1E77" w:rsidRDefault="00000000">
      <w:pPr>
        <w:pStyle w:val="Heading2"/>
        <w:spacing w:after="143"/>
        <w:ind w:left="-5"/>
      </w:pPr>
      <w:bookmarkStart w:id="5" w:name="_Toc61252"/>
      <w:r>
        <w:t>2.1 Macro-Environment Analysis</w:t>
      </w:r>
      <w:bookmarkEnd w:id="5"/>
    </w:p>
    <w:p w14:paraId="5D617E7A" w14:textId="77777777" w:rsidR="00DD1E77" w:rsidRDefault="00000000">
      <w:pPr>
        <w:ind w:left="-5"/>
      </w:pPr>
      <w:r>
        <w:t xml:space="preserve">The macro-environment consists of external variables that have a significant impact on Dell Technologies' operation. Although these aspects are out of the company's direct control, they are </w:t>
      </w:r>
      <w:r>
        <w:lastRenderedPageBreak/>
        <w:t>essential for strategic planning (Grant, 2010). Political restrictions, monetary conditions, societal trends, technical advancements, environmental concerns, and legal constraints are a few of them. We analyse these elements and their effects on Dell Technologies using a PESTEL analysis in the section that follows. Understanding how these more general influences affect the opportunities and limitations that Dell Technologies runs against in its pursuit of a competitive advantage is the goal.</w:t>
      </w:r>
    </w:p>
    <w:p w14:paraId="003E00F7" w14:textId="77777777" w:rsidR="00DD1E77" w:rsidRDefault="00000000">
      <w:pPr>
        <w:pStyle w:val="Heading3"/>
        <w:spacing w:after="276"/>
        <w:ind w:left="-5"/>
      </w:pPr>
      <w:bookmarkStart w:id="6" w:name="_Toc61253"/>
      <w:r>
        <w:t>2.1.1 PESTEL Analysis</w:t>
      </w:r>
      <w:bookmarkEnd w:id="6"/>
    </w:p>
    <w:p w14:paraId="65B7B3C2" w14:textId="77777777" w:rsidR="00DD1E77" w:rsidRDefault="00000000">
      <w:pPr>
        <w:spacing w:after="248" w:line="259" w:lineRule="auto"/>
        <w:ind w:left="1013" w:firstLine="0"/>
        <w:jc w:val="left"/>
      </w:pPr>
      <w:r>
        <w:rPr>
          <w:noProof/>
        </w:rPr>
        <w:drawing>
          <wp:inline distT="0" distB="0" distL="0" distR="0" wp14:anchorId="4BCBE6A4" wp14:editId="685C0F45">
            <wp:extent cx="4657725" cy="3152775"/>
            <wp:effectExtent l="0" t="0" r="0" b="0"/>
            <wp:docPr id="1278" name="Picture 1278"/>
            <wp:cNvGraphicFramePr/>
            <a:graphic xmlns:a="http://schemas.openxmlformats.org/drawingml/2006/main">
              <a:graphicData uri="http://schemas.openxmlformats.org/drawingml/2006/picture">
                <pic:pic xmlns:pic="http://schemas.openxmlformats.org/drawingml/2006/picture">
                  <pic:nvPicPr>
                    <pic:cNvPr id="1278" name="Picture 1278"/>
                    <pic:cNvPicPr/>
                  </pic:nvPicPr>
                  <pic:blipFill>
                    <a:blip r:embed="rId14"/>
                    <a:stretch>
                      <a:fillRect/>
                    </a:stretch>
                  </pic:blipFill>
                  <pic:spPr>
                    <a:xfrm>
                      <a:off x="0" y="0"/>
                      <a:ext cx="4657725" cy="3152775"/>
                    </a:xfrm>
                    <a:prstGeom prst="rect">
                      <a:avLst/>
                    </a:prstGeom>
                  </pic:spPr>
                </pic:pic>
              </a:graphicData>
            </a:graphic>
          </wp:inline>
        </w:drawing>
      </w:r>
    </w:p>
    <w:p w14:paraId="537803E0" w14:textId="77777777" w:rsidR="00DD1E77" w:rsidRDefault="00000000">
      <w:pPr>
        <w:spacing w:after="972" w:line="265" w:lineRule="auto"/>
        <w:ind w:left="10"/>
        <w:jc w:val="center"/>
      </w:pPr>
      <w:r>
        <w:t>Figure 3: P.E.S.T.E.L. analysis (</w:t>
      </w:r>
      <w:proofErr w:type="spellStart"/>
      <w:r>
        <w:t>Source:Wheelen</w:t>
      </w:r>
      <w:proofErr w:type="spellEnd"/>
      <w:r>
        <w:t xml:space="preserve"> &amp; Hunger 2002)</w:t>
      </w:r>
    </w:p>
    <w:p w14:paraId="3E398DE7" w14:textId="77777777" w:rsidR="00DD1E77" w:rsidRDefault="00000000">
      <w:pPr>
        <w:ind w:left="-5"/>
      </w:pPr>
      <w:r>
        <w:rPr>
          <w:b/>
          <w:i/>
        </w:rPr>
        <w:t xml:space="preserve">Political </w:t>
      </w:r>
      <w:proofErr w:type="spellStart"/>
      <w:r>
        <w:rPr>
          <w:b/>
          <w:i/>
        </w:rPr>
        <w:t>Factors:</w:t>
      </w:r>
      <w:r>
        <w:t>Strategic</w:t>
      </w:r>
      <w:proofErr w:type="spellEnd"/>
      <w:r>
        <w:t xml:space="preserve"> planning at Dell Technologies places a high priority on governmental rules, trade policies, and political stability. Due to its international operations, the corporation is vulnerable to geopolitical unrest, trade tariffs, and varying regulatory frameworks (Hill, Jones, &amp; Schilling, 2014). For instance, laws governing cybersecurity and data protection, like the GDPR in Europe, mandate that Dell invest in compliance procedures (Solove &amp; Schwartz, 2011). Additionally, geopolitical conflicts like the trade dispute between the United States and China can affect Dell's supply chain and drive up costs (</w:t>
      </w:r>
      <w:proofErr w:type="spellStart"/>
      <w:r>
        <w:t>Brouthers</w:t>
      </w:r>
      <w:proofErr w:type="spellEnd"/>
      <w:r>
        <w:t xml:space="preserve">, </w:t>
      </w:r>
      <w:proofErr w:type="spellStart"/>
      <w:r>
        <w:t>Geisser</w:t>
      </w:r>
      <w:proofErr w:type="spellEnd"/>
      <w:r>
        <w:t xml:space="preserve">, &amp; </w:t>
      </w:r>
      <w:proofErr w:type="spellStart"/>
      <w:r>
        <w:t>Rothlauf</w:t>
      </w:r>
      <w:proofErr w:type="spellEnd"/>
      <w:r>
        <w:t>, 2016).</w:t>
      </w:r>
    </w:p>
    <w:p w14:paraId="4105B57A" w14:textId="77777777" w:rsidR="00DD1E77" w:rsidRDefault="00000000">
      <w:pPr>
        <w:ind w:left="-5"/>
      </w:pPr>
      <w:r>
        <w:rPr>
          <w:b/>
          <w:i/>
        </w:rPr>
        <w:lastRenderedPageBreak/>
        <w:t xml:space="preserve">Economic </w:t>
      </w:r>
      <w:proofErr w:type="spellStart"/>
      <w:r>
        <w:rPr>
          <w:b/>
          <w:i/>
        </w:rPr>
        <w:t>Factors:</w:t>
      </w:r>
      <w:r>
        <w:t>Economic</w:t>
      </w:r>
      <w:proofErr w:type="spellEnd"/>
      <w:r>
        <w:t xml:space="preserve"> conditions have a direct impact on consumer spending power and corporate investments. Dell's sales were significantly impacted by the 2008 financial crisis (</w:t>
      </w:r>
      <w:proofErr w:type="spellStart"/>
      <w:r>
        <w:t>Mellahi</w:t>
      </w:r>
      <w:proofErr w:type="spellEnd"/>
      <w:r>
        <w:t xml:space="preserve"> &amp; Wilkinson, 2010). Conversely, times of economic success have a beneficial impact on IT spending, which increases Dell's income (Kaplinsky, 2011). Additionally, the profitability of the company's overseas activities can be significantly impacted by currency fluctuations (Shapiro, 2014).</w:t>
      </w:r>
    </w:p>
    <w:p w14:paraId="130FEC01" w14:textId="77777777" w:rsidR="00DD1E77" w:rsidRDefault="00000000">
      <w:pPr>
        <w:ind w:left="-5"/>
      </w:pPr>
      <w:r>
        <w:rPr>
          <w:b/>
          <w:i/>
        </w:rPr>
        <w:t xml:space="preserve">Social </w:t>
      </w:r>
      <w:proofErr w:type="spellStart"/>
      <w:r>
        <w:rPr>
          <w:b/>
          <w:i/>
        </w:rPr>
        <w:t>Factors:</w:t>
      </w:r>
      <w:r>
        <w:t>Demand</w:t>
      </w:r>
      <w:proofErr w:type="spellEnd"/>
      <w:r>
        <w:t xml:space="preserve"> for Dell's products is directly impacted by societal developments like the COVID-19 pandemic-induced shift towards remote work. Dell is compelled to invest in environmentally friendly technologies and CSR programmes due to the increasing social emphasis on sustainability (Porter &amp; Kramer, 2006). The demand for Dell's goods and services is also growing as a result of a generational shift in consumer behaviour towards digital lifestyles (Kotler, 2000).</w:t>
      </w:r>
    </w:p>
    <w:p w14:paraId="64DD9E4E" w14:textId="77777777" w:rsidR="00DD1E77" w:rsidRDefault="00000000">
      <w:pPr>
        <w:ind w:left="-5"/>
      </w:pPr>
      <w:r>
        <w:rPr>
          <w:b/>
          <w:i/>
        </w:rPr>
        <w:t xml:space="preserve">Technological </w:t>
      </w:r>
      <w:proofErr w:type="spellStart"/>
      <w:r>
        <w:rPr>
          <w:b/>
          <w:i/>
        </w:rPr>
        <w:t>Factors:</w:t>
      </w:r>
      <w:r>
        <w:t>The</w:t>
      </w:r>
      <w:proofErr w:type="spellEnd"/>
      <w:r>
        <w:t xml:space="preserve"> technology sector depends heavily on technological advancements. In order to stay competitive, Dell must constantly adjust to technological breakthroughs like artificial intelligence (AI), the internet of things (IoT), and cloud computing (Bharadwaj, 2000). The traditional hardware sales strategy is impacted by the move towards Software as a Service (SaaS) and cloud computing, necessitating tactical adjustments (Berman &amp; Bell, 2011).</w:t>
      </w:r>
    </w:p>
    <w:p w14:paraId="250EFC2A" w14:textId="77777777" w:rsidR="00DD1E77" w:rsidRDefault="00000000">
      <w:pPr>
        <w:ind w:left="-5"/>
      </w:pPr>
      <w:r>
        <w:rPr>
          <w:b/>
          <w:i/>
        </w:rPr>
        <w:t xml:space="preserve">Environmental </w:t>
      </w:r>
      <w:proofErr w:type="spellStart"/>
      <w:r>
        <w:rPr>
          <w:b/>
          <w:i/>
        </w:rPr>
        <w:t>Factors:</w:t>
      </w:r>
      <w:r>
        <w:t>Given</w:t>
      </w:r>
      <w:proofErr w:type="spellEnd"/>
      <w:r>
        <w:t xml:space="preserve"> the emphasis on sustainability around the world, environmental concerns are becoming more and more important. As part of its efforts to lessen its carbon impact, Dell has started programmes for recycling and energy-saving goods (Esty &amp; Winston, 2009). Environmental regulations and e-waste management must also be followed by the business, which have an impact on product development and production procedures (Hart, 1995).</w:t>
      </w:r>
    </w:p>
    <w:p w14:paraId="4AECAB54" w14:textId="77777777" w:rsidR="00DD1E77" w:rsidRDefault="00000000">
      <w:pPr>
        <w:ind w:left="-5"/>
      </w:pPr>
      <w:r>
        <w:rPr>
          <w:b/>
          <w:i/>
        </w:rPr>
        <w:t xml:space="preserve">Legal </w:t>
      </w:r>
      <w:proofErr w:type="spellStart"/>
      <w:r>
        <w:rPr>
          <w:b/>
          <w:i/>
        </w:rPr>
        <w:t>Factors:</w:t>
      </w:r>
      <w:r>
        <w:t>It</w:t>
      </w:r>
      <w:proofErr w:type="spellEnd"/>
      <w:r>
        <w:t xml:space="preserve"> is crucial for Dell to comply with legal requirements relating to intellectual property, labour laws, and antitrust difficulties. The business must sift through a confusing web of different legal regulations spread across numerous jurisdictions. Dell's reputation can be severely </w:t>
      </w:r>
      <w:r>
        <w:lastRenderedPageBreak/>
        <w:t xml:space="preserve">damaged by lawsuits involving intellectual property violations or </w:t>
      </w:r>
      <w:proofErr w:type="spellStart"/>
      <w:r>
        <w:t>anti competitive</w:t>
      </w:r>
      <w:proofErr w:type="spellEnd"/>
      <w:r>
        <w:t xml:space="preserve"> behaviour, and they can be very expensive financially (Ghemawat, 1991).</w:t>
      </w:r>
    </w:p>
    <w:p w14:paraId="747587B6" w14:textId="77777777" w:rsidR="00DD1E77" w:rsidRDefault="00000000">
      <w:pPr>
        <w:pStyle w:val="Heading2"/>
        <w:spacing w:after="143"/>
        <w:ind w:left="-5"/>
      </w:pPr>
      <w:bookmarkStart w:id="7" w:name="_Toc61254"/>
      <w:r>
        <w:t>2.2 MICRO-ENVIRONMENT ANALYSIS</w:t>
      </w:r>
      <w:bookmarkEnd w:id="7"/>
    </w:p>
    <w:p w14:paraId="5BE434EC" w14:textId="77777777" w:rsidR="00DD1E77" w:rsidRDefault="00000000">
      <w:pPr>
        <w:ind w:left="-5"/>
      </w:pPr>
      <w:r>
        <w:t>The macro-environment determines the broad contours of Dell Technologies' strategic landscape, whereas the micro-environment is concerned with industry-specific elements that have a direct impact on the firm's competitive position (Porter, 1980). These include rivalry in the market, consumer conduct, supplier dynamics, and other factors that affect profitability and expansion (Barney, 1991). The Porter's Five Forces model will be used to analyse the competitive dynamics and the current stage of the IT hardware industry's life cycle. The objective is to comprehend the regional difficulties and opportunities that Dell encounters within its immediate economic environment.</w:t>
      </w:r>
    </w:p>
    <w:p w14:paraId="5CCF1979" w14:textId="77777777" w:rsidR="00DD1E77" w:rsidRDefault="00000000">
      <w:pPr>
        <w:pStyle w:val="Heading3"/>
        <w:spacing w:after="276"/>
        <w:ind w:left="-5"/>
      </w:pPr>
      <w:bookmarkStart w:id="8" w:name="_Toc61255"/>
      <w:r>
        <w:t>2.2.1 Industry Life Cycle</w:t>
      </w:r>
      <w:bookmarkEnd w:id="8"/>
    </w:p>
    <w:p w14:paraId="10112BB3" w14:textId="77777777" w:rsidR="00DD1E77" w:rsidRDefault="00000000">
      <w:pPr>
        <w:spacing w:after="248" w:line="259" w:lineRule="auto"/>
        <w:ind w:left="1178" w:firstLine="0"/>
        <w:jc w:val="left"/>
      </w:pPr>
      <w:r>
        <w:rPr>
          <w:noProof/>
        </w:rPr>
        <w:drawing>
          <wp:inline distT="0" distB="0" distL="0" distR="0" wp14:anchorId="2EC2C746" wp14:editId="01638FEA">
            <wp:extent cx="4448175" cy="2676525"/>
            <wp:effectExtent l="0" t="0" r="0" b="0"/>
            <wp:docPr id="1811" name="Picture 1811"/>
            <wp:cNvGraphicFramePr/>
            <a:graphic xmlns:a="http://schemas.openxmlformats.org/drawingml/2006/main">
              <a:graphicData uri="http://schemas.openxmlformats.org/drawingml/2006/picture">
                <pic:pic xmlns:pic="http://schemas.openxmlformats.org/drawingml/2006/picture">
                  <pic:nvPicPr>
                    <pic:cNvPr id="1811" name="Picture 1811"/>
                    <pic:cNvPicPr/>
                  </pic:nvPicPr>
                  <pic:blipFill>
                    <a:blip r:embed="rId15"/>
                    <a:stretch>
                      <a:fillRect/>
                    </a:stretch>
                  </pic:blipFill>
                  <pic:spPr>
                    <a:xfrm>
                      <a:off x="0" y="0"/>
                      <a:ext cx="4448175" cy="2676525"/>
                    </a:xfrm>
                    <a:prstGeom prst="rect">
                      <a:avLst/>
                    </a:prstGeom>
                  </pic:spPr>
                </pic:pic>
              </a:graphicData>
            </a:graphic>
          </wp:inline>
        </w:drawing>
      </w:r>
    </w:p>
    <w:p w14:paraId="7DC6255A" w14:textId="77777777" w:rsidR="00DD1E77" w:rsidRDefault="00000000">
      <w:pPr>
        <w:spacing w:after="114" w:line="265" w:lineRule="auto"/>
        <w:ind w:left="10"/>
        <w:jc w:val="center"/>
      </w:pPr>
      <w:r>
        <w:t>Figure 4: Industry life cycle and characteristics (Source: Jones, B., 2019,</w:t>
      </w:r>
    </w:p>
    <w:p w14:paraId="3593D7CB" w14:textId="77777777" w:rsidR="00DD1E77" w:rsidRDefault="00000000">
      <w:pPr>
        <w:spacing w:after="415" w:line="388" w:lineRule="auto"/>
        <w:ind w:left="10"/>
        <w:jc w:val="center"/>
      </w:pPr>
      <w:r>
        <w:t xml:space="preserve">https://www.researchgate.net/figure/Industry-life-cycle-and-characteristics_fig2_337872851) </w:t>
      </w:r>
      <w:r>
        <w:rPr>
          <w:b/>
          <w:i/>
        </w:rPr>
        <w:t xml:space="preserve">Introduction </w:t>
      </w:r>
      <w:proofErr w:type="spellStart"/>
      <w:r>
        <w:rPr>
          <w:b/>
          <w:i/>
        </w:rPr>
        <w:t>Phase:</w:t>
      </w:r>
      <w:r>
        <w:t>The</w:t>
      </w:r>
      <w:proofErr w:type="spellEnd"/>
      <w:r>
        <w:t xml:space="preserve"> IT hardware market was characterised by high levels of invention, little competition, and significant market uncertainty in its early stages. Companies that entered the market at this time concentrated on advancing technology, gaining market share, and obtaining </w:t>
      </w:r>
      <w:r>
        <w:lastRenderedPageBreak/>
        <w:t>venture capital backing. The main objective was to gain a foothold in a developing industry. As businesses spend in R&amp;D, marketing, and distribution during the launch phase, there are typically high expenses and poor returns (</w:t>
      </w:r>
      <w:proofErr w:type="spellStart"/>
      <w:r>
        <w:t>Tushman</w:t>
      </w:r>
      <w:proofErr w:type="spellEnd"/>
      <w:r>
        <w:t xml:space="preserve"> &amp; Anderson, 1986).</w:t>
      </w:r>
    </w:p>
    <w:p w14:paraId="03CA6862" w14:textId="77777777" w:rsidR="00DD1E77" w:rsidRDefault="00000000">
      <w:pPr>
        <w:ind w:left="-5"/>
      </w:pPr>
      <w:r>
        <w:rPr>
          <w:b/>
          <w:i/>
        </w:rPr>
        <w:t xml:space="preserve">Growth </w:t>
      </w:r>
      <w:proofErr w:type="spellStart"/>
      <w:r>
        <w:rPr>
          <w:b/>
          <w:i/>
        </w:rPr>
        <w:t>Phase:</w:t>
      </w:r>
      <w:r>
        <w:t>During</w:t>
      </w:r>
      <w:proofErr w:type="spellEnd"/>
      <w:r>
        <w:t xml:space="preserve"> the industry's expansion phase, there were quick technological advances and rising market demand. Companies like IBM, and later Dell and HP, extended their product lines during this time, concentrating on size and gaining market share. Although the industry was growing and there was more competition, there were still plenty of participants. Increased sales, economies of scale, and the entry of new rivals drawn in by large profit margins are all characteristics of the expansion phase (Porter, 1980).</w:t>
      </w:r>
    </w:p>
    <w:p w14:paraId="07131EB8" w14:textId="77777777" w:rsidR="00DD1E77" w:rsidRDefault="00000000">
      <w:pPr>
        <w:ind w:left="-5"/>
      </w:pPr>
      <w:r>
        <w:rPr>
          <w:b/>
          <w:i/>
        </w:rPr>
        <w:t xml:space="preserve">Maturity </w:t>
      </w:r>
      <w:proofErr w:type="spellStart"/>
      <w:r>
        <w:rPr>
          <w:b/>
          <w:i/>
        </w:rPr>
        <w:t>Phase:</w:t>
      </w:r>
      <w:r>
        <w:t>The</w:t>
      </w:r>
      <w:proofErr w:type="spellEnd"/>
      <w:r>
        <w:t xml:space="preserve"> IT hardware market is currently at a mature stage. Market saturation, slower innovation, and fierce rivalry, particularly in terms of price and features, are characteristics of this stage (Levitt, 1965). It is essential in this developed sector to differentiate through customer service and value-added services (Porter, 1985). Market leaders like Dell, HP, and Lenovo predominate, and development potential mostly exists in niche markets like data centres, mobile devices, and as-a-service business models. A further degree of complication has been introduced by the COVID-19 pandemic, which has accelerated the trend towards remote work and, consequently, changed demand (Kaplan &amp; Norton, 2008).</w:t>
      </w:r>
    </w:p>
    <w:p w14:paraId="038E2548" w14:textId="77777777" w:rsidR="00DD1E77" w:rsidRDefault="00000000">
      <w:pPr>
        <w:spacing w:after="857"/>
        <w:ind w:left="-5"/>
      </w:pPr>
      <w:r>
        <w:rPr>
          <w:b/>
          <w:i/>
        </w:rPr>
        <w:t xml:space="preserve">Decline </w:t>
      </w:r>
      <w:proofErr w:type="spellStart"/>
      <w:r>
        <w:rPr>
          <w:b/>
          <w:i/>
        </w:rPr>
        <w:t>Phase:</w:t>
      </w:r>
      <w:r>
        <w:t>Even</w:t>
      </w:r>
      <w:proofErr w:type="spellEnd"/>
      <w:r>
        <w:t xml:space="preserve"> while the market for IT hardware has not yet entered a phase of decline, warning indications of what this could mean are starting to emerge. The demand for traditional hardware like servers and desktop computers may decline as cloud computing and software-as-a-service (SaaS) solutions gain popularity (Christensen, 1997). Companies that don't innovate or diversify risk having their profits squeezed and becoming obsolete. Consolidation through mergers and acquisitions is frequent during this phase as businesses attempt to maintain operations by breaking into adjacent markets or by gaining cost-savings through scale (Ansoff, 1957).</w:t>
      </w:r>
    </w:p>
    <w:p w14:paraId="7F38E39D" w14:textId="77777777" w:rsidR="00DD1E77" w:rsidRDefault="00000000">
      <w:pPr>
        <w:pStyle w:val="Heading3"/>
        <w:spacing w:after="276"/>
        <w:ind w:left="-5"/>
      </w:pPr>
      <w:bookmarkStart w:id="9" w:name="_Toc61256"/>
      <w:r>
        <w:lastRenderedPageBreak/>
        <w:t>2.2.2 Porter’s Industry Five Forces Analysis</w:t>
      </w:r>
      <w:bookmarkEnd w:id="9"/>
    </w:p>
    <w:p w14:paraId="44810189" w14:textId="77777777" w:rsidR="00DD1E77" w:rsidRDefault="00000000">
      <w:pPr>
        <w:spacing w:after="248" w:line="259" w:lineRule="auto"/>
        <w:ind w:left="2010" w:firstLine="0"/>
        <w:jc w:val="left"/>
      </w:pPr>
      <w:r>
        <w:rPr>
          <w:noProof/>
        </w:rPr>
        <w:drawing>
          <wp:inline distT="0" distB="0" distL="0" distR="0" wp14:anchorId="6394C26C" wp14:editId="5CF38ED6">
            <wp:extent cx="3390900" cy="3286125"/>
            <wp:effectExtent l="0" t="0" r="0" b="0"/>
            <wp:docPr id="2331" name="Picture 2331"/>
            <wp:cNvGraphicFramePr/>
            <a:graphic xmlns:a="http://schemas.openxmlformats.org/drawingml/2006/main">
              <a:graphicData uri="http://schemas.openxmlformats.org/drawingml/2006/picture">
                <pic:pic xmlns:pic="http://schemas.openxmlformats.org/drawingml/2006/picture">
                  <pic:nvPicPr>
                    <pic:cNvPr id="2331" name="Picture 2331"/>
                    <pic:cNvPicPr/>
                  </pic:nvPicPr>
                  <pic:blipFill>
                    <a:blip r:embed="rId16"/>
                    <a:stretch>
                      <a:fillRect/>
                    </a:stretch>
                  </pic:blipFill>
                  <pic:spPr>
                    <a:xfrm>
                      <a:off x="0" y="0"/>
                      <a:ext cx="3390900" cy="3286125"/>
                    </a:xfrm>
                    <a:prstGeom prst="rect">
                      <a:avLst/>
                    </a:prstGeom>
                  </pic:spPr>
                </pic:pic>
              </a:graphicData>
            </a:graphic>
          </wp:inline>
        </w:drawing>
      </w:r>
    </w:p>
    <w:p w14:paraId="2424B638" w14:textId="77777777" w:rsidR="00DD1E77" w:rsidRDefault="00000000">
      <w:pPr>
        <w:spacing w:after="114" w:line="265" w:lineRule="auto"/>
        <w:ind w:left="10"/>
        <w:jc w:val="center"/>
      </w:pPr>
      <w:r>
        <w:t>Figure 5: Porter's five forces (Source: Wilson, A., 2020,</w:t>
      </w:r>
    </w:p>
    <w:p w14:paraId="2F6F46D4" w14:textId="77777777" w:rsidR="00DD1E77" w:rsidRDefault="00000000">
      <w:pPr>
        <w:spacing w:after="552" w:line="265" w:lineRule="auto"/>
        <w:ind w:left="10"/>
        <w:jc w:val="center"/>
      </w:pPr>
      <w:r>
        <w:t>https://www.researchgate.net/figure/1-Porters-five-forces_fig25_325464589)</w:t>
      </w:r>
    </w:p>
    <w:p w14:paraId="5AFD0D9A" w14:textId="77777777" w:rsidR="00DD1E77" w:rsidRDefault="00000000">
      <w:pPr>
        <w:spacing w:after="7"/>
        <w:ind w:left="-5"/>
      </w:pPr>
      <w:r>
        <w:rPr>
          <w:b/>
          <w:i/>
        </w:rPr>
        <w:t xml:space="preserve">Competitive </w:t>
      </w:r>
      <w:proofErr w:type="spellStart"/>
      <w:r>
        <w:rPr>
          <w:b/>
          <w:i/>
        </w:rPr>
        <w:t>Rivalry:</w:t>
      </w:r>
      <w:r>
        <w:t>Intense</w:t>
      </w:r>
      <w:proofErr w:type="spellEnd"/>
      <w:r>
        <w:t xml:space="preserve"> competition exists in the IT hardware market between well-known companies like Dell, HP, and Lenovo. Through technical innovation, customer service, and pricing strategies, each corporation is striving for market share. Due to the industry's maturity, businesses are increasingly putting more emphasis on differentiation than sheer scale. Due of the high stakes and increased competition brought on by cheap switching costs for customers, brand loyalty has less of an impact (Porter, 1979).</w:t>
      </w:r>
    </w:p>
    <w:p w14:paraId="38FFBDF0" w14:textId="77777777" w:rsidR="00DD1E77" w:rsidRDefault="00000000">
      <w:pPr>
        <w:ind w:left="-5"/>
      </w:pPr>
      <w:r>
        <w:rPr>
          <w:b/>
          <w:i/>
        </w:rPr>
        <w:t xml:space="preserve">Threat of New </w:t>
      </w:r>
      <w:proofErr w:type="spellStart"/>
      <w:r>
        <w:rPr>
          <w:b/>
          <w:i/>
        </w:rPr>
        <w:t>Entrants:</w:t>
      </w:r>
      <w:r>
        <w:t>The</w:t>
      </w:r>
      <w:proofErr w:type="spellEnd"/>
      <w:r>
        <w:t xml:space="preserve"> industry has substantial entrance obstacles, including expensive capital needs, challenging supply chain management, and brand building. Smaller businesses with specialised offers do, however, occasionally discover gaps in the market, posing a slight threat to market leaders. These new competitors frequently introduce disruptive technology that can change the nature of the market. Because current firms benefit from economies of scale, it is difficult for new competitors to compete on price (Porter, 2008).</w:t>
      </w:r>
    </w:p>
    <w:p w14:paraId="462676BB" w14:textId="77777777" w:rsidR="00DD1E77" w:rsidRDefault="00000000">
      <w:pPr>
        <w:ind w:left="-5"/>
      </w:pPr>
      <w:r>
        <w:rPr>
          <w:b/>
          <w:i/>
        </w:rPr>
        <w:lastRenderedPageBreak/>
        <w:t xml:space="preserve">Threat of </w:t>
      </w:r>
      <w:proofErr w:type="spellStart"/>
      <w:r>
        <w:rPr>
          <w:b/>
          <w:i/>
        </w:rPr>
        <w:t>Substitutes:</w:t>
      </w:r>
      <w:r>
        <w:t>Substitutes</w:t>
      </w:r>
      <w:proofErr w:type="spellEnd"/>
      <w:r>
        <w:t xml:space="preserve"> are becoming a greater challenge to the IT hardware market. The demand for conventional servers and storage solutions is declining as a result of cloud computing and Software-as-a-Service (SaaS). Additionally, mobile devices are gradually taking the place of PCs for several functions. Despite these difficulties, hardware is still necessary for some computational activities, which keeps the danger from substitutes overall at a moderate but growing level (Christensen, 1997).</w:t>
      </w:r>
    </w:p>
    <w:p w14:paraId="4CA5B5E8" w14:textId="77777777" w:rsidR="00DD1E77" w:rsidRDefault="00000000">
      <w:pPr>
        <w:ind w:left="-5"/>
      </w:pPr>
      <w:r>
        <w:rPr>
          <w:b/>
          <w:i/>
        </w:rPr>
        <w:t xml:space="preserve">Bargaining Power of </w:t>
      </w:r>
      <w:proofErr w:type="spellStart"/>
      <w:r>
        <w:rPr>
          <w:b/>
          <w:i/>
        </w:rPr>
        <w:t>Suppliers:</w:t>
      </w:r>
      <w:r>
        <w:t>The</w:t>
      </w:r>
      <w:proofErr w:type="spellEnd"/>
      <w:r>
        <w:t xml:space="preserve"> bargaining strength of suppliers in the IT hardware sector is moderate. A variety of components, many of which are accessible from various suppliers, are used by businesses like Dell. However, a small number of specialised suppliers are in charge of a number of high-tech components, which gives them more negotiating strength. Businesses deal with this by using multi-sourcing techniques and signing long-term contracts (Cox, 2001).</w:t>
      </w:r>
    </w:p>
    <w:p w14:paraId="0C40542F" w14:textId="77777777" w:rsidR="00DD1E77" w:rsidRDefault="00000000">
      <w:pPr>
        <w:ind w:left="-5"/>
      </w:pPr>
      <w:r>
        <w:rPr>
          <w:b/>
          <w:i/>
        </w:rPr>
        <w:t xml:space="preserve">Bargaining Power of </w:t>
      </w:r>
      <w:proofErr w:type="spellStart"/>
      <w:r>
        <w:rPr>
          <w:b/>
          <w:i/>
        </w:rPr>
        <w:t>Buyers:</w:t>
      </w:r>
      <w:r>
        <w:t>The</w:t>
      </w:r>
      <w:proofErr w:type="spellEnd"/>
      <w:r>
        <w:t xml:space="preserve"> consumer and business groups have quite different levels of buyer bargaining power. Due to the standardised nature of products and the availability of several suppliers, buyers have a significant amount of power in the enterprise sector. Dell makes an effort to lessen this by providing tailored solutions and fostering long-lasting connections. Individual consumer bargaining power is generally modest, but as consumer review and comparison websites grow, collective bargaining power grows as well (Kumar, 2004).</w:t>
      </w:r>
    </w:p>
    <w:p w14:paraId="1AEA4CD1" w14:textId="77777777" w:rsidR="00DD1E77" w:rsidRDefault="00000000">
      <w:pPr>
        <w:pStyle w:val="Heading1"/>
        <w:ind w:left="-5"/>
      </w:pPr>
      <w:bookmarkStart w:id="10" w:name="_Toc61257"/>
      <w:r>
        <w:t>3.INTERNAL ANALYSIS</w:t>
      </w:r>
      <w:bookmarkEnd w:id="10"/>
    </w:p>
    <w:p w14:paraId="2991BB2E" w14:textId="77777777" w:rsidR="00DD1E77" w:rsidRDefault="00000000">
      <w:pPr>
        <w:ind w:left="-5"/>
      </w:pPr>
      <w:r>
        <w:t>An internal analysis is necessary to completely understand Dell Technologies' position in the fiercely competitive IT hardware market. This includes a study of the company's assets and skills, which play a key role in developing its distinct value proposition and strategic plans. The ability of Dell to adjust to external market forces, legislative changes, and changing customer expectations is likewise influenced by these internal variables. The fundamental components of a firm's strategic decision-making processes, and consequently, its long-term performance, are its internal characteristics (Barney, 1991).</w:t>
      </w:r>
    </w:p>
    <w:p w14:paraId="56C6919A" w14:textId="77777777" w:rsidR="00DD1E77" w:rsidRDefault="00000000">
      <w:pPr>
        <w:ind w:left="-5"/>
      </w:pPr>
      <w:r>
        <w:lastRenderedPageBreak/>
        <w:t xml:space="preserve">Dell Technologies excels in a number of crucial areas that support its competitive edge. The direct-to-customer sales methodology, a wide range of products, and a high brand equity are a few of these. The business must manage the complexity brought on by its numerous mergers and acquisitions as well as internal issues including maintaining growth in conventional hardware categories that are close to saturation. Dell is also struggling with the quick technological changes towards cloud computing and as-a-service business models, which call for new skills and investments (Teece, 2007). This is true for many businesses in the </w:t>
      </w:r>
      <w:proofErr w:type="spellStart"/>
      <w:r>
        <w:t>field.An</w:t>
      </w:r>
      <w:proofErr w:type="spellEnd"/>
      <w:r>
        <w:t xml:space="preserve"> internal analysis is, in general, more than simply a picture of a company's current state; it also serves as a prism through which potential for the future can be evaluated. While Dell Technologies' internal strengths offer a strong platform for strategic growth, fixing its deficiencies is essential to ensuring long-term competitive advantage in a market that is continually changing.</w:t>
      </w:r>
    </w:p>
    <w:p w14:paraId="1ACC9C23" w14:textId="77777777" w:rsidR="00DD1E77" w:rsidRDefault="00000000">
      <w:pPr>
        <w:pStyle w:val="Heading2"/>
        <w:spacing w:after="559"/>
        <w:ind w:left="-5"/>
      </w:pPr>
      <w:bookmarkStart w:id="11" w:name="_Toc61258"/>
      <w:r>
        <w:t>3.1 Dell’s Strategic Resources and Capabilities</w:t>
      </w:r>
      <w:bookmarkEnd w:id="11"/>
    </w:p>
    <w:p w14:paraId="368EA05D" w14:textId="77777777" w:rsidR="00DD1E77" w:rsidRDefault="00000000">
      <w:pPr>
        <w:ind w:left="-5"/>
      </w:pPr>
      <w:r>
        <w:rPr>
          <w:b/>
          <w:i/>
        </w:rPr>
        <w:t xml:space="preserve">Supply Chain Excellence: </w:t>
      </w:r>
      <w:r>
        <w:t>Dell's highly advanced and effective supply chain is one of its core competencies. It uses a just-in-time strategy to cut inventory costs and increase client customisation possibilities. A crucial distinction in a sector frequently afflicted by supply chain interruptions, Dell's supply chain agility enables it to quickly adjust to market variations and demand shifts (Christopher, 2016).</w:t>
      </w:r>
    </w:p>
    <w:p w14:paraId="18AAEBBA" w14:textId="77777777" w:rsidR="00DD1E77" w:rsidRDefault="00000000">
      <w:pPr>
        <w:ind w:left="-5"/>
      </w:pPr>
      <w:r>
        <w:rPr>
          <w:b/>
          <w:i/>
        </w:rPr>
        <w:t xml:space="preserve">Direct Sales Model: </w:t>
      </w:r>
      <w:r>
        <w:t>One of Dell's most valuable strategic advantages continues to be its direct-to-customer sales methodology. By doing away with middlemen, this strategy gives the business better control over customer interactions, pricing, and personalization. Since Dell's operational framework incorporates the direct sales model heavily, the corporation has a unique ability to gather consumer feedback for ongoing product improvement (</w:t>
      </w:r>
      <w:proofErr w:type="spellStart"/>
      <w:r>
        <w:t>Magretta</w:t>
      </w:r>
      <w:proofErr w:type="spellEnd"/>
      <w:r>
        <w:t>, 1998).</w:t>
      </w:r>
    </w:p>
    <w:p w14:paraId="7021ED2C" w14:textId="77777777" w:rsidR="00DD1E77" w:rsidRDefault="00000000">
      <w:pPr>
        <w:spacing w:after="6"/>
        <w:ind w:left="-5"/>
      </w:pPr>
      <w:r>
        <w:rPr>
          <w:b/>
          <w:i/>
        </w:rPr>
        <w:t xml:space="preserve">Technological Innovation: </w:t>
      </w:r>
      <w:r>
        <w:t xml:space="preserve">Dell has remained at the forefront of technology advancement, continually funding R&amp;D. It stays ahead of the curve and is able to provide solutions that are geared towards both the present and the future because of its focus on cutting-edge technologies </w:t>
      </w:r>
      <w:r>
        <w:lastRenderedPageBreak/>
        <w:t>like cloud computing, edge technologies, and Artificial Intelligence (AI). The company's R&amp;D capabilities, which enable it to respond to the quick technical developments that characterise the</w:t>
      </w:r>
    </w:p>
    <w:p w14:paraId="6094B070" w14:textId="77777777" w:rsidR="00DD1E77" w:rsidRDefault="00000000">
      <w:pPr>
        <w:ind w:left="-5"/>
      </w:pPr>
      <w:r>
        <w:t>IT hardware business, are not simply a resource but also a key competency (Tidd &amp; Bessant, 2018).</w:t>
      </w:r>
    </w:p>
    <w:p w14:paraId="4341917A" w14:textId="77777777" w:rsidR="00DD1E77" w:rsidRDefault="00000000">
      <w:pPr>
        <w:ind w:left="-5"/>
      </w:pPr>
      <w:r>
        <w:rPr>
          <w:b/>
          <w:i/>
        </w:rPr>
        <w:t xml:space="preserve">Brand Equity and Customer Loyalty: </w:t>
      </w:r>
      <w:r>
        <w:t>The value of Dell's brand is another crucial internal strength. Dell's brand attracts consumer loyalty and functions as a shield against competing pressures because it was built through years of dependable service and goods. Due to the company's reputation for quality and customer service, it is also able to charge premium prices in some markets, which strengthens its financial stability (Aaker, 1991).</w:t>
      </w:r>
    </w:p>
    <w:p w14:paraId="4576D886" w14:textId="77777777" w:rsidR="00DD1E77" w:rsidRDefault="00000000">
      <w:pPr>
        <w:ind w:left="-5"/>
      </w:pPr>
      <w:r>
        <w:rPr>
          <w:b/>
          <w:i/>
        </w:rPr>
        <w:t xml:space="preserve">Diversified Product Portfolio: </w:t>
      </w:r>
      <w:r>
        <w:t>A key strength of Dell is its wide-ranging and diverse product line. The company offers a wide range of goods, including personal PCs, servers, and cutting-edge storage options. This not only makes it possible for it to serve a varied consumer base, but it also presents potential for cross-selling and up-selling. Additionally reducing risks brought on by market volatility in particular product categories is the company's broad product portfolio (</w:t>
      </w:r>
      <w:proofErr w:type="spellStart"/>
      <w:r>
        <w:t>Markides</w:t>
      </w:r>
      <w:proofErr w:type="spellEnd"/>
      <w:r>
        <w:t xml:space="preserve"> &amp; Williamson, 1994).</w:t>
      </w:r>
    </w:p>
    <w:p w14:paraId="7B5D7966" w14:textId="77777777" w:rsidR="00DD1E77" w:rsidRDefault="00000000">
      <w:pPr>
        <w:ind w:left="-5"/>
      </w:pPr>
      <w:r>
        <w:rPr>
          <w:b/>
          <w:i/>
        </w:rPr>
        <w:t xml:space="preserve">Organisational Culture: </w:t>
      </w:r>
      <w:r>
        <w:t>The organisational culture of Dell, which emphasises innovation, customer pleasure, and employee involvement, is less obvious but no less significant. The company's ability to effectively implement its strategies is improved by the culture's role as a glue that unites distinct functional areas (Schein, 2010).</w:t>
      </w:r>
    </w:p>
    <w:p w14:paraId="4C072D66" w14:textId="77777777" w:rsidR="00DD1E77" w:rsidRDefault="00000000">
      <w:pPr>
        <w:pStyle w:val="Heading2"/>
        <w:spacing w:after="0"/>
        <w:ind w:left="-5"/>
      </w:pPr>
      <w:bookmarkStart w:id="12" w:name="_Toc61259"/>
      <w:r>
        <w:lastRenderedPageBreak/>
        <w:t>3.2 VALUE CHAIN ANALYSIS OF DELL TECHNOLOGIES</w:t>
      </w:r>
      <w:bookmarkEnd w:id="12"/>
    </w:p>
    <w:p w14:paraId="4A6578E5" w14:textId="77777777" w:rsidR="00DD1E77" w:rsidRDefault="00000000">
      <w:pPr>
        <w:spacing w:after="248" w:line="259" w:lineRule="auto"/>
        <w:ind w:left="30" w:firstLine="0"/>
        <w:jc w:val="left"/>
      </w:pPr>
      <w:r>
        <w:rPr>
          <w:noProof/>
        </w:rPr>
        <w:drawing>
          <wp:inline distT="0" distB="0" distL="0" distR="0" wp14:anchorId="06BB98BD" wp14:editId="65DF3AD6">
            <wp:extent cx="5210175" cy="2714625"/>
            <wp:effectExtent l="0" t="0" r="0" b="0"/>
            <wp:docPr id="3473" name="Picture 3473"/>
            <wp:cNvGraphicFramePr/>
            <a:graphic xmlns:a="http://schemas.openxmlformats.org/drawingml/2006/main">
              <a:graphicData uri="http://schemas.openxmlformats.org/drawingml/2006/picture">
                <pic:pic xmlns:pic="http://schemas.openxmlformats.org/drawingml/2006/picture">
                  <pic:nvPicPr>
                    <pic:cNvPr id="3473" name="Picture 3473"/>
                    <pic:cNvPicPr/>
                  </pic:nvPicPr>
                  <pic:blipFill>
                    <a:blip r:embed="rId17"/>
                    <a:stretch>
                      <a:fillRect/>
                    </a:stretch>
                  </pic:blipFill>
                  <pic:spPr>
                    <a:xfrm>
                      <a:off x="0" y="0"/>
                      <a:ext cx="5210175" cy="2714625"/>
                    </a:xfrm>
                    <a:prstGeom prst="rect">
                      <a:avLst/>
                    </a:prstGeom>
                  </pic:spPr>
                </pic:pic>
              </a:graphicData>
            </a:graphic>
          </wp:inline>
        </w:drawing>
      </w:r>
    </w:p>
    <w:p w14:paraId="31DBD70A" w14:textId="77777777" w:rsidR="00DD1E77" w:rsidRDefault="00000000">
      <w:pPr>
        <w:spacing w:after="437" w:line="363" w:lineRule="auto"/>
        <w:ind w:left="10"/>
        <w:jc w:val="center"/>
      </w:pPr>
      <w:r>
        <w:t>Figure 6: Value chain Framework (Source: Davis, C., 2021, https://www.researchgate.net/figure/alue-chain-Source_fig1_337706484)</w:t>
      </w:r>
    </w:p>
    <w:p w14:paraId="59D5590C" w14:textId="77777777" w:rsidR="00DD1E77" w:rsidRDefault="00000000">
      <w:pPr>
        <w:ind w:left="-5"/>
      </w:pPr>
      <w:r>
        <w:t>In the field of strategic management, it is crucial to comprehend the processes that result in value creation inside an organisation. A framework for analysing the numerous business activities that contribute to organisational success is provided by the value chain idea, which Michael Porter first proposed in 1985. Dell Technologies finds that examining the value chain offers important insights into how the business builds and maintains its competitive advantage (Porter, 1985).</w:t>
      </w:r>
    </w:p>
    <w:p w14:paraId="68C606F6" w14:textId="77777777" w:rsidR="00DD1E77" w:rsidRDefault="00000000">
      <w:pPr>
        <w:pStyle w:val="Heading3"/>
        <w:ind w:left="-5"/>
      </w:pPr>
      <w:bookmarkStart w:id="13" w:name="_Toc61260"/>
      <w:r>
        <w:t>Primary Activities:</w:t>
      </w:r>
      <w:bookmarkEnd w:id="13"/>
    </w:p>
    <w:p w14:paraId="1005F0E6" w14:textId="77777777" w:rsidR="00DD1E77" w:rsidRDefault="00000000">
      <w:pPr>
        <w:ind w:left="-5"/>
      </w:pPr>
      <w:r>
        <w:rPr>
          <w:b/>
          <w:i/>
        </w:rPr>
        <w:t xml:space="preserve">Inbound </w:t>
      </w:r>
      <w:proofErr w:type="spellStart"/>
      <w:r>
        <w:rPr>
          <w:b/>
          <w:i/>
        </w:rPr>
        <w:t>Logistics:</w:t>
      </w:r>
      <w:r>
        <w:t>Dell's</w:t>
      </w:r>
      <w:proofErr w:type="spellEnd"/>
      <w:r>
        <w:t xml:space="preserve"> inbound logistics are intimately related to its just-in-time production strategy. The business develops strategic alliances with suppliers that are frequently situated close to manufacturing sites. This close proximity to suppliers reduces storage costs and increases the company's capacity to offer specialised solutions by ensuring a consistent and timely supply of components (Lummus &amp; </w:t>
      </w:r>
      <w:proofErr w:type="spellStart"/>
      <w:r>
        <w:t>Vokurka</w:t>
      </w:r>
      <w:proofErr w:type="spellEnd"/>
      <w:r>
        <w:t>, 1999).</w:t>
      </w:r>
    </w:p>
    <w:p w14:paraId="4EF75FC0" w14:textId="77777777" w:rsidR="00DD1E77" w:rsidRDefault="00000000">
      <w:pPr>
        <w:ind w:left="-5"/>
      </w:pPr>
      <w:proofErr w:type="spellStart"/>
      <w:r>
        <w:rPr>
          <w:b/>
          <w:i/>
        </w:rPr>
        <w:t>Operations:</w:t>
      </w:r>
      <w:r>
        <w:t>One</w:t>
      </w:r>
      <w:proofErr w:type="spellEnd"/>
      <w:r>
        <w:t xml:space="preserve"> of the pillars of Dell's value offering is its operational efficiency. To make sure that the manufacturing process is both affordable and capable of generating high-quality products, </w:t>
      </w:r>
      <w:r>
        <w:lastRenderedPageBreak/>
        <w:t>the company uses lean production techniques, automated assembly lines, and strict quality control systems. Additionally, Dell runs local production plants that enable quick delivery and customisation for many regions (Fullerton, Kennedy, &amp; Widener, 2014).</w:t>
      </w:r>
    </w:p>
    <w:p w14:paraId="03212B6F" w14:textId="77777777" w:rsidR="00DD1E77" w:rsidRDefault="00000000">
      <w:pPr>
        <w:ind w:left="-5"/>
      </w:pPr>
      <w:r>
        <w:rPr>
          <w:b/>
          <w:i/>
        </w:rPr>
        <w:t xml:space="preserve">Outbound </w:t>
      </w:r>
      <w:proofErr w:type="spellStart"/>
      <w:r>
        <w:rPr>
          <w:b/>
          <w:i/>
        </w:rPr>
        <w:t>Logistics:</w:t>
      </w:r>
      <w:r>
        <w:t>Dell's</w:t>
      </w:r>
      <w:proofErr w:type="spellEnd"/>
      <w:r>
        <w:t xml:space="preserve"> outbound logistics are significantly impacted by the direct sales model it uses. Dell keeps a cutting-edge logistics and distribution network that enables quick global delivery by eliminating resellers and distributors from the equation. By allowing for direct communication between the business and its customers, this approach also strengthens client connections (Bowersox, Closs, &amp; Cooper, 2002).</w:t>
      </w:r>
    </w:p>
    <w:p w14:paraId="2A8BFD45" w14:textId="77777777" w:rsidR="00DD1E77" w:rsidRDefault="00000000">
      <w:pPr>
        <w:ind w:left="-5"/>
      </w:pPr>
      <w:r>
        <w:rPr>
          <w:b/>
          <w:i/>
        </w:rPr>
        <w:t xml:space="preserve">Marketing and </w:t>
      </w:r>
      <w:proofErr w:type="spellStart"/>
      <w:r>
        <w:rPr>
          <w:b/>
          <w:i/>
        </w:rPr>
        <w:t>Sales:</w:t>
      </w:r>
      <w:r>
        <w:t>Targeted</w:t>
      </w:r>
      <w:proofErr w:type="spellEnd"/>
      <w:r>
        <w:t xml:space="preserve"> marketing initiatives that concentrate on the unique demands and preferences of its consumer base are highly valued by Dell. The direct sales technique offers more individualised service and aids in better comprehension of consumer needs. Dell's sales capabilities have been further strengthened by strategic alliances with software and cloud companies (Kotler &amp; Keller, 2016).</w:t>
      </w:r>
    </w:p>
    <w:p w14:paraId="577FFF88" w14:textId="77777777" w:rsidR="00DD1E77" w:rsidRDefault="00000000">
      <w:pPr>
        <w:ind w:left="-5"/>
      </w:pPr>
      <w:proofErr w:type="spellStart"/>
      <w:r>
        <w:rPr>
          <w:b/>
          <w:i/>
        </w:rPr>
        <w:t>Service:</w:t>
      </w:r>
      <w:r>
        <w:t>A</w:t>
      </w:r>
      <w:proofErr w:type="spellEnd"/>
      <w:r>
        <w:t xml:space="preserve"> further area in which Dell excels is post-sale support. Deployment, maintenance, support, training, and consulting are just a few of the services the business provides. Its international call centres and managed services make use of Dell's broad infrastructure know-how to increase customer loyalty and lifetime value (Zeithaml, Bitner, &amp; </w:t>
      </w:r>
      <w:proofErr w:type="spellStart"/>
      <w:r>
        <w:t>Gremler</w:t>
      </w:r>
      <w:proofErr w:type="spellEnd"/>
      <w:r>
        <w:t>, 2018).</w:t>
      </w:r>
    </w:p>
    <w:p w14:paraId="647AEF7A" w14:textId="77777777" w:rsidR="00DD1E77" w:rsidRDefault="00000000">
      <w:pPr>
        <w:pStyle w:val="Heading3"/>
        <w:spacing w:after="558"/>
        <w:ind w:left="-5"/>
      </w:pPr>
      <w:bookmarkStart w:id="14" w:name="_Toc61261"/>
      <w:r>
        <w:t>Secondary Activities</w:t>
      </w:r>
      <w:bookmarkEnd w:id="14"/>
    </w:p>
    <w:p w14:paraId="5B420AD0" w14:textId="77777777" w:rsidR="00DD1E77" w:rsidRDefault="00000000">
      <w:pPr>
        <w:ind w:left="-5"/>
      </w:pPr>
      <w:proofErr w:type="spellStart"/>
      <w:r>
        <w:rPr>
          <w:b/>
          <w:i/>
        </w:rPr>
        <w:t>Procurement:</w:t>
      </w:r>
      <w:r>
        <w:t>Building</w:t>
      </w:r>
      <w:proofErr w:type="spellEnd"/>
      <w:r>
        <w:t xml:space="preserve"> strategic alliances with suppliers who meet Dell's standards for cost, quality, and dependability is a key component of its procurement strategy. Due to its size, the business is able to obtain high-quality components at cheaper costs, helping it to maintain a competitive pricing strategy (</w:t>
      </w:r>
      <w:proofErr w:type="spellStart"/>
      <w:r>
        <w:t>Carr</w:t>
      </w:r>
      <w:proofErr w:type="spellEnd"/>
      <w:r>
        <w:t xml:space="preserve"> &amp; Pearson, 1999).</w:t>
      </w:r>
    </w:p>
    <w:p w14:paraId="0FA5B232" w14:textId="77777777" w:rsidR="00DD1E77" w:rsidRDefault="00000000">
      <w:pPr>
        <w:ind w:left="-5"/>
      </w:pPr>
      <w:r>
        <w:rPr>
          <w:b/>
          <w:i/>
        </w:rPr>
        <w:t xml:space="preserve">Human Resource </w:t>
      </w:r>
      <w:proofErr w:type="spellStart"/>
      <w:r>
        <w:rPr>
          <w:b/>
          <w:i/>
        </w:rPr>
        <w:t>Management:</w:t>
      </w:r>
      <w:r>
        <w:t>Technical</w:t>
      </w:r>
      <w:proofErr w:type="spellEnd"/>
      <w:r>
        <w:t xml:space="preserve"> talent attraction and retention are top priorities for Dell. The business runs effective retention, training, and recruitment programmes with the goal of </w:t>
      </w:r>
      <w:r>
        <w:lastRenderedPageBreak/>
        <w:t xml:space="preserve">fostering a culture that is focused on performance. Innovation and customer service are aided by this emphasis on human resources (Becker, </w:t>
      </w:r>
      <w:proofErr w:type="spellStart"/>
      <w:r>
        <w:t>Huselid</w:t>
      </w:r>
      <w:proofErr w:type="spellEnd"/>
      <w:r>
        <w:t>, &amp; Ulrich, 2001).</w:t>
      </w:r>
    </w:p>
    <w:p w14:paraId="62B1D977" w14:textId="77777777" w:rsidR="00DD1E77" w:rsidRDefault="00000000">
      <w:pPr>
        <w:ind w:left="-5"/>
      </w:pPr>
      <w:r>
        <w:rPr>
          <w:b/>
          <w:i/>
        </w:rPr>
        <w:t xml:space="preserve">Technological </w:t>
      </w:r>
      <w:proofErr w:type="spellStart"/>
      <w:r>
        <w:rPr>
          <w:b/>
          <w:i/>
        </w:rPr>
        <w:t>Development:</w:t>
      </w:r>
      <w:r>
        <w:t>The</w:t>
      </w:r>
      <w:proofErr w:type="spellEnd"/>
      <w:r>
        <w:t xml:space="preserve"> product line of Dell demonstrates the company's dedication to R&amp;D and technological innovation. To stay ahead of the competition and provide solutions that address the changing needs of its customer base, the company consistently invests in cutting-edge technologies (Tidd &amp; Bessant, 2018).</w:t>
      </w:r>
    </w:p>
    <w:p w14:paraId="5BF09800" w14:textId="77777777" w:rsidR="00DD1E77" w:rsidRDefault="00000000">
      <w:pPr>
        <w:ind w:left="-5"/>
      </w:pPr>
      <w:proofErr w:type="spellStart"/>
      <w:r>
        <w:rPr>
          <w:b/>
          <w:i/>
        </w:rPr>
        <w:t>Infrastructure:</w:t>
      </w:r>
      <w:r>
        <w:t>The</w:t>
      </w:r>
      <w:proofErr w:type="spellEnd"/>
      <w:r>
        <w:t xml:space="preserve"> world-wide infrastructure of Dell, which consists of production plants, distribution centres, and customer solution centres, is essential to the company's ability to provide its value proposition. Because of the company's excellent IT systems, its large supply chain can be coordinated in a timely manner (</w:t>
      </w:r>
      <w:proofErr w:type="spellStart"/>
      <w:r>
        <w:t>Mithas</w:t>
      </w:r>
      <w:proofErr w:type="spellEnd"/>
      <w:r>
        <w:t xml:space="preserve">, </w:t>
      </w:r>
      <w:proofErr w:type="spellStart"/>
      <w:r>
        <w:t>Ramasubbu</w:t>
      </w:r>
      <w:proofErr w:type="spellEnd"/>
      <w:r>
        <w:t xml:space="preserve">, &amp; </w:t>
      </w:r>
      <w:proofErr w:type="spellStart"/>
      <w:r>
        <w:t>Sambamurthy</w:t>
      </w:r>
      <w:proofErr w:type="spellEnd"/>
      <w:r>
        <w:t>, 2011).</w:t>
      </w:r>
    </w:p>
    <w:p w14:paraId="380415D0" w14:textId="77777777" w:rsidR="00DD1E77" w:rsidRDefault="00000000">
      <w:pPr>
        <w:spacing w:after="832"/>
        <w:ind w:left="-5"/>
      </w:pPr>
      <w:r>
        <w:t>Dell's value chain is a complex network of interconnected processes, each of which contributes to the company's overall strategy and competitive advantage. Every aspect of the business, from the effectiveness of its supply chain to the power of its brand and the sturdiness of its human capital, is essential to generating value for both the business and its clients. The significance of understanding Dell's skills as a component of a comprehensive system that collectively contributes to its market performance rather than as discrete operations is highlighted by this analysis. Dell is in a good position to maintain its competitive edge in the quickly changing IT world by adjusting these operations on a regular basis in response to market dynamics and client needs.</w:t>
      </w:r>
    </w:p>
    <w:p w14:paraId="0FC58FED" w14:textId="77777777" w:rsidR="00DD1E77" w:rsidRDefault="00000000">
      <w:pPr>
        <w:pStyle w:val="Heading2"/>
        <w:ind w:left="-5"/>
      </w:pPr>
      <w:bookmarkStart w:id="15" w:name="_Toc61262"/>
      <w:r>
        <w:lastRenderedPageBreak/>
        <w:t>3.3 VRIO Analysis</w:t>
      </w:r>
      <w:bookmarkEnd w:id="15"/>
    </w:p>
    <w:p w14:paraId="292F35E4" w14:textId="77777777" w:rsidR="00DD1E77" w:rsidRDefault="00000000">
      <w:pPr>
        <w:spacing w:after="248" w:line="259" w:lineRule="auto"/>
        <w:ind w:left="1298" w:firstLine="0"/>
        <w:jc w:val="left"/>
      </w:pPr>
      <w:r>
        <w:rPr>
          <w:noProof/>
        </w:rPr>
        <w:drawing>
          <wp:inline distT="0" distB="0" distL="0" distR="0" wp14:anchorId="3FE11C14" wp14:editId="39FEFA2A">
            <wp:extent cx="4295775" cy="2495550"/>
            <wp:effectExtent l="0" t="0" r="0" b="0"/>
            <wp:docPr id="4140" name="Picture 4140"/>
            <wp:cNvGraphicFramePr/>
            <a:graphic xmlns:a="http://schemas.openxmlformats.org/drawingml/2006/main">
              <a:graphicData uri="http://schemas.openxmlformats.org/drawingml/2006/picture">
                <pic:pic xmlns:pic="http://schemas.openxmlformats.org/drawingml/2006/picture">
                  <pic:nvPicPr>
                    <pic:cNvPr id="4140" name="Picture 4140"/>
                    <pic:cNvPicPr/>
                  </pic:nvPicPr>
                  <pic:blipFill>
                    <a:blip r:embed="rId18"/>
                    <a:stretch>
                      <a:fillRect/>
                    </a:stretch>
                  </pic:blipFill>
                  <pic:spPr>
                    <a:xfrm>
                      <a:off x="0" y="0"/>
                      <a:ext cx="4295775" cy="2495550"/>
                    </a:xfrm>
                    <a:prstGeom prst="rect">
                      <a:avLst/>
                    </a:prstGeom>
                  </pic:spPr>
                </pic:pic>
              </a:graphicData>
            </a:graphic>
          </wp:inline>
        </w:drawing>
      </w:r>
    </w:p>
    <w:p w14:paraId="1333278D" w14:textId="77777777" w:rsidR="00DD1E77" w:rsidRDefault="00000000">
      <w:pPr>
        <w:spacing w:after="244" w:line="265" w:lineRule="auto"/>
        <w:ind w:left="10"/>
        <w:jc w:val="center"/>
      </w:pPr>
      <w:r>
        <w:t>Figure 7: VRIO Framework Process (Source: Miller, J., 2021, https://www.researchgate.net/figure/VRIO-Framework-Process_fig1_350324337)</w:t>
      </w:r>
    </w:p>
    <w:tbl>
      <w:tblPr>
        <w:tblStyle w:val="TableGrid"/>
        <w:tblW w:w="9360" w:type="dxa"/>
        <w:tblInd w:w="10" w:type="dxa"/>
        <w:tblCellMar>
          <w:top w:w="0" w:type="dxa"/>
          <w:left w:w="95" w:type="dxa"/>
          <w:bottom w:w="234" w:type="dxa"/>
          <w:right w:w="100" w:type="dxa"/>
        </w:tblCellMar>
        <w:tblLook w:val="04A0" w:firstRow="1" w:lastRow="0" w:firstColumn="1" w:lastColumn="0" w:noHBand="0" w:noVBand="1"/>
      </w:tblPr>
      <w:tblGrid>
        <w:gridCol w:w="1378"/>
        <w:gridCol w:w="1734"/>
        <w:gridCol w:w="1511"/>
        <w:gridCol w:w="1579"/>
        <w:gridCol w:w="1653"/>
        <w:gridCol w:w="1505"/>
      </w:tblGrid>
      <w:tr w:rsidR="00DD1E77" w14:paraId="73B26A80" w14:textId="77777777">
        <w:trPr>
          <w:trHeight w:val="1660"/>
        </w:trPr>
        <w:tc>
          <w:tcPr>
            <w:tcW w:w="1380" w:type="dxa"/>
            <w:tcBorders>
              <w:top w:val="single" w:sz="8" w:space="0" w:color="D9D9E3"/>
              <w:left w:val="single" w:sz="8" w:space="0" w:color="D9D9E3"/>
              <w:bottom w:val="single" w:sz="8" w:space="0" w:color="D9D9E3"/>
              <w:right w:val="single" w:sz="8" w:space="0" w:color="D9D9E3"/>
            </w:tcBorders>
            <w:vAlign w:val="bottom"/>
          </w:tcPr>
          <w:p w14:paraId="2C80F6C9" w14:textId="77777777" w:rsidR="00DD1E77" w:rsidRDefault="00000000">
            <w:pPr>
              <w:spacing w:after="114" w:line="259" w:lineRule="auto"/>
              <w:ind w:left="0" w:firstLine="0"/>
              <w:jc w:val="left"/>
            </w:pPr>
            <w:r>
              <w:rPr>
                <w:b/>
              </w:rPr>
              <w:t>Resource/</w:t>
            </w:r>
          </w:p>
          <w:p w14:paraId="6A883716" w14:textId="77777777" w:rsidR="00DD1E77" w:rsidRDefault="00000000">
            <w:pPr>
              <w:spacing w:after="0" w:line="259" w:lineRule="auto"/>
              <w:ind w:left="0" w:firstLine="0"/>
              <w:jc w:val="left"/>
            </w:pPr>
            <w:r>
              <w:rPr>
                <w:b/>
              </w:rPr>
              <w:t>Capability</w:t>
            </w:r>
          </w:p>
        </w:tc>
        <w:tc>
          <w:tcPr>
            <w:tcW w:w="1740" w:type="dxa"/>
            <w:tcBorders>
              <w:top w:val="single" w:sz="8" w:space="0" w:color="D9D9E3"/>
              <w:left w:val="single" w:sz="8" w:space="0" w:color="D9D9E3"/>
              <w:bottom w:val="single" w:sz="8" w:space="0" w:color="D9D9E3"/>
              <w:right w:val="single" w:sz="8" w:space="0" w:color="D9D9E3"/>
            </w:tcBorders>
            <w:vAlign w:val="bottom"/>
          </w:tcPr>
          <w:p w14:paraId="06B63E6F" w14:textId="77777777" w:rsidR="00DD1E77" w:rsidRDefault="00000000">
            <w:pPr>
              <w:spacing w:after="0" w:line="259" w:lineRule="auto"/>
              <w:ind w:left="0" w:firstLine="0"/>
              <w:jc w:val="left"/>
            </w:pPr>
            <w:r>
              <w:rPr>
                <w:b/>
              </w:rPr>
              <w:t>Value</w:t>
            </w:r>
          </w:p>
        </w:tc>
        <w:tc>
          <w:tcPr>
            <w:tcW w:w="1520" w:type="dxa"/>
            <w:tcBorders>
              <w:top w:val="single" w:sz="8" w:space="0" w:color="D9D9E3"/>
              <w:left w:val="single" w:sz="8" w:space="0" w:color="D9D9E3"/>
              <w:bottom w:val="single" w:sz="8" w:space="0" w:color="D9D9E3"/>
              <w:right w:val="single" w:sz="8" w:space="0" w:color="D9D9E3"/>
            </w:tcBorders>
            <w:vAlign w:val="bottom"/>
          </w:tcPr>
          <w:p w14:paraId="1885C9F8" w14:textId="77777777" w:rsidR="00DD1E77" w:rsidRDefault="00000000">
            <w:pPr>
              <w:spacing w:after="0" w:line="259" w:lineRule="auto"/>
              <w:ind w:left="15" w:firstLine="0"/>
              <w:jc w:val="left"/>
            </w:pPr>
            <w:r>
              <w:rPr>
                <w:b/>
              </w:rPr>
              <w:t>Rarity</w:t>
            </w:r>
          </w:p>
        </w:tc>
        <w:tc>
          <w:tcPr>
            <w:tcW w:w="1580" w:type="dxa"/>
            <w:tcBorders>
              <w:top w:val="single" w:sz="8" w:space="0" w:color="D9D9E3"/>
              <w:left w:val="single" w:sz="8" w:space="0" w:color="D9D9E3"/>
              <w:bottom w:val="single" w:sz="8" w:space="0" w:color="D9D9E3"/>
              <w:right w:val="single" w:sz="8" w:space="0" w:color="D9D9E3"/>
            </w:tcBorders>
            <w:vAlign w:val="bottom"/>
          </w:tcPr>
          <w:p w14:paraId="5FA1F7EC" w14:textId="77777777" w:rsidR="00DD1E77" w:rsidRDefault="00000000">
            <w:pPr>
              <w:spacing w:after="0" w:line="259" w:lineRule="auto"/>
              <w:ind w:left="10" w:firstLine="0"/>
              <w:jc w:val="left"/>
            </w:pPr>
            <w:r>
              <w:rPr>
                <w:b/>
              </w:rPr>
              <w:t>Imitability</w:t>
            </w:r>
          </w:p>
        </w:tc>
        <w:tc>
          <w:tcPr>
            <w:tcW w:w="1660" w:type="dxa"/>
            <w:tcBorders>
              <w:top w:val="single" w:sz="8" w:space="0" w:color="D9D9E3"/>
              <w:left w:val="single" w:sz="8" w:space="0" w:color="D9D9E3"/>
              <w:bottom w:val="single" w:sz="8" w:space="0" w:color="D9D9E3"/>
              <w:right w:val="single" w:sz="8" w:space="0" w:color="D9D9E3"/>
            </w:tcBorders>
            <w:vAlign w:val="bottom"/>
          </w:tcPr>
          <w:p w14:paraId="63B107DA" w14:textId="77777777" w:rsidR="00DD1E77" w:rsidRDefault="00000000">
            <w:pPr>
              <w:spacing w:after="0" w:line="259" w:lineRule="auto"/>
              <w:ind w:left="5" w:firstLine="0"/>
              <w:jc w:val="left"/>
            </w:pPr>
            <w:r>
              <w:rPr>
                <w:b/>
              </w:rPr>
              <w:t>Organization</w:t>
            </w:r>
          </w:p>
        </w:tc>
        <w:tc>
          <w:tcPr>
            <w:tcW w:w="1480" w:type="dxa"/>
            <w:tcBorders>
              <w:top w:val="single" w:sz="8" w:space="0" w:color="D9D9E3"/>
              <w:left w:val="single" w:sz="8" w:space="0" w:color="D9D9E3"/>
              <w:bottom w:val="single" w:sz="8" w:space="0" w:color="D9D9E3"/>
              <w:right w:val="single" w:sz="8" w:space="0" w:color="D9D9E3"/>
            </w:tcBorders>
            <w:vAlign w:val="bottom"/>
          </w:tcPr>
          <w:p w14:paraId="19871E59" w14:textId="77777777" w:rsidR="00DD1E77" w:rsidRDefault="00000000">
            <w:pPr>
              <w:spacing w:after="114" w:line="259" w:lineRule="auto"/>
              <w:ind w:left="10" w:firstLine="0"/>
              <w:jc w:val="left"/>
            </w:pPr>
            <w:r>
              <w:rPr>
                <w:b/>
              </w:rPr>
              <w:t>Sustainable</w:t>
            </w:r>
          </w:p>
          <w:p w14:paraId="6FA4023D" w14:textId="77777777" w:rsidR="00DD1E77" w:rsidRDefault="00000000">
            <w:pPr>
              <w:spacing w:after="114" w:line="259" w:lineRule="auto"/>
              <w:ind w:left="10" w:firstLine="0"/>
              <w:jc w:val="left"/>
            </w:pPr>
            <w:r>
              <w:rPr>
                <w:b/>
              </w:rPr>
              <w:t>Competitive</w:t>
            </w:r>
          </w:p>
          <w:p w14:paraId="01F6CA10" w14:textId="77777777" w:rsidR="00DD1E77" w:rsidRDefault="00000000">
            <w:pPr>
              <w:spacing w:after="0" w:line="259" w:lineRule="auto"/>
              <w:ind w:left="10" w:firstLine="0"/>
              <w:jc w:val="left"/>
            </w:pPr>
            <w:r>
              <w:rPr>
                <w:b/>
              </w:rPr>
              <w:t>Advantage</w:t>
            </w:r>
          </w:p>
        </w:tc>
      </w:tr>
      <w:tr w:rsidR="00DD1E77" w14:paraId="19DAAD3C" w14:textId="77777777">
        <w:trPr>
          <w:trHeight w:val="4980"/>
        </w:trPr>
        <w:tc>
          <w:tcPr>
            <w:tcW w:w="1380" w:type="dxa"/>
            <w:tcBorders>
              <w:top w:val="single" w:sz="8" w:space="0" w:color="D9D9E3"/>
              <w:left w:val="single" w:sz="8" w:space="0" w:color="D9D9E3"/>
              <w:bottom w:val="single" w:sz="8" w:space="0" w:color="D9D9E3"/>
              <w:right w:val="single" w:sz="8" w:space="0" w:color="D9D9E3"/>
            </w:tcBorders>
            <w:vAlign w:val="bottom"/>
          </w:tcPr>
          <w:p w14:paraId="1EACB487" w14:textId="77777777" w:rsidR="00DD1E77" w:rsidRDefault="00000000">
            <w:pPr>
              <w:spacing w:after="114" w:line="259" w:lineRule="auto"/>
              <w:ind w:left="0" w:firstLine="0"/>
              <w:jc w:val="left"/>
            </w:pPr>
            <w:r>
              <w:rPr>
                <w:b/>
              </w:rPr>
              <w:t>Direct</w:t>
            </w:r>
          </w:p>
          <w:p w14:paraId="62966B8B" w14:textId="77777777" w:rsidR="00DD1E77" w:rsidRDefault="00000000">
            <w:pPr>
              <w:spacing w:after="114" w:line="259" w:lineRule="auto"/>
              <w:ind w:left="0" w:firstLine="0"/>
              <w:jc w:val="left"/>
            </w:pPr>
            <w:r>
              <w:rPr>
                <w:b/>
              </w:rPr>
              <w:t>Sales</w:t>
            </w:r>
          </w:p>
          <w:p w14:paraId="3FA89ECB" w14:textId="77777777" w:rsidR="00DD1E77" w:rsidRDefault="00000000">
            <w:pPr>
              <w:spacing w:after="0" w:line="259" w:lineRule="auto"/>
              <w:ind w:left="0" w:firstLine="0"/>
              <w:jc w:val="left"/>
            </w:pPr>
            <w:r>
              <w:rPr>
                <w:b/>
              </w:rPr>
              <w:t>Model</w:t>
            </w:r>
          </w:p>
        </w:tc>
        <w:tc>
          <w:tcPr>
            <w:tcW w:w="1740" w:type="dxa"/>
            <w:tcBorders>
              <w:top w:val="single" w:sz="8" w:space="0" w:color="D9D9E3"/>
              <w:left w:val="single" w:sz="8" w:space="0" w:color="D9D9E3"/>
              <w:bottom w:val="single" w:sz="8" w:space="0" w:color="D9D9E3"/>
              <w:right w:val="single" w:sz="8" w:space="0" w:color="D9D9E3"/>
            </w:tcBorders>
            <w:vAlign w:val="bottom"/>
          </w:tcPr>
          <w:p w14:paraId="42E0AFC8" w14:textId="77777777" w:rsidR="00DD1E77" w:rsidRDefault="00000000">
            <w:pPr>
              <w:spacing w:after="143" w:line="259" w:lineRule="auto"/>
              <w:ind w:left="0" w:firstLine="0"/>
              <w:jc w:val="left"/>
            </w:pPr>
            <w:proofErr w:type="spellStart"/>
            <w:r>
              <w:t>Yes,Enables</w:t>
            </w:r>
            <w:proofErr w:type="spellEnd"/>
          </w:p>
          <w:p w14:paraId="40C463EC" w14:textId="77777777" w:rsidR="00DD1E77" w:rsidRDefault="00000000">
            <w:pPr>
              <w:tabs>
                <w:tab w:val="right" w:pos="1545"/>
              </w:tabs>
              <w:spacing w:after="120" w:line="259" w:lineRule="auto"/>
              <w:ind w:left="0" w:firstLine="0"/>
              <w:jc w:val="left"/>
            </w:pPr>
            <w:r>
              <w:t>Dell</w:t>
            </w:r>
            <w:r>
              <w:tab/>
              <w:t>to have a</w:t>
            </w:r>
          </w:p>
          <w:p w14:paraId="493A2D86" w14:textId="77777777" w:rsidR="00DD1E77" w:rsidRDefault="00000000">
            <w:pPr>
              <w:spacing w:after="0" w:line="376" w:lineRule="auto"/>
              <w:ind w:left="0" w:right="5" w:firstLine="0"/>
            </w:pPr>
            <w:r>
              <w:t>direct relationship with customers, allowing for</w:t>
            </w:r>
          </w:p>
          <w:p w14:paraId="57F150E2" w14:textId="77777777" w:rsidR="00DD1E77" w:rsidRDefault="00000000">
            <w:pPr>
              <w:spacing w:after="143" w:line="259" w:lineRule="auto"/>
              <w:ind w:left="0" w:firstLine="0"/>
              <w:jc w:val="left"/>
            </w:pPr>
            <w:r>
              <w:t>customization</w:t>
            </w:r>
          </w:p>
          <w:p w14:paraId="5FB8DAD2" w14:textId="77777777" w:rsidR="00DD1E77" w:rsidRDefault="00000000">
            <w:pPr>
              <w:spacing w:after="0" w:line="259" w:lineRule="auto"/>
              <w:ind w:left="0" w:firstLine="0"/>
              <w:jc w:val="left"/>
            </w:pPr>
            <w:r>
              <w:t>and</w:t>
            </w:r>
            <w:r>
              <w:tab/>
              <w:t>rapid feedback.</w:t>
            </w:r>
          </w:p>
        </w:tc>
        <w:tc>
          <w:tcPr>
            <w:tcW w:w="1520" w:type="dxa"/>
            <w:tcBorders>
              <w:top w:val="single" w:sz="8" w:space="0" w:color="D9D9E3"/>
              <w:left w:val="single" w:sz="8" w:space="0" w:color="D9D9E3"/>
              <w:bottom w:val="single" w:sz="8" w:space="0" w:color="D9D9E3"/>
              <w:right w:val="single" w:sz="8" w:space="0" w:color="D9D9E3"/>
            </w:tcBorders>
            <w:vAlign w:val="bottom"/>
          </w:tcPr>
          <w:p w14:paraId="51AF99A2" w14:textId="77777777" w:rsidR="00DD1E77" w:rsidRDefault="00000000">
            <w:pPr>
              <w:spacing w:after="29" w:line="357" w:lineRule="auto"/>
              <w:ind w:left="15" w:firstLine="0"/>
              <w:jc w:val="left"/>
            </w:pPr>
            <w:proofErr w:type="spellStart"/>
            <w:r>
              <w:t>Yes,Few</w:t>
            </w:r>
            <w:proofErr w:type="spellEnd"/>
            <w:r>
              <w:t xml:space="preserve"> competitors</w:t>
            </w:r>
          </w:p>
          <w:p w14:paraId="58A5B28B" w14:textId="77777777" w:rsidR="00DD1E77" w:rsidRDefault="00000000">
            <w:pPr>
              <w:spacing w:after="0" w:line="259" w:lineRule="auto"/>
              <w:ind w:left="15" w:right="5" w:firstLine="0"/>
            </w:pPr>
            <w:r>
              <w:t>utilise a direct sales model to the extent Dell does.</w:t>
            </w:r>
          </w:p>
        </w:tc>
        <w:tc>
          <w:tcPr>
            <w:tcW w:w="1580" w:type="dxa"/>
            <w:tcBorders>
              <w:top w:val="single" w:sz="8" w:space="0" w:color="D9D9E3"/>
              <w:left w:val="single" w:sz="8" w:space="0" w:color="D9D9E3"/>
              <w:bottom w:val="single" w:sz="8" w:space="0" w:color="D9D9E3"/>
              <w:right w:val="single" w:sz="8" w:space="0" w:color="D9D9E3"/>
            </w:tcBorders>
            <w:vAlign w:val="bottom"/>
          </w:tcPr>
          <w:p w14:paraId="67BF5E67" w14:textId="77777777" w:rsidR="00DD1E77" w:rsidRDefault="00000000">
            <w:pPr>
              <w:spacing w:after="0" w:line="376" w:lineRule="auto"/>
              <w:ind w:left="10" w:right="10" w:firstLine="0"/>
            </w:pPr>
            <w:r>
              <w:t>Competitors are entrenched in retail and</w:t>
            </w:r>
          </w:p>
          <w:p w14:paraId="33958271" w14:textId="77777777" w:rsidR="00DD1E77" w:rsidRDefault="00000000">
            <w:pPr>
              <w:spacing w:after="29" w:line="357" w:lineRule="auto"/>
              <w:ind w:left="10" w:firstLine="0"/>
              <w:jc w:val="left"/>
            </w:pPr>
            <w:r>
              <w:t>online distribution channels,</w:t>
            </w:r>
          </w:p>
          <w:p w14:paraId="09B9E78B" w14:textId="77777777" w:rsidR="00DD1E77" w:rsidRDefault="00000000">
            <w:pPr>
              <w:spacing w:after="0" w:line="259" w:lineRule="auto"/>
              <w:ind w:left="10" w:firstLine="0"/>
              <w:jc w:val="left"/>
            </w:pPr>
            <w:r>
              <w:t>making</w:t>
            </w:r>
            <w:r>
              <w:tab/>
              <w:t>it hard to switch to</w:t>
            </w:r>
            <w:r>
              <w:tab/>
              <w:t>a</w:t>
            </w:r>
            <w:r>
              <w:tab/>
              <w:t>direct model.</w:t>
            </w:r>
          </w:p>
        </w:tc>
        <w:tc>
          <w:tcPr>
            <w:tcW w:w="1660" w:type="dxa"/>
            <w:tcBorders>
              <w:top w:val="single" w:sz="8" w:space="0" w:color="D9D9E3"/>
              <w:left w:val="single" w:sz="8" w:space="0" w:color="D9D9E3"/>
              <w:bottom w:val="single" w:sz="8" w:space="0" w:color="D9D9E3"/>
              <w:right w:val="single" w:sz="8" w:space="0" w:color="D9D9E3"/>
            </w:tcBorders>
            <w:vAlign w:val="bottom"/>
          </w:tcPr>
          <w:p w14:paraId="3BF485B4" w14:textId="77777777" w:rsidR="00DD1E77" w:rsidRDefault="00000000">
            <w:pPr>
              <w:spacing w:after="0" w:line="259" w:lineRule="auto"/>
              <w:ind w:left="5" w:right="5" w:firstLine="0"/>
            </w:pPr>
            <w:proofErr w:type="spellStart"/>
            <w:r>
              <w:t>Yes,Dell</w:t>
            </w:r>
            <w:proofErr w:type="spellEnd"/>
            <w:r>
              <w:t xml:space="preserve"> has the salesforce, processes, and infrastructure to exploit this resource.</w:t>
            </w:r>
          </w:p>
        </w:tc>
        <w:tc>
          <w:tcPr>
            <w:tcW w:w="1480" w:type="dxa"/>
            <w:tcBorders>
              <w:top w:val="single" w:sz="8" w:space="0" w:color="D9D9E3"/>
              <w:left w:val="single" w:sz="8" w:space="0" w:color="D9D9E3"/>
              <w:bottom w:val="single" w:sz="8" w:space="0" w:color="D9D9E3"/>
              <w:right w:val="single" w:sz="8" w:space="0" w:color="D9D9E3"/>
            </w:tcBorders>
            <w:vAlign w:val="bottom"/>
          </w:tcPr>
          <w:p w14:paraId="2EBA2BCC" w14:textId="77777777" w:rsidR="00DD1E77" w:rsidRDefault="00000000">
            <w:pPr>
              <w:spacing w:after="0" w:line="357" w:lineRule="auto"/>
              <w:ind w:left="10" w:firstLine="0"/>
              <w:jc w:val="left"/>
            </w:pPr>
            <w:proofErr w:type="spellStart"/>
            <w:r>
              <w:t>Yes,Sustaina</w:t>
            </w:r>
            <w:proofErr w:type="spellEnd"/>
            <w:r>
              <w:t xml:space="preserve"> </w:t>
            </w:r>
            <w:proofErr w:type="spellStart"/>
            <w:r>
              <w:t>ble</w:t>
            </w:r>
            <w:proofErr w:type="spellEnd"/>
          </w:p>
          <w:p w14:paraId="372F100B" w14:textId="77777777" w:rsidR="00DD1E77" w:rsidRDefault="00000000">
            <w:pPr>
              <w:spacing w:after="114" w:line="259" w:lineRule="auto"/>
              <w:ind w:left="10" w:firstLine="0"/>
              <w:jc w:val="left"/>
            </w:pPr>
            <w:r>
              <w:t>Competitive</w:t>
            </w:r>
          </w:p>
          <w:p w14:paraId="23875528" w14:textId="77777777" w:rsidR="00DD1E77" w:rsidRDefault="00000000">
            <w:pPr>
              <w:spacing w:after="0" w:line="259" w:lineRule="auto"/>
              <w:ind w:left="10" w:firstLine="0"/>
              <w:jc w:val="left"/>
            </w:pPr>
            <w:r>
              <w:t>Advantage</w:t>
            </w:r>
          </w:p>
        </w:tc>
      </w:tr>
      <w:tr w:rsidR="00DD1E77" w14:paraId="68976D3A" w14:textId="77777777">
        <w:trPr>
          <w:trHeight w:val="840"/>
        </w:trPr>
        <w:tc>
          <w:tcPr>
            <w:tcW w:w="1380" w:type="dxa"/>
            <w:tcBorders>
              <w:top w:val="single" w:sz="8" w:space="0" w:color="D9D9E3"/>
              <w:left w:val="single" w:sz="8" w:space="0" w:color="D9D9E3"/>
              <w:bottom w:val="single" w:sz="8" w:space="0" w:color="D9D9E3"/>
              <w:right w:val="single" w:sz="8" w:space="0" w:color="D9D9E3"/>
            </w:tcBorders>
            <w:vAlign w:val="bottom"/>
          </w:tcPr>
          <w:p w14:paraId="75349822" w14:textId="77777777" w:rsidR="00DD1E77" w:rsidRDefault="00000000">
            <w:pPr>
              <w:spacing w:after="0" w:line="259" w:lineRule="auto"/>
              <w:ind w:left="0" w:firstLine="0"/>
              <w:jc w:val="left"/>
            </w:pPr>
            <w:r>
              <w:rPr>
                <w:b/>
              </w:rPr>
              <w:lastRenderedPageBreak/>
              <w:t>Supply</w:t>
            </w:r>
          </w:p>
        </w:tc>
        <w:tc>
          <w:tcPr>
            <w:tcW w:w="1740" w:type="dxa"/>
            <w:tcBorders>
              <w:top w:val="single" w:sz="8" w:space="0" w:color="D9D9E3"/>
              <w:left w:val="single" w:sz="8" w:space="0" w:color="D9D9E3"/>
              <w:bottom w:val="single" w:sz="8" w:space="0" w:color="D9D9E3"/>
              <w:right w:val="single" w:sz="8" w:space="0" w:color="D9D9E3"/>
            </w:tcBorders>
            <w:vAlign w:val="bottom"/>
          </w:tcPr>
          <w:p w14:paraId="7DBD392C" w14:textId="77777777" w:rsidR="00DD1E77" w:rsidRDefault="00000000">
            <w:pPr>
              <w:spacing w:after="0" w:line="259" w:lineRule="auto"/>
              <w:ind w:left="0" w:firstLine="0"/>
              <w:jc w:val="left"/>
            </w:pPr>
            <w:proofErr w:type="spellStart"/>
            <w:r>
              <w:t>Yes,Enables</w:t>
            </w:r>
            <w:proofErr w:type="spellEnd"/>
          </w:p>
        </w:tc>
        <w:tc>
          <w:tcPr>
            <w:tcW w:w="1520" w:type="dxa"/>
            <w:tcBorders>
              <w:top w:val="single" w:sz="8" w:space="0" w:color="D9D9E3"/>
              <w:left w:val="single" w:sz="8" w:space="0" w:color="D9D9E3"/>
              <w:bottom w:val="single" w:sz="8" w:space="0" w:color="D9D9E3"/>
              <w:right w:val="single" w:sz="8" w:space="0" w:color="D9D9E3"/>
            </w:tcBorders>
            <w:vAlign w:val="bottom"/>
          </w:tcPr>
          <w:p w14:paraId="5F4751AE" w14:textId="77777777" w:rsidR="00DD1E77" w:rsidRDefault="00000000">
            <w:pPr>
              <w:spacing w:after="0" w:line="259" w:lineRule="auto"/>
              <w:ind w:left="15" w:firstLine="0"/>
              <w:jc w:val="left"/>
            </w:pPr>
            <w:proofErr w:type="spellStart"/>
            <w:r>
              <w:t>Yes,The</w:t>
            </w:r>
            <w:proofErr w:type="spellEnd"/>
          </w:p>
        </w:tc>
        <w:tc>
          <w:tcPr>
            <w:tcW w:w="1580" w:type="dxa"/>
            <w:tcBorders>
              <w:top w:val="single" w:sz="8" w:space="0" w:color="D9D9E3"/>
              <w:left w:val="single" w:sz="8" w:space="0" w:color="D9D9E3"/>
              <w:bottom w:val="single" w:sz="8" w:space="0" w:color="D9D9E3"/>
              <w:right w:val="single" w:sz="8" w:space="0" w:color="D9D9E3"/>
            </w:tcBorders>
            <w:vAlign w:val="bottom"/>
          </w:tcPr>
          <w:p w14:paraId="4E15746D" w14:textId="77777777" w:rsidR="00DD1E77" w:rsidRDefault="00000000">
            <w:pPr>
              <w:spacing w:after="0" w:line="259" w:lineRule="auto"/>
              <w:ind w:left="10" w:firstLine="0"/>
              <w:jc w:val="left"/>
            </w:pPr>
            <w:proofErr w:type="spellStart"/>
            <w:r>
              <w:t>Costly,Would</w:t>
            </w:r>
            <w:proofErr w:type="spellEnd"/>
          </w:p>
        </w:tc>
        <w:tc>
          <w:tcPr>
            <w:tcW w:w="1660" w:type="dxa"/>
            <w:tcBorders>
              <w:top w:val="single" w:sz="8" w:space="0" w:color="D9D9E3"/>
              <w:left w:val="single" w:sz="8" w:space="0" w:color="D9D9E3"/>
              <w:bottom w:val="single" w:sz="8" w:space="0" w:color="D9D9E3"/>
              <w:right w:val="single" w:sz="8" w:space="0" w:color="D9D9E3"/>
            </w:tcBorders>
            <w:vAlign w:val="bottom"/>
          </w:tcPr>
          <w:p w14:paraId="282048E0" w14:textId="77777777" w:rsidR="00DD1E77" w:rsidRDefault="00000000">
            <w:pPr>
              <w:spacing w:after="0" w:line="259" w:lineRule="auto"/>
              <w:ind w:left="5" w:firstLine="0"/>
              <w:jc w:val="left"/>
            </w:pPr>
            <w:proofErr w:type="spellStart"/>
            <w:r>
              <w:t>Yes,Processes</w:t>
            </w:r>
            <w:proofErr w:type="spellEnd"/>
          </w:p>
        </w:tc>
        <w:tc>
          <w:tcPr>
            <w:tcW w:w="1480" w:type="dxa"/>
            <w:tcBorders>
              <w:top w:val="single" w:sz="8" w:space="0" w:color="D9D9E3"/>
              <w:left w:val="single" w:sz="8" w:space="0" w:color="D9D9E3"/>
              <w:bottom w:val="single" w:sz="8" w:space="0" w:color="D9D9E3"/>
              <w:right w:val="single" w:sz="8" w:space="0" w:color="D9D9E3"/>
            </w:tcBorders>
            <w:vAlign w:val="bottom"/>
          </w:tcPr>
          <w:p w14:paraId="79987397" w14:textId="77777777" w:rsidR="00DD1E77" w:rsidRDefault="00000000">
            <w:pPr>
              <w:spacing w:after="0" w:line="259" w:lineRule="auto"/>
              <w:ind w:left="10" w:firstLine="0"/>
              <w:jc w:val="left"/>
            </w:pPr>
            <w:proofErr w:type="spellStart"/>
            <w:r>
              <w:t>Yes,Sustaina</w:t>
            </w:r>
            <w:proofErr w:type="spellEnd"/>
          </w:p>
        </w:tc>
      </w:tr>
      <w:tr w:rsidR="00DD1E77" w14:paraId="7017A6C0" w14:textId="77777777">
        <w:trPr>
          <w:trHeight w:val="3120"/>
        </w:trPr>
        <w:tc>
          <w:tcPr>
            <w:tcW w:w="1380" w:type="dxa"/>
            <w:tcBorders>
              <w:top w:val="single" w:sz="8" w:space="0" w:color="D9D9E3"/>
              <w:left w:val="single" w:sz="8" w:space="0" w:color="D9D9E3"/>
              <w:bottom w:val="single" w:sz="8" w:space="0" w:color="D9D9E3"/>
              <w:right w:val="single" w:sz="8" w:space="0" w:color="D9D9E3"/>
            </w:tcBorders>
          </w:tcPr>
          <w:p w14:paraId="14463033" w14:textId="77777777" w:rsidR="00DD1E77" w:rsidRDefault="00000000">
            <w:pPr>
              <w:spacing w:after="114" w:line="259" w:lineRule="auto"/>
              <w:ind w:left="0" w:firstLine="0"/>
              <w:jc w:val="left"/>
            </w:pPr>
            <w:r>
              <w:rPr>
                <w:b/>
              </w:rPr>
              <w:t>Chain</w:t>
            </w:r>
          </w:p>
          <w:p w14:paraId="63B3DE1B" w14:textId="77777777" w:rsidR="00DD1E77" w:rsidRDefault="00000000">
            <w:pPr>
              <w:spacing w:after="0" w:line="259" w:lineRule="auto"/>
              <w:ind w:left="0" w:firstLine="0"/>
              <w:jc w:val="left"/>
            </w:pPr>
            <w:r>
              <w:rPr>
                <w:b/>
              </w:rPr>
              <w:t>Integration</w:t>
            </w:r>
          </w:p>
        </w:tc>
        <w:tc>
          <w:tcPr>
            <w:tcW w:w="1740" w:type="dxa"/>
            <w:tcBorders>
              <w:top w:val="single" w:sz="8" w:space="0" w:color="D9D9E3"/>
              <w:left w:val="single" w:sz="8" w:space="0" w:color="D9D9E3"/>
              <w:bottom w:val="single" w:sz="8" w:space="0" w:color="D9D9E3"/>
              <w:right w:val="single" w:sz="8" w:space="0" w:color="D9D9E3"/>
            </w:tcBorders>
          </w:tcPr>
          <w:p w14:paraId="065C99E3" w14:textId="77777777" w:rsidR="00DD1E77" w:rsidRDefault="00000000">
            <w:pPr>
              <w:spacing w:after="0" w:line="259" w:lineRule="auto"/>
              <w:ind w:left="0" w:firstLine="0"/>
              <w:jc w:val="left"/>
            </w:pPr>
            <w:r>
              <w:t>mass customization and just-in-time manufacturing, optimising costs.</w:t>
            </w:r>
          </w:p>
        </w:tc>
        <w:tc>
          <w:tcPr>
            <w:tcW w:w="1520" w:type="dxa"/>
            <w:tcBorders>
              <w:top w:val="single" w:sz="8" w:space="0" w:color="D9D9E3"/>
              <w:left w:val="single" w:sz="8" w:space="0" w:color="D9D9E3"/>
              <w:bottom w:val="single" w:sz="8" w:space="0" w:color="D9D9E3"/>
              <w:right w:val="single" w:sz="8" w:space="0" w:color="D9D9E3"/>
            </w:tcBorders>
            <w:vAlign w:val="center"/>
          </w:tcPr>
          <w:p w14:paraId="29885868" w14:textId="77777777" w:rsidR="00DD1E77" w:rsidRDefault="00000000">
            <w:pPr>
              <w:tabs>
                <w:tab w:val="right" w:pos="1325"/>
              </w:tabs>
              <w:spacing w:after="120" w:line="259" w:lineRule="auto"/>
              <w:ind w:left="0" w:firstLine="0"/>
              <w:jc w:val="left"/>
            </w:pPr>
            <w:r>
              <w:t>level</w:t>
            </w:r>
            <w:r>
              <w:tab/>
              <w:t>of</w:t>
            </w:r>
          </w:p>
          <w:p w14:paraId="6EB4576F" w14:textId="77777777" w:rsidR="00DD1E77" w:rsidRDefault="00000000">
            <w:pPr>
              <w:spacing w:after="143" w:line="259" w:lineRule="auto"/>
              <w:ind w:left="15" w:firstLine="0"/>
              <w:jc w:val="left"/>
            </w:pPr>
            <w:r>
              <w:t>integration</w:t>
            </w:r>
          </w:p>
          <w:p w14:paraId="178B2C5F" w14:textId="77777777" w:rsidR="00DD1E77" w:rsidRDefault="00000000">
            <w:pPr>
              <w:spacing w:after="0" w:line="259" w:lineRule="auto"/>
              <w:ind w:left="15" w:right="5" w:firstLine="0"/>
            </w:pPr>
            <w:r>
              <w:t>Dell has achieved is not common in</w:t>
            </w:r>
            <w:r>
              <w:tab/>
              <w:t>the industry.</w:t>
            </w:r>
          </w:p>
        </w:tc>
        <w:tc>
          <w:tcPr>
            <w:tcW w:w="1580" w:type="dxa"/>
            <w:tcBorders>
              <w:top w:val="single" w:sz="8" w:space="0" w:color="D9D9E3"/>
              <w:left w:val="single" w:sz="8" w:space="0" w:color="D9D9E3"/>
              <w:bottom w:val="single" w:sz="8" w:space="0" w:color="D9D9E3"/>
              <w:right w:val="single" w:sz="8" w:space="0" w:color="D9D9E3"/>
            </w:tcBorders>
          </w:tcPr>
          <w:p w14:paraId="5131F37B" w14:textId="77777777" w:rsidR="00DD1E77" w:rsidRDefault="00000000">
            <w:pPr>
              <w:spacing w:after="29" w:line="357" w:lineRule="auto"/>
              <w:ind w:left="10" w:firstLine="0"/>
              <w:jc w:val="left"/>
            </w:pPr>
            <w:r>
              <w:t>require significant</w:t>
            </w:r>
          </w:p>
          <w:p w14:paraId="04568DA7" w14:textId="77777777" w:rsidR="00DD1E77" w:rsidRDefault="00000000">
            <w:pPr>
              <w:spacing w:after="0" w:line="388" w:lineRule="auto"/>
              <w:ind w:left="10" w:firstLine="0"/>
            </w:pPr>
            <w:r>
              <w:t>time and capital for</w:t>
            </w:r>
          </w:p>
          <w:p w14:paraId="0784FC97" w14:textId="77777777" w:rsidR="00DD1E77" w:rsidRDefault="00000000">
            <w:pPr>
              <w:spacing w:after="0" w:line="259" w:lineRule="auto"/>
              <w:ind w:left="10" w:right="55" w:firstLine="0"/>
              <w:jc w:val="left"/>
            </w:pPr>
            <w:r>
              <w:t>competitors to develop.</w:t>
            </w:r>
          </w:p>
        </w:tc>
        <w:tc>
          <w:tcPr>
            <w:tcW w:w="1660" w:type="dxa"/>
            <w:tcBorders>
              <w:top w:val="single" w:sz="8" w:space="0" w:color="D9D9E3"/>
              <w:left w:val="single" w:sz="8" w:space="0" w:color="D9D9E3"/>
              <w:bottom w:val="single" w:sz="8" w:space="0" w:color="D9D9E3"/>
              <w:right w:val="single" w:sz="8" w:space="0" w:color="D9D9E3"/>
            </w:tcBorders>
          </w:tcPr>
          <w:p w14:paraId="13DAD3D2" w14:textId="77777777" w:rsidR="00DD1E77" w:rsidRDefault="00000000">
            <w:pPr>
              <w:spacing w:after="114" w:line="259" w:lineRule="auto"/>
              <w:ind w:left="5" w:firstLine="0"/>
              <w:jc w:val="left"/>
            </w:pPr>
            <w:r>
              <w:t>and</w:t>
            </w:r>
          </w:p>
          <w:p w14:paraId="4CFCE426" w14:textId="77777777" w:rsidR="00DD1E77" w:rsidRDefault="00000000">
            <w:pPr>
              <w:spacing w:after="143" w:line="259" w:lineRule="auto"/>
              <w:ind w:left="5" w:firstLine="0"/>
              <w:jc w:val="left"/>
            </w:pPr>
            <w:r>
              <w:t>infrastructure</w:t>
            </w:r>
          </w:p>
          <w:p w14:paraId="1CC95CE0" w14:textId="77777777" w:rsidR="00DD1E77" w:rsidRDefault="00000000">
            <w:pPr>
              <w:spacing w:after="0" w:line="259" w:lineRule="auto"/>
              <w:ind w:left="5" w:right="9" w:firstLine="0"/>
            </w:pPr>
            <w:r>
              <w:t>are fully aligned to exploit this capability.</w:t>
            </w:r>
          </w:p>
        </w:tc>
        <w:tc>
          <w:tcPr>
            <w:tcW w:w="1480" w:type="dxa"/>
            <w:tcBorders>
              <w:top w:val="single" w:sz="8" w:space="0" w:color="D9D9E3"/>
              <w:left w:val="single" w:sz="8" w:space="0" w:color="D9D9E3"/>
              <w:bottom w:val="single" w:sz="8" w:space="0" w:color="D9D9E3"/>
              <w:right w:val="single" w:sz="8" w:space="0" w:color="D9D9E3"/>
            </w:tcBorders>
          </w:tcPr>
          <w:p w14:paraId="73FCB365" w14:textId="77777777" w:rsidR="00DD1E77" w:rsidRDefault="00000000">
            <w:pPr>
              <w:spacing w:after="114" w:line="259" w:lineRule="auto"/>
              <w:ind w:left="10" w:firstLine="0"/>
              <w:jc w:val="left"/>
            </w:pPr>
            <w:proofErr w:type="spellStart"/>
            <w:r>
              <w:t>ble</w:t>
            </w:r>
            <w:proofErr w:type="spellEnd"/>
          </w:p>
          <w:p w14:paraId="407B2878" w14:textId="77777777" w:rsidR="00DD1E77" w:rsidRDefault="00000000">
            <w:pPr>
              <w:spacing w:after="114" w:line="259" w:lineRule="auto"/>
              <w:ind w:left="10" w:firstLine="0"/>
              <w:jc w:val="left"/>
            </w:pPr>
            <w:r>
              <w:t>Competitive</w:t>
            </w:r>
          </w:p>
          <w:p w14:paraId="4FCC6A52" w14:textId="77777777" w:rsidR="00DD1E77" w:rsidRDefault="00000000">
            <w:pPr>
              <w:spacing w:after="0" w:line="259" w:lineRule="auto"/>
              <w:ind w:left="10" w:firstLine="0"/>
              <w:jc w:val="left"/>
            </w:pPr>
            <w:r>
              <w:t>Advantage</w:t>
            </w:r>
          </w:p>
        </w:tc>
      </w:tr>
      <w:tr w:rsidR="00DD1E77" w14:paraId="75D1C286" w14:textId="77777777">
        <w:trPr>
          <w:trHeight w:val="3320"/>
        </w:trPr>
        <w:tc>
          <w:tcPr>
            <w:tcW w:w="1380" w:type="dxa"/>
            <w:tcBorders>
              <w:top w:val="single" w:sz="8" w:space="0" w:color="D9D9E3"/>
              <w:left w:val="single" w:sz="8" w:space="0" w:color="D9D9E3"/>
              <w:bottom w:val="single" w:sz="8" w:space="0" w:color="D9D9E3"/>
              <w:right w:val="single" w:sz="8" w:space="0" w:color="D9D9E3"/>
            </w:tcBorders>
            <w:vAlign w:val="bottom"/>
          </w:tcPr>
          <w:p w14:paraId="56650138" w14:textId="77777777" w:rsidR="00DD1E77" w:rsidRDefault="00000000">
            <w:pPr>
              <w:spacing w:after="114" w:line="259" w:lineRule="auto"/>
              <w:ind w:left="0" w:firstLine="0"/>
              <w:jc w:val="left"/>
            </w:pPr>
            <w:r>
              <w:rPr>
                <w:b/>
              </w:rPr>
              <w:t>Brand</w:t>
            </w:r>
          </w:p>
          <w:p w14:paraId="7BECA9B7" w14:textId="77777777" w:rsidR="00DD1E77" w:rsidRDefault="00000000">
            <w:pPr>
              <w:spacing w:after="0" w:line="259" w:lineRule="auto"/>
              <w:ind w:left="0" w:firstLine="0"/>
              <w:jc w:val="left"/>
            </w:pPr>
            <w:r>
              <w:rPr>
                <w:b/>
              </w:rPr>
              <w:t>Reputation</w:t>
            </w:r>
          </w:p>
        </w:tc>
        <w:tc>
          <w:tcPr>
            <w:tcW w:w="1740" w:type="dxa"/>
            <w:tcBorders>
              <w:top w:val="single" w:sz="8" w:space="0" w:color="D9D9E3"/>
              <w:left w:val="single" w:sz="8" w:space="0" w:color="D9D9E3"/>
              <w:bottom w:val="single" w:sz="8" w:space="0" w:color="D9D9E3"/>
              <w:right w:val="single" w:sz="8" w:space="0" w:color="D9D9E3"/>
            </w:tcBorders>
            <w:vAlign w:val="bottom"/>
          </w:tcPr>
          <w:p w14:paraId="4137D2A8" w14:textId="77777777" w:rsidR="00DD1E77" w:rsidRDefault="00000000">
            <w:pPr>
              <w:spacing w:after="143" w:line="259" w:lineRule="auto"/>
              <w:ind w:left="0" w:firstLine="0"/>
              <w:jc w:val="left"/>
            </w:pPr>
            <w:proofErr w:type="spellStart"/>
            <w:r>
              <w:t>Yes,Allows</w:t>
            </w:r>
            <w:proofErr w:type="spellEnd"/>
          </w:p>
          <w:p w14:paraId="15995691" w14:textId="77777777" w:rsidR="00DD1E77" w:rsidRDefault="00000000">
            <w:pPr>
              <w:tabs>
                <w:tab w:val="right" w:pos="1545"/>
              </w:tabs>
              <w:spacing w:after="150" w:line="259" w:lineRule="auto"/>
              <w:ind w:left="0" w:firstLine="0"/>
              <w:jc w:val="left"/>
            </w:pPr>
            <w:r>
              <w:t>Dell</w:t>
            </w:r>
            <w:r>
              <w:tab/>
              <w:t>to</w:t>
            </w:r>
          </w:p>
          <w:p w14:paraId="369AC2DB" w14:textId="77777777" w:rsidR="00DD1E77" w:rsidRDefault="00000000">
            <w:pPr>
              <w:spacing w:after="0" w:line="388" w:lineRule="auto"/>
              <w:ind w:left="0" w:firstLine="0"/>
            </w:pPr>
            <w:r>
              <w:t>command price premiums and</w:t>
            </w:r>
          </w:p>
          <w:p w14:paraId="6A321EA7" w14:textId="77777777" w:rsidR="00DD1E77" w:rsidRDefault="00000000">
            <w:pPr>
              <w:spacing w:after="0" w:line="259" w:lineRule="auto"/>
              <w:ind w:left="0" w:firstLine="0"/>
              <w:jc w:val="left"/>
            </w:pPr>
            <w:r>
              <w:t>engenders customer loyalty.</w:t>
            </w:r>
          </w:p>
        </w:tc>
        <w:tc>
          <w:tcPr>
            <w:tcW w:w="1520" w:type="dxa"/>
            <w:tcBorders>
              <w:top w:val="single" w:sz="8" w:space="0" w:color="D9D9E3"/>
              <w:left w:val="single" w:sz="8" w:space="0" w:color="D9D9E3"/>
              <w:bottom w:val="single" w:sz="8" w:space="0" w:color="D9D9E3"/>
              <w:right w:val="single" w:sz="8" w:space="0" w:color="D9D9E3"/>
            </w:tcBorders>
            <w:vAlign w:val="bottom"/>
          </w:tcPr>
          <w:p w14:paraId="1FCED75E" w14:textId="77777777" w:rsidR="00DD1E77" w:rsidRDefault="00000000">
            <w:pPr>
              <w:spacing w:after="143" w:line="259" w:lineRule="auto"/>
              <w:ind w:left="15" w:firstLine="0"/>
              <w:jc w:val="left"/>
            </w:pPr>
            <w:proofErr w:type="spellStart"/>
            <w:r>
              <w:t>Yes,While</w:t>
            </w:r>
            <w:proofErr w:type="spellEnd"/>
          </w:p>
          <w:p w14:paraId="5D28FDCC" w14:textId="77777777" w:rsidR="00DD1E77" w:rsidRDefault="00000000">
            <w:pPr>
              <w:tabs>
                <w:tab w:val="center" w:pos="828"/>
                <w:tab w:val="right" w:pos="1325"/>
              </w:tabs>
              <w:spacing w:after="150" w:line="259" w:lineRule="auto"/>
              <w:ind w:left="0" w:firstLine="0"/>
              <w:jc w:val="left"/>
            </w:pPr>
            <w:r>
              <w:t>Dell</w:t>
            </w:r>
            <w:r>
              <w:tab/>
              <w:t>has</w:t>
            </w:r>
            <w:r>
              <w:tab/>
              <w:t>a</w:t>
            </w:r>
          </w:p>
          <w:p w14:paraId="089D7459" w14:textId="77777777" w:rsidR="00DD1E77" w:rsidRDefault="00000000">
            <w:pPr>
              <w:spacing w:after="0" w:line="259" w:lineRule="auto"/>
              <w:ind w:left="15" w:firstLine="0"/>
              <w:jc w:val="left"/>
            </w:pPr>
            <w:r>
              <w:t>strong brand, strong brands also</w:t>
            </w:r>
            <w:r>
              <w:tab/>
              <w:t>exist among competitors.</w:t>
            </w:r>
          </w:p>
        </w:tc>
        <w:tc>
          <w:tcPr>
            <w:tcW w:w="1580" w:type="dxa"/>
            <w:tcBorders>
              <w:top w:val="single" w:sz="8" w:space="0" w:color="D9D9E3"/>
              <w:left w:val="single" w:sz="8" w:space="0" w:color="D9D9E3"/>
              <w:bottom w:val="single" w:sz="8" w:space="0" w:color="D9D9E3"/>
              <w:right w:val="single" w:sz="8" w:space="0" w:color="D9D9E3"/>
            </w:tcBorders>
            <w:vAlign w:val="bottom"/>
          </w:tcPr>
          <w:p w14:paraId="1B8529C4" w14:textId="77777777" w:rsidR="00DD1E77" w:rsidRDefault="00000000">
            <w:pPr>
              <w:spacing w:after="143" w:line="259" w:lineRule="auto"/>
              <w:ind w:left="10" w:firstLine="0"/>
              <w:jc w:val="left"/>
            </w:pPr>
            <w:proofErr w:type="spellStart"/>
            <w:r>
              <w:t>Costly,Buildi</w:t>
            </w:r>
            <w:proofErr w:type="spellEnd"/>
          </w:p>
          <w:p w14:paraId="5E9FF6DA" w14:textId="77777777" w:rsidR="00DD1E77" w:rsidRDefault="00000000">
            <w:pPr>
              <w:spacing w:after="8" w:line="376" w:lineRule="auto"/>
              <w:ind w:left="10" w:right="17" w:firstLine="0"/>
            </w:pPr>
            <w:r>
              <w:t>ng a brand would require significant</w:t>
            </w:r>
          </w:p>
          <w:p w14:paraId="39CE014E" w14:textId="77777777" w:rsidR="00DD1E77" w:rsidRDefault="00000000">
            <w:pPr>
              <w:spacing w:after="0" w:line="259" w:lineRule="auto"/>
              <w:ind w:left="10" w:right="12" w:firstLine="0"/>
            </w:pPr>
            <w:r>
              <w:t>time and money, but it is possible.</w:t>
            </w:r>
          </w:p>
        </w:tc>
        <w:tc>
          <w:tcPr>
            <w:tcW w:w="1660" w:type="dxa"/>
            <w:tcBorders>
              <w:top w:val="single" w:sz="8" w:space="0" w:color="D9D9E3"/>
              <w:left w:val="single" w:sz="8" w:space="0" w:color="D9D9E3"/>
              <w:bottom w:val="single" w:sz="8" w:space="0" w:color="D9D9E3"/>
              <w:right w:val="single" w:sz="8" w:space="0" w:color="D9D9E3"/>
            </w:tcBorders>
            <w:vAlign w:val="bottom"/>
          </w:tcPr>
          <w:p w14:paraId="2F14EDB2" w14:textId="77777777" w:rsidR="00DD1E77" w:rsidRDefault="00000000">
            <w:pPr>
              <w:spacing w:after="143" w:line="259" w:lineRule="auto"/>
              <w:ind w:left="5" w:firstLine="0"/>
              <w:jc w:val="left"/>
            </w:pPr>
            <w:proofErr w:type="spellStart"/>
            <w:r>
              <w:t>Yes,Dell</w:t>
            </w:r>
            <w:proofErr w:type="spellEnd"/>
          </w:p>
          <w:p w14:paraId="50EF8FC4" w14:textId="77777777" w:rsidR="00DD1E77" w:rsidRDefault="00000000">
            <w:pPr>
              <w:spacing w:after="0" w:line="259" w:lineRule="auto"/>
              <w:ind w:left="5" w:right="8" w:firstLine="0"/>
            </w:pPr>
            <w:r>
              <w:t>continues to invest in quality and service to maintain brand reputation.</w:t>
            </w:r>
          </w:p>
        </w:tc>
        <w:tc>
          <w:tcPr>
            <w:tcW w:w="1480" w:type="dxa"/>
            <w:tcBorders>
              <w:top w:val="single" w:sz="8" w:space="0" w:color="D9D9E3"/>
              <w:left w:val="single" w:sz="8" w:space="0" w:color="D9D9E3"/>
              <w:bottom w:val="single" w:sz="8" w:space="0" w:color="D9D9E3"/>
              <w:right w:val="single" w:sz="8" w:space="0" w:color="D9D9E3"/>
            </w:tcBorders>
            <w:vAlign w:val="bottom"/>
          </w:tcPr>
          <w:p w14:paraId="116B44B2" w14:textId="77777777" w:rsidR="00DD1E77" w:rsidRDefault="00000000">
            <w:pPr>
              <w:spacing w:after="0" w:line="357" w:lineRule="auto"/>
              <w:ind w:left="10" w:firstLine="0"/>
              <w:jc w:val="left"/>
            </w:pPr>
            <w:proofErr w:type="spellStart"/>
            <w:r>
              <w:t>Yes,Tempora</w:t>
            </w:r>
            <w:proofErr w:type="spellEnd"/>
            <w:r>
              <w:t xml:space="preserve"> </w:t>
            </w:r>
            <w:proofErr w:type="spellStart"/>
            <w:r>
              <w:t>ry</w:t>
            </w:r>
            <w:proofErr w:type="spellEnd"/>
          </w:p>
          <w:p w14:paraId="5B37291E" w14:textId="77777777" w:rsidR="00DD1E77" w:rsidRDefault="00000000">
            <w:pPr>
              <w:spacing w:after="114" w:line="259" w:lineRule="auto"/>
              <w:ind w:left="10" w:firstLine="0"/>
              <w:jc w:val="left"/>
            </w:pPr>
            <w:r>
              <w:t>Competitive</w:t>
            </w:r>
          </w:p>
          <w:p w14:paraId="6E315689" w14:textId="77777777" w:rsidR="00DD1E77" w:rsidRDefault="00000000">
            <w:pPr>
              <w:spacing w:after="0" w:line="259" w:lineRule="auto"/>
              <w:ind w:left="10" w:firstLine="0"/>
              <w:jc w:val="left"/>
            </w:pPr>
            <w:r>
              <w:t>Advantage</w:t>
            </w:r>
          </w:p>
        </w:tc>
      </w:tr>
      <w:tr w:rsidR="00DD1E77" w14:paraId="44C2E91E" w14:textId="77777777">
        <w:trPr>
          <w:trHeight w:val="4140"/>
        </w:trPr>
        <w:tc>
          <w:tcPr>
            <w:tcW w:w="1380" w:type="dxa"/>
            <w:tcBorders>
              <w:top w:val="single" w:sz="8" w:space="0" w:color="D9D9E3"/>
              <w:left w:val="single" w:sz="8" w:space="0" w:color="D9D9E3"/>
              <w:bottom w:val="single" w:sz="8" w:space="0" w:color="D9D9E3"/>
              <w:right w:val="single" w:sz="8" w:space="0" w:color="D9D9E3"/>
            </w:tcBorders>
            <w:vAlign w:val="bottom"/>
          </w:tcPr>
          <w:p w14:paraId="0B207928" w14:textId="77777777" w:rsidR="00DD1E77" w:rsidRDefault="00000000">
            <w:pPr>
              <w:spacing w:after="0" w:line="357" w:lineRule="auto"/>
              <w:ind w:left="0" w:firstLine="0"/>
              <w:jc w:val="left"/>
            </w:pPr>
            <w:r>
              <w:rPr>
                <w:b/>
              </w:rPr>
              <w:t>Technical Services and</w:t>
            </w:r>
          </w:p>
          <w:p w14:paraId="77D4AB5A" w14:textId="77777777" w:rsidR="00DD1E77" w:rsidRDefault="00000000">
            <w:pPr>
              <w:spacing w:after="114" w:line="259" w:lineRule="auto"/>
              <w:ind w:left="0" w:firstLine="0"/>
              <w:jc w:val="left"/>
            </w:pPr>
            <w:r>
              <w:rPr>
                <w:b/>
              </w:rPr>
              <w:t>Customer</w:t>
            </w:r>
          </w:p>
          <w:p w14:paraId="34BE81E6" w14:textId="77777777" w:rsidR="00DD1E77" w:rsidRDefault="00000000">
            <w:pPr>
              <w:spacing w:after="0" w:line="259" w:lineRule="auto"/>
              <w:ind w:left="0" w:firstLine="0"/>
              <w:jc w:val="left"/>
            </w:pPr>
            <w:r>
              <w:rPr>
                <w:b/>
              </w:rPr>
              <w:t>Support</w:t>
            </w:r>
          </w:p>
        </w:tc>
        <w:tc>
          <w:tcPr>
            <w:tcW w:w="1740" w:type="dxa"/>
            <w:tcBorders>
              <w:top w:val="single" w:sz="8" w:space="0" w:color="D9D9E3"/>
              <w:left w:val="single" w:sz="8" w:space="0" w:color="D9D9E3"/>
              <w:bottom w:val="single" w:sz="8" w:space="0" w:color="D9D9E3"/>
              <w:right w:val="single" w:sz="8" w:space="0" w:color="D9D9E3"/>
            </w:tcBorders>
            <w:vAlign w:val="bottom"/>
          </w:tcPr>
          <w:p w14:paraId="0B8A251B" w14:textId="77777777" w:rsidR="00DD1E77" w:rsidRDefault="00000000">
            <w:pPr>
              <w:spacing w:after="23" w:line="363" w:lineRule="auto"/>
              <w:ind w:left="0" w:firstLine="0"/>
              <w:jc w:val="left"/>
            </w:pPr>
            <w:r>
              <w:t>Yes,</w:t>
            </w:r>
            <w:r>
              <w:tab/>
              <w:t>Technical services</w:t>
            </w:r>
          </w:p>
          <w:p w14:paraId="4DBE3A66" w14:textId="77777777" w:rsidR="00DD1E77" w:rsidRDefault="00000000">
            <w:pPr>
              <w:tabs>
                <w:tab w:val="right" w:pos="1545"/>
              </w:tabs>
              <w:spacing w:after="120" w:line="259" w:lineRule="auto"/>
              <w:ind w:left="0" w:firstLine="0"/>
              <w:jc w:val="left"/>
            </w:pPr>
            <w:r>
              <w:t>provide</w:t>
            </w:r>
            <w:r>
              <w:tab/>
              <w:t>an</w:t>
            </w:r>
          </w:p>
          <w:p w14:paraId="15D340BC" w14:textId="77777777" w:rsidR="00DD1E77" w:rsidRDefault="00000000">
            <w:pPr>
              <w:spacing w:after="0" w:line="385" w:lineRule="auto"/>
              <w:ind w:left="0" w:firstLine="0"/>
              <w:jc w:val="left"/>
            </w:pPr>
            <w:r>
              <w:t>additional revenue</w:t>
            </w:r>
            <w:r>
              <w:tab/>
              <w:t>stream and</w:t>
            </w:r>
            <w:r>
              <w:tab/>
              <w:t>enhance</w:t>
            </w:r>
          </w:p>
          <w:p w14:paraId="6467326E" w14:textId="77777777" w:rsidR="00DD1E77" w:rsidRDefault="00000000">
            <w:pPr>
              <w:spacing w:after="0" w:line="259" w:lineRule="auto"/>
              <w:ind w:left="0" w:firstLine="0"/>
              <w:jc w:val="left"/>
            </w:pPr>
            <w:r>
              <w:t>customer retention.</w:t>
            </w:r>
          </w:p>
        </w:tc>
        <w:tc>
          <w:tcPr>
            <w:tcW w:w="1520" w:type="dxa"/>
            <w:tcBorders>
              <w:top w:val="single" w:sz="8" w:space="0" w:color="D9D9E3"/>
              <w:left w:val="single" w:sz="8" w:space="0" w:color="D9D9E3"/>
              <w:bottom w:val="single" w:sz="8" w:space="0" w:color="D9D9E3"/>
              <w:right w:val="single" w:sz="8" w:space="0" w:color="D9D9E3"/>
            </w:tcBorders>
            <w:vAlign w:val="bottom"/>
          </w:tcPr>
          <w:p w14:paraId="66068066" w14:textId="77777777" w:rsidR="00DD1E77" w:rsidRDefault="00000000">
            <w:pPr>
              <w:spacing w:after="0" w:line="259" w:lineRule="auto"/>
              <w:ind w:left="15" w:firstLine="0"/>
              <w:jc w:val="left"/>
            </w:pPr>
            <w:proofErr w:type="spellStart"/>
            <w:r>
              <w:t>Yes,Many</w:t>
            </w:r>
            <w:proofErr w:type="spellEnd"/>
            <w:r>
              <w:t xml:space="preserve"> competitors offer</w:t>
            </w:r>
            <w:r>
              <w:tab/>
              <w:t>similar services.</w:t>
            </w:r>
          </w:p>
        </w:tc>
        <w:tc>
          <w:tcPr>
            <w:tcW w:w="1580" w:type="dxa"/>
            <w:tcBorders>
              <w:top w:val="single" w:sz="8" w:space="0" w:color="D9D9E3"/>
              <w:left w:val="single" w:sz="8" w:space="0" w:color="D9D9E3"/>
              <w:bottom w:val="single" w:sz="8" w:space="0" w:color="D9D9E3"/>
              <w:right w:val="single" w:sz="8" w:space="0" w:color="D9D9E3"/>
            </w:tcBorders>
            <w:vAlign w:val="bottom"/>
          </w:tcPr>
          <w:p w14:paraId="2278AC1D" w14:textId="77777777" w:rsidR="00DD1E77" w:rsidRDefault="00000000">
            <w:pPr>
              <w:spacing w:after="0" w:line="259" w:lineRule="auto"/>
              <w:ind w:left="10" w:right="12" w:firstLine="0"/>
            </w:pPr>
            <w:proofErr w:type="spellStart"/>
            <w:r>
              <w:t>Costly,While</w:t>
            </w:r>
            <w:proofErr w:type="spellEnd"/>
            <w:r>
              <w:t xml:space="preserve"> developing such services requires expertise and infrastructure, it is feasible for competitors.</w:t>
            </w:r>
          </w:p>
        </w:tc>
        <w:tc>
          <w:tcPr>
            <w:tcW w:w="1660" w:type="dxa"/>
            <w:tcBorders>
              <w:top w:val="single" w:sz="8" w:space="0" w:color="D9D9E3"/>
              <w:left w:val="single" w:sz="8" w:space="0" w:color="D9D9E3"/>
              <w:bottom w:val="single" w:sz="8" w:space="0" w:color="D9D9E3"/>
              <w:right w:val="single" w:sz="8" w:space="0" w:color="D9D9E3"/>
            </w:tcBorders>
            <w:vAlign w:val="bottom"/>
          </w:tcPr>
          <w:p w14:paraId="0A6F8CF6" w14:textId="77777777" w:rsidR="00DD1E77" w:rsidRDefault="00000000">
            <w:pPr>
              <w:spacing w:after="0" w:line="388" w:lineRule="auto"/>
              <w:ind w:left="5" w:right="7" w:firstLine="0"/>
            </w:pPr>
            <w:proofErr w:type="spellStart"/>
            <w:r>
              <w:t>Yes,Dell</w:t>
            </w:r>
            <w:proofErr w:type="spellEnd"/>
            <w:r>
              <w:t xml:space="preserve"> has the capability to deliver</w:t>
            </w:r>
          </w:p>
          <w:p w14:paraId="747F6439" w14:textId="77777777" w:rsidR="00DD1E77" w:rsidRDefault="00000000">
            <w:pPr>
              <w:spacing w:after="0" w:line="259" w:lineRule="auto"/>
              <w:ind w:left="5" w:firstLine="0"/>
              <w:jc w:val="left"/>
            </w:pPr>
            <w:r>
              <w:t>these</w:t>
            </w:r>
            <w:r>
              <w:tab/>
              <w:t>services efficiently.</w:t>
            </w:r>
          </w:p>
        </w:tc>
        <w:tc>
          <w:tcPr>
            <w:tcW w:w="1480" w:type="dxa"/>
            <w:tcBorders>
              <w:top w:val="single" w:sz="8" w:space="0" w:color="D9D9E3"/>
              <w:left w:val="single" w:sz="8" w:space="0" w:color="D9D9E3"/>
              <w:bottom w:val="single" w:sz="8" w:space="0" w:color="D9D9E3"/>
              <w:right w:val="single" w:sz="8" w:space="0" w:color="D9D9E3"/>
            </w:tcBorders>
            <w:vAlign w:val="bottom"/>
          </w:tcPr>
          <w:p w14:paraId="5634DB03" w14:textId="77777777" w:rsidR="00DD1E77" w:rsidRDefault="00000000">
            <w:pPr>
              <w:spacing w:after="0" w:line="259" w:lineRule="auto"/>
              <w:ind w:left="10" w:firstLine="0"/>
              <w:jc w:val="left"/>
            </w:pPr>
            <w:proofErr w:type="spellStart"/>
            <w:r>
              <w:t>Yes,Competi</w:t>
            </w:r>
            <w:proofErr w:type="spellEnd"/>
            <w:r>
              <w:t xml:space="preserve"> </w:t>
            </w:r>
            <w:proofErr w:type="spellStart"/>
            <w:r>
              <w:t>tive</w:t>
            </w:r>
            <w:proofErr w:type="spellEnd"/>
            <w:r>
              <w:t xml:space="preserve"> Parity</w:t>
            </w:r>
          </w:p>
        </w:tc>
      </w:tr>
    </w:tbl>
    <w:p w14:paraId="0475F460" w14:textId="77777777" w:rsidR="00DD1E77" w:rsidRDefault="00000000">
      <w:pPr>
        <w:spacing w:after="0" w:line="259" w:lineRule="auto"/>
        <w:ind w:left="-5"/>
      </w:pPr>
      <w:r>
        <w:t>Table 1: VRIO Analysis</w:t>
      </w:r>
    </w:p>
    <w:p w14:paraId="3C2CBD80" w14:textId="77777777" w:rsidR="00DD1E77" w:rsidRDefault="00000000">
      <w:pPr>
        <w:pStyle w:val="Heading2"/>
        <w:spacing w:after="276"/>
        <w:ind w:left="-5"/>
      </w:pPr>
      <w:bookmarkStart w:id="16" w:name="_Toc61263"/>
      <w:r>
        <w:lastRenderedPageBreak/>
        <w:t>3.4 SWOT</w:t>
      </w:r>
      <w:bookmarkEnd w:id="16"/>
    </w:p>
    <w:p w14:paraId="1B6E9AF0" w14:textId="77777777" w:rsidR="00DD1E77" w:rsidRDefault="00000000">
      <w:pPr>
        <w:spacing w:after="662" w:line="259" w:lineRule="auto"/>
        <w:ind w:left="645" w:firstLine="0"/>
        <w:jc w:val="left"/>
      </w:pPr>
      <w:r>
        <w:rPr>
          <w:noProof/>
        </w:rPr>
        <w:drawing>
          <wp:inline distT="0" distB="0" distL="0" distR="0" wp14:anchorId="05D0015E" wp14:editId="17D11A0A">
            <wp:extent cx="5124451" cy="3009900"/>
            <wp:effectExtent l="0" t="0" r="0" b="0"/>
            <wp:docPr id="4405" name="Picture 4405"/>
            <wp:cNvGraphicFramePr/>
            <a:graphic xmlns:a="http://schemas.openxmlformats.org/drawingml/2006/main">
              <a:graphicData uri="http://schemas.openxmlformats.org/drawingml/2006/picture">
                <pic:pic xmlns:pic="http://schemas.openxmlformats.org/drawingml/2006/picture">
                  <pic:nvPicPr>
                    <pic:cNvPr id="4405" name="Picture 4405"/>
                    <pic:cNvPicPr/>
                  </pic:nvPicPr>
                  <pic:blipFill>
                    <a:blip r:embed="rId19"/>
                    <a:stretch>
                      <a:fillRect/>
                    </a:stretch>
                  </pic:blipFill>
                  <pic:spPr>
                    <a:xfrm>
                      <a:off x="0" y="0"/>
                      <a:ext cx="5124451" cy="3009900"/>
                    </a:xfrm>
                    <a:prstGeom prst="rect">
                      <a:avLst/>
                    </a:prstGeom>
                  </pic:spPr>
                </pic:pic>
              </a:graphicData>
            </a:graphic>
          </wp:inline>
        </w:drawing>
      </w:r>
    </w:p>
    <w:p w14:paraId="7D3AAEF1" w14:textId="77777777" w:rsidR="00DD1E77" w:rsidRDefault="00000000">
      <w:pPr>
        <w:spacing w:after="252" w:line="265" w:lineRule="auto"/>
        <w:ind w:left="10"/>
        <w:jc w:val="center"/>
      </w:pPr>
      <w:r>
        <w:t>Figure 8: The basic framework of SWOT analysis (Source: Thompson, M., 2019, https://www.researchgate.net/figure/The-basic-framework-of-SWOT-analysis_fig1_261437829)</w:t>
      </w:r>
    </w:p>
    <w:tbl>
      <w:tblPr>
        <w:tblStyle w:val="TableGrid"/>
        <w:tblW w:w="9360" w:type="dxa"/>
        <w:tblInd w:w="10" w:type="dxa"/>
        <w:tblCellMar>
          <w:top w:w="170" w:type="dxa"/>
          <w:left w:w="95" w:type="dxa"/>
          <w:bottom w:w="0" w:type="dxa"/>
          <w:right w:w="115" w:type="dxa"/>
        </w:tblCellMar>
        <w:tblLook w:val="04A0" w:firstRow="1" w:lastRow="0" w:firstColumn="1" w:lastColumn="0" w:noHBand="0" w:noVBand="1"/>
      </w:tblPr>
      <w:tblGrid>
        <w:gridCol w:w="2460"/>
        <w:gridCol w:w="6900"/>
      </w:tblGrid>
      <w:tr w:rsidR="00DD1E77" w14:paraId="4F974C23" w14:textId="77777777">
        <w:trPr>
          <w:trHeight w:val="640"/>
        </w:trPr>
        <w:tc>
          <w:tcPr>
            <w:tcW w:w="2460" w:type="dxa"/>
            <w:tcBorders>
              <w:top w:val="single" w:sz="8" w:space="0" w:color="000000"/>
              <w:left w:val="single" w:sz="8" w:space="0" w:color="000000"/>
              <w:bottom w:val="single" w:sz="8" w:space="0" w:color="000000"/>
              <w:right w:val="single" w:sz="8" w:space="0" w:color="000000"/>
            </w:tcBorders>
            <w:vAlign w:val="center"/>
          </w:tcPr>
          <w:p w14:paraId="4F5657E0" w14:textId="77777777" w:rsidR="00DD1E77" w:rsidRDefault="00000000">
            <w:pPr>
              <w:spacing w:after="0" w:line="259" w:lineRule="auto"/>
              <w:ind w:left="0" w:firstLine="0"/>
              <w:jc w:val="left"/>
            </w:pPr>
            <w:r>
              <w:t>SWOT Category</w:t>
            </w:r>
          </w:p>
        </w:tc>
        <w:tc>
          <w:tcPr>
            <w:tcW w:w="6900" w:type="dxa"/>
            <w:tcBorders>
              <w:top w:val="single" w:sz="8" w:space="0" w:color="000000"/>
              <w:left w:val="single" w:sz="8" w:space="0" w:color="000000"/>
              <w:bottom w:val="single" w:sz="8" w:space="0" w:color="000000"/>
              <w:right w:val="single" w:sz="8" w:space="0" w:color="000000"/>
            </w:tcBorders>
            <w:vAlign w:val="center"/>
          </w:tcPr>
          <w:p w14:paraId="3E75FDD3" w14:textId="77777777" w:rsidR="00DD1E77" w:rsidRDefault="00000000">
            <w:pPr>
              <w:spacing w:after="0" w:line="259" w:lineRule="auto"/>
              <w:ind w:left="15" w:firstLine="0"/>
              <w:jc w:val="left"/>
            </w:pPr>
            <w:r>
              <w:t>Analysis</w:t>
            </w:r>
          </w:p>
        </w:tc>
      </w:tr>
      <w:tr w:rsidR="00DD1E77" w14:paraId="74FD8BA8" w14:textId="77777777">
        <w:trPr>
          <w:trHeight w:val="4780"/>
        </w:trPr>
        <w:tc>
          <w:tcPr>
            <w:tcW w:w="2460" w:type="dxa"/>
            <w:tcBorders>
              <w:top w:val="single" w:sz="8" w:space="0" w:color="000000"/>
              <w:left w:val="single" w:sz="8" w:space="0" w:color="000000"/>
              <w:bottom w:val="single" w:sz="8" w:space="0" w:color="000000"/>
              <w:right w:val="single" w:sz="8" w:space="0" w:color="000000"/>
            </w:tcBorders>
          </w:tcPr>
          <w:p w14:paraId="7A50B54D" w14:textId="77777777" w:rsidR="00DD1E77" w:rsidRDefault="00000000">
            <w:pPr>
              <w:spacing w:after="0" w:line="259" w:lineRule="auto"/>
              <w:ind w:left="0" w:firstLine="0"/>
              <w:jc w:val="left"/>
            </w:pPr>
            <w:r>
              <w:rPr>
                <w:b/>
              </w:rPr>
              <w:t>STRENGTHS</w:t>
            </w:r>
          </w:p>
        </w:tc>
        <w:tc>
          <w:tcPr>
            <w:tcW w:w="6900" w:type="dxa"/>
            <w:tcBorders>
              <w:top w:val="single" w:sz="8" w:space="0" w:color="000000"/>
              <w:left w:val="single" w:sz="8" w:space="0" w:color="000000"/>
              <w:bottom w:val="single" w:sz="8" w:space="0" w:color="000000"/>
              <w:right w:val="single" w:sz="8" w:space="0" w:color="000000"/>
            </w:tcBorders>
          </w:tcPr>
          <w:p w14:paraId="05483BF8" w14:textId="77777777" w:rsidR="00DD1E77" w:rsidRDefault="00000000">
            <w:pPr>
              <w:spacing w:after="1" w:line="388" w:lineRule="auto"/>
              <w:ind w:left="15" w:firstLine="0"/>
            </w:pPr>
            <w:r>
              <w:rPr>
                <w:b/>
                <w:i/>
              </w:rPr>
              <w:t xml:space="preserve">1. Broad Portfolio: </w:t>
            </w:r>
            <w:r>
              <w:t>Dell's extensive range of products and services enables it to serve a diverse customer base.</w:t>
            </w:r>
          </w:p>
          <w:p w14:paraId="3F314946" w14:textId="77777777" w:rsidR="00DD1E77" w:rsidRDefault="00000000">
            <w:pPr>
              <w:spacing w:after="2" w:line="388" w:lineRule="auto"/>
              <w:ind w:left="15" w:firstLine="0"/>
            </w:pPr>
            <w:r>
              <w:rPr>
                <w:b/>
                <w:i/>
              </w:rPr>
              <w:t xml:space="preserve">2.Direct Sales Model: </w:t>
            </w:r>
            <w:r>
              <w:t>This business model allows for closer customer relationships and customization.</w:t>
            </w:r>
          </w:p>
          <w:p w14:paraId="60D4D466" w14:textId="77777777" w:rsidR="00DD1E77" w:rsidRDefault="00000000">
            <w:pPr>
              <w:spacing w:after="1" w:line="388" w:lineRule="auto"/>
              <w:ind w:left="15" w:firstLine="0"/>
              <w:jc w:val="left"/>
            </w:pPr>
            <w:r>
              <w:rPr>
                <w:b/>
                <w:i/>
              </w:rPr>
              <w:t>3.Supply</w:t>
            </w:r>
            <w:r>
              <w:rPr>
                <w:b/>
                <w:i/>
              </w:rPr>
              <w:tab/>
              <w:t>Chain</w:t>
            </w:r>
            <w:r>
              <w:rPr>
                <w:b/>
                <w:i/>
              </w:rPr>
              <w:tab/>
              <w:t>Efficiency:</w:t>
            </w:r>
            <w:r>
              <w:rPr>
                <w:b/>
                <w:i/>
              </w:rPr>
              <w:tab/>
            </w:r>
            <w:r>
              <w:t>Dell's</w:t>
            </w:r>
            <w:r>
              <w:tab/>
              <w:t>just-in-time</w:t>
            </w:r>
            <w:r>
              <w:tab/>
              <w:t>supply</w:t>
            </w:r>
            <w:r>
              <w:tab/>
              <w:t>chain minimises storage costs.</w:t>
            </w:r>
          </w:p>
          <w:p w14:paraId="5FE54251" w14:textId="77777777" w:rsidR="00DD1E77" w:rsidRDefault="00000000">
            <w:pPr>
              <w:spacing w:after="1" w:line="388" w:lineRule="auto"/>
              <w:ind w:left="15" w:firstLine="0"/>
            </w:pPr>
            <w:r>
              <w:rPr>
                <w:b/>
                <w:i/>
              </w:rPr>
              <w:t xml:space="preserve">4.Brand Recognition: </w:t>
            </w:r>
            <w:r>
              <w:t>Dell is globally recognized, adding value to its offerings.</w:t>
            </w:r>
          </w:p>
          <w:p w14:paraId="792E0187" w14:textId="77777777" w:rsidR="00DD1E77" w:rsidRDefault="00000000">
            <w:pPr>
              <w:spacing w:after="0" w:line="259" w:lineRule="auto"/>
              <w:ind w:left="15" w:firstLine="0"/>
            </w:pPr>
            <w:r>
              <w:rPr>
                <w:b/>
                <w:i/>
              </w:rPr>
              <w:t xml:space="preserve">5.Global Reach: </w:t>
            </w:r>
            <w:r>
              <w:t>Dell has a presence in over 180 countries, allowing for market diversification. |</w:t>
            </w:r>
          </w:p>
        </w:tc>
      </w:tr>
      <w:tr w:rsidR="00DD1E77" w14:paraId="7A70F698" w14:textId="77777777">
        <w:trPr>
          <w:trHeight w:val="3940"/>
        </w:trPr>
        <w:tc>
          <w:tcPr>
            <w:tcW w:w="2460" w:type="dxa"/>
            <w:tcBorders>
              <w:top w:val="single" w:sz="8" w:space="0" w:color="000000"/>
              <w:left w:val="single" w:sz="8" w:space="0" w:color="000000"/>
              <w:bottom w:val="single" w:sz="8" w:space="0" w:color="000000"/>
              <w:right w:val="single" w:sz="8" w:space="0" w:color="000000"/>
            </w:tcBorders>
          </w:tcPr>
          <w:p w14:paraId="3DE3905C" w14:textId="77777777" w:rsidR="00DD1E77" w:rsidRDefault="00000000">
            <w:pPr>
              <w:spacing w:after="0" w:line="259" w:lineRule="auto"/>
              <w:ind w:left="0" w:firstLine="0"/>
              <w:jc w:val="left"/>
            </w:pPr>
            <w:r>
              <w:rPr>
                <w:b/>
              </w:rPr>
              <w:lastRenderedPageBreak/>
              <w:t>WEAKNESSES</w:t>
            </w:r>
          </w:p>
        </w:tc>
        <w:tc>
          <w:tcPr>
            <w:tcW w:w="6900" w:type="dxa"/>
            <w:tcBorders>
              <w:top w:val="single" w:sz="8" w:space="0" w:color="000000"/>
              <w:left w:val="single" w:sz="8" w:space="0" w:color="000000"/>
              <w:bottom w:val="single" w:sz="8" w:space="0" w:color="000000"/>
              <w:right w:val="single" w:sz="8" w:space="0" w:color="000000"/>
            </w:tcBorders>
          </w:tcPr>
          <w:p w14:paraId="5E25FBA7" w14:textId="77777777" w:rsidR="00DD1E77" w:rsidRDefault="00000000">
            <w:pPr>
              <w:numPr>
                <w:ilvl w:val="0"/>
                <w:numId w:val="1"/>
              </w:numPr>
              <w:spacing w:after="2" w:line="388" w:lineRule="auto"/>
              <w:ind w:firstLine="0"/>
            </w:pPr>
            <w:r>
              <w:rPr>
                <w:b/>
                <w:i/>
              </w:rPr>
              <w:t xml:space="preserve">Consumer Market Struggles: </w:t>
            </w:r>
            <w:r>
              <w:t>Dell has limited success in the consumer market.</w:t>
            </w:r>
          </w:p>
          <w:p w14:paraId="72341486" w14:textId="77777777" w:rsidR="00DD1E77" w:rsidRDefault="00000000">
            <w:pPr>
              <w:numPr>
                <w:ilvl w:val="0"/>
                <w:numId w:val="1"/>
              </w:numPr>
              <w:spacing w:after="2" w:line="388" w:lineRule="auto"/>
              <w:ind w:firstLine="0"/>
            </w:pPr>
            <w:r>
              <w:rPr>
                <w:b/>
                <w:i/>
              </w:rPr>
              <w:t xml:space="preserve">Slow Cloud Adoption: </w:t>
            </w:r>
            <w:r>
              <w:t>Dell has been slow in shifting towards cloud-based solutions.</w:t>
            </w:r>
          </w:p>
          <w:p w14:paraId="5304573C" w14:textId="77777777" w:rsidR="00DD1E77" w:rsidRDefault="00000000">
            <w:pPr>
              <w:numPr>
                <w:ilvl w:val="0"/>
                <w:numId w:val="1"/>
              </w:numPr>
              <w:spacing w:after="1" w:line="388" w:lineRule="auto"/>
              <w:ind w:firstLine="0"/>
            </w:pPr>
            <w:r>
              <w:rPr>
                <w:b/>
                <w:i/>
              </w:rPr>
              <w:t xml:space="preserve">Organisational Complexity: </w:t>
            </w:r>
            <w:r>
              <w:t>Post-merger with EMC, there are challenges in integration.</w:t>
            </w:r>
          </w:p>
          <w:p w14:paraId="68936AB1" w14:textId="77777777" w:rsidR="00DD1E77" w:rsidRDefault="00000000">
            <w:pPr>
              <w:numPr>
                <w:ilvl w:val="0"/>
                <w:numId w:val="1"/>
              </w:numPr>
              <w:spacing w:after="0" w:line="259" w:lineRule="auto"/>
              <w:ind w:firstLine="0"/>
            </w:pPr>
            <w:r>
              <w:rPr>
                <w:b/>
                <w:i/>
              </w:rPr>
              <w:t xml:space="preserve">High Debt Levels: </w:t>
            </w:r>
            <w:r>
              <w:t>Acquisitions have led to a significant amount of debt.</w:t>
            </w:r>
          </w:p>
        </w:tc>
      </w:tr>
      <w:tr w:rsidR="00DD1E77" w14:paraId="4D0C364D" w14:textId="77777777">
        <w:trPr>
          <w:trHeight w:val="3960"/>
        </w:trPr>
        <w:tc>
          <w:tcPr>
            <w:tcW w:w="2460" w:type="dxa"/>
            <w:tcBorders>
              <w:top w:val="single" w:sz="8" w:space="0" w:color="000000"/>
              <w:left w:val="single" w:sz="8" w:space="0" w:color="000000"/>
              <w:bottom w:val="single" w:sz="8" w:space="0" w:color="000000"/>
              <w:right w:val="single" w:sz="8" w:space="0" w:color="000000"/>
            </w:tcBorders>
          </w:tcPr>
          <w:p w14:paraId="5AB10D71" w14:textId="77777777" w:rsidR="00DD1E77" w:rsidRDefault="00000000">
            <w:pPr>
              <w:spacing w:after="0" w:line="259" w:lineRule="auto"/>
              <w:ind w:left="0" w:firstLine="0"/>
              <w:jc w:val="left"/>
            </w:pPr>
            <w:r>
              <w:rPr>
                <w:b/>
              </w:rPr>
              <w:t>OPPORTUNITIES</w:t>
            </w:r>
          </w:p>
        </w:tc>
        <w:tc>
          <w:tcPr>
            <w:tcW w:w="6900" w:type="dxa"/>
            <w:tcBorders>
              <w:top w:val="single" w:sz="8" w:space="0" w:color="000000"/>
              <w:left w:val="single" w:sz="8" w:space="0" w:color="000000"/>
              <w:bottom w:val="single" w:sz="8" w:space="0" w:color="000000"/>
              <w:right w:val="single" w:sz="8" w:space="0" w:color="000000"/>
            </w:tcBorders>
          </w:tcPr>
          <w:p w14:paraId="555D9B5D" w14:textId="77777777" w:rsidR="00DD1E77" w:rsidRDefault="00000000">
            <w:pPr>
              <w:numPr>
                <w:ilvl w:val="0"/>
                <w:numId w:val="2"/>
              </w:numPr>
              <w:spacing w:after="2" w:line="388" w:lineRule="auto"/>
              <w:ind w:firstLine="0"/>
            </w:pPr>
            <w:r>
              <w:rPr>
                <w:b/>
                <w:i/>
              </w:rPr>
              <w:t xml:space="preserve">Edge Computing: </w:t>
            </w:r>
            <w:r>
              <w:t>Offers a market opportunity predicted to be worth over $250 billion by 2025.</w:t>
            </w:r>
          </w:p>
          <w:p w14:paraId="031E2D89" w14:textId="77777777" w:rsidR="00DD1E77" w:rsidRDefault="00000000">
            <w:pPr>
              <w:numPr>
                <w:ilvl w:val="0"/>
                <w:numId w:val="2"/>
              </w:numPr>
              <w:spacing w:after="2" w:line="388" w:lineRule="auto"/>
              <w:ind w:firstLine="0"/>
            </w:pPr>
            <w:r>
              <w:rPr>
                <w:b/>
                <w:i/>
              </w:rPr>
              <w:t xml:space="preserve">Hybrid Cloud Solutions: </w:t>
            </w:r>
            <w:r>
              <w:t>A space where Dell can leverage its existing enterprise relationships.</w:t>
            </w:r>
          </w:p>
          <w:p w14:paraId="37C57FB7" w14:textId="77777777" w:rsidR="00DD1E77" w:rsidRDefault="00000000">
            <w:pPr>
              <w:numPr>
                <w:ilvl w:val="0"/>
                <w:numId w:val="2"/>
              </w:numPr>
              <w:spacing w:after="1" w:line="388" w:lineRule="auto"/>
              <w:ind w:firstLine="0"/>
            </w:pPr>
            <w:r>
              <w:rPr>
                <w:b/>
                <w:i/>
              </w:rPr>
              <w:t xml:space="preserve">Emerging Markets: </w:t>
            </w:r>
            <w:r>
              <w:t>Countries like India and China offer substantial growth opportunities.</w:t>
            </w:r>
          </w:p>
          <w:p w14:paraId="2EC169FF" w14:textId="77777777" w:rsidR="00DD1E77" w:rsidRDefault="00000000">
            <w:pPr>
              <w:numPr>
                <w:ilvl w:val="0"/>
                <w:numId w:val="2"/>
              </w:numPr>
              <w:spacing w:after="0" w:line="259" w:lineRule="auto"/>
              <w:ind w:firstLine="0"/>
            </w:pPr>
            <w:r>
              <w:rPr>
                <w:b/>
                <w:i/>
              </w:rPr>
              <w:t xml:space="preserve">IoT and Big Data: </w:t>
            </w:r>
            <w:r>
              <w:t>Dell's infrastructure capabilities can be a significant advantage in these areas.</w:t>
            </w:r>
          </w:p>
        </w:tc>
      </w:tr>
      <w:tr w:rsidR="00DD1E77" w14:paraId="711DA491" w14:textId="77777777">
        <w:trPr>
          <w:trHeight w:val="3520"/>
        </w:trPr>
        <w:tc>
          <w:tcPr>
            <w:tcW w:w="2460" w:type="dxa"/>
            <w:tcBorders>
              <w:top w:val="single" w:sz="8" w:space="0" w:color="000000"/>
              <w:left w:val="single" w:sz="8" w:space="0" w:color="000000"/>
              <w:bottom w:val="single" w:sz="8" w:space="0" w:color="000000"/>
              <w:right w:val="single" w:sz="8" w:space="0" w:color="000000"/>
            </w:tcBorders>
          </w:tcPr>
          <w:p w14:paraId="688BF991" w14:textId="77777777" w:rsidR="00DD1E77" w:rsidRDefault="00000000">
            <w:pPr>
              <w:spacing w:after="0" w:line="259" w:lineRule="auto"/>
              <w:ind w:left="0" w:firstLine="0"/>
              <w:jc w:val="left"/>
            </w:pPr>
            <w:r>
              <w:rPr>
                <w:b/>
              </w:rPr>
              <w:t>THREATS</w:t>
            </w:r>
          </w:p>
        </w:tc>
        <w:tc>
          <w:tcPr>
            <w:tcW w:w="6900" w:type="dxa"/>
            <w:tcBorders>
              <w:top w:val="single" w:sz="8" w:space="0" w:color="000000"/>
              <w:left w:val="single" w:sz="8" w:space="0" w:color="000000"/>
              <w:bottom w:val="single" w:sz="8" w:space="0" w:color="000000"/>
              <w:right w:val="single" w:sz="8" w:space="0" w:color="000000"/>
            </w:tcBorders>
          </w:tcPr>
          <w:p w14:paraId="5CF22875" w14:textId="77777777" w:rsidR="00DD1E77" w:rsidRDefault="00000000">
            <w:pPr>
              <w:numPr>
                <w:ilvl w:val="0"/>
                <w:numId w:val="3"/>
              </w:numPr>
              <w:spacing w:after="151" w:line="259" w:lineRule="auto"/>
              <w:ind w:firstLine="0"/>
              <w:jc w:val="left"/>
            </w:pPr>
            <w:r>
              <w:rPr>
                <w:b/>
                <w:i/>
              </w:rPr>
              <w:t xml:space="preserve">Intense Competition: </w:t>
            </w:r>
            <w:r>
              <w:t>From players like Lenovo, and Cisco.</w:t>
            </w:r>
          </w:p>
          <w:p w14:paraId="51070936" w14:textId="77777777" w:rsidR="00DD1E77" w:rsidRDefault="00000000">
            <w:pPr>
              <w:numPr>
                <w:ilvl w:val="0"/>
                <w:numId w:val="3"/>
              </w:numPr>
              <w:spacing w:after="150" w:line="259" w:lineRule="auto"/>
              <w:ind w:firstLine="0"/>
              <w:jc w:val="left"/>
            </w:pPr>
            <w:r>
              <w:rPr>
                <w:b/>
                <w:i/>
              </w:rPr>
              <w:t xml:space="preserve">Cloud Disruption: </w:t>
            </w:r>
            <w:r>
              <w:t>A shift towards cloud computing threatens</w:t>
            </w:r>
          </w:p>
          <w:p w14:paraId="15F94E5C" w14:textId="77777777" w:rsidR="00DD1E77" w:rsidRDefault="00000000">
            <w:pPr>
              <w:spacing w:after="151" w:line="259" w:lineRule="auto"/>
              <w:ind w:left="15" w:firstLine="0"/>
              <w:jc w:val="left"/>
            </w:pPr>
            <w:r>
              <w:t>Dell’s traditional business.</w:t>
            </w:r>
          </w:p>
          <w:p w14:paraId="183FEEEC" w14:textId="77777777" w:rsidR="00DD1E77" w:rsidRDefault="00000000">
            <w:pPr>
              <w:numPr>
                <w:ilvl w:val="0"/>
                <w:numId w:val="3"/>
              </w:numPr>
              <w:spacing w:after="25" w:line="363" w:lineRule="auto"/>
              <w:ind w:firstLine="0"/>
              <w:jc w:val="left"/>
            </w:pPr>
            <w:r>
              <w:rPr>
                <w:b/>
                <w:i/>
              </w:rPr>
              <w:t xml:space="preserve">Regulatory Risks: </w:t>
            </w:r>
            <w:r>
              <w:t>Data privacy laws impose new compliance challenges.</w:t>
            </w:r>
          </w:p>
          <w:p w14:paraId="67BDA2DB" w14:textId="77777777" w:rsidR="00DD1E77" w:rsidRDefault="00000000">
            <w:pPr>
              <w:numPr>
                <w:ilvl w:val="0"/>
                <w:numId w:val="3"/>
              </w:numPr>
              <w:spacing w:after="0" w:line="259" w:lineRule="auto"/>
              <w:ind w:firstLine="0"/>
              <w:jc w:val="left"/>
            </w:pPr>
            <w:r>
              <w:rPr>
                <w:b/>
                <w:i/>
              </w:rPr>
              <w:t xml:space="preserve">Supply Chain Vulnerability: </w:t>
            </w:r>
            <w:r>
              <w:t>Dell's supply chain is susceptible to geopolitical tensions and disruptions.</w:t>
            </w:r>
          </w:p>
        </w:tc>
      </w:tr>
    </w:tbl>
    <w:p w14:paraId="193F35EE" w14:textId="77777777" w:rsidR="00DD1E77" w:rsidRDefault="00000000">
      <w:pPr>
        <w:spacing w:after="149" w:line="259" w:lineRule="auto"/>
        <w:ind w:left="-5"/>
      </w:pPr>
      <w:r>
        <w:t>Table 2: SWOT Analysis</w:t>
      </w:r>
    </w:p>
    <w:p w14:paraId="2904AAA1" w14:textId="77777777" w:rsidR="00DD1E77" w:rsidRDefault="00000000">
      <w:pPr>
        <w:spacing w:after="6"/>
        <w:ind w:left="-5"/>
      </w:pPr>
      <w:r>
        <w:lastRenderedPageBreak/>
        <w:t xml:space="preserve">Each of these SWOT analysis components is a key consideration in Dell's strategic planning and decision-making. While the flaws highlight places where internal improvements may be made, the strengths give a platform around which Dell can construct its future strategies. Threats are external difficulties that must be controlled or mitigated, whereas opportunities are external influences that Dell can take advantage </w:t>
      </w:r>
      <w:proofErr w:type="spellStart"/>
      <w:r>
        <w:t>of.According</w:t>
      </w:r>
      <w:proofErr w:type="spellEnd"/>
      <w:r>
        <w:t xml:space="preserve"> to Hill, Jones, and Schilling (2014), the</w:t>
      </w:r>
    </w:p>
    <w:p w14:paraId="33129AB0" w14:textId="77777777" w:rsidR="00DD1E77" w:rsidRDefault="00000000">
      <w:pPr>
        <w:spacing w:after="6"/>
        <w:ind w:left="-5"/>
      </w:pPr>
      <w:r>
        <w:t>SWOT analysis offers a thorough understanding of the internal and external issues affecting Dell Technologies and acts as a roadmap for developing and implementing a strategy.</w:t>
      </w:r>
      <w:r>
        <w:br w:type="page"/>
      </w:r>
    </w:p>
    <w:p w14:paraId="6BC50E41" w14:textId="77777777" w:rsidR="00DD1E77" w:rsidRDefault="00000000">
      <w:pPr>
        <w:pStyle w:val="Heading1"/>
        <w:spacing w:after="248"/>
        <w:ind w:left="-5"/>
      </w:pPr>
      <w:bookmarkStart w:id="17" w:name="_Toc61264"/>
      <w:r>
        <w:lastRenderedPageBreak/>
        <w:t>4. STRATEGIES TO SUSTAIN COMPETITIVE ADVANTAGE</w:t>
      </w:r>
      <w:bookmarkEnd w:id="17"/>
    </w:p>
    <w:p w14:paraId="01C0B5EC" w14:textId="77777777" w:rsidR="00DD1E77" w:rsidRDefault="00000000">
      <w:pPr>
        <w:spacing w:after="248" w:line="259" w:lineRule="auto"/>
        <w:ind w:left="683" w:firstLine="0"/>
        <w:jc w:val="left"/>
      </w:pPr>
      <w:r>
        <w:rPr>
          <w:noProof/>
        </w:rPr>
        <w:drawing>
          <wp:inline distT="0" distB="0" distL="0" distR="0" wp14:anchorId="4BE0AF86" wp14:editId="05BA82DF">
            <wp:extent cx="5076825" cy="3762375"/>
            <wp:effectExtent l="0" t="0" r="0" b="0"/>
            <wp:docPr id="4811" name="Picture 4811"/>
            <wp:cNvGraphicFramePr/>
            <a:graphic xmlns:a="http://schemas.openxmlformats.org/drawingml/2006/main">
              <a:graphicData uri="http://schemas.openxmlformats.org/drawingml/2006/picture">
                <pic:pic xmlns:pic="http://schemas.openxmlformats.org/drawingml/2006/picture">
                  <pic:nvPicPr>
                    <pic:cNvPr id="4811" name="Picture 4811"/>
                    <pic:cNvPicPr/>
                  </pic:nvPicPr>
                  <pic:blipFill>
                    <a:blip r:embed="rId20"/>
                    <a:stretch>
                      <a:fillRect/>
                    </a:stretch>
                  </pic:blipFill>
                  <pic:spPr>
                    <a:xfrm>
                      <a:off x="0" y="0"/>
                      <a:ext cx="5076825" cy="3762375"/>
                    </a:xfrm>
                    <a:prstGeom prst="rect">
                      <a:avLst/>
                    </a:prstGeom>
                  </pic:spPr>
                </pic:pic>
              </a:graphicData>
            </a:graphic>
          </wp:inline>
        </w:drawing>
      </w:r>
    </w:p>
    <w:p w14:paraId="590FDE33" w14:textId="77777777" w:rsidR="00DD1E77" w:rsidRDefault="00000000">
      <w:pPr>
        <w:spacing w:after="114" w:line="265" w:lineRule="auto"/>
        <w:ind w:left="10"/>
        <w:jc w:val="center"/>
      </w:pPr>
      <w:r>
        <w:t>Figure 9: Porter's generic strategies (Source: Martin, A., 2021,</w:t>
      </w:r>
    </w:p>
    <w:p w14:paraId="50CC1E99" w14:textId="77777777" w:rsidR="00DD1E77" w:rsidRDefault="00000000">
      <w:pPr>
        <w:spacing w:after="551" w:line="265" w:lineRule="auto"/>
        <w:ind w:left="10"/>
        <w:jc w:val="center"/>
      </w:pPr>
      <w:r>
        <w:t>https://www.researchgate.net/figure/Porters-generic-strategies_fig1_333118406)</w:t>
      </w:r>
    </w:p>
    <w:p w14:paraId="41BEBCC8" w14:textId="77777777" w:rsidR="00DD1E77" w:rsidRDefault="00000000">
      <w:pPr>
        <w:ind w:left="-5"/>
      </w:pPr>
      <w:r>
        <w:t>Business strategies are categorised as Cost Leadership, Differentiation, and Focus strategies according to Porter's Generic Strategy Framework. In order to maintain and strengthen its competitive advantage in the fiercely competitive IT and technology sector, Dell Technologies can use a combination of these techniques.</w:t>
      </w:r>
    </w:p>
    <w:p w14:paraId="4D5D1F65" w14:textId="77777777" w:rsidR="00DD1E77" w:rsidRDefault="00000000">
      <w:pPr>
        <w:ind w:left="-5"/>
      </w:pPr>
      <w:r>
        <w:rPr>
          <w:b/>
          <w:i/>
        </w:rPr>
        <w:t xml:space="preserve">Cost </w:t>
      </w:r>
      <w:proofErr w:type="spellStart"/>
      <w:r>
        <w:rPr>
          <w:b/>
          <w:i/>
        </w:rPr>
        <w:t>Leadership:</w:t>
      </w:r>
      <w:r>
        <w:t>Dell's</w:t>
      </w:r>
      <w:proofErr w:type="spellEnd"/>
      <w:r>
        <w:t xml:space="preserve"> direct-to-customer model has already positioned the company as a cost leader, enabling them to cut out the middleman and reduce costs. To further this advantage, Dell can invest in automation and lean manufacturing techniques. This will drive down production costs and allow the company to either reduce product prices or increase margins (Porter, 1980).</w:t>
      </w:r>
    </w:p>
    <w:p w14:paraId="088A3E43" w14:textId="77777777" w:rsidR="00DD1E77" w:rsidRDefault="00000000">
      <w:pPr>
        <w:ind w:left="-5"/>
      </w:pPr>
      <w:proofErr w:type="spellStart"/>
      <w:r>
        <w:rPr>
          <w:b/>
          <w:i/>
        </w:rPr>
        <w:lastRenderedPageBreak/>
        <w:t>Differentiation:</w:t>
      </w:r>
      <w:r>
        <w:t>Dell</w:t>
      </w:r>
      <w:proofErr w:type="spellEnd"/>
      <w:r>
        <w:t xml:space="preserve"> has a strong reputation for providing dependable and highly adaptable hardware solutions. The business should prioritise product innovation, especially in developing fields like edge computing and artificial intelligence, to preserve this. Dell may charge more for its products and win over more customers by being the first to market with innovative features (Porter, 1985).</w:t>
      </w:r>
    </w:p>
    <w:p w14:paraId="3A833847" w14:textId="77777777" w:rsidR="00DD1E77" w:rsidRDefault="00000000">
      <w:pPr>
        <w:ind w:left="-5"/>
      </w:pPr>
      <w:r>
        <w:rPr>
          <w:b/>
          <w:i/>
        </w:rPr>
        <w:t xml:space="preserve">Focus </w:t>
      </w:r>
      <w:proofErr w:type="spellStart"/>
      <w:r>
        <w:rPr>
          <w:b/>
          <w:i/>
        </w:rPr>
        <w:t>Strategies:</w:t>
      </w:r>
      <w:r>
        <w:t>Dell</w:t>
      </w:r>
      <w:proofErr w:type="spellEnd"/>
      <w:r>
        <w:t xml:space="preserve"> can also use a focus strategy by focusing on particular specialised markets where it can dominate. For instance, Dell has a significant market share in the enterprise server space and can further specialise in offering specialised solutions for data-intensive areas like banking or healthcare (Porter, 1980).</w:t>
      </w:r>
    </w:p>
    <w:p w14:paraId="5712CE83" w14:textId="77777777" w:rsidR="00DD1E77" w:rsidRDefault="00000000">
      <w:pPr>
        <w:ind w:left="-5"/>
      </w:pPr>
      <w:r>
        <w:rPr>
          <w:b/>
          <w:i/>
        </w:rPr>
        <w:t xml:space="preserve">Hybrid </w:t>
      </w:r>
      <w:proofErr w:type="spellStart"/>
      <w:r>
        <w:rPr>
          <w:b/>
          <w:i/>
        </w:rPr>
        <w:t>Strategy:</w:t>
      </w:r>
      <w:r>
        <w:t>A</w:t>
      </w:r>
      <w:proofErr w:type="spellEnd"/>
      <w:r>
        <w:t xml:space="preserve"> hybrid strategy might be the most fruitful given the wide range of goods and services Dell provides. Dell can maintain a well-balanced portfolio that appeals to a wide consumer base by adopting cost leadership, differentiation, and focus strategies in distinct business units or product lines judiciously (Johnson, Whittington, &amp; Scholes, 2011).</w:t>
      </w:r>
    </w:p>
    <w:p w14:paraId="078965D0" w14:textId="77777777" w:rsidR="00DD1E77" w:rsidRDefault="00000000">
      <w:pPr>
        <w:ind w:left="-5"/>
      </w:pPr>
      <w:r>
        <w:rPr>
          <w:b/>
          <w:i/>
        </w:rPr>
        <w:t xml:space="preserve">Monitoring and </w:t>
      </w:r>
      <w:proofErr w:type="spellStart"/>
      <w:r>
        <w:rPr>
          <w:b/>
          <w:i/>
        </w:rPr>
        <w:t>Adaptation:</w:t>
      </w:r>
      <w:r>
        <w:t>Dell</w:t>
      </w:r>
      <w:proofErr w:type="spellEnd"/>
      <w:r>
        <w:t xml:space="preserve"> should use key performance indicators (KPIs) and frequently assess its strategies to make sure that these strategic initiatives are effective. Because of its instability, the technology sector must quickly react to changes in the market.</w:t>
      </w:r>
    </w:p>
    <w:p w14:paraId="3D139775" w14:textId="77777777" w:rsidR="00DD1E77" w:rsidRDefault="00000000">
      <w:pPr>
        <w:pStyle w:val="Heading1"/>
        <w:spacing w:after="248"/>
        <w:ind w:left="-5"/>
      </w:pPr>
      <w:bookmarkStart w:id="18" w:name="_Toc61265"/>
      <w:r>
        <w:lastRenderedPageBreak/>
        <w:t>5. GROWTH STRATEGIES</w:t>
      </w:r>
      <w:bookmarkEnd w:id="18"/>
    </w:p>
    <w:p w14:paraId="33A63481" w14:textId="77777777" w:rsidR="00DD1E77" w:rsidRDefault="00000000">
      <w:pPr>
        <w:spacing w:after="248" w:line="259" w:lineRule="auto"/>
        <w:ind w:left="1238" w:firstLine="0"/>
        <w:jc w:val="left"/>
      </w:pPr>
      <w:r>
        <w:rPr>
          <w:noProof/>
        </w:rPr>
        <w:drawing>
          <wp:inline distT="0" distB="0" distL="0" distR="0" wp14:anchorId="5F3B5AA9" wp14:editId="0311E156">
            <wp:extent cx="4371976" cy="3619500"/>
            <wp:effectExtent l="0" t="0" r="0" b="0"/>
            <wp:docPr id="5158" name="Picture 5158"/>
            <wp:cNvGraphicFramePr/>
            <a:graphic xmlns:a="http://schemas.openxmlformats.org/drawingml/2006/main">
              <a:graphicData uri="http://schemas.openxmlformats.org/drawingml/2006/picture">
                <pic:pic xmlns:pic="http://schemas.openxmlformats.org/drawingml/2006/picture">
                  <pic:nvPicPr>
                    <pic:cNvPr id="5158" name="Picture 5158"/>
                    <pic:cNvPicPr/>
                  </pic:nvPicPr>
                  <pic:blipFill>
                    <a:blip r:embed="rId21"/>
                    <a:stretch>
                      <a:fillRect/>
                    </a:stretch>
                  </pic:blipFill>
                  <pic:spPr>
                    <a:xfrm>
                      <a:off x="0" y="0"/>
                      <a:ext cx="4371976" cy="3619500"/>
                    </a:xfrm>
                    <a:prstGeom prst="rect">
                      <a:avLst/>
                    </a:prstGeom>
                  </pic:spPr>
                </pic:pic>
              </a:graphicData>
            </a:graphic>
          </wp:inline>
        </w:drawing>
      </w:r>
    </w:p>
    <w:p w14:paraId="0A38F9E8" w14:textId="77777777" w:rsidR="00DD1E77" w:rsidRDefault="00000000">
      <w:pPr>
        <w:spacing w:after="114" w:line="265" w:lineRule="auto"/>
        <w:ind w:left="10"/>
        <w:jc w:val="center"/>
      </w:pPr>
      <w:r>
        <w:t>Figure 10: The Ansoff Matrix (Source: Anderson, J., 2021,</w:t>
      </w:r>
    </w:p>
    <w:p w14:paraId="46D7DFDF" w14:textId="77777777" w:rsidR="00DD1E77" w:rsidRDefault="00000000">
      <w:pPr>
        <w:spacing w:after="114" w:line="259" w:lineRule="auto"/>
        <w:ind w:left="-5"/>
      </w:pPr>
      <w:r>
        <w:t>https://www.researchgate.net/figure/The-Ansoff-Matrix-Courtesy-of-corporatefinanceinstituteco</w:t>
      </w:r>
    </w:p>
    <w:p w14:paraId="62B43664" w14:textId="77777777" w:rsidR="00DD1E77" w:rsidRDefault="00000000">
      <w:pPr>
        <w:spacing w:after="114" w:line="265" w:lineRule="auto"/>
        <w:ind w:left="10"/>
        <w:jc w:val="center"/>
      </w:pPr>
      <w:r>
        <w:t>m_fig4_341671277)</w:t>
      </w:r>
    </w:p>
    <w:p w14:paraId="36978600" w14:textId="77777777" w:rsidR="00DD1E77" w:rsidRDefault="00000000">
      <w:pPr>
        <w:ind w:left="-5"/>
      </w:pPr>
      <w:r>
        <w:t>The Ansoff Matrix provides a structured approach to exploring growth avenues by focusing on existing and new markets and products. Dell Technologies can utilise this matrix to identify and pursue the most promising growth strategies.</w:t>
      </w:r>
    </w:p>
    <w:p w14:paraId="6DFC8883" w14:textId="77777777" w:rsidR="00DD1E77" w:rsidRDefault="00000000">
      <w:pPr>
        <w:ind w:left="-5"/>
      </w:pPr>
      <w:r>
        <w:rPr>
          <w:b/>
          <w:i/>
        </w:rPr>
        <w:t xml:space="preserve">Market </w:t>
      </w:r>
      <w:proofErr w:type="spellStart"/>
      <w:r>
        <w:rPr>
          <w:b/>
          <w:i/>
        </w:rPr>
        <w:t>Penetration:</w:t>
      </w:r>
      <w:r>
        <w:t>The</w:t>
      </w:r>
      <w:proofErr w:type="spellEnd"/>
      <w:r>
        <w:t xml:space="preserve"> consumer market for Dell still has unrealized potential, despite its current strong position in the enterprise industry. Dell can increase market penetration by integrating software services with hardware items, providing loyalty programmes, and utilising big data analytics to provide tailored promotions (Ansoff, 1957).</w:t>
      </w:r>
    </w:p>
    <w:p w14:paraId="0C0DF39E" w14:textId="77777777" w:rsidR="00DD1E77" w:rsidRDefault="00000000">
      <w:pPr>
        <w:ind w:left="-5"/>
      </w:pPr>
      <w:r>
        <w:rPr>
          <w:b/>
          <w:i/>
        </w:rPr>
        <w:t xml:space="preserve">Market </w:t>
      </w:r>
      <w:proofErr w:type="spellStart"/>
      <w:r>
        <w:rPr>
          <w:b/>
          <w:i/>
        </w:rPr>
        <w:t>Development:</w:t>
      </w:r>
      <w:r>
        <w:t>Emerging</w:t>
      </w:r>
      <w:proofErr w:type="spellEnd"/>
      <w:r>
        <w:t xml:space="preserve"> regions, notably those in Asia and Africa, offer Dell tremendous development potential. A growing middle class with rising purchasing power is present in these </w:t>
      </w:r>
      <w:r>
        <w:lastRenderedPageBreak/>
        <w:t>markets. Dell can obtain a competitive edge and increase its market share by localising its goods and services to match certain regional demands (Ansoff, 1957).</w:t>
      </w:r>
    </w:p>
    <w:p w14:paraId="0E47A8C7" w14:textId="77777777" w:rsidR="00DD1E77" w:rsidRDefault="00000000">
      <w:pPr>
        <w:ind w:left="-5"/>
      </w:pPr>
      <w:r>
        <w:rPr>
          <w:b/>
          <w:i/>
        </w:rPr>
        <w:t xml:space="preserve">Product </w:t>
      </w:r>
      <w:proofErr w:type="spellStart"/>
      <w:r>
        <w:rPr>
          <w:b/>
          <w:i/>
        </w:rPr>
        <w:t>Development:</w:t>
      </w:r>
      <w:r>
        <w:t>Dell</w:t>
      </w:r>
      <w:proofErr w:type="spellEnd"/>
      <w:r>
        <w:t xml:space="preserve"> has the chance to diversify its product line thanks to the quick development of cloud computing, the Internet of Things, and artificial intelligence. Dell can create brand-new servers that are geared towards AI computations or cloud storage options for SMBs. It will be crucial to invest in R&amp;D to develop goods that are unique in these fields (Kotler &amp; Keller, 2016).</w:t>
      </w:r>
    </w:p>
    <w:p w14:paraId="6E228C7E" w14:textId="77777777" w:rsidR="00DD1E77" w:rsidRDefault="00000000">
      <w:pPr>
        <w:ind w:left="-5"/>
      </w:pPr>
      <w:proofErr w:type="spellStart"/>
      <w:r>
        <w:rPr>
          <w:b/>
          <w:i/>
        </w:rPr>
        <w:t>Diversification:</w:t>
      </w:r>
      <w:r>
        <w:t>Dell</w:t>
      </w:r>
      <w:proofErr w:type="spellEnd"/>
      <w:r>
        <w:t xml:space="preserve"> might think about branching out into cybersecurity or software-as-a-service (SaaS) given that it already offers a wide range of hardware solutions. As a result, Dell will be able to provide full, all-encompassing solutions to business and individual customers, creating new revenue streams (Ansoff, 1957).</w:t>
      </w:r>
    </w:p>
    <w:p w14:paraId="3E74B270" w14:textId="77777777" w:rsidR="00DD1E77" w:rsidRDefault="00000000">
      <w:pPr>
        <w:ind w:left="-5"/>
      </w:pPr>
      <w:r>
        <w:rPr>
          <w:b/>
          <w:i/>
        </w:rPr>
        <w:t xml:space="preserve">Synergistic </w:t>
      </w:r>
      <w:proofErr w:type="spellStart"/>
      <w:r>
        <w:rPr>
          <w:b/>
          <w:i/>
        </w:rPr>
        <w:t>Approach:</w:t>
      </w:r>
      <w:r>
        <w:t>The</w:t>
      </w:r>
      <w:proofErr w:type="spellEnd"/>
      <w:r>
        <w:t xml:space="preserve"> adoption of these tactics in concert offers the greatest opportunity for progress. A new AI-optimised server, for instance, may be developed with expanding markets in mind. Dell may benefit from a first-mover advantage and be able to build a strong brand presence in new markets thanks to this kind of targeted diversification (Kotler &amp; Keller, 2016).</w:t>
      </w:r>
    </w:p>
    <w:p w14:paraId="1DEE457C" w14:textId="77777777" w:rsidR="00DD1E77" w:rsidRDefault="00000000">
      <w:pPr>
        <w:pStyle w:val="Heading1"/>
        <w:ind w:left="-5"/>
      </w:pPr>
      <w:bookmarkStart w:id="19" w:name="_Toc61266"/>
      <w:r>
        <w:t>6. GREEN STRATEGY AND CORPORATE SOCIAL RESPONSIBILITY (CSR)</w:t>
      </w:r>
      <w:bookmarkEnd w:id="19"/>
    </w:p>
    <w:p w14:paraId="58EC74DF" w14:textId="77777777" w:rsidR="00DD1E77" w:rsidRDefault="00000000">
      <w:pPr>
        <w:ind w:left="-5"/>
      </w:pPr>
      <w:r>
        <w:t>Dell Technologies has a big obligation to make sustainability a part of its corporate culture as a leader in technology. In today's environmentally concerned market, the company's green strategy is not just a moral obligation but also a crucial commercial need.</w:t>
      </w:r>
    </w:p>
    <w:p w14:paraId="024C6C27" w14:textId="77777777" w:rsidR="00DD1E77" w:rsidRDefault="00000000">
      <w:pPr>
        <w:spacing w:after="8"/>
        <w:ind w:left="-5"/>
      </w:pPr>
      <w:r>
        <w:rPr>
          <w:b/>
          <w:i/>
        </w:rPr>
        <w:t xml:space="preserve">Eco-Friendly Product </w:t>
      </w:r>
      <w:proofErr w:type="spellStart"/>
      <w:r>
        <w:rPr>
          <w:b/>
          <w:i/>
        </w:rPr>
        <w:t>Design:</w:t>
      </w:r>
      <w:r>
        <w:t>Designing</w:t>
      </w:r>
      <w:proofErr w:type="spellEnd"/>
      <w:r>
        <w:t xml:space="preserve"> products with less negative environmental impact can help Dell advance its green goal. Utilising recyclable or biodegradable materials and lowering gadget energy use are examples of this. This reduces the environmental impact while also attracting a growing market of environmentally concerned buyers (Hart, 1997).</w:t>
      </w:r>
    </w:p>
    <w:p w14:paraId="48DDBF2D" w14:textId="77777777" w:rsidR="00DD1E77" w:rsidRDefault="00000000">
      <w:pPr>
        <w:ind w:left="-5"/>
      </w:pPr>
      <w:r>
        <w:rPr>
          <w:b/>
          <w:i/>
        </w:rPr>
        <w:lastRenderedPageBreak/>
        <w:t xml:space="preserve">Renewable Energy </w:t>
      </w:r>
      <w:proofErr w:type="spellStart"/>
      <w:r>
        <w:rPr>
          <w:b/>
          <w:i/>
        </w:rPr>
        <w:t>Adoption:</w:t>
      </w:r>
      <w:r>
        <w:t>Investing</w:t>
      </w:r>
      <w:proofErr w:type="spellEnd"/>
      <w:r>
        <w:t xml:space="preserve"> in renewable energy sources for manufacturing and operational processes is another effective way to reduce carbon emissions. This would not only align with global climate goals but also serve as a selling point for environmentally-aware stakeholders (Porter &amp; Kramer, 2011).</w:t>
      </w:r>
    </w:p>
    <w:p w14:paraId="7DFC053A" w14:textId="77777777" w:rsidR="00DD1E77" w:rsidRDefault="00000000">
      <w:pPr>
        <w:ind w:left="-5"/>
      </w:pPr>
      <w:r>
        <w:rPr>
          <w:b/>
          <w:i/>
        </w:rPr>
        <w:t xml:space="preserve">Waste Management and </w:t>
      </w:r>
      <w:proofErr w:type="spellStart"/>
      <w:r>
        <w:rPr>
          <w:b/>
          <w:i/>
        </w:rPr>
        <w:t>Recycling:</w:t>
      </w:r>
      <w:r>
        <w:t>Dell</w:t>
      </w:r>
      <w:proofErr w:type="spellEnd"/>
      <w:r>
        <w:t xml:space="preserve"> has the chance to lead the industry by implementing a zero-waste policy. Improved waste management and recycling practices can lessen the impact of landfills. A strong take-back programme for outdated technology can also make recycling and upcycling easier, promoting a circular economy (Elkington, 1998).</w:t>
      </w:r>
    </w:p>
    <w:p w14:paraId="486177C8" w14:textId="77777777" w:rsidR="00DD1E77" w:rsidRDefault="00000000">
      <w:pPr>
        <w:ind w:left="-5"/>
      </w:pPr>
      <w:r>
        <w:rPr>
          <w:b/>
          <w:i/>
        </w:rPr>
        <w:t xml:space="preserve">Employee and Community </w:t>
      </w:r>
      <w:proofErr w:type="spellStart"/>
      <w:r>
        <w:rPr>
          <w:b/>
          <w:i/>
        </w:rPr>
        <w:t>Engagement:</w:t>
      </w:r>
      <w:r>
        <w:t>Promoting</w:t>
      </w:r>
      <w:proofErr w:type="spellEnd"/>
      <w:r>
        <w:t xml:space="preserve"> green practices internally entails educating and rewarding staff to follow sustainable behaviours, such as reducing waste and making the best use of resources. Programmes for interacting with the community, such as workshops on sustainability or environmental awareness campaigns, can have an impact outside of the organisation (</w:t>
      </w:r>
      <w:proofErr w:type="spellStart"/>
      <w:r>
        <w:t>Maignan</w:t>
      </w:r>
      <w:proofErr w:type="spellEnd"/>
      <w:r>
        <w:t xml:space="preserve"> &amp; Ferrell, 2004).</w:t>
      </w:r>
    </w:p>
    <w:p w14:paraId="5E3D1B48" w14:textId="77777777" w:rsidR="00DD1E77" w:rsidRDefault="00000000">
      <w:pPr>
        <w:ind w:left="-5"/>
      </w:pPr>
      <w:r>
        <w:rPr>
          <w:b/>
          <w:i/>
        </w:rPr>
        <w:t xml:space="preserve">Transparency and </w:t>
      </w:r>
      <w:proofErr w:type="spellStart"/>
      <w:r>
        <w:rPr>
          <w:b/>
          <w:i/>
        </w:rPr>
        <w:t>Reporting:</w:t>
      </w:r>
      <w:r>
        <w:t>Any</w:t>
      </w:r>
      <w:proofErr w:type="spellEnd"/>
      <w:r>
        <w:t xml:space="preserve"> successful CSR plan must prioritise transparency. Dell should release yearly sustainability reports detailing its environmental effect, current initiatives, and future intentions. In addition to increasing trust, this also establishes quantifiable criteria for ongoing progress (Epstein-Reeves, 2012).</w:t>
      </w:r>
    </w:p>
    <w:p w14:paraId="4F9709E0" w14:textId="77777777" w:rsidR="00590331" w:rsidRDefault="00590331">
      <w:pPr>
        <w:pStyle w:val="Heading1"/>
        <w:ind w:left="-5"/>
      </w:pPr>
      <w:bookmarkStart w:id="20" w:name="_Toc61267"/>
    </w:p>
    <w:p w14:paraId="15B5B828" w14:textId="77777777" w:rsidR="00590331" w:rsidRDefault="00590331">
      <w:pPr>
        <w:pStyle w:val="Heading1"/>
        <w:ind w:left="-5"/>
      </w:pPr>
    </w:p>
    <w:p w14:paraId="694C7B03" w14:textId="7062B48F" w:rsidR="00DD1E77" w:rsidRDefault="00000000">
      <w:pPr>
        <w:pStyle w:val="Heading1"/>
        <w:ind w:left="-5"/>
      </w:pPr>
      <w:r>
        <w:t>7.RECOMMENDATIONS AND CONCLUSIONS</w:t>
      </w:r>
      <w:bookmarkEnd w:id="20"/>
    </w:p>
    <w:p w14:paraId="36180479" w14:textId="77777777" w:rsidR="00DD1E77" w:rsidRDefault="00000000">
      <w:pPr>
        <w:ind w:left="-5"/>
      </w:pPr>
      <w:r>
        <w:t>To sustain its competitive advantage and position itself for future growth, Dell Technologies Inc. should consider the following recommendations based on strategic frameworks like Porter's Generic Strategies and Ansoff's Matrix:</w:t>
      </w:r>
    </w:p>
    <w:p w14:paraId="52705C64" w14:textId="77777777" w:rsidR="00DD1E77" w:rsidRDefault="00000000">
      <w:pPr>
        <w:pStyle w:val="Heading4"/>
        <w:ind w:left="-5"/>
      </w:pPr>
      <w:r>
        <w:t>Technological Innovation</w:t>
      </w:r>
    </w:p>
    <w:p w14:paraId="3B953847" w14:textId="77777777" w:rsidR="00DD1E77" w:rsidRDefault="00000000">
      <w:pPr>
        <w:ind w:left="-5"/>
      </w:pPr>
      <w:r>
        <w:rPr>
          <w:b/>
          <w:i/>
        </w:rPr>
        <w:t xml:space="preserve">Invest in R&amp;D for Edge Computing and AI: </w:t>
      </w:r>
      <w:r>
        <w:t>Given the burgeoning opportunities in edge computing and artificial intelligence, Dell should allocate more resources to research and development in these domains. Innovation in these areas can offer Dell a significant first-mover advantage.</w:t>
      </w:r>
    </w:p>
    <w:p w14:paraId="669CCE5D" w14:textId="77777777" w:rsidR="00DD1E77" w:rsidRDefault="00000000">
      <w:pPr>
        <w:pStyle w:val="Heading4"/>
        <w:ind w:left="-5"/>
      </w:pPr>
      <w:r>
        <w:t>Market Expansion and Diversification</w:t>
      </w:r>
    </w:p>
    <w:p w14:paraId="28A5A612" w14:textId="77777777" w:rsidR="00DD1E77" w:rsidRDefault="00000000">
      <w:pPr>
        <w:ind w:left="-5"/>
      </w:pPr>
      <w:r>
        <w:rPr>
          <w:b/>
          <w:i/>
        </w:rPr>
        <w:t xml:space="preserve">Strategic Alliances and Acquisitions: </w:t>
      </w:r>
      <w:r>
        <w:t>In light of Ansoff's Matrix, Dell should investigate market expansion and diversification as potential growth strategies. Partnerships or purchases of businesses specialising in cybersecurity or cloud services can open up new business opportunities.</w:t>
      </w:r>
    </w:p>
    <w:p w14:paraId="75E0C3AC" w14:textId="77777777" w:rsidR="00DD1E77" w:rsidRDefault="00000000">
      <w:pPr>
        <w:ind w:left="-5"/>
      </w:pPr>
      <w:r>
        <w:rPr>
          <w:b/>
          <w:i/>
        </w:rPr>
        <w:t xml:space="preserve">Emerging Markets Strategy: </w:t>
      </w:r>
      <w:r>
        <w:t>In emerging markets, there is a rising desire for technological solutions. Dell needs to create specialised products and price plans to win over this market.</w:t>
      </w:r>
    </w:p>
    <w:p w14:paraId="4ABF9418" w14:textId="77777777" w:rsidR="00DD1E77" w:rsidRDefault="00000000">
      <w:pPr>
        <w:pStyle w:val="Heading4"/>
        <w:ind w:left="-5"/>
      </w:pPr>
      <w:r>
        <w:t>Customer Experience and Relationship</w:t>
      </w:r>
    </w:p>
    <w:p w14:paraId="32A14B3D" w14:textId="77777777" w:rsidR="00DD1E77" w:rsidRDefault="00000000">
      <w:pPr>
        <w:ind w:left="-5"/>
      </w:pPr>
      <w:r>
        <w:rPr>
          <w:b/>
          <w:i/>
        </w:rPr>
        <w:t>Enhanced Customer Relationship Management (CRM):</w:t>
      </w:r>
      <w:r>
        <w:t>Utilise sophisticated CRM programmes to gather and examine customer data. By personalising marketing campaigns and enhancing customer service, this information can be helpful.</w:t>
      </w:r>
    </w:p>
    <w:p w14:paraId="70D039ED" w14:textId="77777777" w:rsidR="00DD1E77" w:rsidRDefault="00000000">
      <w:pPr>
        <w:pStyle w:val="Heading4"/>
        <w:ind w:left="-5"/>
      </w:pPr>
      <w:r>
        <w:lastRenderedPageBreak/>
        <w:t>Sustainability and Corporate Social Responsibility</w:t>
      </w:r>
    </w:p>
    <w:p w14:paraId="7F4B1FF8" w14:textId="77777777" w:rsidR="00DD1E77" w:rsidRDefault="00000000">
      <w:pPr>
        <w:ind w:left="-5"/>
      </w:pPr>
      <w:r>
        <w:rPr>
          <w:b/>
          <w:i/>
        </w:rPr>
        <w:t xml:space="preserve">Green Technology Leadership: </w:t>
      </w:r>
      <w:r>
        <w:t>Dell should strive to be a pioneer in environmentally friendly technology. Investments in R&amp;D for creating energy-efficient products can both lessen their negative effects on the environment and draw in customers who care about the environment.</w:t>
      </w:r>
    </w:p>
    <w:p w14:paraId="00167C70" w14:textId="77777777" w:rsidR="00DD1E77" w:rsidRDefault="00000000">
      <w:pPr>
        <w:ind w:left="-5"/>
      </w:pPr>
      <w:r>
        <w:rPr>
          <w:b/>
          <w:i/>
        </w:rPr>
        <w:t xml:space="preserve">Stakeholder Engagement in CSR: </w:t>
      </w:r>
      <w:r>
        <w:t>Engage stakeholders frequently to learn about their expectations regarding Dell's social and environmental responsibilities. Then, tailor your CSR initiatives to meet those expectations.</w:t>
      </w:r>
    </w:p>
    <w:p w14:paraId="79B0743B" w14:textId="77777777" w:rsidR="00DD1E77" w:rsidRDefault="00000000">
      <w:pPr>
        <w:pStyle w:val="Heading4"/>
        <w:ind w:left="-5"/>
      </w:pPr>
      <w:r>
        <w:t>Talent Management and Skill Development</w:t>
      </w:r>
    </w:p>
    <w:p w14:paraId="0167E756" w14:textId="77777777" w:rsidR="00DD1E77" w:rsidRDefault="00000000">
      <w:pPr>
        <w:ind w:left="-5"/>
      </w:pPr>
      <w:r>
        <w:rPr>
          <w:b/>
          <w:i/>
        </w:rPr>
        <w:t xml:space="preserve">Talent Acquisition and Retention: </w:t>
      </w:r>
      <w:r>
        <w:t>Dell should prioritise attracting and keeping top people given the widening skills gap in the technology sector, particularly in fields like machine learning, cybersecurity, and data science.</w:t>
      </w:r>
    </w:p>
    <w:p w14:paraId="0A227EB9" w14:textId="77777777" w:rsidR="00DD1E77" w:rsidRDefault="00000000">
      <w:pPr>
        <w:pStyle w:val="Heading4"/>
        <w:ind w:left="-5"/>
      </w:pPr>
      <w:r>
        <w:t>Business Model Adaptation</w:t>
      </w:r>
    </w:p>
    <w:p w14:paraId="686446B0" w14:textId="77777777" w:rsidR="00DD1E77" w:rsidRDefault="00000000">
      <w:pPr>
        <w:ind w:left="-5"/>
      </w:pPr>
      <w:r>
        <w:rPr>
          <w:b/>
          <w:i/>
        </w:rPr>
        <w:t xml:space="preserve">Flexible Business Models: </w:t>
      </w:r>
      <w:r>
        <w:t>Introduce subscription-based approaches and more flexible consumption options. Small to medium-sized businesses (SMEs) that may find the up-front expenses of technology infrastructure expensive may be drawn to this strategy.</w:t>
      </w:r>
    </w:p>
    <w:p w14:paraId="69F8BE37" w14:textId="77777777" w:rsidR="00DD1E77" w:rsidRDefault="00000000">
      <w:pPr>
        <w:pStyle w:val="Heading4"/>
        <w:ind w:left="-5"/>
      </w:pPr>
      <w:r>
        <w:t>Branding and Positioning</w:t>
      </w:r>
    </w:p>
    <w:p w14:paraId="06A63846" w14:textId="77777777" w:rsidR="00DD1E77" w:rsidRDefault="00000000">
      <w:pPr>
        <w:ind w:left="-5"/>
      </w:pPr>
      <w:r>
        <w:rPr>
          <w:b/>
          <w:i/>
        </w:rPr>
        <w:t xml:space="preserve">Brand Differentiation: </w:t>
      </w:r>
      <w:r>
        <w:t>Dell needs to work on differentiating itself in a crowded market with special value propositions. The differentiators can be unique software or special bundled services.</w:t>
      </w:r>
    </w:p>
    <w:p w14:paraId="31C9854F" w14:textId="77777777" w:rsidR="00DD1E77" w:rsidRDefault="00000000">
      <w:pPr>
        <w:spacing w:after="6"/>
        <w:ind w:left="-5"/>
      </w:pPr>
      <w:r>
        <w:t xml:space="preserve">It is clear that Dell Technologies Inc. is at a critical juncture in light of the thorough strategic study done on the company. While it has great internal capabilities, such as a powerful brand, an effective supply chain, and a wide range of products and services, it also faces significant external challenges. These include a highly competitive environment, the quick rate of technological progress, and rising customer demand for environmentally friendly </w:t>
      </w:r>
      <w:proofErr w:type="spellStart"/>
      <w:r>
        <w:t>products.The</w:t>
      </w:r>
      <w:proofErr w:type="spellEnd"/>
      <w:r>
        <w:t xml:space="preserve"> suggestions made are meant to direct Dell in maintaining its competitive advantage and pursuing expansion </w:t>
      </w:r>
      <w:r>
        <w:lastRenderedPageBreak/>
        <w:t xml:space="preserve">possibilities. The strategies are intended to address both internal and external issues affecting the performance of the firm. Dell may both reduce risks and take advantage of new opportunities by using a diverse strategy that includes market diversity, technical innovation, and </w:t>
      </w:r>
      <w:proofErr w:type="spellStart"/>
      <w:r>
        <w:t>sustainability.To</w:t>
      </w:r>
      <w:proofErr w:type="spellEnd"/>
      <w:r>
        <w:t xml:space="preserve"> strengthen its market position and fuel future growth, Dell must quickly implement these suggestions. This will call for a deliberate makeover of the entire business, from its internal workings to its corporate culture. Given the industry's dynamism, inaction or delayed action may lead to missed chances and make recovery challenging. For Dell to be successful in the long run, these techniques' prompt and efficient implementation will be </w:t>
      </w:r>
      <w:proofErr w:type="spellStart"/>
      <w:r>
        <w:t>essential.These</w:t>
      </w:r>
      <w:proofErr w:type="spellEnd"/>
      <w:r>
        <w:t xml:space="preserve"> projects will benefit greatly from the strategic frameworks and analyses used in this research, such as Porter's Generic Strategies, Ansoff's Matrix, and the Green Marketing Strategy Matrix. These frameworks allow for a more sophisticated understanding of Dell's strategic posture in addition to providing an intellectual foundation for the recommendations.</w:t>
      </w:r>
      <w:r>
        <w:br w:type="page"/>
      </w:r>
    </w:p>
    <w:p w14:paraId="1B0C042A" w14:textId="77777777" w:rsidR="00DD1E77" w:rsidRDefault="00000000">
      <w:pPr>
        <w:pStyle w:val="Heading1"/>
        <w:ind w:left="-5"/>
      </w:pPr>
      <w:bookmarkStart w:id="21" w:name="_Toc61268"/>
      <w:r>
        <w:lastRenderedPageBreak/>
        <w:t>REFERENCES</w:t>
      </w:r>
      <w:bookmarkEnd w:id="21"/>
    </w:p>
    <w:p w14:paraId="37087847" w14:textId="77777777" w:rsidR="00DD1E77" w:rsidRDefault="00000000">
      <w:pPr>
        <w:spacing w:after="6"/>
        <w:ind w:left="-5"/>
      </w:pPr>
      <w:r>
        <w:t>Aaker, D. A. (1991). Managing brand equity: Capitalizing on the value of a brand name. New York: The Free Press.</w:t>
      </w:r>
    </w:p>
    <w:p w14:paraId="5AFB1E66" w14:textId="77777777" w:rsidR="00DD1E77" w:rsidRDefault="00000000">
      <w:pPr>
        <w:tabs>
          <w:tab w:val="center" w:pos="1910"/>
          <w:tab w:val="center" w:pos="3176"/>
          <w:tab w:val="center" w:pos="4553"/>
          <w:tab w:val="center" w:pos="5896"/>
          <w:tab w:val="center" w:pos="7365"/>
          <w:tab w:val="right" w:pos="9360"/>
        </w:tabs>
        <w:spacing w:after="120" w:line="259" w:lineRule="auto"/>
        <w:ind w:left="-15" w:firstLine="0"/>
        <w:jc w:val="left"/>
      </w:pPr>
      <w:r>
        <w:t>Anderson,</w:t>
      </w:r>
      <w:r>
        <w:tab/>
        <w:t>J.</w:t>
      </w:r>
      <w:r>
        <w:tab/>
        <w:t>(2021).</w:t>
      </w:r>
      <w:r>
        <w:tab/>
        <w:t>The</w:t>
      </w:r>
      <w:r>
        <w:tab/>
        <w:t>Ansoff</w:t>
      </w:r>
      <w:r>
        <w:tab/>
        <w:t>matrix</w:t>
      </w:r>
      <w:r>
        <w:tab/>
        <w:t>[Figure].</w:t>
      </w:r>
    </w:p>
    <w:p w14:paraId="6ECA0A64" w14:textId="77777777" w:rsidR="00DD1E77" w:rsidRDefault="00000000">
      <w:pPr>
        <w:spacing w:after="5"/>
        <w:ind w:left="-5"/>
      </w:pPr>
      <w:r>
        <w:t>https://www.researchgate.net/figure/The-Ansoff-Matrix-Courtesy-of-corporatefinanceinstituteco m_fig4_341671277</w:t>
      </w:r>
    </w:p>
    <w:p w14:paraId="57FD8847" w14:textId="77777777" w:rsidR="00DD1E77" w:rsidRDefault="00000000">
      <w:pPr>
        <w:spacing w:after="150" w:line="259" w:lineRule="auto"/>
        <w:ind w:left="-5"/>
      </w:pPr>
      <w:r>
        <w:t>Ansoff, H. I. (1957). Strategies for diversification. Harvard Business Review, 35(5), 113-124.</w:t>
      </w:r>
    </w:p>
    <w:p w14:paraId="3461DFA4" w14:textId="77777777" w:rsidR="00DD1E77" w:rsidRDefault="00000000">
      <w:pPr>
        <w:spacing w:after="6"/>
        <w:ind w:left="-5"/>
      </w:pPr>
      <w:r>
        <w:t xml:space="preserve">Barney, J. B. (1991). Firm resources and sustained competitive advantage. Journal of Management, 17(1), 99-120. </w:t>
      </w:r>
      <w:hyperlink r:id="rId22">
        <w:r>
          <w:rPr>
            <w:color w:val="1155CC"/>
            <w:u w:val="single" w:color="1155CC"/>
          </w:rPr>
          <w:t>https://doi.org/10.1177/014920639101700108</w:t>
        </w:r>
      </w:hyperlink>
    </w:p>
    <w:p w14:paraId="29CD53DF" w14:textId="77777777" w:rsidR="00DD1E77" w:rsidRDefault="00000000">
      <w:pPr>
        <w:spacing w:after="6"/>
        <w:ind w:left="-5"/>
      </w:pPr>
      <w:r>
        <w:t xml:space="preserve">Becker, B., </w:t>
      </w:r>
      <w:proofErr w:type="spellStart"/>
      <w:r>
        <w:t>Huselid</w:t>
      </w:r>
      <w:proofErr w:type="spellEnd"/>
      <w:r>
        <w:t>, M., &amp; Ulrich, D. (2001). The HR scorecard: Linking people, strategy, and performance. Boston, MA: Harvard Business School Press.</w:t>
      </w:r>
    </w:p>
    <w:p w14:paraId="45175BD1" w14:textId="77777777" w:rsidR="00DD1E77" w:rsidRDefault="00000000">
      <w:pPr>
        <w:spacing w:after="6"/>
        <w:ind w:left="-5"/>
      </w:pPr>
      <w:r>
        <w:t>Berman, S. J., &amp; Bell, R. (2011). Digital transformation: Creating new business models where digital meets physical. IBM Institute for Business Value.</w:t>
      </w:r>
    </w:p>
    <w:p w14:paraId="2C2A378B" w14:textId="77777777" w:rsidR="00DD1E77" w:rsidRDefault="00000000">
      <w:pPr>
        <w:spacing w:after="2"/>
        <w:ind w:left="-5"/>
      </w:pPr>
      <w:r>
        <w:t xml:space="preserve">Bharadwaj, A. S. (2000). A resource-based perspective on information technology capability and firm performance: an empirical investigation. MIS quarterly, 24(1), 169-196. </w:t>
      </w:r>
      <w:hyperlink r:id="rId23">
        <w:r>
          <w:rPr>
            <w:color w:val="1155CC"/>
            <w:u w:val="single" w:color="1155CC"/>
          </w:rPr>
          <w:t>https://doi.org/10.2307/3250983</w:t>
        </w:r>
      </w:hyperlink>
    </w:p>
    <w:p w14:paraId="6AA1A86F" w14:textId="77777777" w:rsidR="00DD1E77" w:rsidRDefault="00000000">
      <w:pPr>
        <w:spacing w:after="6"/>
        <w:ind w:left="-5"/>
      </w:pPr>
      <w:r>
        <w:t>Bowersox, D. J., Closs, D. J., &amp; Cooper, M. B. (2002). Supply chain logistics management (Vol. 2). New York, NY: McGraw-Hill.</w:t>
      </w:r>
    </w:p>
    <w:p w14:paraId="56C79B77" w14:textId="77777777" w:rsidR="00DD1E77" w:rsidRDefault="00000000">
      <w:pPr>
        <w:spacing w:after="2"/>
        <w:ind w:left="-5"/>
      </w:pPr>
      <w:proofErr w:type="spellStart"/>
      <w:r>
        <w:t>Brouthers</w:t>
      </w:r>
      <w:proofErr w:type="spellEnd"/>
      <w:r>
        <w:t xml:space="preserve">, K. D., </w:t>
      </w:r>
      <w:proofErr w:type="spellStart"/>
      <w:r>
        <w:t>Geisser</w:t>
      </w:r>
      <w:proofErr w:type="spellEnd"/>
      <w:r>
        <w:t xml:space="preserve">, K. D., &amp; </w:t>
      </w:r>
      <w:proofErr w:type="spellStart"/>
      <w:r>
        <w:t>Rothlauf</w:t>
      </w:r>
      <w:proofErr w:type="spellEnd"/>
      <w:r>
        <w:t xml:space="preserve">, F. (2016). Explaining the internationalization of </w:t>
      </w:r>
      <w:proofErr w:type="spellStart"/>
      <w:r>
        <w:t>ibusiness</w:t>
      </w:r>
      <w:proofErr w:type="spellEnd"/>
      <w:r>
        <w:t xml:space="preserve"> firms. Journal of International Business Studies, 47(5), 513-534. https://doi.org/10.1057/jibs.2015.20</w:t>
      </w:r>
    </w:p>
    <w:p w14:paraId="42A408B6" w14:textId="77777777" w:rsidR="00DD1E77" w:rsidRDefault="00000000">
      <w:pPr>
        <w:spacing w:after="2"/>
        <w:ind w:left="-5"/>
      </w:pPr>
      <w:proofErr w:type="spellStart"/>
      <w:r>
        <w:t>Carr</w:t>
      </w:r>
      <w:proofErr w:type="spellEnd"/>
      <w:r>
        <w:t xml:space="preserve">, A. S., &amp; Pearson, J. N. (1999). Strategically managed buyer–supplier relationships and performance outcomes. Journal of operations management, 17(5), 497-519. </w:t>
      </w:r>
      <w:hyperlink r:id="rId24">
        <w:r>
          <w:rPr>
            <w:color w:val="1155CC"/>
            <w:u w:val="single" w:color="1155CC"/>
          </w:rPr>
          <w:t>https://doi.org/10.1016/S0272-6963(99)00007-8</w:t>
        </w:r>
      </w:hyperlink>
    </w:p>
    <w:p w14:paraId="29EEF7D9" w14:textId="77777777" w:rsidR="00DD1E77" w:rsidRDefault="00000000">
      <w:pPr>
        <w:spacing w:after="6"/>
        <w:ind w:left="-5"/>
      </w:pPr>
      <w:r>
        <w:t>Christensen, C. M. (1997). The innovator's dilemma: when new technologies cause great firms to fail. Harvard Business Review Press.</w:t>
      </w:r>
    </w:p>
    <w:p w14:paraId="4FA70F7B" w14:textId="77777777" w:rsidR="00DD1E77" w:rsidRDefault="00000000">
      <w:pPr>
        <w:spacing w:after="150" w:line="259" w:lineRule="auto"/>
        <w:ind w:left="-5"/>
      </w:pPr>
      <w:r>
        <w:t>Christopher, M. (2016). Logistics &amp; supply chain management. Pearson UK.</w:t>
      </w:r>
    </w:p>
    <w:p w14:paraId="5709BEBE" w14:textId="77777777" w:rsidR="00DD1E77" w:rsidRDefault="00000000">
      <w:pPr>
        <w:ind w:left="-5"/>
      </w:pPr>
      <w:r>
        <w:lastRenderedPageBreak/>
        <w:t xml:space="preserve">Cox, A. (2001). Understanding buyer and supplier power: a framework for procurement and supply competence. Journal of Supply Chain Management, 37(1), 8-15. </w:t>
      </w:r>
      <w:hyperlink r:id="rId25">
        <w:r>
          <w:rPr>
            <w:color w:val="1155CC"/>
            <w:u w:val="single" w:color="1155CC"/>
          </w:rPr>
          <w:t>https://doi.org/10.1111/j.1745-493X.2001.tb00094.x</w:t>
        </w:r>
      </w:hyperlink>
    </w:p>
    <w:p w14:paraId="2BE76FCB" w14:textId="77777777" w:rsidR="00DD1E77" w:rsidRDefault="00000000">
      <w:pPr>
        <w:tabs>
          <w:tab w:val="center" w:pos="1540"/>
          <w:tab w:val="center" w:pos="2810"/>
          <w:tab w:val="center" w:pos="4243"/>
          <w:tab w:val="center" w:pos="5586"/>
          <w:tab w:val="center" w:pos="7182"/>
          <w:tab w:val="right" w:pos="9360"/>
        </w:tabs>
        <w:spacing w:after="120" w:line="259" w:lineRule="auto"/>
        <w:ind w:left="-15" w:firstLine="0"/>
        <w:jc w:val="left"/>
      </w:pPr>
      <w:r>
        <w:t>Davis,</w:t>
      </w:r>
      <w:r>
        <w:tab/>
        <w:t>C.</w:t>
      </w:r>
      <w:r>
        <w:tab/>
        <w:t>(2021).</w:t>
      </w:r>
      <w:r>
        <w:tab/>
        <w:t>Value</w:t>
      </w:r>
      <w:r>
        <w:tab/>
        <w:t>chain</w:t>
      </w:r>
      <w:r>
        <w:tab/>
        <w:t>framework</w:t>
      </w:r>
      <w:r>
        <w:tab/>
        <w:t>[Figure].</w:t>
      </w:r>
    </w:p>
    <w:p w14:paraId="68B88062" w14:textId="77777777" w:rsidR="00DD1E77" w:rsidRDefault="00000000">
      <w:pPr>
        <w:spacing w:after="143" w:line="259" w:lineRule="auto"/>
        <w:ind w:left="-5"/>
      </w:pPr>
      <w:r>
        <w:t>https://www.researchgate.net/figure/alue-chain-Source_fig1_337706484</w:t>
      </w:r>
    </w:p>
    <w:p w14:paraId="09220DF1" w14:textId="77777777" w:rsidR="00DD1E77" w:rsidRDefault="00000000">
      <w:pPr>
        <w:spacing w:after="5"/>
        <w:ind w:left="-5"/>
      </w:pPr>
      <w:r>
        <w:t>Elkington, J. (1998). Partnerships from cannibals with forks: The triple bottom line of 21st</w:t>
      </w:r>
      <w:r>
        <w:rPr>
          <w:rFonts w:ascii="MS PMincho" w:eastAsia="MS PMincho" w:hAnsi="MS PMincho" w:cs="MS PMincho"/>
        </w:rPr>
        <w:t>‐</w:t>
      </w:r>
      <w:r>
        <w:t xml:space="preserve">century business. Environmental quality management, 8(1), 37-51. </w:t>
      </w:r>
      <w:hyperlink r:id="rId26">
        <w:r>
          <w:rPr>
            <w:color w:val="1155CC"/>
            <w:u w:val="single" w:color="1155CC"/>
          </w:rPr>
          <w:t>https://doi.org/10.1002/tqem.3310080106</w:t>
        </w:r>
      </w:hyperlink>
    </w:p>
    <w:p w14:paraId="7A7D7DF6" w14:textId="77777777" w:rsidR="00DD1E77" w:rsidRDefault="00000000">
      <w:pPr>
        <w:spacing w:after="4"/>
        <w:ind w:left="-5"/>
      </w:pPr>
      <w:r>
        <w:t>Epstein-Reeves, J. (2012). Six reasons companies should embrace CSR. Forbes, February 21, 2012.</w:t>
      </w:r>
    </w:p>
    <w:p w14:paraId="3B563509" w14:textId="77777777" w:rsidR="00DD1E77" w:rsidRDefault="00000000">
      <w:pPr>
        <w:spacing w:after="6"/>
        <w:ind w:left="-5"/>
      </w:pPr>
      <w:r>
        <w:t>Esty, D. C., &amp; Winston, A. S. (2009). Green to gold: How smart companies use environmental strategy to innovate, create value, and build competitive advantage. John Wiley &amp; Sons.</w:t>
      </w:r>
    </w:p>
    <w:p w14:paraId="753D7F0C" w14:textId="77777777" w:rsidR="00DD1E77" w:rsidRDefault="00000000">
      <w:pPr>
        <w:spacing w:after="6"/>
        <w:ind w:left="-5"/>
      </w:pPr>
      <w:r>
        <w:t xml:space="preserve">Fullerton, R. R., Kennedy, F. A., &amp; Widener, S. K. (2014). Lean manufacturing and firm performance: The incremental contribution of lean management accounting practices. Journal of operations management, 32(7-8), 414-428. </w:t>
      </w:r>
      <w:hyperlink r:id="rId27">
        <w:r>
          <w:rPr>
            <w:color w:val="1155CC"/>
            <w:u w:val="single" w:color="1155CC"/>
          </w:rPr>
          <w:t xml:space="preserve">https://doi.org/10.1016/j.jom.2014.09.002 </w:t>
        </w:r>
      </w:hyperlink>
      <w:r>
        <w:t>Ghemawat, P. (1991). Commitment: The dynamic of strategy. Simon and Schuster.</w:t>
      </w:r>
    </w:p>
    <w:p w14:paraId="533FD4F6" w14:textId="77777777" w:rsidR="00DD1E77" w:rsidRDefault="00000000">
      <w:pPr>
        <w:spacing w:after="4"/>
        <w:ind w:left="-5"/>
      </w:pPr>
      <w:r>
        <w:t>Grant, R. M. (2010). Contemporary strategy analysis and cases: text and cases. John Wiley &amp; Sons.</w:t>
      </w:r>
    </w:p>
    <w:p w14:paraId="52D9C6E5" w14:textId="77777777" w:rsidR="00DD1E77" w:rsidRDefault="00000000">
      <w:pPr>
        <w:spacing w:after="6"/>
        <w:ind w:left="-5"/>
      </w:pPr>
      <w:r>
        <w:t xml:space="preserve">Hart, S. L. (1995). A natural-resource-based view of the firm. Academy of management review, 20(4), 986-1014. </w:t>
      </w:r>
      <w:hyperlink r:id="rId28">
        <w:r>
          <w:rPr>
            <w:color w:val="1155CC"/>
            <w:u w:val="single" w:color="1155CC"/>
          </w:rPr>
          <w:t>https://doi.org/10.5465/amr.1995.9512280033</w:t>
        </w:r>
      </w:hyperlink>
    </w:p>
    <w:p w14:paraId="07B01DC1" w14:textId="77777777" w:rsidR="00DD1E77" w:rsidRDefault="00000000">
      <w:pPr>
        <w:spacing w:after="6"/>
        <w:ind w:left="-5"/>
      </w:pPr>
      <w:r>
        <w:t>Hill, C. W., Jones, G. R., &amp; Schilling, M. A. (2014). Strategic management: theory &amp; cases: an integrated approach. Cengage Learning.</w:t>
      </w:r>
    </w:p>
    <w:p w14:paraId="0A72316F" w14:textId="77777777" w:rsidR="00DD1E77" w:rsidRDefault="00000000">
      <w:pPr>
        <w:spacing w:after="150" w:line="259" w:lineRule="auto"/>
        <w:ind w:left="-5"/>
      </w:pPr>
      <w:r>
        <w:t xml:space="preserve">Johnson, G., Whittington, R., Scholes, K., Angwin, D., </w:t>
      </w:r>
      <w:proofErr w:type="spellStart"/>
      <w:r>
        <w:t>Regnér</w:t>
      </w:r>
      <w:proofErr w:type="spellEnd"/>
      <w:r>
        <w:t>, P. (2011). Exploring Strategy:</w:t>
      </w:r>
    </w:p>
    <w:p w14:paraId="59DF2B44" w14:textId="77777777" w:rsidR="00DD1E77" w:rsidRDefault="00000000">
      <w:pPr>
        <w:spacing w:after="150" w:line="259" w:lineRule="auto"/>
        <w:ind w:left="-5"/>
      </w:pPr>
      <w:r>
        <w:t>Text and Cases, 9th Edition. Pearson.</w:t>
      </w:r>
    </w:p>
    <w:p w14:paraId="618BB587" w14:textId="77777777" w:rsidR="00DD1E77" w:rsidRDefault="00000000">
      <w:pPr>
        <w:tabs>
          <w:tab w:val="center" w:pos="1168"/>
          <w:tab w:val="center" w:pos="2093"/>
          <w:tab w:val="center" w:pos="3308"/>
          <w:tab w:val="center" w:pos="4318"/>
          <w:tab w:val="center" w:pos="5181"/>
          <w:tab w:val="center" w:pos="6057"/>
          <w:tab w:val="center" w:pos="7367"/>
          <w:tab w:val="right" w:pos="9360"/>
        </w:tabs>
        <w:spacing w:after="120" w:line="259" w:lineRule="auto"/>
        <w:ind w:left="-15" w:firstLine="0"/>
        <w:jc w:val="left"/>
      </w:pPr>
      <w:r>
        <w:t>Jones,</w:t>
      </w:r>
      <w:r>
        <w:tab/>
        <w:t>B.</w:t>
      </w:r>
      <w:r>
        <w:tab/>
        <w:t>(2019).</w:t>
      </w:r>
      <w:r>
        <w:tab/>
        <w:t>Industry</w:t>
      </w:r>
      <w:r>
        <w:tab/>
        <w:t>life</w:t>
      </w:r>
      <w:r>
        <w:tab/>
        <w:t>cycle</w:t>
      </w:r>
      <w:r>
        <w:tab/>
        <w:t>and</w:t>
      </w:r>
      <w:r>
        <w:tab/>
        <w:t>characteristics</w:t>
      </w:r>
      <w:r>
        <w:tab/>
        <w:t>[Figure].</w:t>
      </w:r>
    </w:p>
    <w:p w14:paraId="47BFF67A" w14:textId="77777777" w:rsidR="00DD1E77" w:rsidRDefault="00000000">
      <w:pPr>
        <w:spacing w:after="143" w:line="259" w:lineRule="auto"/>
        <w:ind w:left="-5"/>
      </w:pPr>
      <w:r>
        <w:t>https://www.researchgate.net/figure/Industry-life-cycle-and-characteristics_fig2_337872851</w:t>
      </w:r>
    </w:p>
    <w:p w14:paraId="2A5F7885" w14:textId="77777777" w:rsidR="00DD1E77" w:rsidRDefault="00000000">
      <w:pPr>
        <w:spacing w:after="6"/>
        <w:ind w:left="-5"/>
      </w:pPr>
      <w:r>
        <w:t>Kaplan, R. S., &amp; Norton, D. P. (2008). The execution premium: Linking strategy to operations for competitive advantage. Harvard Business Press.</w:t>
      </w:r>
    </w:p>
    <w:p w14:paraId="2B9F43C2" w14:textId="77777777" w:rsidR="00DD1E77" w:rsidRDefault="00000000">
      <w:pPr>
        <w:spacing w:after="6"/>
        <w:ind w:left="-5"/>
      </w:pPr>
      <w:r>
        <w:lastRenderedPageBreak/>
        <w:t xml:space="preserve">Kaplinsky, R. (2011). Schumacher meets Schumpeter: Appropriate technology below the radar. Research policy, 40(2), 193-203. </w:t>
      </w:r>
      <w:hyperlink r:id="rId29">
        <w:r>
          <w:rPr>
            <w:color w:val="1155CC"/>
            <w:u w:val="single" w:color="1155CC"/>
          </w:rPr>
          <w:t>https://doi.org/10.1016/j.respol.2010.10.003</w:t>
        </w:r>
      </w:hyperlink>
    </w:p>
    <w:p w14:paraId="17F74138" w14:textId="77777777" w:rsidR="00DD1E77" w:rsidRDefault="00000000">
      <w:pPr>
        <w:spacing w:after="4"/>
        <w:ind w:left="-5"/>
      </w:pPr>
      <w:r>
        <w:t>Kotler, P. (2000). Marketing management millennium edition. Marketing Management, 23(6), 188-193.</w:t>
      </w:r>
    </w:p>
    <w:p w14:paraId="038DCFB9" w14:textId="77777777" w:rsidR="00DD1E77" w:rsidRDefault="00000000">
      <w:pPr>
        <w:spacing w:after="0" w:line="259" w:lineRule="auto"/>
        <w:ind w:left="-5"/>
      </w:pPr>
      <w:r>
        <w:t>Kotler, P., &amp; Keller, K. (2016). Marketing Management 15th Edition. Pearson.</w:t>
      </w:r>
    </w:p>
    <w:p w14:paraId="72669F88" w14:textId="77777777" w:rsidR="00DD1E77" w:rsidRDefault="00000000">
      <w:pPr>
        <w:spacing w:after="6"/>
        <w:ind w:left="-5"/>
      </w:pPr>
      <w:r>
        <w:t>Kumar, N. (2004). Marketing as strategy: understanding the CEO's agenda for driving growth and innovation. Harvard Business Press.</w:t>
      </w:r>
    </w:p>
    <w:p w14:paraId="66030E81" w14:textId="77777777" w:rsidR="00DD1E77" w:rsidRDefault="00000000">
      <w:pPr>
        <w:spacing w:after="149" w:line="259" w:lineRule="auto"/>
        <w:ind w:left="-5"/>
      </w:pPr>
      <w:r>
        <w:t>Levitt, T. (1965). Exploit the product life cycle. Harvard business review, 43(6), 81-94.</w:t>
      </w:r>
    </w:p>
    <w:p w14:paraId="1E504C7F" w14:textId="77777777" w:rsidR="00DD1E77" w:rsidRDefault="00000000">
      <w:pPr>
        <w:spacing w:after="6"/>
        <w:ind w:left="-5"/>
      </w:pPr>
      <w:r>
        <w:t xml:space="preserve">Lummus, R. R., &amp; </w:t>
      </w:r>
      <w:proofErr w:type="spellStart"/>
      <w:r>
        <w:t>Vokurka</w:t>
      </w:r>
      <w:proofErr w:type="spellEnd"/>
      <w:r>
        <w:t>, R. J. (1999). Managing the demand chain through managing the information flow: Capturing moments of information. Production and inventory management journal, 40(1), 16.</w:t>
      </w:r>
    </w:p>
    <w:p w14:paraId="0993719E" w14:textId="77777777" w:rsidR="00DD1E77" w:rsidRDefault="00000000">
      <w:pPr>
        <w:spacing w:after="6"/>
        <w:ind w:left="-5"/>
      </w:pPr>
      <w:proofErr w:type="spellStart"/>
      <w:r>
        <w:t>Magretta</w:t>
      </w:r>
      <w:proofErr w:type="spellEnd"/>
      <w:r>
        <w:t>, J. (1998). The power of virtual integration: An interview with Dell Computer's Michael Dell. Harvard business review, 76(2), 72-84.</w:t>
      </w:r>
    </w:p>
    <w:p w14:paraId="787A66D4" w14:textId="77777777" w:rsidR="00DD1E77" w:rsidRDefault="00000000">
      <w:pPr>
        <w:spacing w:after="2"/>
        <w:ind w:left="-5"/>
      </w:pPr>
      <w:proofErr w:type="spellStart"/>
      <w:r>
        <w:t>Maignan</w:t>
      </w:r>
      <w:proofErr w:type="spellEnd"/>
      <w:r>
        <w:t xml:space="preserve">, I., &amp; Ferrell, O. (2004). Corporate social responsibility and marketing: An integrative framework. Journal of the Academy of Marketing science, 32(1), 3-19. </w:t>
      </w:r>
      <w:hyperlink r:id="rId30">
        <w:r>
          <w:rPr>
            <w:color w:val="1155CC"/>
            <w:u w:val="single" w:color="1155CC"/>
          </w:rPr>
          <w:t>https://doi.org/10.1177/0092070303258971</w:t>
        </w:r>
      </w:hyperlink>
    </w:p>
    <w:p w14:paraId="0AC7C835" w14:textId="77777777" w:rsidR="00DD1E77" w:rsidRDefault="00000000">
      <w:pPr>
        <w:spacing w:after="2"/>
        <w:ind w:left="-5"/>
      </w:pPr>
      <w:proofErr w:type="spellStart"/>
      <w:r>
        <w:t>Markides</w:t>
      </w:r>
      <w:proofErr w:type="spellEnd"/>
      <w:r>
        <w:t xml:space="preserve">, C. C., &amp; Williamson, P. J. (1994). Related diversification, core competences and corporate performance. Strategic management journal, 15(S2), 149-165. </w:t>
      </w:r>
      <w:hyperlink r:id="rId31">
        <w:r>
          <w:rPr>
            <w:color w:val="1155CC"/>
            <w:u w:val="single" w:color="1155CC"/>
          </w:rPr>
          <w:t>https://doi.org/10.1002/smj.4250151010</w:t>
        </w:r>
      </w:hyperlink>
    </w:p>
    <w:p w14:paraId="2D585007" w14:textId="77777777" w:rsidR="00DD1E77" w:rsidRDefault="00000000">
      <w:pPr>
        <w:tabs>
          <w:tab w:val="center" w:pos="1595"/>
          <w:tab w:val="center" w:pos="2826"/>
          <w:tab w:val="center" w:pos="4288"/>
          <w:tab w:val="center" w:pos="5753"/>
          <w:tab w:val="center" w:pos="7309"/>
          <w:tab w:val="right" w:pos="9360"/>
        </w:tabs>
        <w:spacing w:after="120" w:line="259" w:lineRule="auto"/>
        <w:ind w:left="-15" w:firstLine="0"/>
        <w:jc w:val="left"/>
      </w:pPr>
      <w:r>
        <w:t>Martin,</w:t>
      </w:r>
      <w:r>
        <w:tab/>
        <w:t>A.</w:t>
      </w:r>
      <w:r>
        <w:tab/>
        <w:t>(2021).</w:t>
      </w:r>
      <w:r>
        <w:tab/>
        <w:t>Porter's</w:t>
      </w:r>
      <w:r>
        <w:tab/>
        <w:t>generic</w:t>
      </w:r>
      <w:r>
        <w:tab/>
        <w:t>strategies</w:t>
      </w:r>
      <w:r>
        <w:tab/>
        <w:t>[Figure].</w:t>
      </w:r>
    </w:p>
    <w:p w14:paraId="3002EDEB" w14:textId="77777777" w:rsidR="00DD1E77" w:rsidRDefault="00000000">
      <w:pPr>
        <w:spacing w:after="143" w:line="259" w:lineRule="auto"/>
        <w:ind w:left="-5"/>
      </w:pPr>
      <w:r>
        <w:t>https://www.researchgate.net/figure/Porters-generic-strategies_fig1_333118406</w:t>
      </w:r>
    </w:p>
    <w:p w14:paraId="7B6E0DE2" w14:textId="77777777" w:rsidR="00DD1E77" w:rsidRDefault="00000000">
      <w:pPr>
        <w:spacing w:after="2"/>
        <w:ind w:left="-5"/>
      </w:pPr>
      <w:proofErr w:type="spellStart"/>
      <w:r>
        <w:t>Mellahi</w:t>
      </w:r>
      <w:proofErr w:type="spellEnd"/>
      <w:r>
        <w:t xml:space="preserve">, K., &amp; Wilkinson, A. (2010). A study of the association between level of slack reduction following downsizing and innovation output. Journal of Management Studies, 47(3), 483-508. </w:t>
      </w:r>
      <w:hyperlink r:id="rId32">
        <w:r>
          <w:rPr>
            <w:color w:val="1155CC"/>
            <w:u w:val="single" w:color="1155CC"/>
          </w:rPr>
          <w:t>https://doi.org/10.1111/j.1467-6486.2009.00872.x</w:t>
        </w:r>
      </w:hyperlink>
    </w:p>
    <w:p w14:paraId="48179C2D" w14:textId="77777777" w:rsidR="00DD1E77" w:rsidRDefault="00000000">
      <w:pPr>
        <w:tabs>
          <w:tab w:val="center" w:pos="1507"/>
          <w:tab w:val="center" w:pos="2714"/>
          <w:tab w:val="center" w:pos="4137"/>
          <w:tab w:val="center" w:pos="5737"/>
          <w:tab w:val="center" w:pos="7388"/>
          <w:tab w:val="right" w:pos="9360"/>
        </w:tabs>
        <w:spacing w:after="120" w:line="259" w:lineRule="auto"/>
        <w:ind w:left="-15" w:firstLine="0"/>
        <w:jc w:val="left"/>
      </w:pPr>
      <w:r>
        <w:t>Miller,</w:t>
      </w:r>
      <w:r>
        <w:tab/>
        <w:t>J.</w:t>
      </w:r>
      <w:r>
        <w:tab/>
        <w:t>(2021).</w:t>
      </w:r>
      <w:r>
        <w:tab/>
        <w:t>VRIO</w:t>
      </w:r>
      <w:r>
        <w:tab/>
        <w:t>framework</w:t>
      </w:r>
      <w:r>
        <w:tab/>
        <w:t>process</w:t>
      </w:r>
      <w:r>
        <w:tab/>
        <w:t>[Figure].</w:t>
      </w:r>
    </w:p>
    <w:p w14:paraId="4CCF349A" w14:textId="77777777" w:rsidR="00DD1E77" w:rsidRDefault="00000000">
      <w:pPr>
        <w:spacing w:after="143" w:line="259" w:lineRule="auto"/>
        <w:ind w:left="-5"/>
      </w:pPr>
      <w:r>
        <w:t>https://www.researchgate.net/figure/VRIO-Framework-Process_fig1_350324337</w:t>
      </w:r>
    </w:p>
    <w:p w14:paraId="4421D202" w14:textId="77777777" w:rsidR="00DD1E77" w:rsidRDefault="00000000">
      <w:pPr>
        <w:spacing w:after="2"/>
        <w:ind w:left="-5"/>
      </w:pPr>
      <w:proofErr w:type="spellStart"/>
      <w:r>
        <w:t>Mithas</w:t>
      </w:r>
      <w:proofErr w:type="spellEnd"/>
      <w:r>
        <w:t xml:space="preserve">, S., </w:t>
      </w:r>
      <w:proofErr w:type="spellStart"/>
      <w:r>
        <w:t>Ramasubbu</w:t>
      </w:r>
      <w:proofErr w:type="spellEnd"/>
      <w:r>
        <w:t xml:space="preserve">, N., &amp; </w:t>
      </w:r>
      <w:proofErr w:type="spellStart"/>
      <w:r>
        <w:t>Sambamurthy</w:t>
      </w:r>
      <w:proofErr w:type="spellEnd"/>
      <w:r>
        <w:t xml:space="preserve">, V. (2011). How information management capability influences firm performance. MIS quarterly, 237-256. </w:t>
      </w:r>
      <w:hyperlink r:id="rId33">
        <w:r>
          <w:rPr>
            <w:color w:val="1155CC"/>
            <w:u w:val="single" w:color="1155CC"/>
          </w:rPr>
          <w:t>https://doi.org/10.2307/23043496</w:t>
        </w:r>
      </w:hyperlink>
    </w:p>
    <w:p w14:paraId="60827D4D" w14:textId="77777777" w:rsidR="00DD1E77" w:rsidRDefault="00000000">
      <w:pPr>
        <w:spacing w:after="6"/>
        <w:ind w:left="-5"/>
      </w:pPr>
      <w:r>
        <w:t xml:space="preserve">Porter, M. E. (1985). Competitive advantage: creating and sustaining superior performance. 1985. New York: </w:t>
      </w:r>
      <w:proofErr w:type="spellStart"/>
      <w:r>
        <w:t>FreePress</w:t>
      </w:r>
      <w:proofErr w:type="spellEnd"/>
      <w:r>
        <w:t>, 43, 214.</w:t>
      </w:r>
    </w:p>
    <w:p w14:paraId="090DE65E" w14:textId="77777777" w:rsidR="00DD1E77" w:rsidRDefault="00000000">
      <w:pPr>
        <w:spacing w:after="6"/>
        <w:ind w:left="-5"/>
      </w:pPr>
      <w:r>
        <w:lastRenderedPageBreak/>
        <w:t>Porter, M. E. (2008). The five competitive forces that shape strategy. Harvard business review, 86(1), 25-40.</w:t>
      </w:r>
    </w:p>
    <w:p w14:paraId="754B4D22" w14:textId="77777777" w:rsidR="00DD1E77" w:rsidRDefault="00000000">
      <w:pPr>
        <w:spacing w:after="6"/>
        <w:ind w:left="-5"/>
      </w:pPr>
      <w:r>
        <w:t>Porter, M. E., &amp; Kramer, M. R. (2006). The link between competitive advantage and corporate social responsibility. Harvard business review, 84(12), 78-92.</w:t>
      </w:r>
    </w:p>
    <w:p w14:paraId="64DAF8E7" w14:textId="77777777" w:rsidR="00DD1E77" w:rsidRDefault="00000000">
      <w:pPr>
        <w:spacing w:after="150" w:line="259" w:lineRule="auto"/>
        <w:ind w:left="-5"/>
      </w:pPr>
      <w:r>
        <w:t>Porter, M. E., &amp; Kramer, M. R. (2011). Creating shared value. Harvard business review, 89(1/2),</w:t>
      </w:r>
    </w:p>
    <w:p w14:paraId="3F8B90F5" w14:textId="77777777" w:rsidR="00DD1E77" w:rsidRDefault="00000000">
      <w:pPr>
        <w:spacing w:after="149" w:line="259" w:lineRule="auto"/>
        <w:ind w:left="0" w:firstLine="0"/>
        <w:jc w:val="left"/>
      </w:pPr>
      <w:r>
        <w:t xml:space="preserve">62-77. </w:t>
      </w:r>
      <w:hyperlink r:id="rId34">
        <w:r>
          <w:rPr>
            <w:color w:val="1155CC"/>
            <w:u w:val="single" w:color="1155CC"/>
          </w:rPr>
          <w:t>https://doi.org/10.1108/09600031111105850</w:t>
        </w:r>
      </w:hyperlink>
    </w:p>
    <w:p w14:paraId="6844D514" w14:textId="77777777" w:rsidR="00DD1E77" w:rsidRDefault="00000000">
      <w:pPr>
        <w:spacing w:after="6"/>
        <w:ind w:left="-5" w:right="816"/>
      </w:pPr>
      <w:r>
        <w:t>Schein, E. H. (2010). Organizational culture and leadership. John Wiley &amp; Sons. Shapiro, A. C. (2014). Multinational financial management. John Wiley &amp; Sons.</w:t>
      </w:r>
    </w:p>
    <w:p w14:paraId="33AF4472" w14:textId="77777777" w:rsidR="00DD1E77" w:rsidRDefault="00000000">
      <w:pPr>
        <w:spacing w:after="18" w:line="368" w:lineRule="auto"/>
        <w:ind w:left="-5" w:right="-10"/>
        <w:jc w:val="left"/>
      </w:pPr>
      <w:r>
        <w:t>Smith,</w:t>
      </w:r>
      <w:r>
        <w:tab/>
        <w:t>J.</w:t>
      </w:r>
      <w:r>
        <w:tab/>
        <w:t>(2021).</w:t>
      </w:r>
      <w:r>
        <w:tab/>
        <w:t>The</w:t>
      </w:r>
      <w:r>
        <w:tab/>
        <w:t>Athlete’s</w:t>
      </w:r>
      <w:r>
        <w:tab/>
        <w:t>micro-</w:t>
      </w:r>
      <w:r>
        <w:tab/>
        <w:t>and</w:t>
      </w:r>
      <w:r>
        <w:tab/>
        <w:t>macro-environmental</w:t>
      </w:r>
      <w:r>
        <w:tab/>
        <w:t>influences</w:t>
      </w:r>
      <w:r>
        <w:tab/>
        <w:t>[Figure]. https://www.researchgate.net/figure/The-Athletes-micro-and-macro-environmental-influences-D escriptive-caption-Three_fig1_361269118</w:t>
      </w:r>
    </w:p>
    <w:p w14:paraId="65E19DA2" w14:textId="77777777" w:rsidR="00DD1E77" w:rsidRDefault="00000000">
      <w:pPr>
        <w:spacing w:after="150" w:line="259" w:lineRule="auto"/>
        <w:ind w:left="-5"/>
      </w:pPr>
      <w:r>
        <w:t>Solove, D. J., &amp; Schwartz, P. M. (2011). Information privacy law. Aspen Publishers.</w:t>
      </w:r>
    </w:p>
    <w:p w14:paraId="1B692FFD" w14:textId="77777777" w:rsidR="00DD1E77" w:rsidRDefault="00000000">
      <w:pPr>
        <w:spacing w:after="2"/>
        <w:ind w:left="-5"/>
      </w:pPr>
      <w:r>
        <w:t xml:space="preserve">Teece, D. J. (2007). Explicating dynamic capabilities: the nature and </w:t>
      </w:r>
      <w:proofErr w:type="spellStart"/>
      <w:r>
        <w:t>microfoundations</w:t>
      </w:r>
      <w:proofErr w:type="spellEnd"/>
      <w:r>
        <w:t xml:space="preserve"> of (sustainable) enterprise performance. Strategic management journal, 28(13), 1319-1350. </w:t>
      </w:r>
      <w:hyperlink r:id="rId35">
        <w:r>
          <w:rPr>
            <w:color w:val="1155CC"/>
            <w:u w:val="single" w:color="1155CC"/>
          </w:rPr>
          <w:t>https://doi.org/10.1002/smj.640</w:t>
        </w:r>
      </w:hyperlink>
    </w:p>
    <w:p w14:paraId="2D62B21C" w14:textId="77777777" w:rsidR="00DD1E77" w:rsidRDefault="00000000">
      <w:pPr>
        <w:tabs>
          <w:tab w:val="center" w:pos="1553"/>
          <w:tab w:val="center" w:pos="2370"/>
          <w:tab w:val="center" w:pos="3236"/>
          <w:tab w:val="center" w:pos="3985"/>
          <w:tab w:val="center" w:pos="5073"/>
          <w:tab w:val="center" w:pos="6014"/>
          <w:tab w:val="center" w:pos="6769"/>
          <w:tab w:val="center" w:pos="7810"/>
          <w:tab w:val="right" w:pos="9360"/>
        </w:tabs>
        <w:spacing w:after="120" w:line="259" w:lineRule="auto"/>
        <w:ind w:left="-15" w:firstLine="0"/>
        <w:jc w:val="left"/>
      </w:pPr>
      <w:r>
        <w:t>Thompson,</w:t>
      </w:r>
      <w:r>
        <w:tab/>
        <w:t>M.</w:t>
      </w:r>
      <w:r>
        <w:tab/>
        <w:t>(2019).</w:t>
      </w:r>
      <w:r>
        <w:tab/>
        <w:t>The</w:t>
      </w:r>
      <w:r>
        <w:tab/>
        <w:t>basic</w:t>
      </w:r>
      <w:r>
        <w:tab/>
        <w:t>framework</w:t>
      </w:r>
      <w:r>
        <w:tab/>
        <w:t>of</w:t>
      </w:r>
      <w:r>
        <w:tab/>
        <w:t>SWOT</w:t>
      </w:r>
      <w:r>
        <w:tab/>
        <w:t>analysis</w:t>
      </w:r>
      <w:r>
        <w:tab/>
        <w:t>[Figure].</w:t>
      </w:r>
    </w:p>
    <w:p w14:paraId="3E57B4AA" w14:textId="77777777" w:rsidR="00DD1E77" w:rsidRDefault="00000000">
      <w:pPr>
        <w:spacing w:after="7"/>
        <w:ind w:left="-5"/>
      </w:pPr>
      <w:r>
        <w:t>https://www.researchgate.net/figure/The-basic-framework-of-SWOT-analysis_fig1_261437829 Tidd, J., &amp; Bessant, J. R. (2018). Managing innovation: integrating technological, market and organizational change. John Wiley &amp; Sons.</w:t>
      </w:r>
    </w:p>
    <w:p w14:paraId="45BAA517" w14:textId="77777777" w:rsidR="00DD1E77" w:rsidRDefault="00000000">
      <w:pPr>
        <w:spacing w:after="6"/>
        <w:ind w:left="-5"/>
      </w:pPr>
      <w:proofErr w:type="spellStart"/>
      <w:r>
        <w:t>Tushman</w:t>
      </w:r>
      <w:proofErr w:type="spellEnd"/>
      <w:r>
        <w:t>, M. L., &amp; Anderson, P. (1986). Technological discontinuities and organizational environments. Administrative science quarterly, 439-465. https://doi.org/10.2307/2392832</w:t>
      </w:r>
    </w:p>
    <w:p w14:paraId="245C3A33" w14:textId="77777777" w:rsidR="00DD1E77" w:rsidRDefault="00000000">
      <w:pPr>
        <w:spacing w:after="6"/>
        <w:ind w:left="-5"/>
      </w:pPr>
      <w:proofErr w:type="spellStart"/>
      <w:r>
        <w:t>Wheelen</w:t>
      </w:r>
      <w:proofErr w:type="spellEnd"/>
      <w:r>
        <w:t>, T. L., &amp; Hunger, J. D. (2002). Strategic Management and Business Policy (8th ed.). New Jersey: Prentice Hall</w:t>
      </w:r>
    </w:p>
    <w:p w14:paraId="01317E03" w14:textId="77777777" w:rsidR="00DD1E77" w:rsidRDefault="00000000">
      <w:pPr>
        <w:tabs>
          <w:tab w:val="center" w:pos="1730"/>
          <w:tab w:val="center" w:pos="3052"/>
          <w:tab w:val="center" w:pos="4618"/>
          <w:tab w:val="center" w:pos="6022"/>
          <w:tab w:val="center" w:pos="7356"/>
          <w:tab w:val="right" w:pos="9360"/>
        </w:tabs>
        <w:spacing w:after="120" w:line="259" w:lineRule="auto"/>
        <w:ind w:left="-15" w:firstLine="0"/>
        <w:jc w:val="left"/>
      </w:pPr>
      <w:r>
        <w:t>Wilson,</w:t>
      </w:r>
      <w:r>
        <w:tab/>
        <w:t>A.</w:t>
      </w:r>
      <w:r>
        <w:tab/>
        <w:t>(2020).</w:t>
      </w:r>
      <w:r>
        <w:tab/>
        <w:t>Porter's</w:t>
      </w:r>
      <w:r>
        <w:tab/>
        <w:t>five</w:t>
      </w:r>
      <w:r>
        <w:tab/>
        <w:t>forces</w:t>
      </w:r>
      <w:r>
        <w:tab/>
        <w:t>[Figure].</w:t>
      </w:r>
    </w:p>
    <w:p w14:paraId="62BBF781" w14:textId="77777777" w:rsidR="00DD1E77" w:rsidRDefault="00000000">
      <w:pPr>
        <w:spacing w:after="143" w:line="259" w:lineRule="auto"/>
        <w:ind w:left="-5"/>
      </w:pPr>
      <w:r>
        <w:t>https://www.researchgate.net/figure/1-Porters-five-forces_fig25_325464589</w:t>
      </w:r>
    </w:p>
    <w:p w14:paraId="6012F577" w14:textId="77777777" w:rsidR="00DD1E77" w:rsidRDefault="00000000">
      <w:pPr>
        <w:spacing w:after="6"/>
        <w:ind w:left="-5"/>
      </w:pPr>
      <w:r>
        <w:t xml:space="preserve">Zeithaml, V. A., Bitner, M. J., &amp; </w:t>
      </w:r>
      <w:proofErr w:type="spellStart"/>
      <w:r>
        <w:t>Gremler</w:t>
      </w:r>
      <w:proofErr w:type="spellEnd"/>
      <w:r>
        <w:t>, D. D. (2018). Services marketing: integrating customer focus across the firm. McGraw Hill.</w:t>
      </w:r>
    </w:p>
    <w:sectPr w:rsidR="00DD1E77" w:rsidSect="00590331">
      <w:footerReference w:type="even" r:id="rId36"/>
      <w:footerReference w:type="default" r:id="rId37"/>
      <w:footerReference w:type="first" r:id="rId38"/>
      <w:pgSz w:w="12240" w:h="15840"/>
      <w:pgMar w:top="1450" w:right="1440" w:bottom="1488" w:left="1440" w:header="720" w:footer="85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9486C" w14:textId="77777777" w:rsidR="00080957" w:rsidRDefault="00080957">
      <w:pPr>
        <w:spacing w:after="0" w:line="240" w:lineRule="auto"/>
      </w:pPr>
      <w:r>
        <w:separator/>
      </w:r>
    </w:p>
  </w:endnote>
  <w:endnote w:type="continuationSeparator" w:id="0">
    <w:p w14:paraId="2A88C117" w14:textId="77777777" w:rsidR="00080957" w:rsidRDefault="00080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PMincho">
    <w:panose1 w:val="02020600040205080304"/>
    <w:charset w:val="80"/>
    <w:family w:val="roman"/>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4C1B4" w14:textId="77777777" w:rsidR="00DD1E77" w:rsidRDefault="00DD1E77">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1100E" w14:textId="77777777" w:rsidR="00DD1E77" w:rsidRDefault="00DD1E77">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1F2F2" w14:textId="77777777" w:rsidR="00DD1E77" w:rsidRDefault="00DD1E77">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0FB15" w14:textId="77777777" w:rsidR="00DD1E77"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25FDD" w14:textId="77777777" w:rsidR="00DD1E77"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DCEF3" w14:textId="77777777" w:rsidR="00DD1E77"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D73D9" w14:textId="77777777" w:rsidR="00080957" w:rsidRDefault="00080957">
      <w:pPr>
        <w:spacing w:after="0" w:line="240" w:lineRule="auto"/>
      </w:pPr>
      <w:r>
        <w:separator/>
      </w:r>
    </w:p>
  </w:footnote>
  <w:footnote w:type="continuationSeparator" w:id="0">
    <w:p w14:paraId="543BFA80" w14:textId="77777777" w:rsidR="00080957" w:rsidRDefault="00080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A541C"/>
    <w:multiLevelType w:val="hybridMultilevel"/>
    <w:tmpl w:val="F66AFCA6"/>
    <w:lvl w:ilvl="0" w:tplc="0060B3A4">
      <w:start w:val="1"/>
      <w:numFmt w:val="decimal"/>
      <w:lvlText w:val="%1."/>
      <w:lvlJc w:val="left"/>
      <w:pPr>
        <w:ind w:left="15"/>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1" w:tplc="1CC0677E">
      <w:start w:val="1"/>
      <w:numFmt w:val="lowerLetter"/>
      <w:lvlText w:val="%2"/>
      <w:lvlJc w:val="left"/>
      <w:pPr>
        <w:ind w:left="11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2" w:tplc="B09843BE">
      <w:start w:val="1"/>
      <w:numFmt w:val="lowerRoman"/>
      <w:lvlText w:val="%3"/>
      <w:lvlJc w:val="left"/>
      <w:pPr>
        <w:ind w:left="19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3" w:tplc="1AC675A4">
      <w:start w:val="1"/>
      <w:numFmt w:val="decimal"/>
      <w:lvlText w:val="%4"/>
      <w:lvlJc w:val="left"/>
      <w:pPr>
        <w:ind w:left="26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4" w:tplc="91BAFEB6">
      <w:start w:val="1"/>
      <w:numFmt w:val="lowerLetter"/>
      <w:lvlText w:val="%5"/>
      <w:lvlJc w:val="left"/>
      <w:pPr>
        <w:ind w:left="335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5" w:tplc="438A95BA">
      <w:start w:val="1"/>
      <w:numFmt w:val="lowerRoman"/>
      <w:lvlText w:val="%6"/>
      <w:lvlJc w:val="left"/>
      <w:pPr>
        <w:ind w:left="407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6" w:tplc="ADB466F4">
      <w:start w:val="1"/>
      <w:numFmt w:val="decimal"/>
      <w:lvlText w:val="%7"/>
      <w:lvlJc w:val="left"/>
      <w:pPr>
        <w:ind w:left="47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7" w:tplc="3C2CC27E">
      <w:start w:val="1"/>
      <w:numFmt w:val="lowerLetter"/>
      <w:lvlText w:val="%8"/>
      <w:lvlJc w:val="left"/>
      <w:pPr>
        <w:ind w:left="55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8" w:tplc="E85006D4">
      <w:start w:val="1"/>
      <w:numFmt w:val="lowerRoman"/>
      <w:lvlText w:val="%9"/>
      <w:lvlJc w:val="left"/>
      <w:pPr>
        <w:ind w:left="62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27540A9"/>
    <w:multiLevelType w:val="hybridMultilevel"/>
    <w:tmpl w:val="8BBC3AB4"/>
    <w:lvl w:ilvl="0" w:tplc="7DC8F9E0">
      <w:start w:val="1"/>
      <w:numFmt w:val="decimal"/>
      <w:lvlText w:val="%1."/>
      <w:lvlJc w:val="left"/>
      <w:pPr>
        <w:ind w:left="15"/>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1" w:tplc="CE367E92">
      <w:start w:val="1"/>
      <w:numFmt w:val="lowerLetter"/>
      <w:lvlText w:val="%2"/>
      <w:lvlJc w:val="left"/>
      <w:pPr>
        <w:ind w:left="11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2" w:tplc="0B62F5CE">
      <w:start w:val="1"/>
      <w:numFmt w:val="lowerRoman"/>
      <w:lvlText w:val="%3"/>
      <w:lvlJc w:val="left"/>
      <w:pPr>
        <w:ind w:left="19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3" w:tplc="AA8411E4">
      <w:start w:val="1"/>
      <w:numFmt w:val="decimal"/>
      <w:lvlText w:val="%4"/>
      <w:lvlJc w:val="left"/>
      <w:pPr>
        <w:ind w:left="26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4" w:tplc="AE0818F6">
      <w:start w:val="1"/>
      <w:numFmt w:val="lowerLetter"/>
      <w:lvlText w:val="%5"/>
      <w:lvlJc w:val="left"/>
      <w:pPr>
        <w:ind w:left="335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5" w:tplc="0EF4078A">
      <w:start w:val="1"/>
      <w:numFmt w:val="lowerRoman"/>
      <w:lvlText w:val="%6"/>
      <w:lvlJc w:val="left"/>
      <w:pPr>
        <w:ind w:left="407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6" w:tplc="8C32D9D4">
      <w:start w:val="1"/>
      <w:numFmt w:val="decimal"/>
      <w:lvlText w:val="%7"/>
      <w:lvlJc w:val="left"/>
      <w:pPr>
        <w:ind w:left="47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7" w:tplc="354063F4">
      <w:start w:val="1"/>
      <w:numFmt w:val="lowerLetter"/>
      <w:lvlText w:val="%8"/>
      <w:lvlJc w:val="left"/>
      <w:pPr>
        <w:ind w:left="55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8" w:tplc="0E82F2B0">
      <w:start w:val="1"/>
      <w:numFmt w:val="lowerRoman"/>
      <w:lvlText w:val="%9"/>
      <w:lvlJc w:val="left"/>
      <w:pPr>
        <w:ind w:left="62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98E1CEE"/>
    <w:multiLevelType w:val="hybridMultilevel"/>
    <w:tmpl w:val="FFFC0876"/>
    <w:lvl w:ilvl="0" w:tplc="13C4C224">
      <w:start w:val="1"/>
      <w:numFmt w:val="decimal"/>
      <w:lvlText w:val="%1."/>
      <w:lvlJc w:val="left"/>
      <w:pPr>
        <w:ind w:left="15"/>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1" w:tplc="8DCA1C3E">
      <w:start w:val="1"/>
      <w:numFmt w:val="lowerLetter"/>
      <w:lvlText w:val="%2"/>
      <w:lvlJc w:val="left"/>
      <w:pPr>
        <w:ind w:left="11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2" w:tplc="DBA6176C">
      <w:start w:val="1"/>
      <w:numFmt w:val="lowerRoman"/>
      <w:lvlText w:val="%3"/>
      <w:lvlJc w:val="left"/>
      <w:pPr>
        <w:ind w:left="19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3" w:tplc="D5FA86D0">
      <w:start w:val="1"/>
      <w:numFmt w:val="decimal"/>
      <w:lvlText w:val="%4"/>
      <w:lvlJc w:val="left"/>
      <w:pPr>
        <w:ind w:left="26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4" w:tplc="7A023824">
      <w:start w:val="1"/>
      <w:numFmt w:val="lowerLetter"/>
      <w:lvlText w:val="%5"/>
      <w:lvlJc w:val="left"/>
      <w:pPr>
        <w:ind w:left="335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5" w:tplc="49E8A0B4">
      <w:start w:val="1"/>
      <w:numFmt w:val="lowerRoman"/>
      <w:lvlText w:val="%6"/>
      <w:lvlJc w:val="left"/>
      <w:pPr>
        <w:ind w:left="407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6" w:tplc="B63A696A">
      <w:start w:val="1"/>
      <w:numFmt w:val="decimal"/>
      <w:lvlText w:val="%7"/>
      <w:lvlJc w:val="left"/>
      <w:pPr>
        <w:ind w:left="479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7" w:tplc="8BD018E0">
      <w:start w:val="1"/>
      <w:numFmt w:val="lowerLetter"/>
      <w:lvlText w:val="%8"/>
      <w:lvlJc w:val="left"/>
      <w:pPr>
        <w:ind w:left="551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8" w:tplc="9D068800">
      <w:start w:val="1"/>
      <w:numFmt w:val="lowerRoman"/>
      <w:lvlText w:val="%9"/>
      <w:lvlJc w:val="left"/>
      <w:pPr>
        <w:ind w:left="623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abstractNum>
  <w:num w:numId="1" w16cid:durableId="1335380845">
    <w:abstractNumId w:val="2"/>
  </w:num>
  <w:num w:numId="2" w16cid:durableId="933394">
    <w:abstractNumId w:val="1"/>
  </w:num>
  <w:num w:numId="3" w16cid:durableId="206471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E77"/>
    <w:rsid w:val="00080957"/>
    <w:rsid w:val="00590331"/>
    <w:rsid w:val="00DD1E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5EA22"/>
  <w15:docId w15:val="{43D7732A-C619-564A-B1D1-2F193AC8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19" w:line="382" w:lineRule="auto"/>
      <w:ind w:left="37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535" w:line="265" w:lineRule="auto"/>
      <w:ind w:left="10" w:hanging="10"/>
      <w:outlineLvl w:val="0"/>
    </w:pPr>
    <w:rPr>
      <w:rFonts w:ascii="Times New Roman" w:eastAsia="Times New Roman" w:hAnsi="Times New Roman" w:cs="Times New Roman"/>
      <w:b/>
      <w:color w:val="000000"/>
      <w:sz w:val="28"/>
      <w:u w:val="single" w:color="000000"/>
    </w:rPr>
  </w:style>
  <w:style w:type="paragraph" w:styleId="Heading2">
    <w:name w:val="heading 2"/>
    <w:next w:val="Normal"/>
    <w:link w:val="Heading2Char"/>
    <w:uiPriority w:val="9"/>
    <w:unhideWhenUsed/>
    <w:qFormat/>
    <w:pPr>
      <w:keepNext/>
      <w:keepLines/>
      <w:spacing w:after="67" w:line="265" w:lineRule="auto"/>
      <w:ind w:left="10" w:hanging="10"/>
      <w:outlineLvl w:val="1"/>
    </w:pPr>
    <w:rPr>
      <w:rFonts w:ascii="Times New Roman" w:eastAsia="Times New Roman" w:hAnsi="Times New Roman" w:cs="Times New Roman"/>
      <w:b/>
      <w:color w:val="000000"/>
    </w:rPr>
  </w:style>
  <w:style w:type="paragraph" w:styleId="Heading3">
    <w:name w:val="heading 3"/>
    <w:next w:val="Normal"/>
    <w:link w:val="Heading3Char"/>
    <w:uiPriority w:val="9"/>
    <w:unhideWhenUsed/>
    <w:qFormat/>
    <w:pPr>
      <w:keepNext/>
      <w:keepLines/>
      <w:spacing w:after="145" w:line="265" w:lineRule="auto"/>
      <w:ind w:left="10" w:hanging="10"/>
      <w:outlineLvl w:val="2"/>
    </w:pPr>
    <w:rPr>
      <w:rFonts w:ascii="Times New Roman" w:eastAsia="Times New Roman" w:hAnsi="Times New Roman" w:cs="Times New Roman"/>
      <w:i/>
      <w:color w:val="000000"/>
      <w:u w:val="single" w:color="000000"/>
    </w:rPr>
  </w:style>
  <w:style w:type="paragraph" w:styleId="Heading4">
    <w:name w:val="heading 4"/>
    <w:next w:val="Normal"/>
    <w:link w:val="Heading4Char"/>
    <w:uiPriority w:val="9"/>
    <w:unhideWhenUsed/>
    <w:qFormat/>
    <w:pPr>
      <w:keepNext/>
      <w:keepLines/>
      <w:spacing w:after="145" w:line="265" w:lineRule="auto"/>
      <w:ind w:left="10" w:hanging="10"/>
      <w:outlineLvl w:val="3"/>
    </w:pPr>
    <w:rPr>
      <w:rFonts w:ascii="Times New Roman" w:eastAsia="Times New Roman" w:hAnsi="Times New Roman" w:cs="Times New Roman"/>
      <w:i/>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i/>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8"/>
      <w:u w:val="single" w:color="000000"/>
    </w:rPr>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3Char">
    <w:name w:val="Heading 3 Char"/>
    <w:link w:val="Heading3"/>
    <w:rPr>
      <w:rFonts w:ascii="Times New Roman" w:eastAsia="Times New Roman" w:hAnsi="Times New Roman" w:cs="Times New Roman"/>
      <w:i/>
      <w:color w:val="000000"/>
      <w:sz w:val="24"/>
      <w:u w:val="single" w:color="000000"/>
    </w:rPr>
  </w:style>
  <w:style w:type="paragraph" w:styleId="TOC1">
    <w:name w:val="toc 1"/>
    <w:hidden/>
    <w:pPr>
      <w:spacing w:after="67" w:line="265" w:lineRule="auto"/>
      <w:ind w:left="25" w:right="23" w:hanging="10"/>
    </w:pPr>
    <w:rPr>
      <w:rFonts w:ascii="Times New Roman" w:eastAsia="Times New Roman" w:hAnsi="Times New Roman" w:cs="Times New Roman"/>
      <w:b/>
      <w:color w:val="000000"/>
    </w:rPr>
  </w:style>
  <w:style w:type="paragraph" w:styleId="TOC2">
    <w:name w:val="toc 2"/>
    <w:hidden/>
    <w:pPr>
      <w:spacing w:after="71" w:line="259" w:lineRule="auto"/>
      <w:ind w:left="385" w:right="23" w:hanging="10"/>
      <w:jc w:val="both"/>
    </w:pPr>
    <w:rPr>
      <w:rFonts w:ascii="Times New Roman" w:eastAsia="Times New Roman" w:hAnsi="Times New Roman" w:cs="Times New Roman"/>
      <w:color w:val="000000"/>
    </w:rPr>
  </w:style>
  <w:style w:type="paragraph" w:styleId="TOC3">
    <w:name w:val="toc 3"/>
    <w:hidden/>
    <w:pPr>
      <w:spacing w:after="71" w:line="259" w:lineRule="auto"/>
      <w:ind w:left="745" w:right="23" w:hanging="10"/>
      <w:jc w:val="both"/>
    </w:pPr>
    <w:rPr>
      <w:rFonts w:ascii="Times New Roman" w:eastAsia="Times New Roman" w:hAnsi="Times New Roman" w:cs="Times New Roman"/>
      <w:color w:val="000000"/>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hyperlink" Target="https://doi.org/10.1002/tqem.3310080106" TargetMode="External"/><Relationship Id="rId39" Type="http://schemas.openxmlformats.org/officeDocument/2006/relationships/fontTable" Target="fontTable.xml"/><Relationship Id="rId21" Type="http://schemas.openxmlformats.org/officeDocument/2006/relationships/image" Target="media/image12.jpg"/><Relationship Id="rId34" Type="http://schemas.openxmlformats.org/officeDocument/2006/relationships/hyperlink" Target="https://doi.org/10.1108/09600031111105850" TargetMode="External"/><Relationship Id="rId7" Type="http://schemas.openxmlformats.org/officeDocument/2006/relationships/image" Target="media/image1.jpg"/><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hyperlink" Target="https://doi.org/10.1111/j.1745-493X.2001.tb00094.x" TargetMode="External"/><Relationship Id="rId33" Type="http://schemas.openxmlformats.org/officeDocument/2006/relationships/hyperlink" Target="https://doi.org/10.2307/23043496" TargetMode="External"/><Relationship Id="rId38" Type="http://schemas.openxmlformats.org/officeDocument/2006/relationships/footer" Target="footer6.xm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image" Target="media/image11.jpg"/><Relationship Id="rId29" Type="http://schemas.openxmlformats.org/officeDocument/2006/relationships/hyperlink" Target="https://doi.org/10.1016/j.respol.2010.10.0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24" Type="http://schemas.openxmlformats.org/officeDocument/2006/relationships/hyperlink" Target="https://doi.org/10.1016/S0272-6963(99)00007-8" TargetMode="External"/><Relationship Id="rId32" Type="http://schemas.openxmlformats.org/officeDocument/2006/relationships/hyperlink" Target="https://doi.org/10.1111/j.1467-6486.2009.00872.x" TargetMode="External"/><Relationship Id="rId37" Type="http://schemas.openxmlformats.org/officeDocument/2006/relationships/footer" Target="footer5.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hyperlink" Target="https://doi.org/10.2307/3250983" TargetMode="External"/><Relationship Id="rId28" Type="http://schemas.openxmlformats.org/officeDocument/2006/relationships/hyperlink" Target="https://doi.org/10.5465/amr.1995.9512280033" TargetMode="External"/><Relationship Id="rId36" Type="http://schemas.openxmlformats.org/officeDocument/2006/relationships/footer" Target="footer4.xml"/><Relationship Id="rId10" Type="http://schemas.openxmlformats.org/officeDocument/2006/relationships/footer" Target="footer2.xml"/><Relationship Id="rId19" Type="http://schemas.openxmlformats.org/officeDocument/2006/relationships/image" Target="media/image10.jpg"/><Relationship Id="rId31" Type="http://schemas.openxmlformats.org/officeDocument/2006/relationships/hyperlink" Target="https://doi.org/10.1002/smj.4250151010"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hyperlink" Target="https://doi.org/10.1177/014920639101700108" TargetMode="External"/><Relationship Id="rId27" Type="http://schemas.openxmlformats.org/officeDocument/2006/relationships/hyperlink" Target="https://doi.org/10.1016/j.jom.2014.09.002" TargetMode="External"/><Relationship Id="rId30" Type="http://schemas.openxmlformats.org/officeDocument/2006/relationships/hyperlink" Target="https://doi.org/10.1177/0092070303258971" TargetMode="External"/><Relationship Id="rId35" Type="http://schemas.openxmlformats.org/officeDocument/2006/relationships/hyperlink" Target="https://doi.org/10.1002/smj.640"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36</Pages>
  <Words>7701</Words>
  <Characters>43902</Characters>
  <Application>Microsoft Office Word</Application>
  <DocSecurity>0</DocSecurity>
  <Lines>365</Lines>
  <Paragraphs>102</Paragraphs>
  <ScaleCrop>false</ScaleCrop>
  <Company/>
  <LinksUpToDate>false</LinksUpToDate>
  <CharactersWithSpaces>51501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 DELL</dc:title>
  <dc:subject/>
  <dc:creator>Priyanka Anandan</dc:creator>
  <cp:keywords/>
  <cp:lastModifiedBy>Priyanka Anandan</cp:lastModifiedBy>
  <cp:revision>2</cp:revision>
  <dcterms:created xsi:type="dcterms:W3CDTF">2023-09-08T08:51:00Z</dcterms:created>
  <dcterms:modified xsi:type="dcterms:W3CDTF">2023-09-08T08:51:00Z</dcterms:modified>
</cp:coreProperties>
</file>