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7513164"/>
        <w:docPartObj>
          <w:docPartGallery w:val="Cover Pages"/>
          <w:docPartUnique/>
        </w:docPartObj>
      </w:sdtPr>
      <w:sdtEndPr>
        <w:rPr>
          <w:rFonts w:ascii="Arial" w:hAnsi="Arial" w:cs="Arial"/>
          <w:sz w:val="24"/>
          <w:szCs w:val="24"/>
        </w:rPr>
      </w:sdtEndPr>
      <w:sdtContent>
        <w:p w14:paraId="61DBEFE4" w14:textId="0131C08C" w:rsidR="00B129F0" w:rsidRDefault="00B129F0">
          <w:r>
            <w:rPr>
              <w:noProof/>
              <w:lang w:eastAsia="en-GB"/>
            </w:rPr>
            <mc:AlternateContent>
              <mc:Choice Requires="wpg">
                <w:drawing>
                  <wp:anchor distT="0" distB="0" distL="114300" distR="114300" simplePos="0" relativeHeight="251662336" behindDoc="0" locked="0" layoutInCell="1" allowOverlap="1" wp14:anchorId="4D8EDFAF" wp14:editId="7D281EF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96EC4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7386371" wp14:editId="194B8FA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9CE2F7" w14:textId="51A426FE" w:rsidR="00B129F0" w:rsidRDefault="00B129F0">
                                    <w:pPr>
                                      <w:pStyle w:val="NoSpacing"/>
                                      <w:jc w:val="right"/>
                                      <w:rPr>
                                        <w:color w:val="595959" w:themeColor="text1" w:themeTint="A6"/>
                                        <w:sz w:val="28"/>
                                        <w:szCs w:val="28"/>
                                      </w:rPr>
                                    </w:pPr>
                                    <w:r>
                                      <w:rPr>
                                        <w:color w:val="595959" w:themeColor="text1" w:themeTint="A6"/>
                                        <w:sz w:val="28"/>
                                        <w:szCs w:val="28"/>
                                      </w:rPr>
                                      <w:t>Sadie France</w:t>
                                    </w:r>
                                  </w:p>
                                </w:sdtContent>
                              </w:sdt>
                              <w:p w14:paraId="7DBBF924" w14:textId="42E828E7" w:rsidR="00B129F0" w:rsidRDefault="007B5E2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D7BE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738637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9CE2F7" w14:textId="51A426FE" w:rsidR="00B129F0" w:rsidRDefault="00B129F0">
                              <w:pPr>
                                <w:pStyle w:val="NoSpacing"/>
                                <w:jc w:val="right"/>
                                <w:rPr>
                                  <w:color w:val="595959" w:themeColor="text1" w:themeTint="A6"/>
                                  <w:sz w:val="28"/>
                                  <w:szCs w:val="28"/>
                                </w:rPr>
                              </w:pPr>
                              <w:r>
                                <w:rPr>
                                  <w:color w:val="595959" w:themeColor="text1" w:themeTint="A6"/>
                                  <w:sz w:val="28"/>
                                  <w:szCs w:val="28"/>
                                </w:rPr>
                                <w:t>Sadie France</w:t>
                              </w:r>
                            </w:p>
                          </w:sdtContent>
                        </w:sdt>
                        <w:p w14:paraId="7DBBF924" w14:textId="42E828E7" w:rsidR="00B129F0" w:rsidRDefault="007B5E2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D7BE2">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2D232CA" wp14:editId="54F3294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E56848" w14:textId="5210296E" w:rsidR="00B129F0" w:rsidRDefault="007325F8">
                                <w:pPr>
                                  <w:pStyle w:val="NoSpacing"/>
                                  <w:jc w:val="right"/>
                                  <w:rPr>
                                    <w:color w:val="4472C4" w:themeColor="accent1"/>
                                    <w:sz w:val="28"/>
                                    <w:szCs w:val="28"/>
                                  </w:rPr>
                                </w:pPr>
                                <w:r>
                                  <w:rPr>
                                    <w:color w:val="4472C4" w:themeColor="accent1"/>
                                    <w:sz w:val="28"/>
                                    <w:szCs w:val="28"/>
                                  </w:rPr>
                                  <w:t>Sadie France (1805131)</w:t>
                                </w:r>
                              </w:p>
                              <w:p w14:paraId="51124657" w14:textId="16105E1E" w:rsidR="00BF7B6D" w:rsidRDefault="004D7BE2">
                                <w:pPr>
                                  <w:pStyle w:val="NoSpacing"/>
                                  <w:jc w:val="right"/>
                                  <w:rPr>
                                    <w:color w:val="4472C4" w:themeColor="accent1"/>
                                    <w:sz w:val="28"/>
                                    <w:szCs w:val="28"/>
                                  </w:rPr>
                                </w:pPr>
                                <w:r>
                                  <w:rPr>
                                    <w:color w:val="4472C4" w:themeColor="accent1"/>
                                    <w:sz w:val="28"/>
                                    <w:szCs w:val="28"/>
                                  </w:rPr>
                                  <w:t>A portfolio of three pieces of work to include</w:t>
                                </w:r>
                                <w:r w:rsidR="00BF7B6D">
                                  <w:rPr>
                                    <w:color w:val="4472C4" w:themeColor="accent1"/>
                                    <w:sz w:val="28"/>
                                    <w:szCs w:val="28"/>
                                  </w:rPr>
                                  <w:t xml:space="preserve"> a self-reflection, academic book review and an academic poster.</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EDE9594" w14:textId="0AAE0C07" w:rsidR="00B129F0" w:rsidRDefault="00BF7B6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2D232C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FE56848" w14:textId="5210296E" w:rsidR="00B129F0" w:rsidRDefault="007325F8">
                          <w:pPr>
                            <w:pStyle w:val="NoSpacing"/>
                            <w:jc w:val="right"/>
                            <w:rPr>
                              <w:color w:val="4472C4" w:themeColor="accent1"/>
                              <w:sz w:val="28"/>
                              <w:szCs w:val="28"/>
                            </w:rPr>
                          </w:pPr>
                          <w:r>
                            <w:rPr>
                              <w:color w:val="4472C4" w:themeColor="accent1"/>
                              <w:sz w:val="28"/>
                              <w:szCs w:val="28"/>
                            </w:rPr>
                            <w:t>Sadie France (1805131)</w:t>
                          </w:r>
                        </w:p>
                        <w:p w14:paraId="51124657" w14:textId="16105E1E" w:rsidR="00BF7B6D" w:rsidRDefault="004D7BE2">
                          <w:pPr>
                            <w:pStyle w:val="NoSpacing"/>
                            <w:jc w:val="right"/>
                            <w:rPr>
                              <w:color w:val="4472C4" w:themeColor="accent1"/>
                              <w:sz w:val="28"/>
                              <w:szCs w:val="28"/>
                            </w:rPr>
                          </w:pPr>
                          <w:r>
                            <w:rPr>
                              <w:color w:val="4472C4" w:themeColor="accent1"/>
                              <w:sz w:val="28"/>
                              <w:szCs w:val="28"/>
                            </w:rPr>
                            <w:t>A portfolio of three pieces of work to include</w:t>
                          </w:r>
                          <w:r w:rsidR="00BF7B6D">
                            <w:rPr>
                              <w:color w:val="4472C4" w:themeColor="accent1"/>
                              <w:sz w:val="28"/>
                              <w:szCs w:val="28"/>
                            </w:rPr>
                            <w:t xml:space="preserve"> a self-reflection, academic book review and an academic poster.</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EDE9594" w14:textId="0AAE0C07" w:rsidR="00B129F0" w:rsidRDefault="00BF7B6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F84587A" wp14:editId="6343013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20EC27" w14:textId="0DDD39A4" w:rsidR="00B129F0" w:rsidRDefault="007B5E2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325F8">
                                      <w:rPr>
                                        <w:caps/>
                                        <w:color w:val="4472C4" w:themeColor="accent1"/>
                                        <w:sz w:val="64"/>
                                        <w:szCs w:val="64"/>
                                      </w:rPr>
                                      <w:t>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F1043E6" w14:textId="46700613" w:rsidR="00B129F0" w:rsidRDefault="007325F8">
                                    <w:pPr>
                                      <w:jc w:val="right"/>
                                      <w:rPr>
                                        <w:smallCaps/>
                                        <w:color w:val="404040" w:themeColor="text1" w:themeTint="BF"/>
                                        <w:sz w:val="36"/>
                                        <w:szCs w:val="36"/>
                                      </w:rPr>
                                    </w:pPr>
                                    <w:r>
                                      <w:rPr>
                                        <w:color w:val="404040" w:themeColor="text1" w:themeTint="BF"/>
                                        <w:sz w:val="36"/>
                                        <w:szCs w:val="36"/>
                                      </w:rPr>
                                      <w:t>BCMJ7001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F84587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920EC27" w14:textId="0DDD39A4" w:rsidR="00B129F0" w:rsidRDefault="007B5E2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325F8">
                                <w:rPr>
                                  <w:caps/>
                                  <w:color w:val="4472C4" w:themeColor="accent1"/>
                                  <w:sz w:val="64"/>
                                  <w:szCs w:val="64"/>
                                </w:rPr>
                                <w:t>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F1043E6" w14:textId="46700613" w:rsidR="00B129F0" w:rsidRDefault="007325F8">
                              <w:pPr>
                                <w:jc w:val="right"/>
                                <w:rPr>
                                  <w:smallCaps/>
                                  <w:color w:val="404040" w:themeColor="text1" w:themeTint="BF"/>
                                  <w:sz w:val="36"/>
                                  <w:szCs w:val="36"/>
                                </w:rPr>
                              </w:pPr>
                              <w:r>
                                <w:rPr>
                                  <w:color w:val="404040" w:themeColor="text1" w:themeTint="BF"/>
                                  <w:sz w:val="36"/>
                                  <w:szCs w:val="36"/>
                                </w:rPr>
                                <w:t>BCMJ7001</w:t>
                              </w:r>
                            </w:p>
                          </w:sdtContent>
                        </w:sdt>
                      </w:txbxContent>
                    </v:textbox>
                    <w10:wrap type="square" anchorx="page" anchory="page"/>
                  </v:shape>
                </w:pict>
              </mc:Fallback>
            </mc:AlternateContent>
          </w:r>
        </w:p>
        <w:p w14:paraId="2BD52629" w14:textId="2FD39E7A" w:rsidR="00B129F0" w:rsidRDefault="00B129F0">
          <w:pPr>
            <w:rPr>
              <w:rFonts w:ascii="Arial" w:hAnsi="Arial" w:cs="Arial"/>
              <w:sz w:val="24"/>
              <w:szCs w:val="24"/>
            </w:rPr>
          </w:pPr>
          <w:r>
            <w:rPr>
              <w:rFonts w:ascii="Arial" w:hAnsi="Arial" w:cs="Arial"/>
              <w:sz w:val="24"/>
              <w:szCs w:val="24"/>
            </w:rPr>
            <w:br w:type="page"/>
          </w:r>
        </w:p>
      </w:sdtContent>
    </w:sdt>
    <w:p w14:paraId="5D405BA7" w14:textId="48C79613" w:rsidR="005F7A7B" w:rsidRPr="002A203D" w:rsidRDefault="00F02612" w:rsidP="00781044">
      <w:pPr>
        <w:spacing w:line="480" w:lineRule="auto"/>
        <w:rPr>
          <w:rFonts w:ascii="Arial" w:hAnsi="Arial" w:cs="Arial"/>
          <w:b/>
          <w:bCs/>
          <w:i/>
          <w:iCs/>
          <w:sz w:val="24"/>
          <w:szCs w:val="24"/>
          <w:u w:val="single"/>
        </w:rPr>
      </w:pPr>
      <w:r w:rsidRPr="00F02612">
        <w:rPr>
          <w:rFonts w:ascii="Arial" w:hAnsi="Arial" w:cs="Arial"/>
          <w:b/>
          <w:bCs/>
          <w:i/>
          <w:iCs/>
          <w:sz w:val="24"/>
          <w:szCs w:val="24"/>
          <w:u w:val="single"/>
        </w:rPr>
        <w:lastRenderedPageBreak/>
        <w:t>Self-Reflection</w:t>
      </w:r>
    </w:p>
    <w:p w14:paraId="0908ED56" w14:textId="77777777"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I have chosen to do my self-reflection piece on causing death by drink driving following a recent event within my local community (Dyfed Powys Police, 2021). Throughout this reflection I will be using Gibbs Reflective cycle which aids a person to think systematically whilst experiencing a certain event. The cycle is broken down into phases, which will underpin this reflective piece in order provide an in-depth, detailed account of my journey throughout the experience (Gibbs, 1988).</w:t>
      </w:r>
    </w:p>
    <w:p w14:paraId="3685C3A6" w14:textId="77777777" w:rsidR="005F7A7B" w:rsidRPr="002A203D" w:rsidRDefault="005F7A7B" w:rsidP="00781044">
      <w:pPr>
        <w:spacing w:line="480" w:lineRule="auto"/>
        <w:rPr>
          <w:rFonts w:ascii="Arial" w:hAnsi="Arial" w:cs="Arial"/>
          <w:sz w:val="24"/>
          <w:szCs w:val="24"/>
        </w:rPr>
      </w:pPr>
    </w:p>
    <w:p w14:paraId="72BCC69D" w14:textId="77777777" w:rsidR="002A203D" w:rsidRDefault="005F7A7B" w:rsidP="00781044">
      <w:pPr>
        <w:spacing w:line="480" w:lineRule="auto"/>
        <w:rPr>
          <w:rFonts w:ascii="Arial" w:hAnsi="Arial" w:cs="Arial"/>
          <w:sz w:val="24"/>
          <w:szCs w:val="24"/>
        </w:rPr>
      </w:pPr>
      <w:r w:rsidRPr="002A203D">
        <w:rPr>
          <w:rFonts w:ascii="Arial" w:hAnsi="Arial" w:cs="Arial"/>
          <w:b/>
          <w:bCs/>
          <w:sz w:val="24"/>
          <w:szCs w:val="24"/>
          <w:u w:val="single"/>
        </w:rPr>
        <w:t>Description</w:t>
      </w:r>
    </w:p>
    <w:p w14:paraId="1EF86343" w14:textId="2B3F576F"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Following the death of a </w:t>
      </w:r>
      <w:r w:rsidR="00B129F0" w:rsidRPr="00F02612">
        <w:rPr>
          <w:rFonts w:ascii="Arial" w:hAnsi="Arial" w:cs="Arial"/>
          <w:sz w:val="24"/>
          <w:szCs w:val="24"/>
        </w:rPr>
        <w:t>6</w:t>
      </w:r>
      <w:r w:rsidR="00B129F0">
        <w:rPr>
          <w:rFonts w:ascii="Arial" w:hAnsi="Arial" w:cs="Arial"/>
          <w:sz w:val="24"/>
          <w:szCs w:val="24"/>
        </w:rPr>
        <w:t>-month-old</w:t>
      </w:r>
      <w:r w:rsidRPr="002A203D">
        <w:rPr>
          <w:rFonts w:ascii="Arial" w:hAnsi="Arial" w:cs="Arial"/>
          <w:sz w:val="24"/>
          <w:szCs w:val="24"/>
        </w:rPr>
        <w:t xml:space="preserve"> baby caused by a drink driver, and the disgust felt within the community that the perpetrator was handed a </w:t>
      </w:r>
      <w:r w:rsidR="00B129F0" w:rsidRPr="002A203D">
        <w:rPr>
          <w:rFonts w:ascii="Arial" w:hAnsi="Arial" w:cs="Arial"/>
          <w:sz w:val="24"/>
          <w:szCs w:val="24"/>
        </w:rPr>
        <w:t>4-year</w:t>
      </w:r>
      <w:r w:rsidRPr="002A203D">
        <w:rPr>
          <w:rFonts w:ascii="Arial" w:hAnsi="Arial" w:cs="Arial"/>
          <w:sz w:val="24"/>
          <w:szCs w:val="24"/>
        </w:rPr>
        <w:t xml:space="preserve"> sentence</w:t>
      </w:r>
      <w:r w:rsidR="002A203D">
        <w:rPr>
          <w:rFonts w:ascii="Arial" w:hAnsi="Arial" w:cs="Arial"/>
          <w:sz w:val="24"/>
          <w:szCs w:val="24"/>
        </w:rPr>
        <w:t xml:space="preserve"> (DPP, 2021)</w:t>
      </w:r>
      <w:r w:rsidRPr="002A203D">
        <w:rPr>
          <w:rFonts w:ascii="Arial" w:hAnsi="Arial" w:cs="Arial"/>
          <w:sz w:val="24"/>
          <w:szCs w:val="24"/>
        </w:rPr>
        <w:t xml:space="preserve">, I decided to carry out some independent research into the law and legislation surrounding causing death by drink driving. My career as a Driving Instructor has also motivated me to research further into the field as I hold a </w:t>
      </w:r>
      <w:r w:rsidR="00F02612" w:rsidRPr="00F02612">
        <w:rPr>
          <w:rFonts w:ascii="Arial" w:hAnsi="Arial" w:cs="Arial"/>
          <w:sz w:val="24"/>
          <w:szCs w:val="24"/>
        </w:rPr>
        <w:t>keen passion</w:t>
      </w:r>
      <w:r w:rsidRPr="002A203D">
        <w:rPr>
          <w:rFonts w:ascii="Arial" w:hAnsi="Arial" w:cs="Arial"/>
          <w:sz w:val="24"/>
          <w:szCs w:val="24"/>
        </w:rPr>
        <w:t xml:space="preserve"> for road safety.</w:t>
      </w:r>
    </w:p>
    <w:p w14:paraId="634B9411" w14:textId="77777777"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According to the Sentencing Council (2008), the maximum sentence for causing death by drink driving or under the influence of drugs, is 14 years. </w:t>
      </w:r>
      <w:r w:rsidRPr="002A203D">
        <w:rPr>
          <w:rFonts w:ascii="Arial" w:hAnsi="Arial" w:cs="Arial"/>
          <w:color w:val="000000" w:themeColor="text1"/>
          <w:sz w:val="24"/>
          <w:szCs w:val="24"/>
        </w:rPr>
        <w:t xml:space="preserve">Further, </w:t>
      </w:r>
      <w:r w:rsidRPr="002A203D">
        <w:rPr>
          <w:rFonts w:ascii="Arial" w:hAnsi="Arial" w:cs="Arial"/>
          <w:sz w:val="24"/>
          <w:szCs w:val="24"/>
        </w:rPr>
        <w:t>when sentencing, the courts will consider many aspects including how responsible the offender was, other offences caused at the same time, for example, if the car was stolen. They also consider the degree of harm caused to the victim, if the offender was seriously injured or if their family or close relatives were the victim and what other criminal behaviour, if any, has previously been committed by the offender.</w:t>
      </w:r>
    </w:p>
    <w:p w14:paraId="657C4776" w14:textId="7914344E"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lastRenderedPageBreak/>
        <w:t xml:space="preserve">The Road Safety Act 1967 made it illegal to operate a vehicle with a blood alcohol </w:t>
      </w:r>
      <w:r w:rsidR="00F02612" w:rsidRPr="00F02612">
        <w:rPr>
          <w:rFonts w:ascii="Arial" w:hAnsi="Arial" w:cs="Arial"/>
          <w:sz w:val="24"/>
          <w:szCs w:val="24"/>
        </w:rPr>
        <w:t>concentration level</w:t>
      </w:r>
      <w:r w:rsidRPr="002A203D">
        <w:rPr>
          <w:rFonts w:ascii="Arial" w:hAnsi="Arial" w:cs="Arial"/>
          <w:sz w:val="24"/>
          <w:szCs w:val="24"/>
        </w:rPr>
        <w:t xml:space="preserve"> over 35 micrograms of alcohol per 100mgs of blood which has reduced the number of drink driving deaths from 1640 in 1979 to 200 in 2005.</w:t>
      </w:r>
    </w:p>
    <w:p w14:paraId="6BCE5A4C" w14:textId="72AC6005" w:rsidR="005F7A7B" w:rsidRPr="002A203D" w:rsidRDefault="005F7A7B" w:rsidP="00781044">
      <w:pPr>
        <w:spacing w:line="480" w:lineRule="auto"/>
        <w:rPr>
          <w:rFonts w:ascii="Arial" w:hAnsi="Arial" w:cs="Arial"/>
          <w:sz w:val="24"/>
          <w:szCs w:val="24"/>
        </w:rPr>
      </w:pPr>
      <w:r w:rsidRPr="002A203D">
        <w:rPr>
          <w:rFonts w:ascii="Arial" w:hAnsi="Arial" w:cs="Arial"/>
          <w:color w:val="000000" w:themeColor="text1"/>
          <w:sz w:val="24"/>
          <w:szCs w:val="24"/>
        </w:rPr>
        <w:t xml:space="preserve">As stated by DPP (2021), </w:t>
      </w:r>
      <w:r w:rsidRPr="002A203D">
        <w:rPr>
          <w:rFonts w:ascii="Arial" w:hAnsi="Arial" w:cs="Arial"/>
          <w:sz w:val="24"/>
          <w:szCs w:val="24"/>
        </w:rPr>
        <w:t xml:space="preserve">the drink driver, a </w:t>
      </w:r>
      <w:r w:rsidR="00B129F0" w:rsidRPr="002A203D">
        <w:rPr>
          <w:rFonts w:ascii="Arial" w:hAnsi="Arial" w:cs="Arial"/>
          <w:sz w:val="24"/>
          <w:szCs w:val="24"/>
        </w:rPr>
        <w:t>23-year-old</w:t>
      </w:r>
      <w:r w:rsidRPr="002A203D">
        <w:rPr>
          <w:rFonts w:ascii="Arial" w:hAnsi="Arial" w:cs="Arial"/>
          <w:sz w:val="24"/>
          <w:szCs w:val="24"/>
        </w:rPr>
        <w:t xml:space="preserve"> female </w:t>
      </w:r>
      <w:r w:rsidR="00F02612" w:rsidRPr="00F02612">
        <w:rPr>
          <w:rFonts w:ascii="Arial" w:hAnsi="Arial" w:cs="Arial"/>
          <w:sz w:val="24"/>
          <w:szCs w:val="24"/>
        </w:rPr>
        <w:t>mother, who</w:t>
      </w:r>
      <w:r w:rsidRPr="002A203D">
        <w:rPr>
          <w:rFonts w:ascii="Arial" w:hAnsi="Arial" w:cs="Arial"/>
          <w:sz w:val="24"/>
          <w:szCs w:val="24"/>
        </w:rPr>
        <w:t xml:space="preserve"> recently killed the </w:t>
      </w:r>
      <w:r w:rsidR="00B129F0" w:rsidRPr="002A203D">
        <w:rPr>
          <w:rFonts w:ascii="Arial" w:hAnsi="Arial" w:cs="Arial"/>
          <w:sz w:val="24"/>
          <w:szCs w:val="24"/>
        </w:rPr>
        <w:t>6-month-old</w:t>
      </w:r>
      <w:r w:rsidRPr="002A203D">
        <w:rPr>
          <w:rFonts w:ascii="Arial" w:hAnsi="Arial" w:cs="Arial"/>
          <w:sz w:val="24"/>
          <w:szCs w:val="24"/>
        </w:rPr>
        <w:t xml:space="preserve"> baby was found to have 46mgs of alcohol per 100mgs of blood, making her 11mgs over the legal limit. The collision happened within a </w:t>
      </w:r>
      <w:r w:rsidR="00F02612" w:rsidRPr="00F02612">
        <w:rPr>
          <w:rFonts w:ascii="Arial" w:hAnsi="Arial" w:cs="Arial"/>
          <w:sz w:val="24"/>
          <w:szCs w:val="24"/>
        </w:rPr>
        <w:t>build-up</w:t>
      </w:r>
      <w:r w:rsidRPr="002A203D">
        <w:rPr>
          <w:rFonts w:ascii="Arial" w:hAnsi="Arial" w:cs="Arial"/>
          <w:sz w:val="24"/>
          <w:szCs w:val="24"/>
        </w:rPr>
        <w:t xml:space="preserve"> area where the offender failed to give way at a junction. The </w:t>
      </w:r>
      <w:r w:rsidR="00F02612" w:rsidRPr="00F02612">
        <w:rPr>
          <w:rFonts w:ascii="Arial" w:hAnsi="Arial" w:cs="Arial"/>
          <w:sz w:val="24"/>
          <w:szCs w:val="24"/>
        </w:rPr>
        <w:t>baby’s</w:t>
      </w:r>
      <w:r w:rsidRPr="002A203D">
        <w:rPr>
          <w:rFonts w:ascii="Arial" w:hAnsi="Arial" w:cs="Arial"/>
          <w:sz w:val="24"/>
          <w:szCs w:val="24"/>
        </w:rPr>
        <w:t xml:space="preserve"> head injuries were so severe that she sadly passed away the next</w:t>
      </w:r>
      <w:r w:rsidR="008B1AEA">
        <w:rPr>
          <w:rFonts w:ascii="Arial" w:hAnsi="Arial" w:cs="Arial"/>
          <w:sz w:val="24"/>
          <w:szCs w:val="24"/>
        </w:rPr>
        <w:t>.</w:t>
      </w:r>
    </w:p>
    <w:p w14:paraId="666B0D0B" w14:textId="61AD60A3" w:rsidR="005F7A7B" w:rsidRPr="002A203D" w:rsidRDefault="005F7A7B" w:rsidP="00781044">
      <w:pPr>
        <w:spacing w:line="480" w:lineRule="auto"/>
        <w:rPr>
          <w:rFonts w:ascii="Arial" w:hAnsi="Arial" w:cs="Arial"/>
          <w:color w:val="FF0000"/>
          <w:sz w:val="24"/>
          <w:szCs w:val="24"/>
        </w:rPr>
      </w:pPr>
      <w:r w:rsidRPr="002A203D">
        <w:rPr>
          <w:rFonts w:ascii="Arial" w:hAnsi="Arial" w:cs="Arial"/>
          <w:sz w:val="24"/>
          <w:szCs w:val="24"/>
        </w:rPr>
        <w:t>According to the Department of Transport (2020)</w:t>
      </w:r>
      <w:r w:rsidR="008B1AEA">
        <w:rPr>
          <w:rFonts w:ascii="Arial" w:hAnsi="Arial" w:cs="Arial"/>
          <w:sz w:val="24"/>
          <w:szCs w:val="24"/>
        </w:rPr>
        <w:t>,</w:t>
      </w:r>
      <w:r w:rsidRPr="002A203D">
        <w:rPr>
          <w:rFonts w:ascii="Arial" w:hAnsi="Arial" w:cs="Arial"/>
          <w:sz w:val="24"/>
          <w:szCs w:val="24"/>
        </w:rPr>
        <w:t xml:space="preserve"> around 13% of deaths in reported road accidents were caused by a drink driver in 2018 and around 5% of all casualties are caused by drink driving with 80% of the drink drivers being male. According to Armstrong </w:t>
      </w:r>
      <w:r w:rsidRPr="002A203D">
        <w:rPr>
          <w:rFonts w:ascii="Arial" w:hAnsi="Arial" w:cs="Arial"/>
          <w:i/>
          <w:iCs/>
          <w:sz w:val="24"/>
          <w:szCs w:val="24"/>
        </w:rPr>
        <w:t>et al.</w:t>
      </w:r>
      <w:r w:rsidRPr="002A203D">
        <w:rPr>
          <w:rFonts w:ascii="Arial" w:hAnsi="Arial" w:cs="Arial"/>
          <w:sz w:val="24"/>
          <w:szCs w:val="24"/>
        </w:rPr>
        <w:t xml:space="preserve"> 2019, data evidences an increase in women drink drivers throughout the world. </w:t>
      </w:r>
      <w:r w:rsidRPr="002A203D">
        <w:rPr>
          <w:rFonts w:ascii="Arial" w:hAnsi="Arial" w:cs="Arial"/>
          <w:color w:val="000000" w:themeColor="text1"/>
          <w:sz w:val="24"/>
          <w:szCs w:val="24"/>
        </w:rPr>
        <w:t xml:space="preserve">According to Beuret </w:t>
      </w:r>
      <w:r w:rsidRPr="002A203D">
        <w:rPr>
          <w:rFonts w:ascii="Arial" w:hAnsi="Arial" w:cs="Arial"/>
          <w:i/>
          <w:iCs/>
          <w:color w:val="000000" w:themeColor="text1"/>
          <w:sz w:val="24"/>
          <w:szCs w:val="24"/>
        </w:rPr>
        <w:t>et al.</w:t>
      </w:r>
      <w:r w:rsidRPr="002A203D">
        <w:rPr>
          <w:rFonts w:ascii="Arial" w:hAnsi="Arial" w:cs="Arial"/>
          <w:color w:val="000000" w:themeColor="text1"/>
          <w:sz w:val="24"/>
          <w:szCs w:val="24"/>
        </w:rPr>
        <w:t xml:space="preserve"> (2104</w:t>
      </w:r>
      <w:r w:rsidR="00F02612" w:rsidRPr="00F02612">
        <w:rPr>
          <w:rFonts w:ascii="Arial" w:hAnsi="Arial" w:cs="Arial"/>
          <w:color w:val="000000" w:themeColor="text1"/>
          <w:sz w:val="24"/>
          <w:szCs w:val="24"/>
        </w:rPr>
        <w:t>),</w:t>
      </w:r>
      <w:r w:rsidRPr="002A203D">
        <w:rPr>
          <w:rFonts w:ascii="Arial" w:hAnsi="Arial" w:cs="Arial"/>
          <w:color w:val="000000" w:themeColor="text1"/>
          <w:sz w:val="24"/>
          <w:szCs w:val="24"/>
        </w:rPr>
        <w:t xml:space="preserve"> a recent study suggested that women are poorly educated on the amount of alcohol they can safely consume before driving. The study also revealed that anti drink drive campaign adverts often include men as the drink driver which creates an impression that women are more likely to go under the radar. It was also discovered that </w:t>
      </w:r>
      <w:r w:rsidR="00B129F0" w:rsidRPr="002A203D">
        <w:rPr>
          <w:rFonts w:ascii="Arial" w:hAnsi="Arial" w:cs="Arial"/>
          <w:color w:val="000000" w:themeColor="text1"/>
          <w:sz w:val="24"/>
          <w:szCs w:val="24"/>
        </w:rPr>
        <w:t>a consensus</w:t>
      </w:r>
      <w:r w:rsidRPr="002A203D">
        <w:rPr>
          <w:rFonts w:ascii="Arial" w:hAnsi="Arial" w:cs="Arial"/>
          <w:color w:val="000000" w:themeColor="text1"/>
          <w:sz w:val="24"/>
          <w:szCs w:val="24"/>
        </w:rPr>
        <w:t xml:space="preserve"> was women expressing that although they may be over the drink drive limit, they can still drive “carefully” and won’t have an accident</w:t>
      </w:r>
      <w:r w:rsidR="00346B44">
        <w:rPr>
          <w:rFonts w:ascii="Arial" w:hAnsi="Arial" w:cs="Arial"/>
          <w:color w:val="000000" w:themeColor="text1"/>
          <w:sz w:val="24"/>
          <w:szCs w:val="24"/>
        </w:rPr>
        <w:t xml:space="preserve">. </w:t>
      </w:r>
      <w:r w:rsidRPr="002A203D">
        <w:rPr>
          <w:rFonts w:ascii="Arial" w:hAnsi="Arial" w:cs="Arial"/>
          <w:color w:val="000000" w:themeColor="text1"/>
          <w:sz w:val="24"/>
          <w:szCs w:val="24"/>
        </w:rPr>
        <w:t xml:space="preserve">Beuret </w:t>
      </w:r>
      <w:r w:rsidRPr="002A203D">
        <w:rPr>
          <w:rFonts w:ascii="Arial" w:hAnsi="Arial" w:cs="Arial"/>
          <w:i/>
          <w:iCs/>
          <w:color w:val="000000" w:themeColor="text1"/>
          <w:sz w:val="24"/>
          <w:szCs w:val="24"/>
        </w:rPr>
        <w:t>et al.</w:t>
      </w:r>
      <w:r w:rsidRPr="002A203D">
        <w:rPr>
          <w:rFonts w:ascii="Arial" w:hAnsi="Arial" w:cs="Arial"/>
          <w:color w:val="000000" w:themeColor="text1"/>
          <w:sz w:val="24"/>
          <w:szCs w:val="24"/>
        </w:rPr>
        <w:t xml:space="preserve"> (2014) suggests that this lack of awareness could be caused by the intake of alcohol as it lowers our ability to make rational decisions.</w:t>
      </w:r>
    </w:p>
    <w:p w14:paraId="33E04D84" w14:textId="77777777" w:rsidR="005F7A7B" w:rsidRPr="002A203D" w:rsidRDefault="005F7A7B" w:rsidP="00781044">
      <w:pPr>
        <w:spacing w:line="480" w:lineRule="auto"/>
        <w:rPr>
          <w:rFonts w:ascii="Arial" w:hAnsi="Arial" w:cs="Arial"/>
          <w:color w:val="FF0000"/>
          <w:sz w:val="24"/>
          <w:szCs w:val="24"/>
        </w:rPr>
      </w:pPr>
    </w:p>
    <w:p w14:paraId="3F0A97B8" w14:textId="77777777" w:rsidR="005F7A7B" w:rsidRPr="002A203D" w:rsidRDefault="005F7A7B" w:rsidP="00781044">
      <w:pPr>
        <w:spacing w:line="480" w:lineRule="auto"/>
        <w:rPr>
          <w:rFonts w:ascii="Arial" w:hAnsi="Arial" w:cs="Arial"/>
          <w:sz w:val="24"/>
          <w:szCs w:val="24"/>
        </w:rPr>
      </w:pPr>
      <w:r w:rsidRPr="002A203D">
        <w:rPr>
          <w:rFonts w:ascii="Arial" w:hAnsi="Arial" w:cs="Arial"/>
          <w:color w:val="FF0000"/>
          <w:sz w:val="24"/>
          <w:szCs w:val="24"/>
        </w:rPr>
        <w:t xml:space="preserve"> </w:t>
      </w:r>
    </w:p>
    <w:p w14:paraId="146B54B9" w14:textId="52B3A3C8" w:rsidR="005F7A7B" w:rsidRPr="002A203D" w:rsidRDefault="005F7A7B" w:rsidP="00781044">
      <w:pPr>
        <w:spacing w:line="480" w:lineRule="auto"/>
        <w:rPr>
          <w:rFonts w:ascii="Arial" w:hAnsi="Arial" w:cs="Arial"/>
          <w:sz w:val="24"/>
          <w:szCs w:val="24"/>
        </w:rPr>
      </w:pPr>
      <w:r w:rsidRPr="002A203D">
        <w:rPr>
          <w:rFonts w:ascii="Arial" w:hAnsi="Arial" w:cs="Arial"/>
          <w:color w:val="000000" w:themeColor="text1"/>
          <w:sz w:val="24"/>
          <w:szCs w:val="24"/>
        </w:rPr>
        <w:lastRenderedPageBreak/>
        <w:t xml:space="preserve">As a result of a </w:t>
      </w:r>
      <w:r w:rsidRPr="002A203D">
        <w:rPr>
          <w:rFonts w:ascii="Arial" w:hAnsi="Arial" w:cs="Arial"/>
          <w:sz w:val="24"/>
          <w:szCs w:val="24"/>
        </w:rPr>
        <w:t xml:space="preserve">review in 2016, the government acknowledged that the current legislation does not reflect the seriousness of the crime, </w:t>
      </w:r>
      <w:r w:rsidR="00B129F0" w:rsidRPr="002A203D">
        <w:rPr>
          <w:rFonts w:ascii="Arial" w:hAnsi="Arial" w:cs="Arial"/>
          <w:sz w:val="24"/>
          <w:szCs w:val="24"/>
        </w:rPr>
        <w:t>because of</w:t>
      </w:r>
      <w:r w:rsidRPr="002A203D">
        <w:rPr>
          <w:rFonts w:ascii="Arial" w:hAnsi="Arial" w:cs="Arial"/>
          <w:sz w:val="24"/>
          <w:szCs w:val="24"/>
        </w:rPr>
        <w:t xml:space="preserve"> this in 2022, the government is changing current legislation to include life sentences for dangerous drivers (Home Office, 2021).</w:t>
      </w:r>
    </w:p>
    <w:p w14:paraId="749DFFBE" w14:textId="77777777" w:rsidR="005F7A7B" w:rsidRPr="002A203D" w:rsidRDefault="005F7A7B" w:rsidP="00781044">
      <w:pPr>
        <w:spacing w:line="480" w:lineRule="auto"/>
        <w:rPr>
          <w:rFonts w:ascii="Arial" w:hAnsi="Arial" w:cs="Arial"/>
          <w:b/>
          <w:bCs/>
          <w:sz w:val="24"/>
          <w:szCs w:val="24"/>
          <w:u w:val="single"/>
        </w:rPr>
      </w:pPr>
      <w:r w:rsidRPr="002A203D">
        <w:rPr>
          <w:rFonts w:ascii="Arial" w:hAnsi="Arial" w:cs="Arial"/>
          <w:b/>
          <w:bCs/>
          <w:sz w:val="24"/>
          <w:szCs w:val="24"/>
          <w:u w:val="single"/>
        </w:rPr>
        <w:t>Feelings</w:t>
      </w:r>
    </w:p>
    <w:p w14:paraId="6C690140" w14:textId="2A064F2B"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When I embarked on my research to understand the sanctions for</w:t>
      </w:r>
      <w:r w:rsidR="002A203D">
        <w:rPr>
          <w:rFonts w:ascii="Arial" w:hAnsi="Arial" w:cs="Arial"/>
          <w:sz w:val="24"/>
          <w:szCs w:val="24"/>
        </w:rPr>
        <w:t xml:space="preserve"> causing death by</w:t>
      </w:r>
      <w:r w:rsidRPr="002A203D">
        <w:rPr>
          <w:rFonts w:ascii="Arial" w:hAnsi="Arial" w:cs="Arial"/>
          <w:sz w:val="24"/>
          <w:szCs w:val="24"/>
        </w:rPr>
        <w:t xml:space="preserve"> drink driving, I initially felt anger having read the recent injustice felt by a local family who sadly lost her </w:t>
      </w:r>
      <w:r w:rsidR="00F02612" w:rsidRPr="00F02612">
        <w:rPr>
          <w:rFonts w:ascii="Arial" w:hAnsi="Arial" w:cs="Arial"/>
          <w:sz w:val="24"/>
          <w:szCs w:val="24"/>
        </w:rPr>
        <w:t>6-month-old</w:t>
      </w:r>
      <w:r w:rsidRPr="002A203D">
        <w:rPr>
          <w:rFonts w:ascii="Arial" w:hAnsi="Arial" w:cs="Arial"/>
          <w:sz w:val="24"/>
          <w:szCs w:val="24"/>
        </w:rPr>
        <w:t xml:space="preserve"> baby to a drink driver. The fact that the offender received just a </w:t>
      </w:r>
      <w:r w:rsidR="00F02612" w:rsidRPr="00F02612">
        <w:rPr>
          <w:rFonts w:ascii="Arial" w:hAnsi="Arial" w:cs="Arial"/>
          <w:sz w:val="24"/>
          <w:szCs w:val="24"/>
        </w:rPr>
        <w:t>4-year</w:t>
      </w:r>
      <w:r w:rsidRPr="002A203D">
        <w:rPr>
          <w:rFonts w:ascii="Arial" w:hAnsi="Arial" w:cs="Arial"/>
          <w:sz w:val="24"/>
          <w:szCs w:val="24"/>
        </w:rPr>
        <w:t xml:space="preserve"> sentence sparked feeling</w:t>
      </w:r>
      <w:r w:rsidR="002A203D">
        <w:rPr>
          <w:rFonts w:ascii="Arial" w:hAnsi="Arial" w:cs="Arial"/>
          <w:sz w:val="24"/>
          <w:szCs w:val="24"/>
        </w:rPr>
        <w:t>s</w:t>
      </w:r>
      <w:r w:rsidRPr="002A203D">
        <w:rPr>
          <w:rFonts w:ascii="Arial" w:hAnsi="Arial" w:cs="Arial"/>
          <w:sz w:val="24"/>
          <w:szCs w:val="24"/>
        </w:rPr>
        <w:t xml:space="preserve"> of anger and sadness for the family.</w:t>
      </w:r>
    </w:p>
    <w:p w14:paraId="2C767FB9" w14:textId="404BFC88"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When carrying out my research I felt driven and motivated to find out the sanctions for drink drivers. I was </w:t>
      </w:r>
      <w:r w:rsidR="002A203D" w:rsidRPr="002A203D">
        <w:rPr>
          <w:rFonts w:ascii="Arial" w:hAnsi="Arial" w:cs="Arial"/>
          <w:sz w:val="24"/>
          <w:szCs w:val="24"/>
        </w:rPr>
        <w:t>ama</w:t>
      </w:r>
      <w:r w:rsidR="002A203D">
        <w:rPr>
          <w:rFonts w:ascii="Arial" w:hAnsi="Arial" w:cs="Arial"/>
          <w:sz w:val="24"/>
          <w:szCs w:val="24"/>
        </w:rPr>
        <w:t>z</w:t>
      </w:r>
      <w:r w:rsidR="002A203D" w:rsidRPr="002A203D">
        <w:rPr>
          <w:rFonts w:ascii="Arial" w:hAnsi="Arial" w:cs="Arial"/>
          <w:sz w:val="24"/>
          <w:szCs w:val="24"/>
        </w:rPr>
        <w:t>ed</w:t>
      </w:r>
      <w:r w:rsidRPr="002A203D">
        <w:rPr>
          <w:rFonts w:ascii="Arial" w:hAnsi="Arial" w:cs="Arial"/>
          <w:sz w:val="24"/>
          <w:szCs w:val="24"/>
        </w:rPr>
        <w:t xml:space="preserve"> to learn that the maximum sentence is 14 years. This instantly brought a mixture of emotions including anger, frustration and shock </w:t>
      </w:r>
      <w:r w:rsidR="002A203D">
        <w:rPr>
          <w:rFonts w:ascii="Arial" w:hAnsi="Arial" w:cs="Arial"/>
          <w:sz w:val="24"/>
          <w:szCs w:val="24"/>
        </w:rPr>
        <w:t>which led me to</w:t>
      </w:r>
      <w:r w:rsidRPr="002A203D">
        <w:rPr>
          <w:rFonts w:ascii="Arial" w:hAnsi="Arial" w:cs="Arial"/>
          <w:sz w:val="24"/>
          <w:szCs w:val="24"/>
        </w:rPr>
        <w:t xml:space="preserve"> question the difference in killing a person by drink driving as a pose to killing someone by a stabbing and the difference in sentences. According to the Crown Prosecution Service (2017)</w:t>
      </w:r>
      <w:r w:rsidR="008B1AEA">
        <w:rPr>
          <w:rFonts w:ascii="Arial" w:hAnsi="Arial" w:cs="Arial"/>
          <w:sz w:val="24"/>
          <w:szCs w:val="24"/>
        </w:rPr>
        <w:t xml:space="preserve">, </w:t>
      </w:r>
      <w:r w:rsidRPr="002A203D">
        <w:rPr>
          <w:rFonts w:ascii="Arial" w:hAnsi="Arial" w:cs="Arial"/>
          <w:sz w:val="24"/>
          <w:szCs w:val="24"/>
        </w:rPr>
        <w:t xml:space="preserve">the sentence for murdering a person with the use of a knife carries a sentence starting point of 25 years. It could therefore be feasible to argue that if an individual wanted to kill someone, it would be tactical to kill them by drink driving as the maximum sentence is 14 years as a pose to the prospect of receiving a life sentence for other criminal acts that cause murder. </w:t>
      </w:r>
    </w:p>
    <w:p w14:paraId="590E997F" w14:textId="5187D210"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When I learnt that the law in changing in 2022 in relation to the sentencing for causing death by drink driving, I felt happy and relieved. The fact that an offender will be able to receive a life sentence reassures me that victims will be able to receive appropriate justice. It is also hoped that </w:t>
      </w:r>
      <w:r w:rsidR="00331C47" w:rsidRPr="00331C47">
        <w:rPr>
          <w:rFonts w:ascii="Arial" w:hAnsi="Arial" w:cs="Arial"/>
          <w:sz w:val="24"/>
          <w:szCs w:val="24"/>
        </w:rPr>
        <w:t>increasing</w:t>
      </w:r>
      <w:r w:rsidRPr="002A203D">
        <w:rPr>
          <w:rFonts w:ascii="Arial" w:hAnsi="Arial" w:cs="Arial"/>
          <w:sz w:val="24"/>
          <w:szCs w:val="24"/>
        </w:rPr>
        <w:t xml:space="preserve"> the sanction will serve as a </w:t>
      </w:r>
      <w:r w:rsidRPr="002A203D">
        <w:rPr>
          <w:rFonts w:ascii="Arial" w:hAnsi="Arial" w:cs="Arial"/>
          <w:sz w:val="24"/>
          <w:szCs w:val="24"/>
        </w:rPr>
        <w:lastRenderedPageBreak/>
        <w:t>deterrent but according to National Institute of Justice (2016), increasing sanctions does not deter crime as often the offender is unaware of the sanction for the crime.</w:t>
      </w:r>
    </w:p>
    <w:p w14:paraId="20238D4E" w14:textId="77777777"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I am aware that this particular case has attracted my attention due to the offender being a female and a mother. According to Easteal </w:t>
      </w:r>
      <w:r w:rsidRPr="002A203D">
        <w:rPr>
          <w:rFonts w:ascii="Arial" w:hAnsi="Arial" w:cs="Arial"/>
          <w:i/>
          <w:iCs/>
          <w:sz w:val="24"/>
          <w:szCs w:val="24"/>
        </w:rPr>
        <w:t>et al</w:t>
      </w:r>
      <w:r w:rsidRPr="002A203D">
        <w:rPr>
          <w:rFonts w:ascii="Arial" w:hAnsi="Arial" w:cs="Arial"/>
          <w:sz w:val="24"/>
          <w:szCs w:val="24"/>
        </w:rPr>
        <w:t>. (2015), when we read about women who kill in the media, we are instantly shocked and disgusted as we have views of women within society being good and such criminal acts are not what is expected of a feminine figure within the culture. Committing such crimes goes against what is perceived as feminine, such as being kind, gentle and mothering figures.</w:t>
      </w:r>
    </w:p>
    <w:p w14:paraId="0EF0BFF5" w14:textId="77777777" w:rsidR="005F7A7B" w:rsidRPr="002A203D" w:rsidRDefault="005F7A7B" w:rsidP="00781044">
      <w:pPr>
        <w:spacing w:line="480" w:lineRule="auto"/>
        <w:rPr>
          <w:rFonts w:ascii="Arial" w:hAnsi="Arial" w:cs="Arial"/>
          <w:sz w:val="24"/>
          <w:szCs w:val="24"/>
        </w:rPr>
      </w:pPr>
    </w:p>
    <w:p w14:paraId="4500CC95" w14:textId="77777777" w:rsidR="005F7A7B" w:rsidRPr="002A203D" w:rsidRDefault="005F7A7B" w:rsidP="00781044">
      <w:pPr>
        <w:spacing w:line="480" w:lineRule="auto"/>
        <w:rPr>
          <w:rFonts w:ascii="Arial" w:hAnsi="Arial" w:cs="Arial"/>
          <w:b/>
          <w:bCs/>
          <w:sz w:val="24"/>
          <w:szCs w:val="24"/>
          <w:u w:val="single"/>
        </w:rPr>
      </w:pPr>
      <w:r w:rsidRPr="002A203D">
        <w:rPr>
          <w:rFonts w:ascii="Arial" w:hAnsi="Arial" w:cs="Arial"/>
          <w:b/>
          <w:bCs/>
          <w:sz w:val="24"/>
          <w:szCs w:val="24"/>
          <w:u w:val="single"/>
        </w:rPr>
        <w:t>Evaluation</w:t>
      </w:r>
    </w:p>
    <w:p w14:paraId="4AB53AE8" w14:textId="521E7156" w:rsidR="005F7A7B" w:rsidRPr="002A203D" w:rsidRDefault="00331C47" w:rsidP="00781044">
      <w:pPr>
        <w:spacing w:line="480" w:lineRule="auto"/>
        <w:rPr>
          <w:rFonts w:ascii="Arial" w:hAnsi="Arial" w:cs="Arial"/>
          <w:sz w:val="24"/>
          <w:szCs w:val="24"/>
        </w:rPr>
      </w:pPr>
      <w:r w:rsidRPr="00331C47">
        <w:rPr>
          <w:rFonts w:ascii="Arial" w:hAnsi="Arial" w:cs="Arial"/>
          <w:sz w:val="24"/>
          <w:szCs w:val="24"/>
        </w:rPr>
        <w:t>Overall,</w:t>
      </w:r>
      <w:r w:rsidR="005F7A7B" w:rsidRPr="002A203D">
        <w:rPr>
          <w:rFonts w:ascii="Arial" w:hAnsi="Arial" w:cs="Arial"/>
          <w:sz w:val="24"/>
          <w:szCs w:val="24"/>
        </w:rPr>
        <w:t xml:space="preserve"> I thoroughly enjoyed undertaking this research as it has provided me with </w:t>
      </w:r>
      <w:r w:rsidR="00B129F0" w:rsidRPr="002A203D">
        <w:rPr>
          <w:rFonts w:ascii="Arial" w:hAnsi="Arial" w:cs="Arial"/>
          <w:sz w:val="24"/>
          <w:szCs w:val="24"/>
        </w:rPr>
        <w:t>up-to-date</w:t>
      </w:r>
      <w:r w:rsidR="005F7A7B" w:rsidRPr="002A203D">
        <w:rPr>
          <w:rFonts w:ascii="Arial" w:hAnsi="Arial" w:cs="Arial"/>
          <w:sz w:val="24"/>
          <w:szCs w:val="24"/>
        </w:rPr>
        <w:t xml:space="preserve"> legislation to which I can now apply to my profession as well as on a personal level. The internet is a valuable tool when retrieving up to date information on the topic. To add value to my research it would have been advantageous to have carried out a semi structured interview</w:t>
      </w:r>
      <w:r w:rsidR="00346B44">
        <w:rPr>
          <w:rFonts w:ascii="Arial" w:hAnsi="Arial" w:cs="Arial"/>
          <w:sz w:val="24"/>
          <w:szCs w:val="24"/>
        </w:rPr>
        <w:t xml:space="preserve"> with a</w:t>
      </w:r>
      <w:r w:rsidR="005F7A7B" w:rsidRPr="002A203D">
        <w:rPr>
          <w:rFonts w:ascii="Arial" w:hAnsi="Arial" w:cs="Arial"/>
          <w:sz w:val="24"/>
          <w:szCs w:val="24"/>
        </w:rPr>
        <w:t xml:space="preserve"> person directly affected by drink driving</w:t>
      </w:r>
      <w:r w:rsidR="00346B44">
        <w:rPr>
          <w:rFonts w:ascii="Arial" w:hAnsi="Arial" w:cs="Arial"/>
          <w:sz w:val="24"/>
          <w:szCs w:val="24"/>
        </w:rPr>
        <w:t>,</w:t>
      </w:r>
      <w:r w:rsidR="005F7A7B" w:rsidRPr="002A203D">
        <w:rPr>
          <w:rFonts w:ascii="Arial" w:hAnsi="Arial" w:cs="Arial"/>
          <w:sz w:val="24"/>
          <w:szCs w:val="24"/>
        </w:rPr>
        <w:t xml:space="preserve"> be it a victim or perpetrator</w:t>
      </w:r>
      <w:r w:rsidR="00346B44">
        <w:rPr>
          <w:rFonts w:ascii="Arial" w:hAnsi="Arial" w:cs="Arial"/>
          <w:sz w:val="24"/>
          <w:szCs w:val="24"/>
        </w:rPr>
        <w:t>,</w:t>
      </w:r>
      <w:r w:rsidR="005F7A7B" w:rsidRPr="002A203D">
        <w:rPr>
          <w:rFonts w:ascii="Arial" w:hAnsi="Arial" w:cs="Arial"/>
          <w:sz w:val="24"/>
          <w:szCs w:val="24"/>
        </w:rPr>
        <w:t xml:space="preserve"> but due to the nature of the topic and time restraints this was not possible. According to Fox </w:t>
      </w:r>
      <w:r w:rsidR="00346B44">
        <w:rPr>
          <w:rFonts w:ascii="Arial" w:hAnsi="Arial" w:cs="Arial"/>
          <w:sz w:val="24"/>
          <w:szCs w:val="24"/>
        </w:rPr>
        <w:t>(</w:t>
      </w:r>
      <w:r w:rsidR="005F7A7B" w:rsidRPr="002A203D">
        <w:rPr>
          <w:rFonts w:ascii="Arial" w:hAnsi="Arial" w:cs="Arial"/>
          <w:sz w:val="24"/>
          <w:szCs w:val="24"/>
        </w:rPr>
        <w:t>2009</w:t>
      </w:r>
      <w:r w:rsidR="00346B44">
        <w:rPr>
          <w:rFonts w:ascii="Arial" w:hAnsi="Arial" w:cs="Arial"/>
          <w:sz w:val="24"/>
          <w:szCs w:val="24"/>
        </w:rPr>
        <w:t>)</w:t>
      </w:r>
      <w:r w:rsidR="005F7A7B" w:rsidRPr="002A203D">
        <w:rPr>
          <w:rFonts w:ascii="Arial" w:hAnsi="Arial" w:cs="Arial"/>
          <w:sz w:val="24"/>
          <w:szCs w:val="24"/>
        </w:rPr>
        <w:t xml:space="preserve">, the benefit to a semi structured interview is the use of </w:t>
      </w:r>
      <w:r w:rsidRPr="00331C47">
        <w:rPr>
          <w:rFonts w:ascii="Arial" w:hAnsi="Arial" w:cs="Arial"/>
          <w:sz w:val="24"/>
          <w:szCs w:val="24"/>
        </w:rPr>
        <w:t>open-ended</w:t>
      </w:r>
      <w:r w:rsidR="005F7A7B" w:rsidRPr="002A203D">
        <w:rPr>
          <w:rFonts w:ascii="Arial" w:hAnsi="Arial" w:cs="Arial"/>
          <w:sz w:val="24"/>
          <w:szCs w:val="24"/>
        </w:rPr>
        <w:t xml:space="preserve"> questions</w:t>
      </w:r>
      <w:r w:rsidR="00346B44">
        <w:rPr>
          <w:rFonts w:ascii="Arial" w:hAnsi="Arial" w:cs="Arial"/>
          <w:sz w:val="24"/>
          <w:szCs w:val="24"/>
        </w:rPr>
        <w:t xml:space="preserve"> as they </w:t>
      </w:r>
      <w:r w:rsidR="005F7A7B" w:rsidRPr="002A203D">
        <w:rPr>
          <w:rFonts w:ascii="Arial" w:hAnsi="Arial" w:cs="Arial"/>
          <w:sz w:val="24"/>
          <w:szCs w:val="24"/>
        </w:rPr>
        <w:t>provide a platform to which the interviewee can expand and divulge in</w:t>
      </w:r>
      <w:r w:rsidR="00346B44">
        <w:rPr>
          <w:rFonts w:ascii="Arial" w:hAnsi="Arial" w:cs="Arial"/>
          <w:sz w:val="24"/>
          <w:szCs w:val="24"/>
        </w:rPr>
        <w:t>-</w:t>
      </w:r>
      <w:r w:rsidR="005F7A7B" w:rsidRPr="002A203D">
        <w:rPr>
          <w:rFonts w:ascii="Arial" w:hAnsi="Arial" w:cs="Arial"/>
          <w:sz w:val="24"/>
          <w:szCs w:val="24"/>
        </w:rPr>
        <w:t xml:space="preserve"> depth information, voluntarily.</w:t>
      </w:r>
    </w:p>
    <w:p w14:paraId="25A1BAC3" w14:textId="77777777" w:rsidR="005F7A7B" w:rsidRPr="002A203D" w:rsidRDefault="005F7A7B" w:rsidP="00781044">
      <w:pPr>
        <w:spacing w:line="480" w:lineRule="auto"/>
        <w:rPr>
          <w:rFonts w:ascii="Arial" w:hAnsi="Arial" w:cs="Arial"/>
          <w:b/>
          <w:bCs/>
          <w:sz w:val="24"/>
          <w:szCs w:val="24"/>
          <w:u w:val="single"/>
        </w:rPr>
      </w:pPr>
      <w:r w:rsidRPr="002A203D">
        <w:rPr>
          <w:rFonts w:ascii="Arial" w:hAnsi="Arial" w:cs="Arial"/>
          <w:b/>
          <w:bCs/>
          <w:sz w:val="24"/>
          <w:szCs w:val="24"/>
          <w:u w:val="single"/>
        </w:rPr>
        <w:t>Analysis</w:t>
      </w:r>
    </w:p>
    <w:p w14:paraId="48869492" w14:textId="00C15017"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I feel that the research I carried out went well as I was committed to finding out the information, mainly driven by emotions and a keen personal interest in the topic. According to Paul (2013), when we have a keen interest in something we learn </w:t>
      </w:r>
      <w:r w:rsidRPr="002A203D">
        <w:rPr>
          <w:rFonts w:ascii="Arial" w:hAnsi="Arial" w:cs="Arial"/>
          <w:sz w:val="24"/>
          <w:szCs w:val="24"/>
        </w:rPr>
        <w:lastRenderedPageBreak/>
        <w:t xml:space="preserve">quicker. Interest itself is driven by emotion, often positive ones. </w:t>
      </w:r>
      <w:r w:rsidR="00331C47" w:rsidRPr="00331C47">
        <w:rPr>
          <w:rFonts w:ascii="Arial" w:hAnsi="Arial" w:cs="Arial"/>
          <w:sz w:val="24"/>
          <w:szCs w:val="24"/>
        </w:rPr>
        <w:t>So,</w:t>
      </w:r>
      <w:r w:rsidRPr="002A203D">
        <w:rPr>
          <w:rFonts w:ascii="Arial" w:hAnsi="Arial" w:cs="Arial"/>
          <w:sz w:val="24"/>
          <w:szCs w:val="24"/>
        </w:rPr>
        <w:t xml:space="preserve"> although my initial reaction was a mixture of anger and frustration when I first embarked on my research, my interest in the field is ultimately what motivated me to pursue my journey on carrying out my research.</w:t>
      </w:r>
    </w:p>
    <w:p w14:paraId="6DFE74AF" w14:textId="77777777" w:rsidR="005F7A7B" w:rsidRPr="002A203D" w:rsidRDefault="005F7A7B" w:rsidP="00781044">
      <w:pPr>
        <w:spacing w:line="480" w:lineRule="auto"/>
        <w:rPr>
          <w:rFonts w:ascii="Arial" w:hAnsi="Arial" w:cs="Arial"/>
          <w:b/>
          <w:bCs/>
          <w:sz w:val="24"/>
          <w:szCs w:val="24"/>
          <w:u w:val="single"/>
        </w:rPr>
      </w:pPr>
    </w:p>
    <w:p w14:paraId="55CF60FF" w14:textId="77777777" w:rsidR="005F7A7B" w:rsidRPr="002A203D" w:rsidRDefault="005F7A7B" w:rsidP="00781044">
      <w:pPr>
        <w:spacing w:line="480" w:lineRule="auto"/>
        <w:rPr>
          <w:rFonts w:ascii="Arial" w:hAnsi="Arial" w:cs="Arial"/>
          <w:b/>
          <w:bCs/>
          <w:sz w:val="24"/>
          <w:szCs w:val="24"/>
          <w:u w:val="single"/>
        </w:rPr>
      </w:pPr>
      <w:r w:rsidRPr="002A203D">
        <w:rPr>
          <w:rFonts w:ascii="Arial" w:hAnsi="Arial" w:cs="Arial"/>
          <w:b/>
          <w:bCs/>
          <w:sz w:val="24"/>
          <w:szCs w:val="24"/>
          <w:u w:val="single"/>
        </w:rPr>
        <w:t>Conclusion</w:t>
      </w:r>
    </w:p>
    <w:p w14:paraId="0FC9078F" w14:textId="3431D3FA"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When carrying out my research I encountered a feeling of injustice felt by victims and the fact that </w:t>
      </w:r>
      <w:r w:rsidR="00B129F0" w:rsidRPr="002A203D">
        <w:rPr>
          <w:rFonts w:ascii="Arial" w:hAnsi="Arial" w:cs="Arial"/>
          <w:sz w:val="24"/>
          <w:szCs w:val="24"/>
        </w:rPr>
        <w:t>several</w:t>
      </w:r>
      <w:r w:rsidRPr="002A203D">
        <w:rPr>
          <w:rFonts w:ascii="Arial" w:hAnsi="Arial" w:cs="Arial"/>
          <w:sz w:val="24"/>
          <w:szCs w:val="24"/>
        </w:rPr>
        <w:t xml:space="preserve"> petitions have been put forward to government to change the current legislation </w:t>
      </w:r>
      <w:r w:rsidR="00B129F0" w:rsidRPr="002A203D">
        <w:rPr>
          <w:rFonts w:ascii="Arial" w:hAnsi="Arial" w:cs="Arial"/>
          <w:sz w:val="24"/>
          <w:szCs w:val="24"/>
        </w:rPr>
        <w:t>to</w:t>
      </w:r>
      <w:r w:rsidRPr="002A203D">
        <w:rPr>
          <w:rFonts w:ascii="Arial" w:hAnsi="Arial" w:cs="Arial"/>
          <w:sz w:val="24"/>
          <w:szCs w:val="24"/>
        </w:rPr>
        <w:t xml:space="preserve"> match the sanction to the crime. I have now gained greater insight into the sanctions for causing death by drink driving and, </w:t>
      </w:r>
      <w:r w:rsidR="00331C47" w:rsidRPr="00331C47">
        <w:rPr>
          <w:rFonts w:ascii="Arial" w:hAnsi="Arial" w:cs="Arial"/>
          <w:sz w:val="24"/>
          <w:szCs w:val="24"/>
        </w:rPr>
        <w:t>although</w:t>
      </w:r>
      <w:r w:rsidRPr="002A203D">
        <w:rPr>
          <w:rFonts w:ascii="Arial" w:hAnsi="Arial" w:cs="Arial"/>
          <w:sz w:val="24"/>
          <w:szCs w:val="24"/>
        </w:rPr>
        <w:t xml:space="preserve"> initially I felt frustration and anger in regards to this, having researched further I now feel comforted that the law is changing to reflect the seriousness of this crime.  I will use the information I have gained to educate others, especially within the community to reassure them that future offences from 2022 will receive higher sanctions (Home Office, 2021). </w:t>
      </w:r>
      <w:r w:rsidRPr="002A203D">
        <w:rPr>
          <w:rFonts w:ascii="Arial" w:hAnsi="Arial" w:cs="Arial"/>
          <w:color w:val="FF0000"/>
          <w:sz w:val="24"/>
          <w:szCs w:val="24"/>
        </w:rPr>
        <w:t xml:space="preserve"> </w:t>
      </w:r>
    </w:p>
    <w:p w14:paraId="2E33A229" w14:textId="77777777" w:rsidR="005F7A7B" w:rsidRPr="002A203D" w:rsidRDefault="005F7A7B" w:rsidP="00781044">
      <w:pPr>
        <w:spacing w:line="480" w:lineRule="auto"/>
        <w:rPr>
          <w:rFonts w:ascii="Arial" w:hAnsi="Arial" w:cs="Arial"/>
          <w:sz w:val="24"/>
          <w:szCs w:val="24"/>
        </w:rPr>
      </w:pPr>
    </w:p>
    <w:p w14:paraId="0DE0D4FE" w14:textId="77777777" w:rsidR="005F7A7B" w:rsidRPr="002A203D" w:rsidRDefault="005F7A7B" w:rsidP="00781044">
      <w:pPr>
        <w:spacing w:line="480" w:lineRule="auto"/>
        <w:rPr>
          <w:rFonts w:ascii="Arial" w:hAnsi="Arial" w:cs="Arial"/>
          <w:b/>
          <w:bCs/>
          <w:sz w:val="24"/>
          <w:szCs w:val="24"/>
          <w:u w:val="single"/>
        </w:rPr>
      </w:pPr>
      <w:r w:rsidRPr="002A203D">
        <w:rPr>
          <w:rFonts w:ascii="Arial" w:hAnsi="Arial" w:cs="Arial"/>
          <w:b/>
          <w:bCs/>
          <w:sz w:val="24"/>
          <w:szCs w:val="24"/>
          <w:u w:val="single"/>
        </w:rPr>
        <w:t>Action Plan</w:t>
      </w:r>
    </w:p>
    <w:p w14:paraId="0557BC70" w14:textId="5005B8F6" w:rsidR="005F7A7B" w:rsidRPr="002A203D" w:rsidRDefault="00B129F0" w:rsidP="00781044">
      <w:pPr>
        <w:spacing w:line="480" w:lineRule="auto"/>
        <w:rPr>
          <w:rFonts w:ascii="Arial" w:hAnsi="Arial" w:cs="Arial"/>
          <w:sz w:val="24"/>
          <w:szCs w:val="24"/>
        </w:rPr>
      </w:pPr>
      <w:r w:rsidRPr="002A203D">
        <w:rPr>
          <w:rFonts w:ascii="Arial" w:hAnsi="Arial" w:cs="Arial"/>
          <w:sz w:val="24"/>
          <w:szCs w:val="24"/>
        </w:rPr>
        <w:t>To</w:t>
      </w:r>
      <w:r w:rsidR="005F7A7B" w:rsidRPr="002A203D">
        <w:rPr>
          <w:rFonts w:ascii="Arial" w:hAnsi="Arial" w:cs="Arial"/>
          <w:sz w:val="24"/>
          <w:szCs w:val="24"/>
        </w:rPr>
        <w:t xml:space="preserve"> improve any further </w:t>
      </w:r>
      <w:r w:rsidR="00331C47" w:rsidRPr="00331C47">
        <w:rPr>
          <w:rFonts w:ascii="Arial" w:hAnsi="Arial" w:cs="Arial"/>
          <w:sz w:val="24"/>
          <w:szCs w:val="24"/>
        </w:rPr>
        <w:t>research,</w:t>
      </w:r>
      <w:r w:rsidR="005F7A7B" w:rsidRPr="002A203D">
        <w:rPr>
          <w:rFonts w:ascii="Arial" w:hAnsi="Arial" w:cs="Arial"/>
          <w:sz w:val="24"/>
          <w:szCs w:val="24"/>
        </w:rPr>
        <w:t xml:space="preserve"> I would be more organi</w:t>
      </w:r>
      <w:r>
        <w:rPr>
          <w:rFonts w:ascii="Arial" w:hAnsi="Arial" w:cs="Arial"/>
          <w:sz w:val="24"/>
          <w:szCs w:val="24"/>
        </w:rPr>
        <w:t>s</w:t>
      </w:r>
      <w:r w:rsidR="005F7A7B" w:rsidRPr="002A203D">
        <w:rPr>
          <w:rFonts w:ascii="Arial" w:hAnsi="Arial" w:cs="Arial"/>
          <w:sz w:val="24"/>
          <w:szCs w:val="24"/>
        </w:rPr>
        <w:t>ed in order to source either a victim o</w:t>
      </w:r>
      <w:r>
        <w:rPr>
          <w:rFonts w:ascii="Arial" w:hAnsi="Arial" w:cs="Arial"/>
          <w:sz w:val="24"/>
          <w:szCs w:val="24"/>
        </w:rPr>
        <w:t>r</w:t>
      </w:r>
      <w:r w:rsidR="005F7A7B" w:rsidRPr="002A203D">
        <w:rPr>
          <w:rFonts w:ascii="Arial" w:hAnsi="Arial" w:cs="Arial"/>
          <w:sz w:val="24"/>
          <w:szCs w:val="24"/>
        </w:rPr>
        <w:t xml:space="preserve"> offender to conduct a semi structured interview which will provide a more in-depth understanding into the emotional impact. I think it is crucial to understand both points of view to avoid forming stereotypical views which are harmful and hinder the dissemination of information conducted from research.</w:t>
      </w:r>
    </w:p>
    <w:p w14:paraId="6EA65295" w14:textId="77777777" w:rsidR="005F7A7B" w:rsidRPr="002A203D" w:rsidRDefault="005F7A7B" w:rsidP="00781044">
      <w:pPr>
        <w:spacing w:line="480" w:lineRule="auto"/>
        <w:rPr>
          <w:rFonts w:ascii="Arial" w:hAnsi="Arial" w:cs="Arial"/>
          <w:sz w:val="24"/>
          <w:szCs w:val="24"/>
          <w:lang w:val="en-US"/>
        </w:rPr>
      </w:pPr>
    </w:p>
    <w:p w14:paraId="095C7AAE" w14:textId="2C41AD69" w:rsidR="005F7A7B" w:rsidRPr="002A203D" w:rsidRDefault="005F7A7B" w:rsidP="00781044">
      <w:pPr>
        <w:spacing w:line="480" w:lineRule="auto"/>
        <w:rPr>
          <w:rFonts w:ascii="Arial" w:hAnsi="Arial" w:cs="Arial"/>
          <w:b/>
          <w:bCs/>
          <w:sz w:val="24"/>
          <w:szCs w:val="24"/>
          <w:u w:val="single"/>
        </w:rPr>
      </w:pPr>
      <w:r w:rsidRPr="002A203D">
        <w:rPr>
          <w:rFonts w:ascii="Arial" w:hAnsi="Arial" w:cs="Arial"/>
          <w:b/>
          <w:bCs/>
          <w:sz w:val="24"/>
          <w:szCs w:val="24"/>
          <w:u w:val="single"/>
        </w:rPr>
        <w:lastRenderedPageBreak/>
        <w:t>References</w:t>
      </w:r>
    </w:p>
    <w:p w14:paraId="3BDB1D1C" w14:textId="77777777"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Armstrong K, Freeman J, Davey J, Kelly R (2019) Drink driving engagement in women: An exploration of context, hazardous alcohol use, and behaviour. Available at: </w:t>
      </w:r>
      <w:hyperlink r:id="rId8" w:history="1">
        <w:r w:rsidRPr="002A203D">
          <w:rPr>
            <w:rStyle w:val="Hyperlink"/>
            <w:rFonts w:ascii="Arial" w:hAnsi="Arial" w:cs="Arial"/>
            <w:sz w:val="24"/>
            <w:szCs w:val="24"/>
          </w:rPr>
          <w:t>https://journals.plos.org/plosone/article?id=10.1371/journal.pone.0222195</w:t>
        </w:r>
      </w:hyperlink>
      <w:r w:rsidRPr="002A203D">
        <w:rPr>
          <w:rFonts w:ascii="Arial" w:hAnsi="Arial" w:cs="Arial"/>
          <w:sz w:val="24"/>
          <w:szCs w:val="24"/>
        </w:rPr>
        <w:t xml:space="preserve"> Accessed on: 22 November 2021 </w:t>
      </w:r>
    </w:p>
    <w:p w14:paraId="5FF881FA" w14:textId="450EBD09"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Beuret K, Corbett C, Ward H (2014) Drinking amongst women and </w:t>
      </w:r>
      <w:r w:rsidR="00331C47" w:rsidRPr="00331C47">
        <w:rPr>
          <w:rFonts w:ascii="Arial" w:hAnsi="Arial" w:cs="Arial"/>
          <w:sz w:val="24"/>
          <w:szCs w:val="24"/>
        </w:rPr>
        <w:t>its</w:t>
      </w:r>
      <w:r w:rsidRPr="002A203D">
        <w:rPr>
          <w:rFonts w:ascii="Arial" w:hAnsi="Arial" w:cs="Arial"/>
          <w:sz w:val="24"/>
          <w:szCs w:val="24"/>
        </w:rPr>
        <w:t xml:space="preserve"> impact on their pedestrians and driving activities. Available at: </w:t>
      </w:r>
      <w:r w:rsidRPr="002A203D">
        <w:rPr>
          <w:rFonts w:ascii="Arial" w:hAnsi="Arial" w:cs="Arial"/>
          <w:sz w:val="24"/>
          <w:szCs w:val="24"/>
        </w:rPr>
        <w:fldChar w:fldCharType="begin"/>
      </w:r>
      <w:r w:rsidRPr="002A203D">
        <w:rPr>
          <w:rFonts w:ascii="Arial" w:hAnsi="Arial" w:cs="Arial"/>
          <w:sz w:val="24"/>
          <w:szCs w:val="24"/>
        </w:rPr>
        <w:instrText>https://www.ias.org.uk/uploads/pdf/Drink%20driving%20docs/Women%20and%20Drinking%20Stage%202%20Report%20SRA%202014.pdf</w:instrText>
      </w:r>
      <w:r w:rsidRPr="002A203D">
        <w:rPr>
          <w:rFonts w:ascii="Arial" w:hAnsi="Arial" w:cs="Arial"/>
          <w:sz w:val="24"/>
          <w:szCs w:val="24"/>
        </w:rPr>
        <w:fldChar w:fldCharType="separate"/>
      </w:r>
      <w:r w:rsidRPr="002A203D">
        <w:rPr>
          <w:rStyle w:val="Hyperlink"/>
          <w:rFonts w:ascii="Arial" w:hAnsi="Arial" w:cs="Arial"/>
          <w:sz w:val="24"/>
          <w:szCs w:val="24"/>
        </w:rPr>
        <w:t>https://www.ias.org.uk/uploads/pdf/Drink%20driving%20docs/Women%20and%20Drinking%20Stage%202%20Report%20SRA%202014.pdf</w:t>
      </w:r>
      <w:r w:rsidRPr="002A203D">
        <w:rPr>
          <w:rFonts w:ascii="Arial" w:hAnsi="Arial" w:cs="Arial"/>
          <w:sz w:val="24"/>
          <w:szCs w:val="24"/>
        </w:rPr>
        <w:fldChar w:fldCharType="end"/>
      </w:r>
      <w:r w:rsidRPr="002A203D">
        <w:rPr>
          <w:rFonts w:ascii="Arial" w:hAnsi="Arial" w:cs="Arial"/>
          <w:sz w:val="24"/>
          <w:szCs w:val="24"/>
        </w:rPr>
        <w:t xml:space="preserve"> Accessed on: 15 December 2021 </w:t>
      </w:r>
    </w:p>
    <w:p w14:paraId="5B9F469C" w14:textId="77777777"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Crown prosecution Service (2017) Sentencing- Mandatory life sentences in murder cases. Available at: </w:t>
      </w:r>
      <w:hyperlink r:id="rId9" w:history="1">
        <w:r w:rsidRPr="002A203D">
          <w:rPr>
            <w:rStyle w:val="Hyperlink"/>
            <w:rFonts w:ascii="Arial" w:hAnsi="Arial" w:cs="Arial"/>
            <w:sz w:val="24"/>
            <w:szCs w:val="24"/>
          </w:rPr>
          <w:t>https://www.cps.gov.uk/legal-guidance/sentencing-mandatory-life-sentences-murder-cases</w:t>
        </w:r>
      </w:hyperlink>
      <w:r w:rsidRPr="002A203D">
        <w:rPr>
          <w:rFonts w:ascii="Arial" w:hAnsi="Arial" w:cs="Arial"/>
          <w:sz w:val="24"/>
          <w:szCs w:val="24"/>
        </w:rPr>
        <w:t xml:space="preserve"> Accessed on: 15 December 2021</w:t>
      </w:r>
    </w:p>
    <w:p w14:paraId="0864B301" w14:textId="4974EB00"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Department of Transport (2020) </w:t>
      </w:r>
      <w:r w:rsidR="00B129F0" w:rsidRPr="002A203D">
        <w:rPr>
          <w:rFonts w:ascii="Arial" w:hAnsi="Arial" w:cs="Arial"/>
          <w:sz w:val="24"/>
          <w:szCs w:val="24"/>
        </w:rPr>
        <w:t>Reported Road</w:t>
      </w:r>
      <w:r w:rsidRPr="002A203D">
        <w:rPr>
          <w:rFonts w:ascii="Arial" w:hAnsi="Arial" w:cs="Arial"/>
          <w:sz w:val="24"/>
          <w:szCs w:val="24"/>
        </w:rPr>
        <w:t xml:space="preserve"> casualties in Great Britain: final estimates involving alcohol </w:t>
      </w:r>
      <w:r w:rsidR="00F02612" w:rsidRPr="00F02612">
        <w:rPr>
          <w:rFonts w:ascii="Arial" w:hAnsi="Arial" w:cs="Arial"/>
          <w:sz w:val="24"/>
          <w:szCs w:val="24"/>
        </w:rPr>
        <w:t>levels</w:t>
      </w:r>
      <w:r w:rsidRPr="002A203D">
        <w:rPr>
          <w:rFonts w:ascii="Arial" w:hAnsi="Arial" w:cs="Arial"/>
          <w:sz w:val="24"/>
          <w:szCs w:val="24"/>
        </w:rPr>
        <w:t xml:space="preserve"> 2018. Available at: </w:t>
      </w:r>
      <w:hyperlink r:id="rId10" w:history="1">
        <w:r w:rsidRPr="002A203D">
          <w:rPr>
            <w:rStyle w:val="Hyperlink"/>
            <w:rFonts w:ascii="Arial" w:hAnsi="Arial" w:cs="Arial"/>
            <w:sz w:val="24"/>
            <w:szCs w:val="24"/>
          </w:rPr>
          <w:t>https://assets.publishing.service.gov.uk/government/uploads/system/uploads/attachment_data/file/912948/drink-drive-final-estimates-2018.pdf</w:t>
        </w:r>
      </w:hyperlink>
      <w:r w:rsidRPr="002A203D">
        <w:rPr>
          <w:rFonts w:ascii="Arial" w:hAnsi="Arial" w:cs="Arial"/>
          <w:sz w:val="24"/>
          <w:szCs w:val="24"/>
        </w:rPr>
        <w:t xml:space="preserve"> Accessed on: 22 November 2021 </w:t>
      </w:r>
    </w:p>
    <w:p w14:paraId="1A33E929" w14:textId="77777777"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Dyfed Powys Police (2021) Drink driver jailed for causing death of baby in collision. Available at : </w:t>
      </w:r>
      <w:hyperlink r:id="rId11" w:history="1">
        <w:r w:rsidRPr="002A203D">
          <w:rPr>
            <w:rStyle w:val="Hyperlink"/>
            <w:rFonts w:ascii="Arial" w:hAnsi="Arial" w:cs="Arial"/>
            <w:sz w:val="24"/>
            <w:szCs w:val="24"/>
          </w:rPr>
          <w:t>https://www.dyfed-powys.police.uk/news/dyfed-powys/news/2021/november-2021/drink-driver-jailed-for-causing-death-of-baby-in-collision/</w:t>
        </w:r>
      </w:hyperlink>
      <w:r w:rsidRPr="002A203D">
        <w:rPr>
          <w:rFonts w:ascii="Arial" w:hAnsi="Arial" w:cs="Arial"/>
          <w:sz w:val="24"/>
          <w:szCs w:val="24"/>
        </w:rPr>
        <w:t xml:space="preserve"> Accessed on: 22 November 2021 </w:t>
      </w:r>
    </w:p>
    <w:p w14:paraId="54847B6C" w14:textId="77777777"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Easteal P, Barel L, Nelson N, Holland K (2015) How are women who kill portrayed in the media? Connection with social values and the legal system. Available at: </w:t>
      </w:r>
      <w:hyperlink r:id="rId12" w:history="1">
        <w:r w:rsidRPr="002A203D">
          <w:rPr>
            <w:rStyle w:val="Hyperlink"/>
            <w:rFonts w:ascii="Arial" w:hAnsi="Arial" w:cs="Arial"/>
            <w:sz w:val="24"/>
            <w:szCs w:val="24"/>
          </w:rPr>
          <w:t>https://www.researchgate.net/publication/277077900_How_are_women_who_kill_portrayed_in_newspaper_media_Connections_with_social_values_and_the_legal_system</w:t>
        </w:r>
      </w:hyperlink>
      <w:r w:rsidRPr="002A203D">
        <w:rPr>
          <w:rFonts w:ascii="Arial" w:hAnsi="Arial" w:cs="Arial"/>
          <w:sz w:val="24"/>
          <w:szCs w:val="24"/>
        </w:rPr>
        <w:t xml:space="preserve"> Accessed on: 22 November 2021</w:t>
      </w:r>
    </w:p>
    <w:p w14:paraId="797FBA8B" w14:textId="77777777"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lastRenderedPageBreak/>
        <w:t xml:space="preserve">Fox N (2009) Using interviews in a research project. Available at: </w:t>
      </w:r>
      <w:hyperlink r:id="rId13" w:history="1">
        <w:r w:rsidRPr="002A203D">
          <w:rPr>
            <w:rStyle w:val="Hyperlink"/>
            <w:rFonts w:ascii="Arial" w:hAnsi="Arial" w:cs="Arial"/>
            <w:sz w:val="24"/>
            <w:szCs w:val="24"/>
          </w:rPr>
          <w:t>https://www.rds-yh.nihr.ac.uk/wp-content/uploads/2013/05/15_Using-Interviews-2009.pdf</w:t>
        </w:r>
      </w:hyperlink>
      <w:r w:rsidRPr="002A203D">
        <w:rPr>
          <w:rFonts w:ascii="Arial" w:hAnsi="Arial" w:cs="Arial"/>
          <w:sz w:val="24"/>
          <w:szCs w:val="24"/>
        </w:rPr>
        <w:t xml:space="preserve"> Accessed on: 26 November 2021</w:t>
      </w:r>
    </w:p>
    <w:p w14:paraId="34245E4F" w14:textId="77777777"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Gibbs G (1988) Learning by doing. Available at: </w:t>
      </w:r>
      <w:hyperlink r:id="rId14" w:history="1">
        <w:r w:rsidRPr="002A203D">
          <w:rPr>
            <w:rStyle w:val="Hyperlink"/>
            <w:rFonts w:ascii="Arial" w:hAnsi="Arial" w:cs="Arial"/>
            <w:sz w:val="24"/>
            <w:szCs w:val="24"/>
          </w:rPr>
          <w:t>https://thoughtsmostlyaboutlearning.files.wordpress.com/2015/12/learning-by-doing-graham-gibbs.pdf</w:t>
        </w:r>
      </w:hyperlink>
      <w:r w:rsidRPr="002A203D">
        <w:rPr>
          <w:rFonts w:ascii="Arial" w:hAnsi="Arial" w:cs="Arial"/>
          <w:sz w:val="24"/>
          <w:szCs w:val="24"/>
        </w:rPr>
        <w:t xml:space="preserve"> accessed on: 20 November 2021</w:t>
      </w:r>
    </w:p>
    <w:p w14:paraId="7242C142" w14:textId="77777777"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Government (2021) Police, Crime, Sentencing and Court Bills 2021: Road traffic offences factsheet. Available at: </w:t>
      </w:r>
      <w:hyperlink r:id="rId15" w:history="1">
        <w:r w:rsidRPr="002A203D">
          <w:rPr>
            <w:rStyle w:val="Hyperlink"/>
            <w:rFonts w:ascii="Arial" w:hAnsi="Arial" w:cs="Arial"/>
            <w:sz w:val="24"/>
            <w:szCs w:val="24"/>
          </w:rPr>
          <w:t>https://www.gov.uk/government/publications/police-crime-sentencing-and-courts-bill-2021-factsheets/police-crime-sentencing-and-courts-bill-2021-road-traffic-offences-factsheet</w:t>
        </w:r>
      </w:hyperlink>
      <w:r w:rsidRPr="002A203D">
        <w:rPr>
          <w:rFonts w:ascii="Arial" w:hAnsi="Arial" w:cs="Arial"/>
          <w:sz w:val="24"/>
          <w:szCs w:val="24"/>
        </w:rPr>
        <w:t xml:space="preserve"> Accessed on: 20 November 2021</w:t>
      </w:r>
    </w:p>
    <w:p w14:paraId="05FCE289" w14:textId="279F1314"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Government (2021) </w:t>
      </w:r>
      <w:r w:rsidR="00F02612" w:rsidRPr="00F02612">
        <w:rPr>
          <w:rFonts w:ascii="Arial" w:hAnsi="Arial" w:cs="Arial"/>
          <w:sz w:val="24"/>
          <w:szCs w:val="24"/>
        </w:rPr>
        <w:t>Lifesaving</w:t>
      </w:r>
      <w:r w:rsidRPr="002A203D">
        <w:rPr>
          <w:rFonts w:ascii="Arial" w:hAnsi="Arial" w:cs="Arial"/>
          <w:sz w:val="24"/>
          <w:szCs w:val="24"/>
        </w:rPr>
        <w:t xml:space="preserve"> drink drive law turns 50. Available at: </w:t>
      </w:r>
      <w:hyperlink r:id="rId16" w:history="1">
        <w:r w:rsidRPr="002A203D">
          <w:rPr>
            <w:rStyle w:val="Hyperlink"/>
            <w:rFonts w:ascii="Arial" w:hAnsi="Arial" w:cs="Arial"/>
            <w:sz w:val="24"/>
            <w:szCs w:val="24"/>
          </w:rPr>
          <w:t>https://www.gov.uk/government/news/life-saving-drink-drive-law-turns-50</w:t>
        </w:r>
      </w:hyperlink>
      <w:r w:rsidRPr="002A203D">
        <w:rPr>
          <w:rFonts w:ascii="Arial" w:hAnsi="Arial" w:cs="Arial"/>
          <w:sz w:val="24"/>
          <w:szCs w:val="24"/>
        </w:rPr>
        <w:t xml:space="preserve"> Accessed on: 22 November 2021</w:t>
      </w:r>
    </w:p>
    <w:p w14:paraId="518B686D" w14:textId="77777777"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National Institute for Justice (2016) Five things about deterrence. Available at: </w:t>
      </w:r>
      <w:hyperlink r:id="rId17" w:anchor=":~:text=Increasing%20the%20severity%20of%20punishment%20does%20little%20to%20deter%20crime.&amp;text=More%20severe%20punishments%20do%20not,and%20prisons%20may%20exacerbate%20recidivism" w:history="1">
        <w:r w:rsidRPr="002A203D">
          <w:rPr>
            <w:rStyle w:val="Hyperlink"/>
            <w:rFonts w:ascii="Arial" w:hAnsi="Arial" w:cs="Arial"/>
            <w:sz w:val="24"/>
            <w:szCs w:val="24"/>
          </w:rPr>
          <w:t>https://nij.ojp.gov/topics/articles/five-things-about-deterrence#:~:text=Increasing%20the%20severity%20of%20punishment%20does%20little%20to%20deter%20crime.&amp;text=More%20severe%20punishments%20do%20not,and%20prisons%20may%20exacerbate%20recidivism</w:t>
        </w:r>
      </w:hyperlink>
      <w:r w:rsidRPr="002A203D">
        <w:rPr>
          <w:rFonts w:ascii="Arial" w:hAnsi="Arial" w:cs="Arial"/>
          <w:sz w:val="24"/>
          <w:szCs w:val="24"/>
        </w:rPr>
        <w:t xml:space="preserve"> Accessed on: 10 December 2021</w:t>
      </w:r>
    </w:p>
    <w:p w14:paraId="6C320273" w14:textId="77777777"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t xml:space="preserve">Paul A (2013) How the power of interest drives learning. Available at: </w:t>
      </w:r>
      <w:hyperlink r:id="rId18" w:history="1">
        <w:r w:rsidRPr="002A203D">
          <w:rPr>
            <w:rStyle w:val="Hyperlink"/>
            <w:rFonts w:ascii="Arial" w:hAnsi="Arial" w:cs="Arial"/>
            <w:sz w:val="24"/>
            <w:szCs w:val="24"/>
          </w:rPr>
          <w:t>https://www.kqed.org/mindshift/32503/how-the-power-of-interest-drives-learning</w:t>
        </w:r>
      </w:hyperlink>
      <w:r w:rsidRPr="002A203D">
        <w:rPr>
          <w:rFonts w:ascii="Arial" w:hAnsi="Arial" w:cs="Arial"/>
          <w:sz w:val="24"/>
          <w:szCs w:val="24"/>
        </w:rPr>
        <w:t xml:space="preserve"> Accessed on: 26 November 2021 </w:t>
      </w:r>
    </w:p>
    <w:p w14:paraId="5594E259" w14:textId="77777777" w:rsidR="005F7A7B" w:rsidRPr="002A203D" w:rsidRDefault="005F7A7B" w:rsidP="00781044">
      <w:pPr>
        <w:spacing w:line="480" w:lineRule="auto"/>
        <w:rPr>
          <w:rFonts w:ascii="Arial" w:hAnsi="Arial" w:cs="Arial"/>
          <w:sz w:val="24"/>
          <w:szCs w:val="24"/>
        </w:rPr>
      </w:pPr>
      <w:r w:rsidRPr="002A203D">
        <w:rPr>
          <w:rFonts w:ascii="Arial" w:hAnsi="Arial" w:cs="Arial"/>
          <w:sz w:val="24"/>
          <w:szCs w:val="24"/>
        </w:rPr>
        <w:lastRenderedPageBreak/>
        <w:t xml:space="preserve">Sentencing Council (2008) Causing death by dangerous driving. Available at: </w:t>
      </w:r>
      <w:hyperlink r:id="rId19" w:history="1">
        <w:r w:rsidRPr="002A203D">
          <w:rPr>
            <w:rStyle w:val="Hyperlink"/>
            <w:rFonts w:ascii="Arial" w:hAnsi="Arial" w:cs="Arial"/>
            <w:sz w:val="24"/>
            <w:szCs w:val="24"/>
          </w:rPr>
          <w:t>https://www.sentencingcouncil.org.uk/offences/crown-court/item/causing-death-by-dangerous-driving/</w:t>
        </w:r>
      </w:hyperlink>
      <w:r w:rsidRPr="002A203D">
        <w:rPr>
          <w:rFonts w:ascii="Arial" w:hAnsi="Arial" w:cs="Arial"/>
          <w:sz w:val="24"/>
          <w:szCs w:val="24"/>
        </w:rPr>
        <w:t xml:space="preserve"> Accessed on: 20 November 2021</w:t>
      </w:r>
    </w:p>
    <w:p w14:paraId="4BBC51D0" w14:textId="77777777" w:rsidR="005F7A7B" w:rsidRPr="002A203D" w:rsidRDefault="005F7A7B" w:rsidP="005F7A7B"/>
    <w:p w14:paraId="129B7E78" w14:textId="77777777" w:rsidR="005F7A7B" w:rsidRPr="002A203D" w:rsidRDefault="005F7A7B" w:rsidP="005F7A7B"/>
    <w:p w14:paraId="36D31C35" w14:textId="55BAFC67" w:rsidR="00F7056C" w:rsidRDefault="00F7056C"/>
    <w:p w14:paraId="0171E37F" w14:textId="09313E15" w:rsidR="009A1F09" w:rsidRDefault="009A1F09"/>
    <w:p w14:paraId="41274EEC" w14:textId="1C0B87EB" w:rsidR="009A1F09" w:rsidRDefault="009A1F09"/>
    <w:p w14:paraId="016A0BCE" w14:textId="5C53919C" w:rsidR="009A1F09" w:rsidRDefault="009A1F09"/>
    <w:p w14:paraId="0D05FB39" w14:textId="398367B7" w:rsidR="009A1F09" w:rsidRDefault="009A1F09"/>
    <w:p w14:paraId="012E9F31" w14:textId="749DC7C1" w:rsidR="009A1F09" w:rsidRDefault="009A1F09"/>
    <w:p w14:paraId="640536B7" w14:textId="3710FCBF" w:rsidR="009A1F09" w:rsidRDefault="009A1F09"/>
    <w:p w14:paraId="21BD054E" w14:textId="6B81339C" w:rsidR="009A1F09" w:rsidRDefault="009A1F09"/>
    <w:p w14:paraId="56A5E34D" w14:textId="350DF616" w:rsidR="009A1F09" w:rsidRDefault="009A1F09"/>
    <w:p w14:paraId="73A68028" w14:textId="558F7A63" w:rsidR="009A1F09" w:rsidRDefault="009A1F09"/>
    <w:p w14:paraId="7C570B8B" w14:textId="3262BCB2" w:rsidR="009A1F09" w:rsidRDefault="009A1F09"/>
    <w:p w14:paraId="10EDD368" w14:textId="0ED3EEFD" w:rsidR="009A1F09" w:rsidRDefault="009A1F09"/>
    <w:p w14:paraId="738407D8" w14:textId="2B2DE28E" w:rsidR="009A1F09" w:rsidRDefault="009A1F09"/>
    <w:p w14:paraId="1A592972" w14:textId="6997B54E" w:rsidR="009A1F09" w:rsidRDefault="009A1F09"/>
    <w:p w14:paraId="7C1368B2" w14:textId="0FA45C12" w:rsidR="009A1F09" w:rsidRDefault="009A1F09"/>
    <w:p w14:paraId="2F6CC521" w14:textId="7AD34B5E" w:rsidR="009A1F09" w:rsidRDefault="009A1F09"/>
    <w:p w14:paraId="16FF40D3" w14:textId="596692E0" w:rsidR="009A1F09" w:rsidRDefault="009A1F09"/>
    <w:p w14:paraId="4F1D8C5E" w14:textId="3B9EC8B1" w:rsidR="009A1F09" w:rsidRDefault="009A1F09"/>
    <w:p w14:paraId="55860045" w14:textId="10C54C55" w:rsidR="009A1F09" w:rsidRDefault="009A1F09"/>
    <w:p w14:paraId="7C0E169E" w14:textId="43869F03" w:rsidR="009A1F09" w:rsidRDefault="009A1F09"/>
    <w:p w14:paraId="1E8F1A6C" w14:textId="72F55D06" w:rsidR="009A1F09" w:rsidRDefault="009A1F09"/>
    <w:p w14:paraId="49FEAD6F" w14:textId="4A5057B6" w:rsidR="009A1F09" w:rsidRDefault="009A1F09"/>
    <w:p w14:paraId="0741B989" w14:textId="7F777D21" w:rsidR="009A1F09" w:rsidRDefault="009A1F09"/>
    <w:p w14:paraId="26085C51" w14:textId="29CA56AF" w:rsidR="009A1F09" w:rsidRDefault="009A1F09"/>
    <w:p w14:paraId="526C4772" w14:textId="1EFDD262" w:rsidR="009A1F09" w:rsidRDefault="009A1F09"/>
    <w:p w14:paraId="0A7CB7A5" w14:textId="6D9DF7B3" w:rsidR="009A1F09" w:rsidRDefault="009A1F09"/>
    <w:p w14:paraId="4BC3C89A" w14:textId="77777777" w:rsidR="00DB7C4D" w:rsidRPr="00DB7C4D" w:rsidRDefault="00DB7C4D" w:rsidP="00DB7C4D">
      <w:pPr>
        <w:spacing w:line="480" w:lineRule="auto"/>
        <w:rPr>
          <w:rFonts w:ascii="Arial" w:hAnsi="Arial" w:cs="Arial"/>
          <w:b/>
          <w:bCs/>
          <w:i/>
          <w:iCs/>
          <w:sz w:val="24"/>
          <w:szCs w:val="24"/>
          <w:u w:val="single"/>
        </w:rPr>
      </w:pPr>
      <w:r w:rsidRPr="00DB7C4D">
        <w:rPr>
          <w:rFonts w:ascii="Arial" w:hAnsi="Arial" w:cs="Arial"/>
          <w:b/>
          <w:bCs/>
          <w:i/>
          <w:iCs/>
          <w:sz w:val="24"/>
          <w:szCs w:val="24"/>
          <w:u w:val="single"/>
        </w:rPr>
        <w:t xml:space="preserve">Book Review </w:t>
      </w:r>
    </w:p>
    <w:p w14:paraId="30F38860" w14:textId="0F4AF4ED" w:rsidR="00DB7C4D" w:rsidRPr="002C6A92" w:rsidRDefault="00DB7C4D" w:rsidP="00DB7C4D">
      <w:pPr>
        <w:spacing w:line="480" w:lineRule="auto"/>
        <w:rPr>
          <w:rFonts w:ascii="Arial" w:hAnsi="Arial" w:cs="Arial"/>
          <w:b/>
          <w:bCs/>
          <w:sz w:val="24"/>
          <w:szCs w:val="24"/>
        </w:rPr>
      </w:pPr>
      <w:r w:rsidRPr="002C6A92">
        <w:rPr>
          <w:rFonts w:ascii="Arial" w:hAnsi="Arial" w:cs="Arial"/>
          <w:b/>
          <w:bCs/>
          <w:sz w:val="24"/>
          <w:szCs w:val="24"/>
        </w:rPr>
        <w:t>Prisons, terrorism and extremism</w:t>
      </w:r>
      <w:r w:rsidR="009B6D3D">
        <w:rPr>
          <w:rFonts w:ascii="Arial" w:hAnsi="Arial" w:cs="Arial"/>
          <w:b/>
          <w:bCs/>
          <w:sz w:val="24"/>
          <w:szCs w:val="24"/>
        </w:rPr>
        <w:t xml:space="preserve"> (2014)</w:t>
      </w:r>
      <w:r w:rsidRPr="002C6A92">
        <w:rPr>
          <w:rFonts w:ascii="Arial" w:hAnsi="Arial" w:cs="Arial"/>
          <w:b/>
          <w:bCs/>
          <w:sz w:val="24"/>
          <w:szCs w:val="24"/>
        </w:rPr>
        <w:t xml:space="preserve"> by Andrew Silke, Routledge,</w:t>
      </w:r>
      <w:r w:rsidR="004D7BE2">
        <w:rPr>
          <w:rFonts w:ascii="Arial" w:hAnsi="Arial" w:cs="Arial"/>
          <w:b/>
          <w:bCs/>
          <w:sz w:val="24"/>
          <w:szCs w:val="24"/>
        </w:rPr>
        <w:t xml:space="preserve"> Oxon</w:t>
      </w:r>
      <w:r w:rsidR="009B6D3D">
        <w:rPr>
          <w:rFonts w:ascii="Arial" w:hAnsi="Arial" w:cs="Arial"/>
          <w:b/>
          <w:bCs/>
          <w:sz w:val="24"/>
          <w:szCs w:val="24"/>
        </w:rPr>
        <w:t>.</w:t>
      </w:r>
    </w:p>
    <w:p w14:paraId="09C3973B" w14:textId="77777777" w:rsidR="00DB7C4D" w:rsidRPr="002C6A92" w:rsidRDefault="00DB7C4D" w:rsidP="00DB7C4D">
      <w:pPr>
        <w:spacing w:line="480" w:lineRule="auto"/>
        <w:rPr>
          <w:rFonts w:ascii="Arial" w:hAnsi="Arial" w:cs="Arial"/>
          <w:b/>
          <w:bCs/>
          <w:sz w:val="24"/>
          <w:szCs w:val="24"/>
          <w:u w:val="single"/>
        </w:rPr>
      </w:pPr>
    </w:p>
    <w:p w14:paraId="2F8D696F" w14:textId="77777777" w:rsidR="00DB7C4D" w:rsidRPr="002C6A92" w:rsidRDefault="00DB7C4D" w:rsidP="00DB7C4D">
      <w:pPr>
        <w:spacing w:line="480" w:lineRule="auto"/>
        <w:rPr>
          <w:rFonts w:ascii="Arial" w:hAnsi="Arial" w:cs="Arial"/>
          <w:b/>
          <w:bCs/>
          <w:sz w:val="24"/>
          <w:szCs w:val="24"/>
          <w:u w:val="single"/>
        </w:rPr>
      </w:pPr>
      <w:r w:rsidRPr="002C6A92">
        <w:rPr>
          <w:rFonts w:ascii="Arial" w:hAnsi="Arial" w:cs="Arial"/>
          <w:b/>
          <w:bCs/>
          <w:sz w:val="24"/>
          <w:szCs w:val="24"/>
          <w:u w:val="single"/>
        </w:rPr>
        <w:t>Risk assessment of terrorist and extremist prisoners (p</w:t>
      </w:r>
      <w:r>
        <w:rPr>
          <w:rFonts w:ascii="Arial" w:hAnsi="Arial" w:cs="Arial"/>
          <w:b/>
          <w:bCs/>
          <w:sz w:val="24"/>
          <w:szCs w:val="24"/>
          <w:u w:val="single"/>
        </w:rPr>
        <w:t>.</w:t>
      </w:r>
      <w:r w:rsidRPr="002C6A92">
        <w:rPr>
          <w:rFonts w:ascii="Arial" w:hAnsi="Arial" w:cs="Arial"/>
          <w:b/>
          <w:bCs/>
          <w:sz w:val="24"/>
          <w:szCs w:val="24"/>
          <w:u w:val="single"/>
        </w:rPr>
        <w:t xml:space="preserve"> 108- 120)</w:t>
      </w:r>
    </w:p>
    <w:p w14:paraId="5F12873D"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The author Andrew Silke is the Head of Criminology and Director for Terrorism Studies at the University of East London. Professor Silke has worked for the government in the UK and USA, assisting in terrorism cases, providing advice and expertise. He has also worked for numerous security agencies including the Home Office, Ministry of Defence, Ministry of Justice, NATO and Homeland Security just to mention some (Silke, 2014, p.1). It is clear that he holds a wealth of experience which he shares throughout his book</w:t>
      </w:r>
      <w:r>
        <w:rPr>
          <w:rFonts w:ascii="Arial" w:hAnsi="Arial" w:cs="Arial"/>
          <w:sz w:val="24"/>
          <w:szCs w:val="24"/>
        </w:rPr>
        <w:t xml:space="preserve">, </w:t>
      </w:r>
      <w:r w:rsidRPr="002C6A92">
        <w:rPr>
          <w:rFonts w:ascii="Arial" w:hAnsi="Arial" w:cs="Arial"/>
          <w:sz w:val="24"/>
          <w:szCs w:val="24"/>
        </w:rPr>
        <w:t>in particular the chapter chosen for this book review.</w:t>
      </w:r>
    </w:p>
    <w:p w14:paraId="64DB06AD"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This chapter provides an insight into how the UK prison service screens prisoners for terrorism and extremism. It also details the different types of prisoners who are terrorists or who become terrorists whilst in prison. The author goes into detail</w:t>
      </w:r>
      <w:r>
        <w:rPr>
          <w:rFonts w:ascii="Arial" w:hAnsi="Arial" w:cs="Arial"/>
          <w:sz w:val="24"/>
          <w:szCs w:val="24"/>
        </w:rPr>
        <w:t xml:space="preserve"> regarding </w:t>
      </w:r>
      <w:r w:rsidRPr="002C6A92">
        <w:rPr>
          <w:rFonts w:ascii="Arial" w:hAnsi="Arial" w:cs="Arial"/>
          <w:sz w:val="24"/>
          <w:szCs w:val="24"/>
        </w:rPr>
        <w:t xml:space="preserve">the current assessment tools used to assess prisoners for terrorist activity. Silke talks about the use of the ERG22+ assessment tool which uses 22 factors linked to terrorist and extremist traits with the “+” meaning that the assessment is open to include any further factors that may be identified in any </w:t>
      </w:r>
      <w:r w:rsidRPr="004116C0">
        <w:rPr>
          <w:rFonts w:ascii="Arial" w:hAnsi="Arial" w:cs="Arial"/>
          <w:sz w:val="24"/>
          <w:szCs w:val="24"/>
        </w:rPr>
        <w:t>case</w:t>
      </w:r>
      <w:r w:rsidRPr="002C6A92">
        <w:rPr>
          <w:rFonts w:ascii="Arial" w:hAnsi="Arial" w:cs="Arial"/>
          <w:sz w:val="24"/>
          <w:szCs w:val="24"/>
        </w:rPr>
        <w:t xml:space="preserve">. Silke also includes the VERA-2 </w:t>
      </w:r>
      <w:r w:rsidRPr="004116C0">
        <w:rPr>
          <w:rFonts w:ascii="Arial" w:hAnsi="Arial" w:cs="Arial"/>
          <w:sz w:val="24"/>
          <w:szCs w:val="24"/>
        </w:rPr>
        <w:t>assessment,</w:t>
      </w:r>
      <w:r w:rsidRPr="002C6A92">
        <w:rPr>
          <w:rFonts w:ascii="Arial" w:hAnsi="Arial" w:cs="Arial"/>
          <w:sz w:val="24"/>
          <w:szCs w:val="24"/>
        </w:rPr>
        <w:t xml:space="preserve"> which is also used, the difference being this assessment tool considers 31 factors. To no surprise, the two assessment tools overlap and Silke describes that as time moves on, new data available will help to improve this overlap.</w:t>
      </w:r>
    </w:p>
    <w:p w14:paraId="419BFAAE"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lastRenderedPageBreak/>
        <w:t xml:space="preserve">The introduction provides a clear background to the chapter and uses the example of Al </w:t>
      </w:r>
      <w:r w:rsidRPr="004116C0">
        <w:rPr>
          <w:rFonts w:ascii="Arial" w:hAnsi="Arial" w:cs="Arial"/>
          <w:sz w:val="24"/>
          <w:szCs w:val="24"/>
        </w:rPr>
        <w:t>Qaeda</w:t>
      </w:r>
      <w:r w:rsidRPr="002C6A92">
        <w:rPr>
          <w:rFonts w:ascii="Arial" w:hAnsi="Arial" w:cs="Arial"/>
          <w:sz w:val="24"/>
          <w:szCs w:val="24"/>
        </w:rPr>
        <w:t xml:space="preserve"> leader Ayman al-Zawahiri, to illustrate how some extremists have capitalized on the prison service by leaving prison more dangerous than when they entered. According to United Nations Office on Drugs and Crime (UNODC, 2016), prisons can provide a platform for extremists to share their ideologies and radicali</w:t>
      </w:r>
      <w:r>
        <w:rPr>
          <w:rFonts w:ascii="Arial" w:hAnsi="Arial" w:cs="Arial"/>
          <w:sz w:val="24"/>
          <w:szCs w:val="24"/>
        </w:rPr>
        <w:t>s</w:t>
      </w:r>
      <w:r w:rsidRPr="002C6A92">
        <w:rPr>
          <w:rFonts w:ascii="Arial" w:hAnsi="Arial" w:cs="Arial"/>
          <w:sz w:val="24"/>
          <w:szCs w:val="24"/>
        </w:rPr>
        <w:t>e inmates</w:t>
      </w:r>
      <w:r>
        <w:rPr>
          <w:rFonts w:ascii="Arial" w:hAnsi="Arial" w:cs="Arial"/>
          <w:sz w:val="24"/>
          <w:szCs w:val="24"/>
        </w:rPr>
        <w:t xml:space="preserve">, </w:t>
      </w:r>
      <w:r w:rsidRPr="002C6A92">
        <w:rPr>
          <w:rFonts w:ascii="Arial" w:hAnsi="Arial" w:cs="Arial"/>
          <w:sz w:val="24"/>
          <w:szCs w:val="24"/>
        </w:rPr>
        <w:t>thus gaining more power and support.</w:t>
      </w:r>
    </w:p>
    <w:p w14:paraId="17ECCB44"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 xml:space="preserve">The author draws upon personal experiences to solidify most of the statements made. This adds value and gives the reader a better understanding of what is being discussed. According to Graham (2019), </w:t>
      </w:r>
      <w:r>
        <w:rPr>
          <w:rFonts w:ascii="Arial" w:hAnsi="Arial" w:cs="Arial"/>
          <w:sz w:val="24"/>
          <w:szCs w:val="24"/>
        </w:rPr>
        <w:t>the use of</w:t>
      </w:r>
      <w:r w:rsidRPr="002C6A92">
        <w:rPr>
          <w:rFonts w:ascii="Arial" w:hAnsi="Arial" w:cs="Arial"/>
          <w:sz w:val="24"/>
          <w:szCs w:val="24"/>
        </w:rPr>
        <w:t xml:space="preserve"> evidence provides the reader with a greater understanding. However, when using personal experiences, </w:t>
      </w:r>
      <w:r w:rsidRPr="004116C0">
        <w:rPr>
          <w:rFonts w:ascii="Arial" w:hAnsi="Arial" w:cs="Arial"/>
          <w:sz w:val="24"/>
          <w:szCs w:val="24"/>
        </w:rPr>
        <w:t>it’s</w:t>
      </w:r>
      <w:r w:rsidRPr="002C6A92">
        <w:rPr>
          <w:rFonts w:ascii="Arial" w:hAnsi="Arial" w:cs="Arial"/>
          <w:sz w:val="24"/>
          <w:szCs w:val="24"/>
        </w:rPr>
        <w:t xml:space="preserve"> important to not create an unconscious bias and remain open minded (Marcelin </w:t>
      </w:r>
      <w:r w:rsidRPr="002C6A92">
        <w:rPr>
          <w:rFonts w:ascii="Arial" w:hAnsi="Arial" w:cs="Arial"/>
          <w:i/>
          <w:iCs/>
          <w:sz w:val="24"/>
          <w:szCs w:val="24"/>
        </w:rPr>
        <w:t xml:space="preserve">et al. </w:t>
      </w:r>
      <w:r w:rsidRPr="002C6A92">
        <w:rPr>
          <w:rFonts w:ascii="Arial" w:hAnsi="Arial" w:cs="Arial"/>
          <w:sz w:val="24"/>
          <w:szCs w:val="24"/>
        </w:rPr>
        <w:t>2019).</w:t>
      </w:r>
    </w:p>
    <w:p w14:paraId="723EB250"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 xml:space="preserve">Silke talks about the stereotypical view of violence being the common denominator for terrorists to initiate in extremist behaviour. Silke goes on to explain that recent research has found that prior to entering the prison system, offenders had very little to do with political engagement, but this changed during </w:t>
      </w:r>
      <w:r w:rsidRPr="004116C0">
        <w:rPr>
          <w:rFonts w:ascii="Arial" w:hAnsi="Arial" w:cs="Arial"/>
          <w:sz w:val="24"/>
          <w:szCs w:val="24"/>
        </w:rPr>
        <w:t>incarceration,</w:t>
      </w:r>
      <w:r w:rsidRPr="002C6A92">
        <w:rPr>
          <w:rFonts w:ascii="Arial" w:hAnsi="Arial" w:cs="Arial"/>
          <w:sz w:val="24"/>
          <w:szCs w:val="24"/>
        </w:rPr>
        <w:t xml:space="preserve"> and many believed that in political settlement was the only way to end the conflict, steering away for violence. This information is valuable as it educates the reader and diminishes stereotypical views of all terrorists inspiring violence. A similar example can be seen in gender stereotype within terrorism, according to Bloom (2011, p.5), it is important to stop gender stereotyping of terrorists, as women can be just as violent as </w:t>
      </w:r>
      <w:r w:rsidRPr="004116C0">
        <w:rPr>
          <w:rFonts w:ascii="Arial" w:hAnsi="Arial" w:cs="Arial"/>
          <w:sz w:val="24"/>
          <w:szCs w:val="24"/>
        </w:rPr>
        <w:t>men,</w:t>
      </w:r>
      <w:r w:rsidRPr="002C6A92">
        <w:rPr>
          <w:rFonts w:ascii="Arial" w:hAnsi="Arial" w:cs="Arial"/>
          <w:sz w:val="24"/>
          <w:szCs w:val="24"/>
        </w:rPr>
        <w:t xml:space="preserve"> but the motivation is what tends to differ and its learning about these motivations that pushes through the stereotype and enables professions to gain greater knowledge to identify and stop terrorists.</w:t>
      </w:r>
    </w:p>
    <w:p w14:paraId="6A4B9342"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lastRenderedPageBreak/>
        <w:t>Silke talks about de- radicali</w:t>
      </w:r>
      <w:r>
        <w:rPr>
          <w:rFonts w:ascii="Arial" w:hAnsi="Arial" w:cs="Arial"/>
          <w:sz w:val="24"/>
          <w:szCs w:val="24"/>
        </w:rPr>
        <w:t>s</w:t>
      </w:r>
      <w:r w:rsidRPr="002C6A92">
        <w:rPr>
          <w:rFonts w:ascii="Arial" w:hAnsi="Arial" w:cs="Arial"/>
          <w:sz w:val="24"/>
          <w:szCs w:val="24"/>
        </w:rPr>
        <w:t>ation programs and points to the low reconviction rates in the UK as a measure of such programmes working well. Silke adds value by highlighting that other countries have also suggested their de- radicali</w:t>
      </w:r>
      <w:r>
        <w:rPr>
          <w:rFonts w:ascii="Arial" w:hAnsi="Arial" w:cs="Arial"/>
          <w:sz w:val="24"/>
          <w:szCs w:val="24"/>
        </w:rPr>
        <w:t>s</w:t>
      </w:r>
      <w:r w:rsidRPr="002C6A92">
        <w:rPr>
          <w:rFonts w:ascii="Arial" w:hAnsi="Arial" w:cs="Arial"/>
          <w:sz w:val="24"/>
          <w:szCs w:val="24"/>
        </w:rPr>
        <w:t xml:space="preserve">ation programs as being just as successful but he questions the legitimacy of their statement and accuracy of their figures. He summarises by acknowledging that regardless of the accuracy, </w:t>
      </w:r>
      <w:r w:rsidRPr="004116C0">
        <w:rPr>
          <w:rFonts w:ascii="Arial" w:hAnsi="Arial" w:cs="Arial"/>
          <w:sz w:val="24"/>
          <w:szCs w:val="24"/>
        </w:rPr>
        <w:t>reoffending</w:t>
      </w:r>
      <w:r w:rsidRPr="002C6A92">
        <w:rPr>
          <w:rFonts w:ascii="Arial" w:hAnsi="Arial" w:cs="Arial"/>
          <w:sz w:val="24"/>
          <w:szCs w:val="24"/>
        </w:rPr>
        <w:t xml:space="preserve"> rates of terrorists is low which can be treated as a positive.</w:t>
      </w:r>
    </w:p>
    <w:p w14:paraId="705D2FE7"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Although Silke uses personal experiences to strengthen his views, he does on occasion lack evidence to corroborate his statements which weakens his point. One example of this is where he writes about the motivation for terrorists joining a movement often being a small scale</w:t>
      </w:r>
      <w:r>
        <w:rPr>
          <w:rFonts w:ascii="Arial" w:hAnsi="Arial" w:cs="Arial"/>
          <w:sz w:val="24"/>
          <w:szCs w:val="24"/>
        </w:rPr>
        <w:t>,</w:t>
      </w:r>
      <w:r w:rsidRPr="002C6A92">
        <w:rPr>
          <w:rFonts w:ascii="Arial" w:hAnsi="Arial" w:cs="Arial"/>
          <w:sz w:val="24"/>
          <w:szCs w:val="24"/>
        </w:rPr>
        <w:t xml:space="preserve"> personal and social issue as a pose to being fully immersed within a political ideology which is typically envisaged. According to Bjorgo (2005</w:t>
      </w:r>
      <w:r w:rsidRPr="004116C0">
        <w:rPr>
          <w:rFonts w:ascii="Arial" w:hAnsi="Arial" w:cs="Arial"/>
          <w:sz w:val="24"/>
          <w:szCs w:val="24"/>
        </w:rPr>
        <w:t>),</w:t>
      </w:r>
      <w:r w:rsidRPr="002C6A92">
        <w:rPr>
          <w:rFonts w:ascii="Arial" w:hAnsi="Arial" w:cs="Arial"/>
          <w:sz w:val="24"/>
          <w:szCs w:val="24"/>
        </w:rPr>
        <w:t xml:space="preserve"> society has built up a stereotypical view of terrorists which include them being Muslim, male and poorly educated. </w:t>
      </w:r>
    </w:p>
    <w:p w14:paraId="4203A475"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 xml:space="preserve"> It would have added value if Silke used an example to strengthen his statement about terrorist motivations often being stemmed from a </w:t>
      </w:r>
      <w:r w:rsidRPr="004116C0">
        <w:rPr>
          <w:rFonts w:ascii="Arial" w:hAnsi="Arial" w:cs="Arial"/>
          <w:sz w:val="24"/>
          <w:szCs w:val="24"/>
        </w:rPr>
        <w:t>small-scale</w:t>
      </w:r>
      <w:r w:rsidRPr="002C6A92">
        <w:rPr>
          <w:rFonts w:ascii="Arial" w:hAnsi="Arial" w:cs="Arial"/>
          <w:sz w:val="24"/>
          <w:szCs w:val="24"/>
        </w:rPr>
        <w:t xml:space="preserve"> personal issue as seen in the case of Theodore Kaczynski also known as the Unabomber (Song, 2012). The Unabomber was a </w:t>
      </w:r>
      <w:r w:rsidRPr="004116C0">
        <w:rPr>
          <w:rFonts w:ascii="Arial" w:hAnsi="Arial" w:cs="Arial"/>
          <w:sz w:val="24"/>
          <w:szCs w:val="24"/>
        </w:rPr>
        <w:t>domestic terrorist</w:t>
      </w:r>
      <w:r w:rsidRPr="002C6A92">
        <w:rPr>
          <w:rFonts w:ascii="Arial" w:hAnsi="Arial" w:cs="Arial"/>
          <w:sz w:val="24"/>
          <w:szCs w:val="24"/>
        </w:rPr>
        <w:t xml:space="preserve"> who was unhappy with the evolution of technology and cared passionately about the environment. He called for society to revert back to nature and refuted the growing use of technology which inspired him to send mail bombs over a </w:t>
      </w:r>
      <w:r w:rsidRPr="004116C0">
        <w:rPr>
          <w:rFonts w:ascii="Arial" w:hAnsi="Arial" w:cs="Arial"/>
          <w:sz w:val="24"/>
          <w:szCs w:val="24"/>
        </w:rPr>
        <w:t>17-year</w:t>
      </w:r>
      <w:r w:rsidRPr="002C6A92">
        <w:rPr>
          <w:rFonts w:ascii="Arial" w:hAnsi="Arial" w:cs="Arial"/>
          <w:sz w:val="24"/>
          <w:szCs w:val="24"/>
        </w:rPr>
        <w:t xml:space="preserve"> period, killing 3 people and injuring 23 until he was captured in 1996 (Song, 2012).</w:t>
      </w:r>
    </w:p>
    <w:p w14:paraId="20C8F9F1"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 xml:space="preserve">Silke breaks down areas of concern that need to be focussed on in regards to assessing the risk of terrorism.  Silke uses subheadings for each category which </w:t>
      </w:r>
      <w:r w:rsidRPr="002C6A92">
        <w:rPr>
          <w:rFonts w:ascii="Arial" w:hAnsi="Arial" w:cs="Arial"/>
          <w:sz w:val="24"/>
          <w:szCs w:val="24"/>
        </w:rPr>
        <w:lastRenderedPageBreak/>
        <w:t>provides the reader with a descriptive format that clearly details each concern and explains how each play a significant role within terrorism and extremism.</w:t>
      </w:r>
    </w:p>
    <w:p w14:paraId="5929596F"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The importance of this chapter is within its empirical approach to highlighting that the prison system needs to improve the assessment tools to identify terrorist and extremists. According to Basra and Neumann (2020), the implantation of extremist assessment tools within prisons are still in its infancy and are proving effective but ultimately the effectiveness of such tools heavily relies on the operator.</w:t>
      </w:r>
    </w:p>
    <w:p w14:paraId="2258CAB9"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 xml:space="preserve">As well as scrutinising previous and current risk assessment tools, Silke compares other methods including specialist testing which is used for other assessments such as forensic populations. He suggests that this could be adapted to screen potential terrorists to provide a more productive tool. Along the journey of concluding this, he critically evaluates and compares other methods to provide a robust outcome. This critical evaluation offers the reader </w:t>
      </w:r>
      <w:r>
        <w:rPr>
          <w:rFonts w:ascii="Arial" w:hAnsi="Arial" w:cs="Arial"/>
          <w:sz w:val="24"/>
          <w:szCs w:val="24"/>
        </w:rPr>
        <w:t>an</w:t>
      </w:r>
      <w:r w:rsidRPr="002C6A92">
        <w:rPr>
          <w:rFonts w:ascii="Arial" w:hAnsi="Arial" w:cs="Arial"/>
          <w:sz w:val="24"/>
          <w:szCs w:val="24"/>
        </w:rPr>
        <w:t xml:space="preserve"> insight and allows the reader to assess the dilemma also.</w:t>
      </w:r>
    </w:p>
    <w:p w14:paraId="4365D50D"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 xml:space="preserve">To conclude, this chapter is very informative and gives the reader insight into the current risk assessment tools within UK prisons to identify terrorist and extremist activity. It also delivers a personal account from the author who is extremely experienced within the field. Using past experiences to evidence statements provides the reader with a tangible source. It would have been beneficial for the author to have included more in-depth examples of the current risk assessment tool to allow the reader more detail in order to cast their own opinion but </w:t>
      </w:r>
      <w:r w:rsidRPr="004116C0">
        <w:rPr>
          <w:rFonts w:ascii="Arial" w:hAnsi="Arial" w:cs="Arial"/>
          <w:sz w:val="24"/>
          <w:szCs w:val="24"/>
        </w:rPr>
        <w:t>overall,</w:t>
      </w:r>
      <w:r w:rsidRPr="002C6A92">
        <w:rPr>
          <w:rFonts w:ascii="Arial" w:hAnsi="Arial" w:cs="Arial"/>
          <w:sz w:val="24"/>
          <w:szCs w:val="24"/>
        </w:rPr>
        <w:t xml:space="preserve"> the chapter succeeds in delivering a conclusive story on the current risk assessments carried out within prisons and areas of concern for the prison system when identifying potential terrorists and extremists</w:t>
      </w:r>
    </w:p>
    <w:p w14:paraId="34AB3641" w14:textId="77777777" w:rsidR="00DB7C4D" w:rsidRPr="002C6A92" w:rsidRDefault="00DB7C4D" w:rsidP="00DB7C4D">
      <w:pPr>
        <w:spacing w:line="480" w:lineRule="auto"/>
        <w:rPr>
          <w:rFonts w:ascii="Arial" w:hAnsi="Arial" w:cs="Arial"/>
          <w:sz w:val="24"/>
          <w:szCs w:val="24"/>
        </w:rPr>
      </w:pPr>
    </w:p>
    <w:p w14:paraId="274D2FFC" w14:textId="77777777" w:rsidR="00DB7C4D" w:rsidRPr="002C6A92" w:rsidRDefault="00DB7C4D" w:rsidP="00DB7C4D">
      <w:pPr>
        <w:spacing w:line="480" w:lineRule="auto"/>
        <w:rPr>
          <w:rFonts w:ascii="Arial" w:hAnsi="Arial" w:cs="Arial"/>
          <w:b/>
          <w:bCs/>
          <w:sz w:val="24"/>
          <w:szCs w:val="24"/>
          <w:u w:val="single"/>
        </w:rPr>
      </w:pPr>
      <w:r w:rsidRPr="002C6A92">
        <w:rPr>
          <w:rFonts w:ascii="Arial" w:hAnsi="Arial" w:cs="Arial"/>
          <w:b/>
          <w:bCs/>
          <w:sz w:val="24"/>
          <w:szCs w:val="24"/>
          <w:u w:val="single"/>
        </w:rPr>
        <w:t>References</w:t>
      </w:r>
    </w:p>
    <w:p w14:paraId="57369E41"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 xml:space="preserve">Basra R, Neumann P (2020) Prisons and Terrorism: Extremist offender management in 10 European countries. Available at: </w:t>
      </w:r>
      <w:hyperlink r:id="rId20" w:history="1">
        <w:r w:rsidRPr="002C6A92">
          <w:rPr>
            <w:rStyle w:val="Hyperlink"/>
            <w:rFonts w:ascii="Arial" w:hAnsi="Arial" w:cs="Arial"/>
            <w:sz w:val="24"/>
            <w:szCs w:val="24"/>
          </w:rPr>
          <w:t>https://icsr.info/wp-content/uploads/2020/07/ICSR-Report-Prisons-and-Terrorism-Extremist-Offender-Management-in-10-European-Countries_V2.pdf</w:t>
        </w:r>
      </w:hyperlink>
      <w:r w:rsidRPr="002C6A92">
        <w:rPr>
          <w:rFonts w:ascii="Arial" w:hAnsi="Arial" w:cs="Arial"/>
          <w:sz w:val="24"/>
          <w:szCs w:val="24"/>
        </w:rPr>
        <w:t xml:space="preserve"> Accessed on: 2 December 2021</w:t>
      </w:r>
    </w:p>
    <w:p w14:paraId="6561F6EE"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 xml:space="preserve">Bloom M (2011) Women and terrorism. Bombshell. University of Pennsylvania press. Philadelphia </w:t>
      </w:r>
    </w:p>
    <w:p w14:paraId="7A4B0810"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 xml:space="preserve">Bjorgo T (2005) Root cause of terrorism. Available at: </w:t>
      </w:r>
      <w:hyperlink r:id="rId21" w:history="1">
        <w:r w:rsidRPr="002C6A92">
          <w:rPr>
            <w:rStyle w:val="Hyperlink"/>
            <w:rFonts w:ascii="Arial" w:hAnsi="Arial" w:cs="Arial"/>
            <w:sz w:val="24"/>
            <w:szCs w:val="24"/>
          </w:rPr>
          <w:t>https://doi.org/10.4324/9780203337653</w:t>
        </w:r>
      </w:hyperlink>
      <w:r w:rsidRPr="002C6A92">
        <w:rPr>
          <w:rFonts w:ascii="Arial" w:hAnsi="Arial" w:cs="Arial"/>
          <w:sz w:val="24"/>
          <w:szCs w:val="24"/>
        </w:rPr>
        <w:t xml:space="preserve"> </w:t>
      </w:r>
    </w:p>
    <w:p w14:paraId="2B813477"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 xml:space="preserve">Graham S (2019) Changing how writing is taught. Available at: </w:t>
      </w:r>
      <w:hyperlink r:id="rId22" w:history="1">
        <w:r w:rsidRPr="002C6A92">
          <w:rPr>
            <w:rStyle w:val="Hyperlink"/>
            <w:rFonts w:ascii="Arial" w:hAnsi="Arial" w:cs="Arial"/>
            <w:sz w:val="24"/>
            <w:szCs w:val="24"/>
          </w:rPr>
          <w:t>https://journals.sagepub.com/doi/full/10.3102/0091732X18821125</w:t>
        </w:r>
      </w:hyperlink>
      <w:r w:rsidRPr="002C6A92">
        <w:rPr>
          <w:rFonts w:ascii="Arial" w:hAnsi="Arial" w:cs="Arial"/>
          <w:sz w:val="24"/>
          <w:szCs w:val="24"/>
        </w:rPr>
        <w:t xml:space="preserve"> Accessed on: 2 December 2021 </w:t>
      </w:r>
    </w:p>
    <w:p w14:paraId="16C68D61"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 xml:space="preserve">Song D (2012) Theodore J Kaczynski. Available at: </w:t>
      </w:r>
      <w:hyperlink r:id="rId23" w:history="1">
        <w:r w:rsidRPr="002C6A92">
          <w:rPr>
            <w:rStyle w:val="Hyperlink"/>
            <w:rFonts w:ascii="Arial" w:hAnsi="Arial" w:cs="Arial"/>
            <w:sz w:val="24"/>
            <w:szCs w:val="24"/>
          </w:rPr>
          <w:t>https://www.thecrimson.com/article/2012/5/21/ted-kaczynski-unabomber-math/?page=single</w:t>
        </w:r>
      </w:hyperlink>
      <w:r w:rsidRPr="002C6A92">
        <w:rPr>
          <w:rFonts w:ascii="Arial" w:hAnsi="Arial" w:cs="Arial"/>
          <w:sz w:val="24"/>
          <w:szCs w:val="24"/>
        </w:rPr>
        <w:t xml:space="preserve"> Accessed on: 15 December 2021 </w:t>
      </w:r>
    </w:p>
    <w:p w14:paraId="5A2A750A" w14:textId="77777777" w:rsidR="00DB7C4D" w:rsidRPr="002C6A92" w:rsidRDefault="00DB7C4D" w:rsidP="00DB7C4D">
      <w:pPr>
        <w:spacing w:line="480" w:lineRule="auto"/>
        <w:rPr>
          <w:rFonts w:ascii="Arial" w:hAnsi="Arial" w:cs="Arial"/>
          <w:sz w:val="24"/>
          <w:szCs w:val="24"/>
        </w:rPr>
      </w:pPr>
      <w:r w:rsidRPr="002C6A92">
        <w:rPr>
          <w:rFonts w:ascii="Arial" w:hAnsi="Arial" w:cs="Arial"/>
          <w:sz w:val="24"/>
          <w:szCs w:val="24"/>
        </w:rPr>
        <w:t xml:space="preserve">Marcelin J, Siraj S, Victor R, Kotadia S, Maldonado Y (2019) The impact of unconscious bias in healthcare: how to recognise and mitigate it. Available at: </w:t>
      </w:r>
      <w:hyperlink r:id="rId24" w:history="1">
        <w:r w:rsidRPr="002C6A92">
          <w:rPr>
            <w:rStyle w:val="Hyperlink"/>
            <w:rFonts w:ascii="Arial" w:hAnsi="Arial" w:cs="Arial"/>
            <w:sz w:val="24"/>
            <w:szCs w:val="24"/>
          </w:rPr>
          <w:t>https://academic.oup.com/jid/article/220/Supplement_2/S62/5552356?login=true</w:t>
        </w:r>
      </w:hyperlink>
      <w:r w:rsidRPr="002C6A92">
        <w:rPr>
          <w:rFonts w:ascii="Arial" w:hAnsi="Arial" w:cs="Arial"/>
          <w:sz w:val="24"/>
          <w:szCs w:val="24"/>
        </w:rPr>
        <w:t xml:space="preserve"> Accessed on: 15 December 2021</w:t>
      </w:r>
    </w:p>
    <w:p w14:paraId="29D8E051" w14:textId="77777777" w:rsidR="00DB7C4D" w:rsidRDefault="00DB7C4D" w:rsidP="00DB7C4D">
      <w:pPr>
        <w:spacing w:line="480" w:lineRule="auto"/>
        <w:rPr>
          <w:rFonts w:ascii="Arial" w:hAnsi="Arial" w:cs="Arial"/>
          <w:sz w:val="24"/>
          <w:szCs w:val="24"/>
        </w:rPr>
      </w:pPr>
      <w:r w:rsidRPr="002C6A92">
        <w:rPr>
          <w:rFonts w:ascii="Arial" w:hAnsi="Arial" w:cs="Arial"/>
          <w:sz w:val="24"/>
          <w:szCs w:val="24"/>
        </w:rPr>
        <w:t>UNODC (2016) Handbook on the management of violent extremist prisoners and the prevention of ra</w:t>
      </w:r>
      <w:r>
        <w:rPr>
          <w:rFonts w:ascii="Arial" w:hAnsi="Arial" w:cs="Arial"/>
          <w:sz w:val="24"/>
          <w:szCs w:val="24"/>
        </w:rPr>
        <w:t>d</w:t>
      </w:r>
      <w:r w:rsidRPr="002C6A92">
        <w:rPr>
          <w:rFonts w:ascii="Arial" w:hAnsi="Arial" w:cs="Arial"/>
          <w:sz w:val="24"/>
          <w:szCs w:val="24"/>
        </w:rPr>
        <w:t xml:space="preserve">icalization to violence in prisons. Available at: </w:t>
      </w:r>
      <w:hyperlink r:id="rId25" w:history="1">
        <w:r w:rsidRPr="002C6A92">
          <w:rPr>
            <w:rStyle w:val="Hyperlink"/>
            <w:rFonts w:ascii="Arial" w:hAnsi="Arial" w:cs="Arial"/>
            <w:sz w:val="24"/>
            <w:szCs w:val="24"/>
          </w:rPr>
          <w:t>https://icsr.info/wp-</w:t>
        </w:r>
        <w:r w:rsidRPr="002C6A92">
          <w:rPr>
            <w:rStyle w:val="Hyperlink"/>
            <w:rFonts w:ascii="Arial" w:hAnsi="Arial" w:cs="Arial"/>
            <w:sz w:val="24"/>
            <w:szCs w:val="24"/>
          </w:rPr>
          <w:lastRenderedPageBreak/>
          <w:t>content/uploads/2020/07/ICSR-Report-Prisons-and-Terrorism-Extremist-Offender-Management-in-10-European-Countries_V2.pdf</w:t>
        </w:r>
      </w:hyperlink>
      <w:r w:rsidRPr="002C6A92">
        <w:rPr>
          <w:rFonts w:ascii="Arial" w:hAnsi="Arial" w:cs="Arial"/>
          <w:sz w:val="24"/>
          <w:szCs w:val="24"/>
        </w:rPr>
        <w:t xml:space="preserve"> Accessed on: 2 December 2021</w:t>
      </w:r>
    </w:p>
    <w:p w14:paraId="5613C2DA" w14:textId="77777777" w:rsidR="008118AD" w:rsidRDefault="008118AD" w:rsidP="00DB7C4D">
      <w:pPr>
        <w:spacing w:line="480" w:lineRule="auto"/>
        <w:rPr>
          <w:rFonts w:ascii="Arial" w:hAnsi="Arial" w:cs="Arial"/>
          <w:sz w:val="24"/>
          <w:szCs w:val="24"/>
        </w:rPr>
      </w:pPr>
    </w:p>
    <w:p w14:paraId="4F26F717" w14:textId="73853418" w:rsidR="008118AD" w:rsidRPr="002C6A92" w:rsidRDefault="009B6D3D" w:rsidP="00DB7C4D">
      <w:pPr>
        <w:spacing w:line="480" w:lineRule="auto"/>
        <w:rPr>
          <w:rFonts w:ascii="Arial" w:hAnsi="Arial" w:cs="Arial"/>
          <w:sz w:val="24"/>
          <w:szCs w:val="24"/>
        </w:rPr>
      </w:pPr>
      <w:r>
        <w:rPr>
          <w:rFonts w:ascii="Arial" w:hAnsi="Arial" w:cs="Arial"/>
          <w:noProof/>
          <w:sz w:val="24"/>
          <w:szCs w:val="24"/>
        </w:rPr>
        <w:lastRenderedPageBreak/>
        <w:drawing>
          <wp:inline distT="0" distB="0" distL="0" distR="0" wp14:anchorId="414FCF4C" wp14:editId="77F0FF75">
            <wp:extent cx="5724525" cy="80772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4525" cy="8077200"/>
                    </a:xfrm>
                    <a:prstGeom prst="rect">
                      <a:avLst/>
                    </a:prstGeom>
                    <a:noFill/>
                    <a:ln>
                      <a:noFill/>
                    </a:ln>
                  </pic:spPr>
                </pic:pic>
              </a:graphicData>
            </a:graphic>
          </wp:inline>
        </w:drawing>
      </w:r>
    </w:p>
    <w:p w14:paraId="60348829" w14:textId="4F629479" w:rsidR="009A1F09" w:rsidRDefault="009A1F09"/>
    <w:p w14:paraId="13E6D4DB" w14:textId="19808271" w:rsidR="004D7BE2" w:rsidRDefault="004D7BE2"/>
    <w:p w14:paraId="7218FB52" w14:textId="74EFA8A5" w:rsidR="004D7BE2" w:rsidRPr="004D7BE2" w:rsidRDefault="004D7BE2" w:rsidP="004D7BE2">
      <w:pPr>
        <w:spacing w:line="480" w:lineRule="auto"/>
        <w:rPr>
          <w:rFonts w:ascii="Arial" w:hAnsi="Arial" w:cs="Arial"/>
          <w:b/>
          <w:bCs/>
          <w:sz w:val="24"/>
          <w:szCs w:val="24"/>
          <w:u w:val="single"/>
        </w:rPr>
      </w:pPr>
      <w:r w:rsidRPr="004D7BE2">
        <w:rPr>
          <w:rFonts w:ascii="Arial" w:hAnsi="Arial" w:cs="Arial"/>
          <w:b/>
          <w:bCs/>
          <w:sz w:val="24"/>
          <w:szCs w:val="24"/>
          <w:u w:val="single"/>
        </w:rPr>
        <w:lastRenderedPageBreak/>
        <w:t>Academic poster references</w:t>
      </w:r>
    </w:p>
    <w:p w14:paraId="2925A91F" w14:textId="24D5C263" w:rsidR="004D7BE2" w:rsidRPr="004D7BE2" w:rsidRDefault="004D7BE2" w:rsidP="004D7BE2">
      <w:pPr>
        <w:spacing w:line="480" w:lineRule="auto"/>
        <w:rPr>
          <w:rFonts w:ascii="Arial" w:hAnsi="Arial" w:cs="Arial"/>
          <w:sz w:val="24"/>
          <w:szCs w:val="24"/>
        </w:rPr>
      </w:pPr>
    </w:p>
    <w:p w14:paraId="45F5BD78" w14:textId="77777777" w:rsidR="004D7BE2" w:rsidRPr="004D7BE2" w:rsidRDefault="004D7BE2" w:rsidP="004D7BE2">
      <w:pPr>
        <w:tabs>
          <w:tab w:val="left" w:pos="5010"/>
        </w:tabs>
        <w:spacing w:line="480" w:lineRule="auto"/>
        <w:rPr>
          <w:rFonts w:ascii="Arial" w:hAnsi="Arial" w:cs="Arial"/>
          <w:sz w:val="24"/>
          <w:szCs w:val="24"/>
          <w:lang w:val="en-US"/>
        </w:rPr>
      </w:pPr>
      <w:r w:rsidRPr="004D7BE2">
        <w:rPr>
          <w:rFonts w:ascii="Arial" w:hAnsi="Arial" w:cs="Arial"/>
          <w:sz w:val="24"/>
          <w:szCs w:val="24"/>
          <w:lang w:val="en-US"/>
        </w:rPr>
        <w:t xml:space="preserve">Crown Prosecution Service (2019) Restorative Justice. Available at: </w:t>
      </w:r>
      <w:hyperlink r:id="rId27" w:history="1">
        <w:r w:rsidRPr="004D7BE2">
          <w:rPr>
            <w:rStyle w:val="Hyperlink"/>
            <w:rFonts w:ascii="Arial" w:hAnsi="Arial" w:cs="Arial"/>
            <w:sz w:val="24"/>
            <w:szCs w:val="24"/>
            <w:lang w:val="en-US"/>
          </w:rPr>
          <w:t>https://www.cps.gov.uk/legal-guidance/restorative-justice</w:t>
        </w:r>
      </w:hyperlink>
      <w:r w:rsidRPr="004D7BE2">
        <w:rPr>
          <w:rFonts w:ascii="Arial" w:hAnsi="Arial" w:cs="Arial"/>
          <w:sz w:val="24"/>
          <w:szCs w:val="24"/>
          <w:lang w:val="en-US"/>
        </w:rPr>
        <w:t xml:space="preserve"> Accessed on: 14 December 2021 </w:t>
      </w:r>
    </w:p>
    <w:p w14:paraId="7F727969" w14:textId="77777777" w:rsidR="004D7BE2" w:rsidRPr="004D7BE2" w:rsidRDefault="004D7BE2" w:rsidP="004D7BE2">
      <w:pPr>
        <w:tabs>
          <w:tab w:val="left" w:pos="5010"/>
        </w:tabs>
        <w:spacing w:line="480" w:lineRule="auto"/>
        <w:rPr>
          <w:rFonts w:ascii="Arial" w:hAnsi="Arial" w:cs="Arial"/>
          <w:sz w:val="24"/>
          <w:szCs w:val="24"/>
          <w:lang w:val="en-US"/>
        </w:rPr>
      </w:pPr>
      <w:r w:rsidRPr="004D7BE2">
        <w:rPr>
          <w:rFonts w:ascii="Arial" w:hAnsi="Arial" w:cs="Arial"/>
          <w:sz w:val="24"/>
          <w:szCs w:val="24"/>
          <w:lang w:val="en-US"/>
        </w:rPr>
        <w:t xml:space="preserve">Kirkwood S (2018) Restorative justice. Available at: </w:t>
      </w:r>
      <w:hyperlink r:id="rId28" w:history="1">
        <w:r w:rsidRPr="004D7BE2">
          <w:rPr>
            <w:rStyle w:val="Hyperlink"/>
            <w:rFonts w:ascii="Arial" w:hAnsi="Arial" w:cs="Arial"/>
            <w:sz w:val="24"/>
            <w:szCs w:val="24"/>
            <w:lang w:val="en-US"/>
          </w:rPr>
          <w:t>https://www.iriss.org.uk/resources/insights/restorative-justice?gclid=Cj0KCQiAnuGNBhCPARIsACbnLzoEAjUCr1Q7u-Mx5ccycsOHaQqtqzixnp9Y2-PG6B1jp-luQt11HU8aAvXtEALw_wcB</w:t>
        </w:r>
      </w:hyperlink>
      <w:r w:rsidRPr="004D7BE2">
        <w:rPr>
          <w:rFonts w:ascii="Arial" w:hAnsi="Arial" w:cs="Arial"/>
          <w:sz w:val="24"/>
          <w:szCs w:val="24"/>
          <w:lang w:val="en-US"/>
        </w:rPr>
        <w:t xml:space="preserve"> Accessed on: 14 December 2021</w:t>
      </w:r>
    </w:p>
    <w:p w14:paraId="65A8A2A9" w14:textId="77777777" w:rsidR="004D7BE2" w:rsidRPr="004D7BE2" w:rsidRDefault="004D7BE2" w:rsidP="004D7BE2">
      <w:pPr>
        <w:tabs>
          <w:tab w:val="left" w:pos="5010"/>
        </w:tabs>
        <w:spacing w:line="480" w:lineRule="auto"/>
        <w:rPr>
          <w:rFonts w:ascii="Arial" w:hAnsi="Arial" w:cs="Arial"/>
          <w:sz w:val="24"/>
          <w:szCs w:val="24"/>
          <w:lang w:val="en-US"/>
        </w:rPr>
      </w:pPr>
      <w:r w:rsidRPr="004D7BE2">
        <w:rPr>
          <w:rFonts w:ascii="Arial" w:hAnsi="Arial" w:cs="Arial"/>
          <w:sz w:val="24"/>
          <w:szCs w:val="24"/>
          <w:lang w:val="en-US"/>
        </w:rPr>
        <w:t xml:space="preserve">McCold P, Wachtel T (2000) Restorative analysis demonstrates power of conference. Available at: </w:t>
      </w:r>
      <w:hyperlink r:id="rId29" w:history="1">
        <w:r w:rsidRPr="004D7BE2">
          <w:rPr>
            <w:rStyle w:val="Hyperlink"/>
            <w:rFonts w:ascii="Arial" w:hAnsi="Arial" w:cs="Arial"/>
            <w:sz w:val="24"/>
            <w:szCs w:val="24"/>
            <w:lang w:val="en-US"/>
          </w:rPr>
          <w:t>https://www.iirp.edu/news/restorative-analysis-demonstrates-power-of-conferencing</w:t>
        </w:r>
      </w:hyperlink>
      <w:r w:rsidRPr="004D7BE2">
        <w:rPr>
          <w:rFonts w:ascii="Arial" w:hAnsi="Arial" w:cs="Arial"/>
          <w:sz w:val="24"/>
          <w:szCs w:val="24"/>
          <w:lang w:val="en-US"/>
        </w:rPr>
        <w:t xml:space="preserve"> Accessed on: 14 December 2021</w:t>
      </w:r>
    </w:p>
    <w:p w14:paraId="11750E6E" w14:textId="77777777" w:rsidR="004D7BE2" w:rsidRPr="004D7BE2" w:rsidRDefault="004D7BE2" w:rsidP="004D7BE2">
      <w:pPr>
        <w:tabs>
          <w:tab w:val="left" w:pos="5010"/>
        </w:tabs>
        <w:spacing w:line="480" w:lineRule="auto"/>
        <w:rPr>
          <w:rFonts w:ascii="Arial" w:hAnsi="Arial" w:cs="Arial"/>
          <w:sz w:val="24"/>
          <w:szCs w:val="24"/>
          <w:lang w:val="en-US"/>
        </w:rPr>
      </w:pPr>
      <w:r w:rsidRPr="004D7BE2">
        <w:rPr>
          <w:rFonts w:ascii="Arial" w:hAnsi="Arial" w:cs="Arial"/>
          <w:sz w:val="24"/>
          <w:szCs w:val="24"/>
          <w:lang w:val="en-US"/>
        </w:rPr>
        <w:t xml:space="preserve">Restorative Justice Consortium (2006) Supporting victims of crime. Available at: </w:t>
      </w:r>
      <w:hyperlink r:id="rId30" w:history="1">
        <w:r w:rsidRPr="004D7BE2">
          <w:rPr>
            <w:rStyle w:val="Hyperlink"/>
            <w:rFonts w:ascii="Arial" w:hAnsi="Arial" w:cs="Arial"/>
            <w:sz w:val="24"/>
            <w:szCs w:val="24"/>
            <w:lang w:val="en-US"/>
          </w:rPr>
          <w:t>https://restorativejustice.org.uk/sites/default/files/resources/files/Rebuilding%20Lives%20-%20Response%20of%20the%20Restorative%20Justice%20Consortium.pdf</w:t>
        </w:r>
      </w:hyperlink>
      <w:r w:rsidRPr="004D7BE2">
        <w:rPr>
          <w:rFonts w:ascii="Arial" w:hAnsi="Arial" w:cs="Arial"/>
          <w:sz w:val="24"/>
          <w:szCs w:val="24"/>
          <w:lang w:val="en-US"/>
        </w:rPr>
        <w:t xml:space="preserve"> Accessed on: 14 December 2021 </w:t>
      </w:r>
    </w:p>
    <w:p w14:paraId="52B74E0D" w14:textId="77777777" w:rsidR="004D7BE2" w:rsidRPr="004D7BE2" w:rsidRDefault="004D7BE2" w:rsidP="004D7BE2">
      <w:pPr>
        <w:tabs>
          <w:tab w:val="left" w:pos="5010"/>
        </w:tabs>
        <w:spacing w:line="480" w:lineRule="auto"/>
        <w:rPr>
          <w:rFonts w:ascii="Arial" w:hAnsi="Arial" w:cs="Arial"/>
          <w:sz w:val="24"/>
          <w:szCs w:val="24"/>
          <w:lang w:val="en-US"/>
        </w:rPr>
      </w:pPr>
      <w:r w:rsidRPr="004D7BE2">
        <w:rPr>
          <w:rFonts w:ascii="Arial" w:hAnsi="Arial" w:cs="Arial"/>
          <w:sz w:val="24"/>
          <w:szCs w:val="24"/>
          <w:lang w:val="en-US"/>
        </w:rPr>
        <w:t xml:space="preserve">Restorative Justice Council (2016) MOJ evaluation of restorative justice. Available at: </w:t>
      </w:r>
      <w:hyperlink r:id="rId31" w:history="1">
        <w:r w:rsidRPr="004D7BE2">
          <w:rPr>
            <w:rStyle w:val="Hyperlink"/>
            <w:rFonts w:ascii="Arial" w:hAnsi="Arial" w:cs="Arial"/>
            <w:sz w:val="24"/>
            <w:szCs w:val="24"/>
            <w:lang w:val="en-US"/>
          </w:rPr>
          <w:t>https://restorativejustice.org.uk/resources/moj-evaluation-restorative-justice</w:t>
        </w:r>
      </w:hyperlink>
      <w:r w:rsidRPr="004D7BE2">
        <w:rPr>
          <w:rFonts w:ascii="Arial" w:hAnsi="Arial" w:cs="Arial"/>
          <w:sz w:val="24"/>
          <w:szCs w:val="24"/>
          <w:lang w:val="en-US"/>
        </w:rPr>
        <w:t xml:space="preserve"> Accessed on: 14 December 2021</w:t>
      </w:r>
    </w:p>
    <w:p w14:paraId="5D3A3C7C" w14:textId="77777777" w:rsidR="004D7BE2" w:rsidRPr="004D7BE2" w:rsidRDefault="004D7BE2" w:rsidP="004D7BE2">
      <w:pPr>
        <w:tabs>
          <w:tab w:val="left" w:pos="5010"/>
        </w:tabs>
        <w:spacing w:line="480" w:lineRule="auto"/>
        <w:rPr>
          <w:rFonts w:ascii="Arial" w:hAnsi="Arial" w:cs="Arial"/>
          <w:sz w:val="24"/>
          <w:szCs w:val="24"/>
          <w:lang w:val="en-US"/>
        </w:rPr>
      </w:pPr>
      <w:r w:rsidRPr="004D7BE2">
        <w:rPr>
          <w:rFonts w:ascii="Arial" w:hAnsi="Arial" w:cs="Arial"/>
          <w:sz w:val="24"/>
          <w:szCs w:val="24"/>
          <w:lang w:val="en-US"/>
        </w:rPr>
        <w:t>Rosner M, Bruce J (2016) Community participation in restorative justice: rituals, reintegration, and quasi-</w:t>
      </w:r>
      <w:r w:rsidRPr="004D7BE2">
        <w:rPr>
          <w:rFonts w:ascii="Arial" w:hAnsi="Arial" w:cs="Arial"/>
          <w:sz w:val="24"/>
          <w:szCs w:val="24"/>
        </w:rPr>
        <w:t>professionalisation</w:t>
      </w:r>
      <w:r w:rsidRPr="004D7BE2">
        <w:rPr>
          <w:rFonts w:ascii="Arial" w:hAnsi="Arial" w:cs="Arial"/>
          <w:sz w:val="24"/>
          <w:szCs w:val="24"/>
          <w:lang w:val="en-US"/>
        </w:rPr>
        <w:t xml:space="preserve">. Available at: </w:t>
      </w:r>
      <w:hyperlink r:id="rId32" w:history="1">
        <w:r w:rsidRPr="004D7BE2">
          <w:rPr>
            <w:rStyle w:val="Hyperlink"/>
            <w:rFonts w:ascii="Arial" w:hAnsi="Arial" w:cs="Arial"/>
            <w:sz w:val="24"/>
            <w:szCs w:val="24"/>
            <w:lang w:val="en-US"/>
          </w:rPr>
          <w:t>http://eprints.lse.ac.uk/65067/1/Rossner_Community_Participation_in_Restorative_justice.pdf</w:t>
        </w:r>
      </w:hyperlink>
      <w:r w:rsidRPr="004D7BE2">
        <w:rPr>
          <w:rFonts w:ascii="Arial" w:hAnsi="Arial" w:cs="Arial"/>
          <w:sz w:val="24"/>
          <w:szCs w:val="24"/>
          <w:lang w:val="en-US"/>
        </w:rPr>
        <w:t xml:space="preserve"> Accessed on: 14 December 2021 </w:t>
      </w:r>
    </w:p>
    <w:p w14:paraId="1E2F533D" w14:textId="77777777" w:rsidR="004D7BE2" w:rsidRPr="004D7BE2" w:rsidRDefault="004D7BE2" w:rsidP="004D7BE2">
      <w:pPr>
        <w:tabs>
          <w:tab w:val="left" w:pos="5010"/>
        </w:tabs>
        <w:spacing w:line="480" w:lineRule="auto"/>
        <w:rPr>
          <w:rFonts w:ascii="Arial" w:hAnsi="Arial" w:cs="Arial"/>
          <w:sz w:val="24"/>
          <w:szCs w:val="24"/>
          <w:lang w:val="en-US"/>
        </w:rPr>
      </w:pPr>
      <w:r w:rsidRPr="004D7BE2">
        <w:rPr>
          <w:rFonts w:ascii="Arial" w:hAnsi="Arial" w:cs="Arial"/>
          <w:sz w:val="24"/>
          <w:szCs w:val="24"/>
          <w:lang w:val="en-US"/>
        </w:rPr>
        <w:t xml:space="preserve">Victim Support (2020) Restorative justice. Available at: </w:t>
      </w:r>
      <w:hyperlink r:id="rId33" w:history="1">
        <w:r w:rsidRPr="004D7BE2">
          <w:rPr>
            <w:rStyle w:val="Hyperlink"/>
            <w:rFonts w:ascii="Arial" w:hAnsi="Arial" w:cs="Arial"/>
            <w:sz w:val="24"/>
            <w:szCs w:val="24"/>
            <w:lang w:val="en-US"/>
          </w:rPr>
          <w:t>https://www.victimsupport.org.uk/help-and-support/your-rights/restorative-justice/</w:t>
        </w:r>
      </w:hyperlink>
      <w:r w:rsidRPr="004D7BE2">
        <w:rPr>
          <w:rFonts w:ascii="Arial" w:hAnsi="Arial" w:cs="Arial"/>
          <w:sz w:val="24"/>
          <w:szCs w:val="24"/>
          <w:lang w:val="en-US"/>
        </w:rPr>
        <w:t xml:space="preserve"> Accessed on: 14 December 2021 </w:t>
      </w:r>
    </w:p>
    <w:p w14:paraId="18991E1C" w14:textId="77777777" w:rsidR="004D7BE2" w:rsidRPr="004D7BE2" w:rsidRDefault="004D7BE2" w:rsidP="004D7BE2">
      <w:pPr>
        <w:tabs>
          <w:tab w:val="left" w:pos="5010"/>
        </w:tabs>
        <w:spacing w:line="480" w:lineRule="auto"/>
        <w:rPr>
          <w:rFonts w:ascii="Arial" w:hAnsi="Arial" w:cs="Arial"/>
          <w:sz w:val="24"/>
          <w:szCs w:val="24"/>
          <w:lang w:val="en-US"/>
        </w:rPr>
      </w:pPr>
      <w:r w:rsidRPr="004D7BE2">
        <w:rPr>
          <w:rFonts w:ascii="Arial" w:hAnsi="Arial" w:cs="Arial"/>
          <w:sz w:val="24"/>
          <w:szCs w:val="24"/>
          <w:lang w:val="en-US"/>
        </w:rPr>
        <w:t>UNODC (2006) Topic 2: Overview of restorative justice processes. Available at:</w:t>
      </w:r>
      <w:r w:rsidRPr="004D7BE2">
        <w:rPr>
          <w:rFonts w:ascii="Arial" w:hAnsi="Arial" w:cs="Arial"/>
          <w:sz w:val="24"/>
          <w:szCs w:val="24"/>
        </w:rPr>
        <w:t xml:space="preserve"> </w:t>
      </w:r>
      <w:hyperlink r:id="rId34" w:history="1">
        <w:r w:rsidRPr="004D7BE2">
          <w:rPr>
            <w:rStyle w:val="Hyperlink"/>
            <w:rFonts w:ascii="Arial" w:hAnsi="Arial" w:cs="Arial"/>
            <w:sz w:val="24"/>
            <w:szCs w:val="24"/>
            <w:lang w:val="en-US"/>
          </w:rPr>
          <w:t>https://www.unodc.org/e4j/en/crime-prevention-criminal-justice/module-8/key-issues/2--overview-of-restorative-justice-processes.html</w:t>
        </w:r>
      </w:hyperlink>
      <w:r w:rsidRPr="004D7BE2">
        <w:rPr>
          <w:rFonts w:ascii="Arial" w:hAnsi="Arial" w:cs="Arial"/>
          <w:sz w:val="24"/>
          <w:szCs w:val="24"/>
          <w:lang w:val="en-US"/>
        </w:rPr>
        <w:t xml:space="preserve"> Accessed on: 14 December 2021</w:t>
      </w:r>
    </w:p>
    <w:p w14:paraId="378F0551" w14:textId="77777777" w:rsidR="004D7BE2" w:rsidRPr="00F02612" w:rsidRDefault="004D7BE2"/>
    <w:sectPr w:rsidR="004D7BE2" w:rsidRPr="00F02612" w:rsidSect="00B129F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244D7" w14:textId="77777777" w:rsidR="007B5E2F" w:rsidRDefault="007B5E2F" w:rsidP="005F7A7B">
      <w:pPr>
        <w:spacing w:after="0" w:line="240" w:lineRule="auto"/>
      </w:pPr>
      <w:r>
        <w:separator/>
      </w:r>
    </w:p>
  </w:endnote>
  <w:endnote w:type="continuationSeparator" w:id="0">
    <w:p w14:paraId="57606D83" w14:textId="77777777" w:rsidR="007B5E2F" w:rsidRDefault="007B5E2F" w:rsidP="005F7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4CF8F" w14:textId="77777777" w:rsidR="007B5E2F" w:rsidRDefault="007B5E2F" w:rsidP="005F7A7B">
      <w:pPr>
        <w:spacing w:after="0" w:line="240" w:lineRule="auto"/>
      </w:pPr>
      <w:r>
        <w:separator/>
      </w:r>
    </w:p>
  </w:footnote>
  <w:footnote w:type="continuationSeparator" w:id="0">
    <w:p w14:paraId="6332FA50" w14:textId="77777777" w:rsidR="007B5E2F" w:rsidRDefault="007B5E2F" w:rsidP="005F7A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A7B"/>
    <w:rsid w:val="00156AA3"/>
    <w:rsid w:val="001F3E58"/>
    <w:rsid w:val="002A203D"/>
    <w:rsid w:val="00331C47"/>
    <w:rsid w:val="00346B44"/>
    <w:rsid w:val="003D6252"/>
    <w:rsid w:val="004D7BE2"/>
    <w:rsid w:val="005F7A7B"/>
    <w:rsid w:val="007325F8"/>
    <w:rsid w:val="00781044"/>
    <w:rsid w:val="007B5E2F"/>
    <w:rsid w:val="008118AD"/>
    <w:rsid w:val="008B1AEA"/>
    <w:rsid w:val="009A1F09"/>
    <w:rsid w:val="009B6D3D"/>
    <w:rsid w:val="00B129F0"/>
    <w:rsid w:val="00BF7B6D"/>
    <w:rsid w:val="00DB7C4D"/>
    <w:rsid w:val="00E2391F"/>
    <w:rsid w:val="00E56BFA"/>
    <w:rsid w:val="00F02612"/>
    <w:rsid w:val="00F7056C"/>
    <w:rsid w:val="00F80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45A45"/>
  <w15:docId w15:val="{462A969A-41C9-40B5-B625-03650C06D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7A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7A7B"/>
    <w:rPr>
      <w:color w:val="0563C1" w:themeColor="hyperlink"/>
      <w:u w:val="single"/>
    </w:rPr>
  </w:style>
  <w:style w:type="character" w:styleId="CommentReference">
    <w:name w:val="annotation reference"/>
    <w:basedOn w:val="DefaultParagraphFont"/>
    <w:uiPriority w:val="99"/>
    <w:semiHidden/>
    <w:unhideWhenUsed/>
    <w:rsid w:val="005F7A7B"/>
    <w:rPr>
      <w:sz w:val="16"/>
      <w:szCs w:val="16"/>
    </w:rPr>
  </w:style>
  <w:style w:type="paragraph" w:styleId="CommentText">
    <w:name w:val="annotation text"/>
    <w:basedOn w:val="Normal"/>
    <w:link w:val="CommentTextChar"/>
    <w:uiPriority w:val="99"/>
    <w:semiHidden/>
    <w:unhideWhenUsed/>
    <w:rsid w:val="005F7A7B"/>
    <w:pPr>
      <w:spacing w:line="240" w:lineRule="auto"/>
    </w:pPr>
    <w:rPr>
      <w:sz w:val="20"/>
      <w:szCs w:val="20"/>
    </w:rPr>
  </w:style>
  <w:style w:type="character" w:customStyle="1" w:styleId="CommentTextChar">
    <w:name w:val="Comment Text Char"/>
    <w:basedOn w:val="DefaultParagraphFont"/>
    <w:link w:val="CommentText"/>
    <w:uiPriority w:val="99"/>
    <w:semiHidden/>
    <w:rsid w:val="005F7A7B"/>
    <w:rPr>
      <w:sz w:val="20"/>
      <w:szCs w:val="20"/>
    </w:rPr>
  </w:style>
  <w:style w:type="character" w:styleId="FollowedHyperlink">
    <w:name w:val="FollowedHyperlink"/>
    <w:basedOn w:val="DefaultParagraphFont"/>
    <w:uiPriority w:val="99"/>
    <w:semiHidden/>
    <w:unhideWhenUsed/>
    <w:rsid w:val="005F7A7B"/>
    <w:rPr>
      <w:color w:val="954F72" w:themeColor="followedHyperlink"/>
      <w:u w:val="single"/>
    </w:rPr>
  </w:style>
  <w:style w:type="paragraph" w:styleId="Header">
    <w:name w:val="header"/>
    <w:basedOn w:val="Normal"/>
    <w:link w:val="HeaderChar"/>
    <w:uiPriority w:val="99"/>
    <w:unhideWhenUsed/>
    <w:rsid w:val="005F7A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A7B"/>
  </w:style>
  <w:style w:type="paragraph" w:styleId="Footer">
    <w:name w:val="footer"/>
    <w:basedOn w:val="Normal"/>
    <w:link w:val="FooterChar"/>
    <w:uiPriority w:val="99"/>
    <w:unhideWhenUsed/>
    <w:rsid w:val="005F7A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A7B"/>
  </w:style>
  <w:style w:type="paragraph" w:styleId="Revision">
    <w:name w:val="Revision"/>
    <w:hidden/>
    <w:uiPriority w:val="99"/>
    <w:semiHidden/>
    <w:rsid w:val="005F7A7B"/>
    <w:pPr>
      <w:spacing w:after="0" w:line="240" w:lineRule="auto"/>
    </w:pPr>
  </w:style>
  <w:style w:type="paragraph" w:styleId="NoSpacing">
    <w:name w:val="No Spacing"/>
    <w:link w:val="NoSpacingChar"/>
    <w:uiPriority w:val="1"/>
    <w:qFormat/>
    <w:rsid w:val="00B129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29F0"/>
    <w:rPr>
      <w:rFonts w:eastAsiaTheme="minorEastAsia"/>
      <w:lang w:val="en-US"/>
    </w:rPr>
  </w:style>
  <w:style w:type="paragraph" w:styleId="BalloonText">
    <w:name w:val="Balloon Text"/>
    <w:basedOn w:val="Normal"/>
    <w:link w:val="BalloonTextChar"/>
    <w:uiPriority w:val="99"/>
    <w:semiHidden/>
    <w:unhideWhenUsed/>
    <w:rsid w:val="008118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18A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plos.org/plosone/article?id=10.1371/journal.pone.0222195" TargetMode="External"/><Relationship Id="rId13" Type="http://schemas.openxmlformats.org/officeDocument/2006/relationships/hyperlink" Target="https://www.rds-yh.nihr.ac.uk/wp-content/uploads/2013/05/15_Using-Interviews-2009.pdf" TargetMode="External"/><Relationship Id="rId18" Type="http://schemas.openxmlformats.org/officeDocument/2006/relationships/hyperlink" Target="https://www.kqed.org/mindshift/32503/how-the-power-of-interest-drives-learning" TargetMode="External"/><Relationship Id="rId26" Type="http://schemas.openxmlformats.org/officeDocument/2006/relationships/image" Target="media/image3.jpeg"/><Relationship Id="rId3" Type="http://schemas.openxmlformats.org/officeDocument/2006/relationships/webSettings" Target="webSettings.xml"/><Relationship Id="rId21" Type="http://schemas.openxmlformats.org/officeDocument/2006/relationships/hyperlink" Target="https://doi.org/10.4324/9780203337653" TargetMode="External"/><Relationship Id="rId34" Type="http://schemas.openxmlformats.org/officeDocument/2006/relationships/hyperlink" Target="https://www.unodc.org/e4j/en/crime-prevention-criminal-justice/module-8/key-issues/2--overview-of-restorative-justice-processes.html" TargetMode="External"/><Relationship Id="rId7" Type="http://schemas.openxmlformats.org/officeDocument/2006/relationships/image" Target="media/image2.png"/><Relationship Id="rId12" Type="http://schemas.openxmlformats.org/officeDocument/2006/relationships/hyperlink" Target="https://www.researchgate.net/publication/277077900_How_are_women_who_kill_portrayed_in_newspaper_media_Connections_with_social_values_and_the_legal_system" TargetMode="External"/><Relationship Id="rId17" Type="http://schemas.openxmlformats.org/officeDocument/2006/relationships/hyperlink" Target="https://nij.ojp.gov/topics/articles/five-things-about-deterrence" TargetMode="External"/><Relationship Id="rId25" Type="http://schemas.openxmlformats.org/officeDocument/2006/relationships/hyperlink" Target="https://icsr.info/wp-content/uploads/2020/07/ICSR-Report-Prisons-and-Terrorism-Extremist-Offender-Management-in-10-European-Countries_V2.pdf" TargetMode="External"/><Relationship Id="rId33" Type="http://schemas.openxmlformats.org/officeDocument/2006/relationships/hyperlink" Target="https://www.victimsupport.org.uk/help-and-support/your-rights/restorative-justice/" TargetMode="External"/><Relationship Id="rId2" Type="http://schemas.openxmlformats.org/officeDocument/2006/relationships/settings" Target="settings.xml"/><Relationship Id="rId16" Type="http://schemas.openxmlformats.org/officeDocument/2006/relationships/hyperlink" Target="https://www.gov.uk/government/news/life-saving-drink-drive-law-turns-50" TargetMode="External"/><Relationship Id="rId20" Type="http://schemas.openxmlformats.org/officeDocument/2006/relationships/hyperlink" Target="https://icsr.info/wp-content/uploads/2020/07/ICSR-Report-Prisons-and-Terrorism-Extremist-Offender-Management-in-10-European-Countries_V2.pdf" TargetMode="External"/><Relationship Id="rId29" Type="http://schemas.openxmlformats.org/officeDocument/2006/relationships/hyperlink" Target="https://www.iirp.edu/news/restorative-analysis-demonstrates-power-of-conferencing"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dyfed-powys.police.uk/news/dyfed-powys/news/2021/november-2021/drink-driver-jailed-for-causing-death-of-baby-in-collision/" TargetMode="External"/><Relationship Id="rId24" Type="http://schemas.openxmlformats.org/officeDocument/2006/relationships/hyperlink" Target="https://academic.oup.com/jid/article/220/Supplement_2/S62/5552356?login=true" TargetMode="External"/><Relationship Id="rId32" Type="http://schemas.openxmlformats.org/officeDocument/2006/relationships/hyperlink" Target="http://eprints.lse.ac.uk/65067/1/Rossner_Community_Participation_in_Restorative_justice.pdf" TargetMode="External"/><Relationship Id="rId5" Type="http://schemas.openxmlformats.org/officeDocument/2006/relationships/endnotes" Target="endnotes.xml"/><Relationship Id="rId15" Type="http://schemas.openxmlformats.org/officeDocument/2006/relationships/hyperlink" Target="https://www.gov.uk/government/publications/police-crime-sentencing-and-courts-bill-2021-factsheets/police-crime-sentencing-and-courts-bill-2021-road-traffic-offences-factsheet" TargetMode="External"/><Relationship Id="rId23" Type="http://schemas.openxmlformats.org/officeDocument/2006/relationships/hyperlink" Target="https://www.thecrimson.com/article/2012/5/21/ted-kaczynski-unabomber-math/?page=single" TargetMode="External"/><Relationship Id="rId28" Type="http://schemas.openxmlformats.org/officeDocument/2006/relationships/hyperlink" Target="https://www.iriss.org.uk/resources/insights/restorative-justice?gclid=Cj0KCQiAnuGNBhCPARIsACbnLzoEAjUCr1Q7u-Mx5ccycsOHaQqtqzixnp9Y2-PG6B1jp-luQt11HU8aAvXtEALw_wcB" TargetMode="External"/><Relationship Id="rId36" Type="http://schemas.openxmlformats.org/officeDocument/2006/relationships/theme" Target="theme/theme1.xml"/><Relationship Id="rId10" Type="http://schemas.openxmlformats.org/officeDocument/2006/relationships/hyperlink" Target="https://assets.publishing.service.gov.uk/government/uploads/system/uploads/attachment_data/file/912948/drink-drive-final-estimates-2018.pdf" TargetMode="External"/><Relationship Id="rId19" Type="http://schemas.openxmlformats.org/officeDocument/2006/relationships/hyperlink" Target="https://www.sentencingcouncil.org.uk/offences/crown-court/item/causing-death-by-dangerous-driving/" TargetMode="External"/><Relationship Id="rId31" Type="http://schemas.openxmlformats.org/officeDocument/2006/relationships/hyperlink" Target="https://restorativejustice.org.uk/resources/moj-evaluation-restorative-justice" TargetMode="External"/><Relationship Id="rId4" Type="http://schemas.openxmlformats.org/officeDocument/2006/relationships/footnotes" Target="footnotes.xml"/><Relationship Id="rId9" Type="http://schemas.openxmlformats.org/officeDocument/2006/relationships/hyperlink" Target="https://www.cps.gov.uk/legal-guidance/sentencing-mandatory-life-sentences-murder-cases" TargetMode="External"/><Relationship Id="rId14" Type="http://schemas.openxmlformats.org/officeDocument/2006/relationships/hyperlink" Target="https://thoughtsmostlyaboutlearning.files.wordpress.com/2015/12/learning-by-doing-graham-gibbs.pdf" TargetMode="External"/><Relationship Id="rId22" Type="http://schemas.openxmlformats.org/officeDocument/2006/relationships/hyperlink" Target="https://journals.sagepub.com/doi/full/10.3102/0091732X18821125" TargetMode="External"/><Relationship Id="rId27" Type="http://schemas.openxmlformats.org/officeDocument/2006/relationships/hyperlink" Target="https://www.cps.gov.uk/legal-guidance/restorative-justice" TargetMode="External"/><Relationship Id="rId30" Type="http://schemas.openxmlformats.org/officeDocument/2006/relationships/hyperlink" Target="https://restorativejustice.org.uk/sites/default/files/resources/files/Rebuilding%20Lives%20-%20Response%20of%20the%20Restorative%20Justice%20Consortium.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3731</Words>
  <Characters>21268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Portfolio</vt:lpstr>
    </vt:vector>
  </TitlesOfParts>
  <Company/>
  <LinksUpToDate>false</LinksUpToDate>
  <CharactersWithSpaces>24950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BCMJ7001</dc:subject>
  <dc:creator>Sadie France</dc:creator>
  <cp:lastModifiedBy>Sadie France</cp:lastModifiedBy>
  <cp:revision>2</cp:revision>
  <dcterms:created xsi:type="dcterms:W3CDTF">2022-01-02T17:47:00Z</dcterms:created>
  <dcterms:modified xsi:type="dcterms:W3CDTF">2022-01-02T17:47:00Z</dcterms:modified>
</cp:coreProperties>
</file>