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C9CF4E" w14:textId="47E23C99" w:rsidR="001E19CA" w:rsidRDefault="001E19CA" w:rsidP="001E19CA">
      <w:r>
        <w:t>Student Number</w:t>
      </w:r>
      <w:r w:rsidR="006E5D2D">
        <w:t xml:space="preserve"> 2508995</w:t>
      </w:r>
    </w:p>
    <w:p w14:paraId="01E9A408" w14:textId="3AEF5C0D" w:rsidR="006E5D2D" w:rsidRDefault="006E5D2D" w:rsidP="001E19CA">
      <w:r>
        <w:t xml:space="preserve">Name Zahra Shamrez Mahmood </w:t>
      </w:r>
    </w:p>
    <w:p w14:paraId="3E229DDB" w14:textId="77777777" w:rsidR="001E19CA" w:rsidRDefault="001E19CA" w:rsidP="001E19CA">
      <w:r>
        <w:t>BMHP5023 Introduction to Physiology</w:t>
      </w:r>
    </w:p>
    <w:p w14:paraId="510EAF14" w14:textId="77777777" w:rsidR="001E19CA" w:rsidRDefault="001E19CA" w:rsidP="001E19CA">
      <w:r>
        <w:t>Case Study Report: Type 2 Diabetes</w:t>
      </w:r>
    </w:p>
    <w:p w14:paraId="3B5F67E9" w14:textId="77777777" w:rsidR="001E19CA" w:rsidRDefault="001E19CA" w:rsidP="001E19CA">
      <w:r>
        <w:t>Date: 16 September 2026</w:t>
      </w:r>
    </w:p>
    <w:p w14:paraId="562220B9" w14:textId="3D1F5F2A" w:rsidR="001E19CA" w:rsidRDefault="001E19CA" w:rsidP="001E19CA"/>
    <w:p w14:paraId="764E3331" w14:textId="77777777" w:rsidR="001E19CA" w:rsidRDefault="001E19CA" w:rsidP="001E19CA">
      <w:r>
        <w:t xml:space="preserve"> </w:t>
      </w:r>
    </w:p>
    <w:p w14:paraId="310EE4C6" w14:textId="77777777" w:rsidR="001E19CA" w:rsidRDefault="001E19CA" w:rsidP="001E19CA">
      <w:r>
        <w:t> </w:t>
      </w:r>
    </w:p>
    <w:p w14:paraId="19EEA678" w14:textId="77777777" w:rsidR="009E6EDE" w:rsidRDefault="009E6EDE" w:rsidP="001E19CA"/>
    <w:p w14:paraId="6BD5396C" w14:textId="77777777" w:rsidR="009E6EDE" w:rsidRDefault="009E6EDE" w:rsidP="001E19CA"/>
    <w:p w14:paraId="63A10BEB" w14:textId="77777777" w:rsidR="009E6EDE" w:rsidRDefault="009E6EDE" w:rsidP="001E19CA"/>
    <w:p w14:paraId="75730D51" w14:textId="77777777" w:rsidR="009E6EDE" w:rsidRDefault="009E6EDE" w:rsidP="001E19CA"/>
    <w:p w14:paraId="065341AD" w14:textId="77777777" w:rsidR="009E6EDE" w:rsidRDefault="009E6EDE" w:rsidP="001E19CA"/>
    <w:p w14:paraId="1EF4E514" w14:textId="77777777" w:rsidR="009E6EDE" w:rsidRDefault="009E6EDE" w:rsidP="001E19CA"/>
    <w:p w14:paraId="3F33AD0F" w14:textId="77777777" w:rsidR="009E6EDE" w:rsidRDefault="009E6EDE" w:rsidP="001E19CA"/>
    <w:p w14:paraId="081FA0D7" w14:textId="77777777" w:rsidR="009E6EDE" w:rsidRDefault="009E6EDE" w:rsidP="001E19CA"/>
    <w:p w14:paraId="40DAB2D3" w14:textId="77777777" w:rsidR="009E6EDE" w:rsidRDefault="009E6EDE" w:rsidP="001E19CA"/>
    <w:p w14:paraId="438A69B2" w14:textId="77777777" w:rsidR="009E6EDE" w:rsidRDefault="009E6EDE" w:rsidP="001E19CA"/>
    <w:p w14:paraId="63D66DF0" w14:textId="77777777" w:rsidR="009E6EDE" w:rsidRDefault="009E6EDE" w:rsidP="001E19CA"/>
    <w:p w14:paraId="4538FFF1" w14:textId="77777777" w:rsidR="009E6EDE" w:rsidRDefault="009E6EDE" w:rsidP="001E19CA"/>
    <w:p w14:paraId="6D457A82" w14:textId="77777777" w:rsidR="009E6EDE" w:rsidRDefault="009E6EDE" w:rsidP="001E19CA"/>
    <w:p w14:paraId="64D925FC" w14:textId="77777777" w:rsidR="009E6EDE" w:rsidRDefault="009E6EDE" w:rsidP="001E19CA"/>
    <w:p w14:paraId="524741BC" w14:textId="77777777" w:rsidR="006E5D2D" w:rsidRDefault="006E5D2D" w:rsidP="001E19CA"/>
    <w:p w14:paraId="4308D02E" w14:textId="77777777" w:rsidR="006E5D2D" w:rsidRDefault="006E5D2D" w:rsidP="001E19CA"/>
    <w:p w14:paraId="34AC757F" w14:textId="77777777" w:rsidR="006E5D2D" w:rsidRDefault="006E5D2D" w:rsidP="001E19CA"/>
    <w:p w14:paraId="293DEAC5" w14:textId="77777777" w:rsidR="006E5D2D" w:rsidRDefault="006E5D2D" w:rsidP="001E19CA"/>
    <w:p w14:paraId="70306D81" w14:textId="77777777" w:rsidR="006E5D2D" w:rsidRDefault="006E5D2D" w:rsidP="001E19CA"/>
    <w:p w14:paraId="69167483" w14:textId="77777777" w:rsidR="006E5D2D" w:rsidRDefault="006E5D2D" w:rsidP="001E19CA"/>
    <w:p w14:paraId="6BD2A0B9" w14:textId="77777777" w:rsidR="006E5D2D" w:rsidRDefault="006E5D2D" w:rsidP="001E19CA"/>
    <w:p w14:paraId="1C33BFC4" w14:textId="77777777" w:rsidR="009E6EDE" w:rsidRDefault="009E6EDE" w:rsidP="001E19CA"/>
    <w:p w14:paraId="12C21A3F" w14:textId="77777777" w:rsidR="009E6EDE" w:rsidRDefault="009E6EDE" w:rsidP="001E19CA"/>
    <w:p w14:paraId="236B5114" w14:textId="77777777" w:rsidR="001E19CA" w:rsidRPr="00212DAF" w:rsidRDefault="001E19CA" w:rsidP="001E19CA">
      <w:pPr>
        <w:rPr>
          <w:b/>
          <w:bCs/>
          <w:u w:val="single"/>
        </w:rPr>
      </w:pPr>
      <w:r w:rsidRPr="00212DAF">
        <w:rPr>
          <w:b/>
          <w:bCs/>
          <w:u w:val="single"/>
        </w:rPr>
        <w:lastRenderedPageBreak/>
        <w:t xml:space="preserve"> </w:t>
      </w:r>
    </w:p>
    <w:p w14:paraId="41777E3C" w14:textId="79587EFB" w:rsidR="001E19CA" w:rsidRPr="00212DAF" w:rsidRDefault="001E19CA" w:rsidP="00331488">
      <w:pPr>
        <w:spacing w:line="360" w:lineRule="auto"/>
        <w:rPr>
          <w:rFonts w:ascii="Arial" w:hAnsi="Arial" w:cs="Arial"/>
          <w:b/>
          <w:bCs/>
          <w:u w:val="single"/>
        </w:rPr>
      </w:pPr>
      <w:r w:rsidRPr="00212DAF">
        <w:rPr>
          <w:rFonts w:ascii="Arial" w:hAnsi="Arial" w:cs="Arial"/>
          <w:b/>
          <w:bCs/>
          <w:u w:val="single"/>
        </w:rPr>
        <w:t>1. Introduction</w:t>
      </w:r>
    </w:p>
    <w:p w14:paraId="2694C6ED" w14:textId="0C4FAEC5" w:rsidR="001E19CA" w:rsidRPr="00331488" w:rsidRDefault="001E19CA" w:rsidP="00331488">
      <w:pPr>
        <w:spacing w:line="360" w:lineRule="auto"/>
        <w:rPr>
          <w:rFonts w:ascii="Arial" w:hAnsi="Arial" w:cs="Arial"/>
        </w:rPr>
      </w:pPr>
      <w:r w:rsidRPr="00331488">
        <w:rPr>
          <w:rFonts w:ascii="Arial" w:hAnsi="Arial" w:cs="Arial"/>
        </w:rPr>
        <w:t>Diabetes mellitus is a chronic metabolic condition characterised by persistent elevation of blood glucose levels, resulting from defects in insulin secretion, insulin action, or both. Type 2 diabetes is the most prevalent form globally, accounting for approximately 90–95% of all diagnosed cases (NICE, 2024). Unlike Type 1 diabetes, where autoimmune destruction of pancreatic beta cells causes absolute insulin deficiency, Type 2 diabetes develops when body cells become resistant to insulin and the pancreas gradually loses sufficient capacity to produce it.Several interrelated risk factors contribute to the development of Type 2 diabetes. These include modifiable factors such as overweight and obesity particularly central adiposity diets high in refined sugars and saturated fats, physical inactivity, and tobacco use. Non-modifiable risks comprise increasing age, a family history of diabetes, and ethnic background; individuals of South Asian heritage have up to a six-fold higher risk compared to white European populations and may develop the condition at a younger age and lower body mass index (Diabetes UK, 2025).</w:t>
      </w:r>
      <w:r w:rsidR="00212DAF" w:rsidRPr="00212DAF">
        <w:rPr>
          <w:color w:val="000000"/>
          <w:shd w:val="clear" w:color="auto" w:fill="FFFFFF"/>
        </w:rPr>
        <w:t xml:space="preserve"> </w:t>
      </w:r>
      <w:r w:rsidR="00212DAF" w:rsidRPr="00212DAF">
        <w:rPr>
          <w:rFonts w:ascii="Arial" w:hAnsi="Arial" w:cs="Arial"/>
        </w:rPr>
        <w:t xml:space="preserve">Diabetes mellitus (DM) is a chronic metabolic disorder characterized by persistent </w:t>
      </w:r>
      <w:r w:rsidR="00212DAF" w:rsidRPr="00212DAF">
        <w:rPr>
          <w:rFonts w:ascii="Arial" w:hAnsi="Arial" w:cs="Arial"/>
        </w:rPr>
        <w:t>hyperglycaemia</w:t>
      </w:r>
      <w:r w:rsidR="00212DAF" w:rsidRPr="00212DAF">
        <w:rPr>
          <w:rFonts w:ascii="Arial" w:hAnsi="Arial" w:cs="Arial"/>
        </w:rPr>
        <w:t xml:space="preserve">. It may be due to impaired insulin secretion, resistance to peripheral actions of insulin, or both. Chronic </w:t>
      </w:r>
      <w:r w:rsidR="00212DAF" w:rsidRPr="00212DAF">
        <w:rPr>
          <w:rFonts w:ascii="Arial" w:hAnsi="Arial" w:cs="Arial"/>
        </w:rPr>
        <w:t>hyperglycaemia</w:t>
      </w:r>
      <w:r w:rsidR="00212DAF" w:rsidRPr="00212DAF">
        <w:rPr>
          <w:rFonts w:ascii="Arial" w:hAnsi="Arial" w:cs="Arial"/>
        </w:rPr>
        <w:t xml:space="preserve"> in synergy with the other metabolic aberrations in patients with diabetes mellitus can cause damage to various organ systems, leading to the development of disabling and life-threatening health complications, most prominent of which are microvascular (retinopathy, nephropathy, and neuropathy) and macrovascular complications leading to a 2-fold to 4-fold increased risk of cardiovascular diseases. This activity reviews the pathophysiology of DM and highlights the role of the interprofessional team in its </w:t>
      </w:r>
      <w:r w:rsidR="009A082A" w:rsidRPr="00212DAF">
        <w:rPr>
          <w:rFonts w:ascii="Arial" w:hAnsi="Arial" w:cs="Arial"/>
        </w:rPr>
        <w:t>management.</w:t>
      </w:r>
      <w:r w:rsidR="009A082A" w:rsidRPr="00331488">
        <w:rPr>
          <w:rFonts w:ascii="Arial" w:hAnsi="Arial" w:cs="Arial"/>
        </w:rPr>
        <w:t xml:space="preserve"> The</w:t>
      </w:r>
      <w:r w:rsidRPr="00331488">
        <w:rPr>
          <w:rFonts w:ascii="Arial" w:hAnsi="Arial" w:cs="Arial"/>
        </w:rPr>
        <w:t xml:space="preserve"> purpose of this report is to explain the physiological mechanisms governing blood glucose homeostasis, describe how these processes are disrupted in Type 2 diabetes, and outline the importance of routine blood glucose monitoring. It will also present evidence-based lifestyle recommendations that support effective disease management. The information is designed to support patient understanding and engagement with care plans, aligning with the role of the practice nurse in promoting health literacy and self-management.</w:t>
      </w:r>
      <w:r w:rsidR="009A082A" w:rsidRPr="009A082A">
        <w:rPr>
          <w:rFonts w:ascii="Arial" w:hAnsi="Arial" w:cs="Arial"/>
        </w:rPr>
        <w:t xml:space="preserve"> </w:t>
      </w:r>
      <w:r w:rsidR="009A082A" w:rsidRPr="00331488">
        <w:rPr>
          <w:rFonts w:ascii="Arial" w:hAnsi="Arial" w:cs="Arial"/>
        </w:rPr>
        <w:t xml:space="preserve">(NICE, 2024). </w:t>
      </w:r>
    </w:p>
    <w:p w14:paraId="0337F741" w14:textId="3F25E766" w:rsidR="001E19CA" w:rsidRPr="00212DAF" w:rsidRDefault="001E19CA" w:rsidP="00331488">
      <w:pPr>
        <w:spacing w:line="360" w:lineRule="auto"/>
        <w:rPr>
          <w:rFonts w:ascii="Arial" w:hAnsi="Arial" w:cs="Arial"/>
          <w:b/>
          <w:bCs/>
          <w:u w:val="single"/>
        </w:rPr>
      </w:pPr>
      <w:r w:rsidRPr="00212DAF">
        <w:rPr>
          <w:rFonts w:ascii="Arial" w:hAnsi="Arial" w:cs="Arial"/>
          <w:b/>
          <w:bCs/>
          <w:u w:val="single"/>
        </w:rPr>
        <w:t>2. Physiological Regulation of Blood Glucose and Cellular Energy Production</w:t>
      </w:r>
    </w:p>
    <w:p w14:paraId="2C5F4382" w14:textId="454E4EC3" w:rsidR="001E19CA" w:rsidRPr="00331488" w:rsidRDefault="001E19CA" w:rsidP="00331488">
      <w:pPr>
        <w:spacing w:line="360" w:lineRule="auto"/>
        <w:rPr>
          <w:rFonts w:ascii="Arial" w:hAnsi="Arial" w:cs="Arial"/>
        </w:rPr>
      </w:pPr>
      <w:r w:rsidRPr="00331488">
        <w:rPr>
          <w:rFonts w:ascii="Arial" w:hAnsi="Arial" w:cs="Arial"/>
        </w:rPr>
        <w:t xml:space="preserve">Under healthy conditions, blood glucose concentration is maintained within a narrow </w:t>
      </w:r>
      <w:r w:rsidR="00212DAF" w:rsidRPr="00331488">
        <w:rPr>
          <w:rFonts w:ascii="Arial" w:hAnsi="Arial" w:cs="Arial"/>
        </w:rPr>
        <w:t>range typically</w:t>
      </w:r>
      <w:r w:rsidRPr="00331488">
        <w:rPr>
          <w:rFonts w:ascii="Arial" w:hAnsi="Arial" w:cs="Arial"/>
        </w:rPr>
        <w:t xml:space="preserve"> between 4.0 and 5.9 mmol/L when fasting through a dynamic balance between hormonal signals originating primarily from the </w:t>
      </w:r>
      <w:r w:rsidR="009A082A" w:rsidRPr="00331488">
        <w:rPr>
          <w:rFonts w:ascii="Arial" w:hAnsi="Arial" w:cs="Arial"/>
        </w:rPr>
        <w:t>pancreas.</w:t>
      </w:r>
      <w:r w:rsidRPr="00331488">
        <w:rPr>
          <w:rFonts w:ascii="Arial" w:hAnsi="Arial" w:cs="Arial"/>
        </w:rPr>
        <w:t xml:space="preserve"> Following a meal, digested carbohydrates are broken down into glucose, which is absorbed into the bloodstream. The resulting rise in blood glucose stimulates pancreatic beta cells to secrete the hormone </w:t>
      </w:r>
      <w:r w:rsidRPr="00331488">
        <w:rPr>
          <w:rFonts w:ascii="Arial" w:hAnsi="Arial" w:cs="Arial"/>
        </w:rPr>
        <w:lastRenderedPageBreak/>
        <w:t xml:space="preserve">insulin. Insulin acts as a key signalling molecule: it binds to receptors on target </w:t>
      </w:r>
      <w:r w:rsidR="00212DAF" w:rsidRPr="00331488">
        <w:rPr>
          <w:rFonts w:ascii="Arial" w:hAnsi="Arial" w:cs="Arial"/>
        </w:rPr>
        <w:t>cells notably in</w:t>
      </w:r>
      <w:r w:rsidRPr="00331488">
        <w:rPr>
          <w:rFonts w:ascii="Arial" w:hAnsi="Arial" w:cs="Arial"/>
        </w:rPr>
        <w:t xml:space="preserve"> skeletal muscle, adipose tissue, and the </w:t>
      </w:r>
      <w:r w:rsidR="00212DAF" w:rsidRPr="00331488">
        <w:rPr>
          <w:rFonts w:ascii="Arial" w:hAnsi="Arial" w:cs="Arial"/>
        </w:rPr>
        <w:t>liver triggering</w:t>
      </w:r>
      <w:r w:rsidR="00212DAF">
        <w:rPr>
          <w:rFonts w:ascii="Arial" w:hAnsi="Arial" w:cs="Arial"/>
        </w:rPr>
        <w:t xml:space="preserve"> </w:t>
      </w:r>
      <w:r w:rsidRPr="00331488">
        <w:rPr>
          <w:rFonts w:ascii="Arial" w:hAnsi="Arial" w:cs="Arial"/>
        </w:rPr>
        <w:t xml:space="preserve">the translocation of glucose transporter proteins (GLUT4) to the cell membrane. This facilitates glucose uptake from the blood into the cells, where it is utilised or </w:t>
      </w:r>
      <w:r w:rsidR="009A082A" w:rsidRPr="00331488">
        <w:rPr>
          <w:rFonts w:ascii="Arial" w:hAnsi="Arial" w:cs="Arial"/>
        </w:rPr>
        <w:t>stored. When</w:t>
      </w:r>
      <w:r w:rsidRPr="00331488">
        <w:rPr>
          <w:rFonts w:ascii="Arial" w:hAnsi="Arial" w:cs="Arial"/>
        </w:rPr>
        <w:t xml:space="preserve"> blood glucose levels fall, such as between meals or during physical exertion, pancreatic alpha cells release glucagon. This hormone stimulates glycogenolysis the breakdown of stored glycogen in the liver into </w:t>
      </w:r>
      <w:r w:rsidR="00212DAF" w:rsidRPr="00331488">
        <w:rPr>
          <w:rFonts w:ascii="Arial" w:hAnsi="Arial" w:cs="Arial"/>
        </w:rPr>
        <w:t>glucose which</w:t>
      </w:r>
      <w:r w:rsidRPr="00331488">
        <w:rPr>
          <w:rFonts w:ascii="Arial" w:hAnsi="Arial" w:cs="Arial"/>
        </w:rPr>
        <w:t xml:space="preserve"> is released into circulation to restore glucose concentrations to baseline. Other hormones including cortisol, adrenaline, and growth hormone also contribute to glucose regulation, particularly during stress or prolonged </w:t>
      </w:r>
      <w:r w:rsidR="009A082A" w:rsidRPr="00331488">
        <w:rPr>
          <w:rFonts w:ascii="Arial" w:hAnsi="Arial" w:cs="Arial"/>
        </w:rPr>
        <w:t>fasting. Once</w:t>
      </w:r>
      <w:r w:rsidRPr="00331488">
        <w:rPr>
          <w:rFonts w:ascii="Arial" w:hAnsi="Arial" w:cs="Arial"/>
        </w:rPr>
        <w:t xml:space="preserve"> inside cells, glucose is metabolised to produce energy in the form of adenosine triphosphate (ATP) through the process of cellular respiration. This occurs in three main stages: glycolysis in the cytoplasm, and the Krebs cycle with oxidative phosphorylation in the mitochondria. The overall chemical reaction can be summarised </w:t>
      </w:r>
      <w:r w:rsidR="009A082A" w:rsidRPr="00331488">
        <w:rPr>
          <w:rFonts w:ascii="Arial" w:hAnsi="Arial" w:cs="Arial"/>
        </w:rPr>
        <w:t>as: Glucose</w:t>
      </w:r>
      <w:r w:rsidRPr="00331488">
        <w:rPr>
          <w:rFonts w:ascii="Arial" w:hAnsi="Arial" w:cs="Arial"/>
        </w:rPr>
        <w:t xml:space="preserve"> + Oxygen → Carbon Dioxide + Water + Energy (ATP)Approximately 30–32 molecules of ATP are generated from one molecule of glucose in the presence of oxygen. ATP provides the immediate energy source essential for all cellular functions, including muscle contraction, nerve transmission, and metabolic maintenance (Tortora &amp; Derrickson, 2023). This process explains why sustained glucose availability is critical: without adequate uptake, cells are functionally “starved” despite high circulating sugar levels.</w:t>
      </w:r>
      <w:r w:rsidR="009A082A" w:rsidRPr="009A082A">
        <w:rPr>
          <w:rFonts w:ascii="Arial" w:hAnsi="Arial" w:cs="Arial"/>
        </w:rPr>
        <w:t xml:space="preserve"> </w:t>
      </w:r>
      <w:r w:rsidR="009A082A" w:rsidRPr="00331488">
        <w:rPr>
          <w:rFonts w:ascii="Arial" w:hAnsi="Arial" w:cs="Arial"/>
        </w:rPr>
        <w:t>(Marieb &amp; Hoehn, 2022)</w:t>
      </w:r>
    </w:p>
    <w:p w14:paraId="674AC0E7" w14:textId="5DAEB9CB" w:rsidR="001E19CA" w:rsidRPr="00212DAF" w:rsidRDefault="001E19CA" w:rsidP="00331488">
      <w:pPr>
        <w:spacing w:line="360" w:lineRule="auto"/>
        <w:rPr>
          <w:rFonts w:ascii="Arial" w:hAnsi="Arial" w:cs="Arial"/>
          <w:b/>
          <w:bCs/>
          <w:u w:val="single"/>
        </w:rPr>
      </w:pPr>
      <w:r w:rsidRPr="00212DAF">
        <w:rPr>
          <w:rFonts w:ascii="Arial" w:hAnsi="Arial" w:cs="Arial"/>
          <w:b/>
          <w:bCs/>
          <w:u w:val="single"/>
        </w:rPr>
        <w:t>3. Pathophysiology of Type 2 Diabetes and Impact of Lifestyle Factors</w:t>
      </w:r>
    </w:p>
    <w:p w14:paraId="12FB42B3" w14:textId="104DAEBD" w:rsidR="001E19CA" w:rsidRPr="00331488" w:rsidRDefault="001E19CA" w:rsidP="00331488">
      <w:pPr>
        <w:spacing w:line="360" w:lineRule="auto"/>
        <w:rPr>
          <w:rFonts w:ascii="Arial" w:hAnsi="Arial" w:cs="Arial"/>
        </w:rPr>
      </w:pPr>
      <w:r w:rsidRPr="00331488">
        <w:rPr>
          <w:rFonts w:ascii="Arial" w:hAnsi="Arial" w:cs="Arial"/>
        </w:rPr>
        <w:t xml:space="preserve">In Type 2 diabetes, the finely tuned glucose regulatory system fails through two primary mechanisms: insulin resistance and progressive beta-cell dysfunction. Initially, cells particularly in muscle and liver respond less efficiently to insulin signalling. This means glucose transporters are not sufficiently activated, reducing cellular glucose uptake and leaving excess sugar in the bloodstream. The pancreas initially compensates by producing more insulin, leading to </w:t>
      </w:r>
      <w:r w:rsidR="00212DAF" w:rsidRPr="00331488">
        <w:rPr>
          <w:rFonts w:ascii="Arial" w:hAnsi="Arial" w:cs="Arial"/>
        </w:rPr>
        <w:t>hyperinsulinemia</w:t>
      </w:r>
      <w:r w:rsidRPr="00331488">
        <w:rPr>
          <w:rFonts w:ascii="Arial" w:hAnsi="Arial" w:cs="Arial"/>
        </w:rPr>
        <w:t>. Over time, however, beta cells cannot sustain this increased workload and their secretory capacity declines, resulting in relative insulin deficiency and overt hyperglycaemia (Holt et al., 2023).</w:t>
      </w:r>
    </w:p>
    <w:p w14:paraId="658BA34B" w14:textId="034149FC" w:rsidR="001E19CA" w:rsidRPr="00331488" w:rsidRDefault="001E19CA" w:rsidP="00331488">
      <w:pPr>
        <w:spacing w:line="360" w:lineRule="auto"/>
        <w:rPr>
          <w:rFonts w:ascii="Arial" w:hAnsi="Arial" w:cs="Arial"/>
        </w:rPr>
      </w:pPr>
      <w:r w:rsidRPr="00331488">
        <w:rPr>
          <w:rFonts w:ascii="Arial" w:hAnsi="Arial" w:cs="Arial"/>
        </w:rPr>
        <w:t xml:space="preserve">Lifestyle factors directly influence both the development and progression of insulin resistance. Excess body fat especially visceral fat surrounding internal </w:t>
      </w:r>
      <w:r w:rsidR="00212DAF" w:rsidRPr="00331488">
        <w:rPr>
          <w:rFonts w:ascii="Arial" w:hAnsi="Arial" w:cs="Arial"/>
        </w:rPr>
        <w:t>organs releases</w:t>
      </w:r>
      <w:r w:rsidRPr="00331488">
        <w:rPr>
          <w:rFonts w:ascii="Arial" w:hAnsi="Arial" w:cs="Arial"/>
        </w:rPr>
        <w:t xml:space="preserve"> pro-inflammatory cytokines that interfere with insulin receptor signalling pathways. Diets rich in refined carbohydrates and added sugars cause repeated post-meal glucose spikes, placing sustained demand on pancreatic function and promoting fat storage. Conversely, diets high in fibre, whole grains, and plant-based foods slow carbohydrate absorption and improve insulin </w:t>
      </w:r>
      <w:r w:rsidR="009A082A" w:rsidRPr="00331488">
        <w:rPr>
          <w:rFonts w:ascii="Arial" w:hAnsi="Arial" w:cs="Arial"/>
        </w:rPr>
        <w:t>sensitivity. Physical</w:t>
      </w:r>
      <w:r w:rsidRPr="00331488">
        <w:rPr>
          <w:rFonts w:ascii="Arial" w:hAnsi="Arial" w:cs="Arial"/>
        </w:rPr>
        <w:t xml:space="preserve"> inactivity exacerbates insulin resistance because contracting </w:t>
      </w:r>
      <w:r w:rsidRPr="00331488">
        <w:rPr>
          <w:rFonts w:ascii="Arial" w:hAnsi="Arial" w:cs="Arial"/>
        </w:rPr>
        <w:lastRenderedPageBreak/>
        <w:t>skeletal muscle can absorb glucose independently of insulin; regular exercise therefore provides an alternative pathway for glucose clearance and enhances insulin sensitivity for up to 48 hours post-</w:t>
      </w:r>
      <w:r w:rsidR="009A082A" w:rsidRPr="00331488">
        <w:rPr>
          <w:rFonts w:ascii="Arial" w:hAnsi="Arial" w:cs="Arial"/>
        </w:rPr>
        <w:t>activity.</w:t>
      </w:r>
      <w:r w:rsidRPr="00331488">
        <w:rPr>
          <w:rFonts w:ascii="Arial" w:hAnsi="Arial" w:cs="Arial"/>
        </w:rPr>
        <w:t xml:space="preserve"> Smoking compounds these risks: nicotine raises blood glucose levels directly, increases insulin resistance through sympathetic nervous system activation, and </w:t>
      </w:r>
      <w:r w:rsidR="00212DAF" w:rsidRPr="00331488">
        <w:rPr>
          <w:rFonts w:ascii="Arial" w:hAnsi="Arial" w:cs="Arial"/>
        </w:rPr>
        <w:t>damage’s</w:t>
      </w:r>
      <w:r w:rsidRPr="00331488">
        <w:rPr>
          <w:rFonts w:ascii="Arial" w:hAnsi="Arial" w:cs="Arial"/>
        </w:rPr>
        <w:t xml:space="preserve"> endothelial function, accelerating cardiovascular complications associated with diabetes. Each of these factors operates </w:t>
      </w:r>
      <w:r w:rsidR="00212DAF" w:rsidRPr="00331488">
        <w:rPr>
          <w:rFonts w:ascii="Arial" w:hAnsi="Arial" w:cs="Arial"/>
        </w:rPr>
        <w:t>synergistically meaning</w:t>
      </w:r>
      <w:r w:rsidRPr="00331488">
        <w:rPr>
          <w:rFonts w:ascii="Arial" w:hAnsi="Arial" w:cs="Arial"/>
        </w:rPr>
        <w:t xml:space="preserve"> their combined effect is greater than the sum of individual risks highlighting why comprehensive lifestyle modification is central to disease management.</w:t>
      </w:r>
      <w:r w:rsidR="009A082A" w:rsidRPr="009A082A">
        <w:rPr>
          <w:rFonts w:ascii="Arial" w:hAnsi="Arial" w:cs="Arial"/>
        </w:rPr>
        <w:t xml:space="preserve"> </w:t>
      </w:r>
      <w:r w:rsidR="009A082A">
        <w:rPr>
          <w:rFonts w:ascii="Arial" w:hAnsi="Arial" w:cs="Arial"/>
        </w:rPr>
        <w:t>(</w:t>
      </w:r>
      <w:r w:rsidR="009A082A" w:rsidRPr="00331488">
        <w:rPr>
          <w:rFonts w:ascii="Arial" w:hAnsi="Arial" w:cs="Arial"/>
        </w:rPr>
        <w:t>Colberg et al., 2022</w:t>
      </w:r>
      <w:r w:rsidR="009A082A">
        <w:rPr>
          <w:rFonts w:ascii="Arial" w:hAnsi="Arial" w:cs="Arial"/>
        </w:rPr>
        <w:t>)</w:t>
      </w:r>
    </w:p>
    <w:p w14:paraId="75AA4E5C" w14:textId="591B2AD3" w:rsidR="001E19CA" w:rsidRPr="00212DAF" w:rsidRDefault="001E19CA" w:rsidP="00331488">
      <w:pPr>
        <w:spacing w:line="360" w:lineRule="auto"/>
        <w:rPr>
          <w:rFonts w:ascii="Arial" w:hAnsi="Arial" w:cs="Arial"/>
          <w:b/>
          <w:bCs/>
          <w:u w:val="single"/>
        </w:rPr>
      </w:pPr>
      <w:r w:rsidRPr="00212DAF">
        <w:rPr>
          <w:rFonts w:ascii="Arial" w:hAnsi="Arial" w:cs="Arial"/>
          <w:b/>
          <w:bCs/>
          <w:u w:val="single"/>
        </w:rPr>
        <w:t>4. The Importance of Monitoring and Tracking Blood Glucose Levels</w:t>
      </w:r>
    </w:p>
    <w:p w14:paraId="3B9ECA58" w14:textId="726CA5CA" w:rsidR="001E19CA" w:rsidRPr="00331488" w:rsidRDefault="001E19CA" w:rsidP="00331488">
      <w:pPr>
        <w:spacing w:line="360" w:lineRule="auto"/>
        <w:rPr>
          <w:rFonts w:ascii="Arial" w:hAnsi="Arial" w:cs="Arial"/>
        </w:rPr>
      </w:pPr>
      <w:r w:rsidRPr="00331488">
        <w:rPr>
          <w:rFonts w:ascii="Arial" w:hAnsi="Arial" w:cs="Arial"/>
        </w:rPr>
        <w:t>Regular self-monitoring of blood glucose enables individuals with Type 2 diabetes to understand how diet, physical activity, medication, stress, and illness uniquely affect their personal glucose control. Readings provide immediate feedback: for example, identifying which specific foods cause rapid glucose rises, or demonstrating how physical activity lowers levels for several hours. This data transforms diabetes management from passive compliance into active, informed decision-making (NICE, 2024).</w:t>
      </w:r>
    </w:p>
    <w:p w14:paraId="233B44E9" w14:textId="39E004F5" w:rsidR="001E19CA" w:rsidRPr="00212DAF" w:rsidRDefault="001E19CA" w:rsidP="00331488">
      <w:pPr>
        <w:spacing w:line="360" w:lineRule="auto"/>
        <w:rPr>
          <w:rFonts w:ascii="Arial" w:hAnsi="Arial" w:cs="Arial"/>
        </w:rPr>
      </w:pPr>
      <w:r w:rsidRPr="00331488">
        <w:rPr>
          <w:rFonts w:ascii="Arial" w:hAnsi="Arial" w:cs="Arial"/>
        </w:rPr>
        <w:t xml:space="preserve">Clinically, consistent monitoring helps detect </w:t>
      </w:r>
      <w:r w:rsidR="00212DAF" w:rsidRPr="00331488">
        <w:rPr>
          <w:rFonts w:ascii="Arial" w:hAnsi="Arial" w:cs="Arial"/>
        </w:rPr>
        <w:t>hyperglycaemia levels</w:t>
      </w:r>
      <w:r w:rsidRPr="00331488">
        <w:rPr>
          <w:rFonts w:ascii="Arial" w:hAnsi="Arial" w:cs="Arial"/>
        </w:rPr>
        <w:t xml:space="preserve"> consistently above 7.0 mmol/L fasting which may indicate the need for medication adjustment or dietary review. It also alerts individuals to </w:t>
      </w:r>
      <w:r w:rsidR="00212DAF" w:rsidRPr="00331488">
        <w:rPr>
          <w:rFonts w:ascii="Arial" w:hAnsi="Arial" w:cs="Arial"/>
        </w:rPr>
        <w:t>hypoglycaemia levels</w:t>
      </w:r>
      <w:r w:rsidRPr="00331488">
        <w:rPr>
          <w:rFonts w:ascii="Arial" w:hAnsi="Arial" w:cs="Arial"/>
        </w:rPr>
        <w:t xml:space="preserve"> below 4.0 mmol/L which carries immediate risks including confusion, shakiness, and in severe cases, loss of consciousness. Patterns identified through monitoring guide healthcare professionals in optimising treatment plans, including the timing and dosage of oral hypoglycaemic agents or insulin </w:t>
      </w:r>
      <w:r w:rsidR="009A082A" w:rsidRPr="00331488">
        <w:rPr>
          <w:rFonts w:ascii="Arial" w:hAnsi="Arial" w:cs="Arial"/>
        </w:rPr>
        <w:t>therapy. Long</w:t>
      </w:r>
      <w:r w:rsidRPr="00331488">
        <w:rPr>
          <w:rFonts w:ascii="Arial" w:hAnsi="Arial" w:cs="Arial"/>
        </w:rPr>
        <w:t>-term monitoring complements the HbA1c test, which provides an average glucose level over the preceding 8–12 weeks. While HbA1c is the gold standard for assessing overall glycaemic control, it does not reveal daily fluctuations or post-meal variability. Combining regular self-checking with periodic HbA1c measurement offers a complete picture of glucose control. Research confirms that patients who actively monitor and understand their results achieve significantly lower HbA1c levels and experience fewer diabetes-related complications than those who do not engage with data (Khunti et al., 2023).</w:t>
      </w:r>
    </w:p>
    <w:p w14:paraId="38CCA48A" w14:textId="2FBF8D15" w:rsidR="001E19CA" w:rsidRPr="00212DAF" w:rsidRDefault="001E19CA" w:rsidP="00331488">
      <w:pPr>
        <w:spacing w:line="360" w:lineRule="auto"/>
        <w:rPr>
          <w:rFonts w:ascii="Arial" w:hAnsi="Arial" w:cs="Arial"/>
          <w:b/>
          <w:bCs/>
          <w:u w:val="single"/>
        </w:rPr>
      </w:pPr>
      <w:r w:rsidRPr="00212DAF">
        <w:rPr>
          <w:rFonts w:ascii="Arial" w:hAnsi="Arial" w:cs="Arial"/>
          <w:b/>
          <w:bCs/>
          <w:u w:val="single"/>
        </w:rPr>
        <w:t>5. Evidence-Based Lifestyle Recommendations</w:t>
      </w:r>
    </w:p>
    <w:p w14:paraId="79255CE5" w14:textId="6847A7CB" w:rsidR="001E19CA" w:rsidRPr="00331488" w:rsidRDefault="001E19CA" w:rsidP="00331488">
      <w:pPr>
        <w:spacing w:line="360" w:lineRule="auto"/>
        <w:rPr>
          <w:rFonts w:ascii="Arial" w:hAnsi="Arial" w:cs="Arial"/>
        </w:rPr>
      </w:pPr>
      <w:r w:rsidRPr="00331488">
        <w:rPr>
          <w:rFonts w:ascii="Arial" w:hAnsi="Arial" w:cs="Arial"/>
        </w:rPr>
        <w:t>The following recommendations are aligned with NICE (2024) and Diabetes UK (2025) guidance and are supported by clinical evidence:</w:t>
      </w:r>
    </w:p>
    <w:p w14:paraId="5737CD03" w14:textId="49806FCE" w:rsidR="001E19CA" w:rsidRPr="00212DAF" w:rsidRDefault="001E19CA" w:rsidP="00331488">
      <w:pPr>
        <w:spacing w:line="360" w:lineRule="auto"/>
        <w:rPr>
          <w:rFonts w:ascii="Arial" w:hAnsi="Arial" w:cs="Arial"/>
          <w:b/>
          <w:bCs/>
          <w:u w:val="single"/>
        </w:rPr>
      </w:pPr>
      <w:r w:rsidRPr="00212DAF">
        <w:rPr>
          <w:rFonts w:ascii="Arial" w:hAnsi="Arial" w:cs="Arial"/>
          <w:b/>
          <w:bCs/>
          <w:u w:val="single"/>
        </w:rPr>
        <w:t>Diet and Nutrition</w:t>
      </w:r>
    </w:p>
    <w:p w14:paraId="0861EE0B" w14:textId="0EDCDB91" w:rsidR="001E19CA" w:rsidRPr="00331488" w:rsidRDefault="001E19CA" w:rsidP="00331488">
      <w:pPr>
        <w:spacing w:line="360" w:lineRule="auto"/>
        <w:rPr>
          <w:rFonts w:ascii="Arial" w:hAnsi="Arial" w:cs="Arial"/>
        </w:rPr>
      </w:pPr>
      <w:r w:rsidRPr="00331488">
        <w:rPr>
          <w:rFonts w:ascii="Arial" w:hAnsi="Arial" w:cs="Arial"/>
        </w:rPr>
        <w:t xml:space="preserve">Adopting a Mediterranean-style diet rich in vegetables, legumes, whole grains, fruits, nuts, olive oil, and oily </w:t>
      </w:r>
      <w:r w:rsidR="009A082A" w:rsidRPr="00331488">
        <w:rPr>
          <w:rFonts w:ascii="Arial" w:hAnsi="Arial" w:cs="Arial"/>
        </w:rPr>
        <w:t>fish is</w:t>
      </w:r>
      <w:r w:rsidRPr="00331488">
        <w:rPr>
          <w:rFonts w:ascii="Arial" w:hAnsi="Arial" w:cs="Arial"/>
        </w:rPr>
        <w:t xml:space="preserve"> consistently associated with improved glycaemic control. This eating </w:t>
      </w:r>
      <w:r w:rsidRPr="00331488">
        <w:rPr>
          <w:rFonts w:ascii="Arial" w:hAnsi="Arial" w:cs="Arial"/>
        </w:rPr>
        <w:lastRenderedPageBreak/>
        <w:t xml:space="preserve">pattern has demonstrated reductions in HbA1c comparable to some oral diabetes medications in several clinical trials. Specific recommendations </w:t>
      </w:r>
      <w:r w:rsidR="00212DAF" w:rsidRPr="00331488">
        <w:rPr>
          <w:rFonts w:ascii="Arial" w:hAnsi="Arial" w:cs="Arial"/>
        </w:rPr>
        <w:t>include</w:t>
      </w:r>
      <w:r w:rsidRPr="00331488">
        <w:rPr>
          <w:rFonts w:ascii="Arial" w:hAnsi="Arial" w:cs="Arial"/>
        </w:rPr>
        <w:t xml:space="preserve"> replacing refined carbohydrates such as white bread, pastries, and sugary cereals with low-glycaemic-index alternatives; limiting added sugars to less than 5% of daily energy intake; and distributing protein intake evenly across meals to slow gastric emptying and glucose absorption. Portion control is equally important: even healthy foods can raise glucose levels if consumed in </w:t>
      </w:r>
      <w:r w:rsidR="009A082A" w:rsidRPr="00331488">
        <w:rPr>
          <w:rFonts w:ascii="Arial" w:hAnsi="Arial" w:cs="Arial"/>
        </w:rPr>
        <w:t>excess.</w:t>
      </w:r>
      <w:r w:rsidR="009A082A">
        <w:rPr>
          <w:rFonts w:ascii="Arial" w:hAnsi="Arial" w:cs="Arial"/>
        </w:rPr>
        <w:t xml:space="preserve"> (Diabetes UK 2025: Zaccardi et al,2022)</w:t>
      </w:r>
    </w:p>
    <w:p w14:paraId="02A6D7D5" w14:textId="6AEEE455" w:rsidR="001E19CA" w:rsidRPr="00212DAF" w:rsidRDefault="001E19CA" w:rsidP="00331488">
      <w:pPr>
        <w:spacing w:line="360" w:lineRule="auto"/>
        <w:rPr>
          <w:rFonts w:ascii="Arial" w:hAnsi="Arial" w:cs="Arial"/>
          <w:b/>
          <w:bCs/>
        </w:rPr>
      </w:pPr>
      <w:r w:rsidRPr="00212DAF">
        <w:rPr>
          <w:rFonts w:ascii="Arial" w:hAnsi="Arial" w:cs="Arial"/>
          <w:b/>
          <w:bCs/>
        </w:rPr>
        <w:t>Physical Activity</w:t>
      </w:r>
    </w:p>
    <w:p w14:paraId="36FFE0E2" w14:textId="16439E16" w:rsidR="001E19CA" w:rsidRPr="00331488" w:rsidRDefault="001E19CA" w:rsidP="00331488">
      <w:pPr>
        <w:spacing w:line="360" w:lineRule="auto"/>
        <w:rPr>
          <w:rFonts w:ascii="Arial" w:hAnsi="Arial" w:cs="Arial"/>
        </w:rPr>
      </w:pPr>
      <w:r w:rsidRPr="00331488">
        <w:rPr>
          <w:rFonts w:ascii="Arial" w:hAnsi="Arial" w:cs="Arial"/>
        </w:rPr>
        <w:t xml:space="preserve">Adults with Type 2 diabetes should aim for a minimum of 150 minutes per week of moderate-intensity aerobic activity such as brisk walking, swimming, or </w:t>
      </w:r>
      <w:r w:rsidR="007F0EC2" w:rsidRPr="00331488">
        <w:rPr>
          <w:rFonts w:ascii="Arial" w:hAnsi="Arial" w:cs="Arial"/>
        </w:rPr>
        <w:t>cycling alongside</w:t>
      </w:r>
      <w:r w:rsidRPr="00331488">
        <w:rPr>
          <w:rFonts w:ascii="Arial" w:hAnsi="Arial" w:cs="Arial"/>
        </w:rPr>
        <w:t xml:space="preserve"> muscle-strengthening exercises on two or more days </w:t>
      </w:r>
      <w:r w:rsidR="009A082A" w:rsidRPr="00331488">
        <w:rPr>
          <w:rFonts w:ascii="Arial" w:hAnsi="Arial" w:cs="Arial"/>
        </w:rPr>
        <w:t>weekly.</w:t>
      </w:r>
      <w:r w:rsidRPr="00331488">
        <w:rPr>
          <w:rFonts w:ascii="Arial" w:hAnsi="Arial" w:cs="Arial"/>
        </w:rPr>
        <w:t xml:space="preserve"> Breaking prolonged sitting with short light-activity breaks every 30 minutes significantly improves post-meal glucose regulation. Importantly, losing 5–10% of body </w:t>
      </w:r>
      <w:r w:rsidR="0060473A" w:rsidRPr="00331488">
        <w:rPr>
          <w:rFonts w:ascii="Arial" w:hAnsi="Arial" w:cs="Arial"/>
        </w:rPr>
        <w:t>weight achievable</w:t>
      </w:r>
      <w:r w:rsidRPr="00331488">
        <w:rPr>
          <w:rFonts w:ascii="Arial" w:hAnsi="Arial" w:cs="Arial"/>
        </w:rPr>
        <w:t xml:space="preserve"> through sustained dietary change and increased activity can restore normal glucose metabolism and lead to remission of Type 2 diabetes in some individuals, even without substantial further weight loss. </w:t>
      </w:r>
      <w:r w:rsidR="00325448" w:rsidRPr="00331488">
        <w:rPr>
          <w:rFonts w:ascii="Arial" w:hAnsi="Arial" w:cs="Arial"/>
        </w:rPr>
        <w:t xml:space="preserve">This process is vital because different tissues require varying amounts of energy depending on their function. For example, muscle tissue uses large quantities of ATP during physical activity, which explains why exercise increases the rate of glucose uptake and oxygen consumption. When insulin is not functioning effectively, glucose cannot enter cells efficiently, leaving body tissues short of energy even when blood sugar levels are </w:t>
      </w:r>
      <w:r w:rsidR="00365ED2" w:rsidRPr="00331488">
        <w:rPr>
          <w:rFonts w:ascii="Arial" w:hAnsi="Arial" w:cs="Arial"/>
        </w:rPr>
        <w:t>high. Smoking</w:t>
      </w:r>
      <w:r w:rsidRPr="00331488">
        <w:rPr>
          <w:rFonts w:ascii="Arial" w:hAnsi="Arial" w:cs="Arial"/>
        </w:rPr>
        <w:t xml:space="preserve"> </w:t>
      </w:r>
      <w:r w:rsidR="0060473A" w:rsidRPr="00331488">
        <w:rPr>
          <w:rFonts w:ascii="Arial" w:hAnsi="Arial" w:cs="Arial"/>
        </w:rPr>
        <w:t>Cessation Smoking</w:t>
      </w:r>
      <w:r w:rsidRPr="00331488">
        <w:rPr>
          <w:rFonts w:ascii="Arial" w:hAnsi="Arial" w:cs="Arial"/>
        </w:rPr>
        <w:t xml:space="preserve"> increases the risk of developing Type 2 diabetes by approximately 30–40% and, among those already diagnosed, doubles the likelihood of cardiovascular disease, kidney disease, and retinopathy. Quitting improves insulin sensitivity within weeks and progressively lowers complication risks over time. Healthcare professionals should provide personalised cessation support, including pharmacotherapy such as nicotine replacement therapy where appropriate.</w:t>
      </w:r>
      <w:r w:rsidR="0060473A" w:rsidRPr="0060473A">
        <w:rPr>
          <w:rFonts w:ascii="Arial" w:hAnsi="Arial" w:cs="Arial"/>
        </w:rPr>
        <w:t xml:space="preserve"> </w:t>
      </w:r>
      <w:r w:rsidR="0060473A" w:rsidRPr="00331488">
        <w:rPr>
          <w:rFonts w:ascii="Arial" w:hAnsi="Arial" w:cs="Arial"/>
        </w:rPr>
        <w:t xml:space="preserve"> (Colberg et al., 2022).</w:t>
      </w:r>
    </w:p>
    <w:p w14:paraId="21FEE5B3" w14:textId="6BE76861" w:rsidR="001E19CA" w:rsidRPr="007F0EC2" w:rsidRDefault="001E19CA" w:rsidP="00331488">
      <w:pPr>
        <w:spacing w:line="360" w:lineRule="auto"/>
        <w:rPr>
          <w:rFonts w:ascii="Arial" w:hAnsi="Arial" w:cs="Arial"/>
          <w:b/>
          <w:bCs/>
          <w:u w:val="single"/>
        </w:rPr>
      </w:pPr>
      <w:r w:rsidRPr="007F0EC2">
        <w:rPr>
          <w:rFonts w:ascii="Arial" w:hAnsi="Arial" w:cs="Arial"/>
          <w:b/>
          <w:bCs/>
          <w:u w:val="single"/>
        </w:rPr>
        <w:t>Sleep and Stress Management</w:t>
      </w:r>
    </w:p>
    <w:p w14:paraId="187740D9" w14:textId="6B741AE0" w:rsidR="001E19CA" w:rsidRPr="00331488" w:rsidRDefault="001E19CA" w:rsidP="00331488">
      <w:pPr>
        <w:spacing w:line="360" w:lineRule="auto"/>
        <w:rPr>
          <w:rFonts w:ascii="Arial" w:hAnsi="Arial" w:cs="Arial"/>
        </w:rPr>
      </w:pPr>
      <w:r w:rsidRPr="00331488">
        <w:rPr>
          <w:rFonts w:ascii="Arial" w:hAnsi="Arial" w:cs="Arial"/>
        </w:rPr>
        <w:t xml:space="preserve">Chronic stress and poor sleep quality raise counter-regulatory </w:t>
      </w:r>
      <w:r w:rsidR="007F0EC2" w:rsidRPr="00331488">
        <w:rPr>
          <w:rFonts w:ascii="Arial" w:hAnsi="Arial" w:cs="Arial"/>
        </w:rPr>
        <w:t>hormones including</w:t>
      </w:r>
      <w:r w:rsidRPr="00331488">
        <w:rPr>
          <w:rFonts w:ascii="Arial" w:hAnsi="Arial" w:cs="Arial"/>
        </w:rPr>
        <w:t xml:space="preserve"> cortisol and adrenaline which elevate blood glucose. Simple measures such as regular sleep routines, limiting evening screen exposure, and incorporating relaxation techniques can support more stable glucose levels. </w:t>
      </w:r>
      <w:r w:rsidR="00365ED2" w:rsidRPr="00331488">
        <w:rPr>
          <w:rFonts w:ascii="Arial" w:hAnsi="Arial" w:cs="Arial"/>
        </w:rPr>
        <w:t>Additionally, regular hydration plays an important role. Drinking sufficient water supports kidney function and helps dilute excess glucose in the bloodstream, reducing the workload on the body’s filtration systems. Choosing water instead of sugary drinks is one of the simplest and most effective changes patients can make, contributing significantly to better long-term glucose management.</w:t>
      </w:r>
      <w:r w:rsidRPr="00331488">
        <w:rPr>
          <w:rFonts w:ascii="Arial" w:hAnsi="Arial" w:cs="Arial"/>
        </w:rPr>
        <w:t xml:space="preserve"> </w:t>
      </w:r>
      <w:r w:rsidR="00ED30C2">
        <w:rPr>
          <w:rFonts w:ascii="Arial" w:hAnsi="Arial" w:cs="Arial"/>
        </w:rPr>
        <w:t>(khunti et al 2023)</w:t>
      </w:r>
    </w:p>
    <w:p w14:paraId="3019277C" w14:textId="2FD9913C" w:rsidR="001E19CA" w:rsidRPr="007F0EC2" w:rsidRDefault="001E19CA" w:rsidP="00331488">
      <w:pPr>
        <w:spacing w:line="360" w:lineRule="auto"/>
        <w:rPr>
          <w:rFonts w:ascii="Arial" w:hAnsi="Arial" w:cs="Arial"/>
          <w:b/>
          <w:bCs/>
          <w:u w:val="single"/>
        </w:rPr>
      </w:pPr>
      <w:r w:rsidRPr="007F0EC2">
        <w:rPr>
          <w:rFonts w:ascii="Arial" w:hAnsi="Arial" w:cs="Arial"/>
          <w:b/>
          <w:bCs/>
          <w:u w:val="single"/>
        </w:rPr>
        <w:lastRenderedPageBreak/>
        <w:t>6. Conclusion</w:t>
      </w:r>
    </w:p>
    <w:p w14:paraId="681F0AE6" w14:textId="16BFF4D0" w:rsidR="001E19CA" w:rsidRPr="00331488" w:rsidRDefault="001E19CA" w:rsidP="00331488">
      <w:pPr>
        <w:spacing w:line="360" w:lineRule="auto"/>
        <w:rPr>
          <w:rFonts w:ascii="Arial" w:hAnsi="Arial" w:cs="Arial"/>
        </w:rPr>
      </w:pPr>
      <w:r w:rsidRPr="00331488">
        <w:rPr>
          <w:rFonts w:ascii="Arial" w:hAnsi="Arial" w:cs="Arial"/>
        </w:rPr>
        <w:t xml:space="preserve">Type 2 diabetes is a complex metabolic disorder arising from the progressive interaction of genetic, physiological, and lifestyle factors. Its development reflects a breakdown in the body’s finely tuned glucose regulatory systems: insulin resistance impairs cellular glucose uptake while pancreatic function gradually declines. The resulting chronic hyperglycaemia damages tissues throughout the body, but research consistently demonstrates that lifestyle modification through dietary improvement, increased physical activity, weight management, and smoking cessation can prevent onset, improve control, and in some cases reverse the </w:t>
      </w:r>
      <w:r w:rsidR="0060473A" w:rsidRPr="00331488">
        <w:rPr>
          <w:rFonts w:ascii="Arial" w:hAnsi="Arial" w:cs="Arial"/>
        </w:rPr>
        <w:t>condition. Routine</w:t>
      </w:r>
      <w:r w:rsidRPr="00331488">
        <w:rPr>
          <w:rFonts w:ascii="Arial" w:hAnsi="Arial" w:cs="Arial"/>
        </w:rPr>
        <w:t xml:space="preserve"> blood glucose monitoring is not merely a clinical requirement; it is a powerful educational tool that empowers individuals to observe and understand their own health. When patients comprehend the physiological basis of their </w:t>
      </w:r>
      <w:r w:rsidR="0060473A" w:rsidRPr="00331488">
        <w:rPr>
          <w:rFonts w:ascii="Arial" w:hAnsi="Arial" w:cs="Arial"/>
        </w:rPr>
        <w:t>condition how</w:t>
      </w:r>
      <w:r w:rsidRPr="00331488">
        <w:rPr>
          <w:rFonts w:ascii="Arial" w:hAnsi="Arial" w:cs="Arial"/>
        </w:rPr>
        <w:t xml:space="preserve"> food becomes energy, how activity aids glucose clearance, and why consistent habits matter they move from following instructions to actively managing their wellbeing. The practice nurse plays a pivotal role in this process, translating scientific principles into accessible information, encouraging realistic goals, and providing ongoing support. Ultimately, effective diabetes care extends beyond medication prescriptions: it rests on the partnership between informed patients and supportive professionals working together to achieve the best possible health </w:t>
      </w:r>
      <w:r w:rsidR="00ED30C2" w:rsidRPr="00331488">
        <w:rPr>
          <w:rFonts w:ascii="Arial" w:hAnsi="Arial" w:cs="Arial"/>
        </w:rPr>
        <w:t>outcomes.</w:t>
      </w:r>
      <w:r w:rsidR="00ED30C2">
        <w:rPr>
          <w:rFonts w:ascii="Arial" w:hAnsi="Arial" w:cs="Arial"/>
        </w:rPr>
        <w:t xml:space="preserve"> (Davies et al,2022)</w:t>
      </w:r>
    </w:p>
    <w:p w14:paraId="09F1FA4A" w14:textId="77777777" w:rsidR="001E19CA" w:rsidRPr="00331488" w:rsidRDefault="001E19CA" w:rsidP="00331488">
      <w:pPr>
        <w:spacing w:line="360" w:lineRule="auto"/>
        <w:rPr>
          <w:rFonts w:ascii="Arial" w:hAnsi="Arial" w:cs="Arial"/>
        </w:rPr>
      </w:pPr>
      <w:r w:rsidRPr="00331488">
        <w:rPr>
          <w:rFonts w:ascii="Arial" w:hAnsi="Arial" w:cs="Arial"/>
        </w:rPr>
        <w:t xml:space="preserve"> </w:t>
      </w:r>
    </w:p>
    <w:p w14:paraId="231BAF78" w14:textId="77777777" w:rsidR="001E19CA" w:rsidRDefault="001E19CA" w:rsidP="00331488">
      <w:pPr>
        <w:spacing w:line="360" w:lineRule="auto"/>
        <w:rPr>
          <w:rFonts w:ascii="Arial" w:hAnsi="Arial" w:cs="Arial"/>
        </w:rPr>
      </w:pPr>
      <w:r w:rsidRPr="00331488">
        <w:rPr>
          <w:rFonts w:ascii="Arial" w:hAnsi="Arial" w:cs="Arial"/>
        </w:rPr>
        <w:t> </w:t>
      </w:r>
    </w:p>
    <w:p w14:paraId="1CBBD654" w14:textId="77777777" w:rsidR="0060473A" w:rsidRDefault="0060473A" w:rsidP="00331488">
      <w:pPr>
        <w:spacing w:line="360" w:lineRule="auto"/>
        <w:rPr>
          <w:rFonts w:ascii="Arial" w:hAnsi="Arial" w:cs="Arial"/>
        </w:rPr>
      </w:pPr>
    </w:p>
    <w:p w14:paraId="5DC90F23" w14:textId="77777777" w:rsidR="00ED30C2" w:rsidRDefault="00ED30C2" w:rsidP="00331488">
      <w:pPr>
        <w:spacing w:line="360" w:lineRule="auto"/>
        <w:rPr>
          <w:rFonts w:ascii="Arial" w:hAnsi="Arial" w:cs="Arial"/>
        </w:rPr>
      </w:pPr>
    </w:p>
    <w:p w14:paraId="671D16C3" w14:textId="77777777" w:rsidR="00ED30C2" w:rsidRDefault="00ED30C2" w:rsidP="00331488">
      <w:pPr>
        <w:spacing w:line="360" w:lineRule="auto"/>
        <w:rPr>
          <w:rFonts w:ascii="Arial" w:hAnsi="Arial" w:cs="Arial"/>
        </w:rPr>
      </w:pPr>
    </w:p>
    <w:p w14:paraId="122409E5" w14:textId="77777777" w:rsidR="00ED30C2" w:rsidRDefault="00ED30C2" w:rsidP="00331488">
      <w:pPr>
        <w:spacing w:line="360" w:lineRule="auto"/>
        <w:rPr>
          <w:rFonts w:ascii="Arial" w:hAnsi="Arial" w:cs="Arial"/>
        </w:rPr>
      </w:pPr>
    </w:p>
    <w:p w14:paraId="1C23F19E" w14:textId="77777777" w:rsidR="00ED30C2" w:rsidRDefault="00ED30C2" w:rsidP="00331488">
      <w:pPr>
        <w:spacing w:line="360" w:lineRule="auto"/>
        <w:rPr>
          <w:rFonts w:ascii="Arial" w:hAnsi="Arial" w:cs="Arial"/>
        </w:rPr>
      </w:pPr>
    </w:p>
    <w:p w14:paraId="51F20C32" w14:textId="77777777" w:rsidR="00ED30C2" w:rsidRDefault="00ED30C2" w:rsidP="00331488">
      <w:pPr>
        <w:spacing w:line="360" w:lineRule="auto"/>
        <w:rPr>
          <w:rFonts w:ascii="Arial" w:hAnsi="Arial" w:cs="Arial"/>
        </w:rPr>
      </w:pPr>
    </w:p>
    <w:p w14:paraId="75CCCBFF" w14:textId="77777777" w:rsidR="00ED30C2" w:rsidRDefault="00ED30C2" w:rsidP="00331488">
      <w:pPr>
        <w:spacing w:line="360" w:lineRule="auto"/>
        <w:rPr>
          <w:rFonts w:ascii="Arial" w:hAnsi="Arial" w:cs="Arial"/>
        </w:rPr>
      </w:pPr>
    </w:p>
    <w:p w14:paraId="398D60D7" w14:textId="77777777" w:rsidR="00ED30C2" w:rsidRDefault="00ED30C2" w:rsidP="00331488">
      <w:pPr>
        <w:spacing w:line="360" w:lineRule="auto"/>
        <w:rPr>
          <w:rFonts w:ascii="Arial" w:hAnsi="Arial" w:cs="Arial"/>
        </w:rPr>
      </w:pPr>
    </w:p>
    <w:p w14:paraId="57B22838" w14:textId="77777777" w:rsidR="00ED30C2" w:rsidRDefault="00ED30C2" w:rsidP="00331488">
      <w:pPr>
        <w:spacing w:line="360" w:lineRule="auto"/>
        <w:rPr>
          <w:rFonts w:ascii="Arial" w:hAnsi="Arial" w:cs="Arial"/>
        </w:rPr>
      </w:pPr>
    </w:p>
    <w:p w14:paraId="54D8BA31" w14:textId="77777777" w:rsidR="00ED30C2" w:rsidRDefault="00ED30C2" w:rsidP="00331488">
      <w:pPr>
        <w:spacing w:line="360" w:lineRule="auto"/>
        <w:rPr>
          <w:rFonts w:ascii="Arial" w:hAnsi="Arial" w:cs="Arial"/>
        </w:rPr>
      </w:pPr>
    </w:p>
    <w:p w14:paraId="579BEC79" w14:textId="77777777" w:rsidR="00ED30C2" w:rsidRPr="00331488" w:rsidRDefault="00ED30C2" w:rsidP="00331488">
      <w:pPr>
        <w:spacing w:line="360" w:lineRule="auto"/>
        <w:rPr>
          <w:rFonts w:ascii="Arial" w:hAnsi="Arial" w:cs="Arial"/>
        </w:rPr>
      </w:pPr>
    </w:p>
    <w:p w14:paraId="7827461D" w14:textId="77777777" w:rsidR="001E19CA" w:rsidRPr="00331488" w:rsidRDefault="001E19CA" w:rsidP="00331488">
      <w:pPr>
        <w:spacing w:line="360" w:lineRule="auto"/>
        <w:rPr>
          <w:rFonts w:ascii="Arial" w:hAnsi="Arial" w:cs="Arial"/>
        </w:rPr>
      </w:pPr>
      <w:r w:rsidRPr="00331488">
        <w:rPr>
          <w:rFonts w:ascii="Arial" w:hAnsi="Arial" w:cs="Arial"/>
        </w:rPr>
        <w:lastRenderedPageBreak/>
        <w:t xml:space="preserve"> </w:t>
      </w:r>
    </w:p>
    <w:p w14:paraId="15B9B73B" w14:textId="77777777" w:rsidR="001E19CA" w:rsidRPr="007F0EC2" w:rsidRDefault="001E19CA" w:rsidP="00331488">
      <w:pPr>
        <w:spacing w:line="360" w:lineRule="auto"/>
        <w:rPr>
          <w:rFonts w:ascii="Arial" w:hAnsi="Arial" w:cs="Arial"/>
          <w:b/>
          <w:bCs/>
          <w:u w:val="single"/>
        </w:rPr>
      </w:pPr>
      <w:r w:rsidRPr="007F0EC2">
        <w:rPr>
          <w:rFonts w:ascii="Arial" w:hAnsi="Arial" w:cs="Arial"/>
          <w:b/>
          <w:bCs/>
          <w:u w:val="single"/>
        </w:rPr>
        <w:t>7. References</w:t>
      </w:r>
    </w:p>
    <w:p w14:paraId="10B70D1B" w14:textId="77777777" w:rsidR="001E19CA" w:rsidRPr="00331488" w:rsidRDefault="001E19CA" w:rsidP="00331488">
      <w:pPr>
        <w:spacing w:line="360" w:lineRule="auto"/>
        <w:rPr>
          <w:rFonts w:ascii="Arial" w:hAnsi="Arial" w:cs="Arial"/>
        </w:rPr>
      </w:pPr>
      <w:r w:rsidRPr="00331488">
        <w:rPr>
          <w:rFonts w:ascii="Arial" w:hAnsi="Arial" w:cs="Arial"/>
        </w:rPr>
        <w:t xml:space="preserve"> </w:t>
      </w:r>
    </w:p>
    <w:p w14:paraId="6523EB51" w14:textId="58AB8198" w:rsidR="001E19CA" w:rsidRPr="00331488" w:rsidRDefault="001E19CA" w:rsidP="00331488">
      <w:pPr>
        <w:spacing w:line="360" w:lineRule="auto"/>
        <w:rPr>
          <w:rFonts w:ascii="Arial" w:hAnsi="Arial" w:cs="Arial"/>
        </w:rPr>
      </w:pPr>
      <w:r w:rsidRPr="00331488">
        <w:rPr>
          <w:rFonts w:ascii="Arial" w:hAnsi="Arial" w:cs="Arial"/>
        </w:rPr>
        <w:t>- Colberg, S.R. et al. (2022) ‘Physical activity/exercise and diabetes: a consensus report from the American Diabetes Association’, Diabetes Care, 45(10), pp. 2291–2314.</w:t>
      </w:r>
    </w:p>
    <w:p w14:paraId="6F11A457" w14:textId="04048864" w:rsidR="001E19CA" w:rsidRDefault="001E19CA" w:rsidP="00331488">
      <w:pPr>
        <w:spacing w:line="360" w:lineRule="auto"/>
        <w:rPr>
          <w:rFonts w:ascii="Arial" w:hAnsi="Arial" w:cs="Arial"/>
        </w:rPr>
      </w:pPr>
      <w:r w:rsidRPr="00331488">
        <w:rPr>
          <w:rFonts w:ascii="Arial" w:hAnsi="Arial" w:cs="Arial"/>
        </w:rPr>
        <w:t>- Diabetes UK (2025) Type 2 diabetes risk factors. London: Diabetes UK.</w:t>
      </w:r>
    </w:p>
    <w:p w14:paraId="39570558" w14:textId="5A74D975" w:rsidR="0060473A" w:rsidRPr="00331488" w:rsidRDefault="0060473A" w:rsidP="00331488">
      <w:pPr>
        <w:spacing w:line="360" w:lineRule="auto"/>
        <w:rPr>
          <w:rFonts w:ascii="Arial" w:hAnsi="Arial" w:cs="Arial"/>
        </w:rPr>
      </w:pPr>
      <w:r w:rsidRPr="00212DAF">
        <w:rPr>
          <w:rFonts w:ascii="Arial" w:hAnsi="Arial" w:cs="Arial"/>
        </w:rPr>
        <w:t xml:space="preserve">Goyal, R., Singhal, M. and Jialal, I., 2023. Type 2 diabetes. </w:t>
      </w:r>
      <w:r w:rsidRPr="00212DAF">
        <w:rPr>
          <w:rFonts w:ascii="Arial" w:hAnsi="Arial" w:cs="Arial"/>
          <w:i/>
          <w:iCs/>
        </w:rPr>
        <w:t>StatPearls [Internet]</w:t>
      </w:r>
      <w:r w:rsidRPr="00212DAF">
        <w:rPr>
          <w:rFonts w:ascii="Arial" w:hAnsi="Arial" w:cs="Arial"/>
        </w:rPr>
        <w:t>.</w:t>
      </w:r>
    </w:p>
    <w:p w14:paraId="6854FAD3" w14:textId="39D8B29B" w:rsidR="001E19CA" w:rsidRPr="00331488" w:rsidRDefault="001E19CA" w:rsidP="00331488">
      <w:pPr>
        <w:spacing w:line="360" w:lineRule="auto"/>
        <w:rPr>
          <w:rFonts w:ascii="Arial" w:hAnsi="Arial" w:cs="Arial"/>
        </w:rPr>
      </w:pPr>
      <w:r w:rsidRPr="00331488">
        <w:rPr>
          <w:rFonts w:ascii="Arial" w:hAnsi="Arial" w:cs="Arial"/>
        </w:rPr>
        <w:t>- Holt, R.I.G., Hanley, A.J. and Barnett, A.H. (2023) Essential endocrinology and diabetes. 6th edn. Oxford: Oxford University Press.</w:t>
      </w:r>
    </w:p>
    <w:p w14:paraId="45F9408D" w14:textId="4A11CE97" w:rsidR="001E19CA" w:rsidRPr="00331488" w:rsidRDefault="001E19CA" w:rsidP="00331488">
      <w:pPr>
        <w:spacing w:line="360" w:lineRule="auto"/>
        <w:rPr>
          <w:rFonts w:ascii="Arial" w:hAnsi="Arial" w:cs="Arial"/>
        </w:rPr>
      </w:pPr>
      <w:r w:rsidRPr="00331488">
        <w:rPr>
          <w:rFonts w:ascii="Arial" w:hAnsi="Arial" w:cs="Arial"/>
        </w:rPr>
        <w:t>- Khunti, K. et al. (2023) ‘Self-monitoring of blood glucose in Type 2 diabetes: systematic review and meta-analysis’, British Medical Journal, 381, p. e075234.</w:t>
      </w:r>
    </w:p>
    <w:p w14:paraId="36EA42FE" w14:textId="76902DD7" w:rsidR="001E19CA" w:rsidRPr="00331488" w:rsidRDefault="001E19CA" w:rsidP="00331488">
      <w:pPr>
        <w:spacing w:line="360" w:lineRule="auto"/>
        <w:rPr>
          <w:rFonts w:ascii="Arial" w:hAnsi="Arial" w:cs="Arial"/>
        </w:rPr>
      </w:pPr>
      <w:r w:rsidRPr="00331488">
        <w:rPr>
          <w:rFonts w:ascii="Arial" w:hAnsi="Arial" w:cs="Arial"/>
        </w:rPr>
        <w:t>- Marieb, E.N. and Hoehn, K. (2022) Human anatomy &amp; physiology. 11th edn. Harlow: Pearson.</w:t>
      </w:r>
    </w:p>
    <w:p w14:paraId="5A755863" w14:textId="36A695FF" w:rsidR="001E19CA" w:rsidRPr="00331488" w:rsidRDefault="001E19CA" w:rsidP="00331488">
      <w:pPr>
        <w:spacing w:line="360" w:lineRule="auto"/>
        <w:rPr>
          <w:rFonts w:ascii="Arial" w:hAnsi="Arial" w:cs="Arial"/>
        </w:rPr>
      </w:pPr>
      <w:r w:rsidRPr="00331488">
        <w:rPr>
          <w:rFonts w:ascii="Arial" w:hAnsi="Arial" w:cs="Arial"/>
        </w:rPr>
        <w:t>- NICE (2024) Type 2 diabetes in adults: management. NG28. London: National Institute for Health and Care Excellence.</w:t>
      </w:r>
    </w:p>
    <w:p w14:paraId="40D410FB" w14:textId="36B97E74" w:rsidR="001E19CA" w:rsidRDefault="001E19CA" w:rsidP="00331488">
      <w:pPr>
        <w:spacing w:line="360" w:lineRule="auto"/>
        <w:rPr>
          <w:rFonts w:ascii="Arial" w:hAnsi="Arial" w:cs="Arial"/>
        </w:rPr>
      </w:pPr>
      <w:r w:rsidRPr="00331488">
        <w:rPr>
          <w:rFonts w:ascii="Arial" w:hAnsi="Arial" w:cs="Arial"/>
        </w:rPr>
        <w:t>- Tortora, G.J. and Derrickson, B.H. (2023) Principles of anatomy and physiology. 16th edn. Hoboken: Wiley.</w:t>
      </w:r>
    </w:p>
    <w:p w14:paraId="0B3EF7D3" w14:textId="3A5AF986" w:rsidR="00ED30C2" w:rsidRDefault="00ED30C2" w:rsidP="00331488">
      <w:pPr>
        <w:spacing w:line="360" w:lineRule="auto"/>
        <w:rPr>
          <w:rFonts w:ascii="Arial" w:hAnsi="Arial" w:cs="Arial"/>
        </w:rPr>
      </w:pPr>
      <w:r>
        <w:rPr>
          <w:rFonts w:ascii="Arial" w:hAnsi="Arial" w:cs="Arial"/>
        </w:rPr>
        <w:t>World Health Organization, (2023) Global report on diabetes.Geneva:WHO</w:t>
      </w:r>
    </w:p>
    <w:p w14:paraId="08AA668B" w14:textId="76A5BE6C" w:rsidR="00ED30C2" w:rsidRPr="00212DAF" w:rsidRDefault="00ED30C2" w:rsidP="00331488">
      <w:pPr>
        <w:spacing w:line="360" w:lineRule="auto"/>
        <w:rPr>
          <w:rFonts w:ascii="Arial" w:hAnsi="Arial" w:cs="Arial"/>
        </w:rPr>
      </w:pPr>
      <w:r>
        <w:rPr>
          <w:rFonts w:ascii="Arial" w:hAnsi="Arial" w:cs="Arial"/>
        </w:rPr>
        <w:t>Zaccardi, F.et al. (2022); Pathophysiology of type 2 diabetes mellitus:Journal of Clinical</w:t>
      </w:r>
      <w:r w:rsidR="001D3D30">
        <w:rPr>
          <w:rFonts w:ascii="Arial" w:hAnsi="Arial" w:cs="Arial"/>
        </w:rPr>
        <w:t xml:space="preserve"> Medicine 11(4),p.982.</w:t>
      </w:r>
    </w:p>
    <w:sectPr w:rsidR="00ED30C2" w:rsidRPr="00212D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9CA"/>
    <w:rsid w:val="001D3D30"/>
    <w:rsid w:val="001E19CA"/>
    <w:rsid w:val="00212DAF"/>
    <w:rsid w:val="00304229"/>
    <w:rsid w:val="00325448"/>
    <w:rsid w:val="00331488"/>
    <w:rsid w:val="00365ED2"/>
    <w:rsid w:val="0060473A"/>
    <w:rsid w:val="006E5D2D"/>
    <w:rsid w:val="007F0EC2"/>
    <w:rsid w:val="009A082A"/>
    <w:rsid w:val="009E6EDE"/>
    <w:rsid w:val="00CF7C84"/>
    <w:rsid w:val="00ED30C2"/>
    <w:rsid w:val="00F50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13C53"/>
  <w15:chartTrackingRefBased/>
  <w15:docId w15:val="{B7352614-25E0-D74D-8F3B-8FA211BE5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7</Pages>
  <Words>2164</Words>
  <Characters>12341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Zahra Mahmood</dc:creator>
  <cp:keywords/>
  <dc:description/>
  <cp:lastModifiedBy>Zahra Shamrez Mahmood (2508995)</cp:lastModifiedBy>
  <cp:revision>3</cp:revision>
  <dcterms:created xsi:type="dcterms:W3CDTF">2026-09-23T14:13:00Z</dcterms:created>
  <dcterms:modified xsi:type="dcterms:W3CDTF">2026-10-07T14:55:00Z</dcterms:modified>
</cp:coreProperties>
</file>