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rPr>
          <w:rFonts w:asciiTheme="majorAscii"/>
          <w:sz w:val="24"/>
          <w:szCs w:val="24"/>
        </w:rPr>
      </w:pPr>
      <w:bookmarkStart w:id="80" w:name="_GoBack"/>
      <w:bookmarkEnd w:id="80"/>
    </w:p>
    <w:p>
      <w:pPr>
        <w:pStyle w:val="67"/>
        <w:keepNext w:val="0"/>
        <w:keepLines w:val="0"/>
        <w:widowControl/>
        <w:suppressLineNumbers w:val="0"/>
        <w:bidi w:val="0"/>
        <w:spacing w:before="240" w:beforeAutospacing="0" w:after="240" w:afterAutospacing="0" w:line="21" w:lineRule="atLeast"/>
        <w:ind w:left="-270"/>
        <w:jc w:val="center"/>
        <w:rPr>
          <w:rFonts w:asciiTheme="majorAscii"/>
          <w:sz w:val="24"/>
          <w:szCs w:val="24"/>
        </w:rPr>
      </w:pPr>
      <w:r>
        <w:rPr>
          <w:rFonts w:hint="default" w:hAnsi="Arial" w:cs="Arial" w:asciiTheme="majorAscii"/>
          <w:b/>
          <w:i w:val="0"/>
          <w:color w:val="000000"/>
          <w:sz w:val="24"/>
          <w:szCs w:val="24"/>
          <w:u w:val="none"/>
          <w:vertAlign w:val="baseline"/>
        </w:rPr>
        <w:drawing>
          <wp:inline distT="0" distB="0" distL="114300" distR="114300">
            <wp:extent cx="4486275" cy="1323975"/>
            <wp:effectExtent l="0" t="0" r="9525" b="9525"/>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6"/>
                    <a:stretch>
                      <a:fillRect/>
                    </a:stretch>
                  </pic:blipFill>
                  <pic:spPr>
                    <a:xfrm>
                      <a:off x="0" y="0"/>
                      <a:ext cx="4486275" cy="1323975"/>
                    </a:xfrm>
                    <a:prstGeom prst="rect">
                      <a:avLst/>
                    </a:prstGeom>
                    <a:noFill/>
                    <a:ln w="9525">
                      <a:noFill/>
                    </a:ln>
                  </pic:spPr>
                </pic:pic>
              </a:graphicData>
            </a:graphic>
          </wp:inline>
        </w:drawing>
      </w:r>
    </w:p>
    <w:p>
      <w:pPr>
        <w:pStyle w:val="67"/>
        <w:keepNext w:val="0"/>
        <w:keepLines w:val="0"/>
        <w:widowControl/>
        <w:suppressLineNumbers w:val="0"/>
        <w:bidi w:val="0"/>
        <w:spacing w:before="240" w:beforeAutospacing="0" w:after="240" w:afterAutospacing="0" w:line="21" w:lineRule="atLeast"/>
        <w:jc w:val="center"/>
        <w:rPr>
          <w:rFonts w:asciiTheme="majorAscii"/>
          <w:sz w:val="24"/>
          <w:szCs w:val="24"/>
        </w:rPr>
      </w:pPr>
      <w:r>
        <w:rPr>
          <w:rFonts w:hint="default" w:hAnsi="Arial" w:cs="Arial" w:asciiTheme="majorAscii"/>
          <w:b/>
          <w:i w:val="0"/>
          <w:color w:val="000000"/>
          <w:sz w:val="24"/>
          <w:szCs w:val="24"/>
          <w:u w:val="none"/>
          <w:vertAlign w:val="baseline"/>
        </w:rPr>
        <w:t>Title</w:t>
      </w:r>
    </w:p>
    <w:p>
      <w:pPr>
        <w:pStyle w:val="67"/>
        <w:keepNext w:val="0"/>
        <w:keepLines w:val="0"/>
        <w:widowControl/>
        <w:suppressLineNumbers w:val="0"/>
        <w:bidi w:val="0"/>
        <w:spacing w:before="240" w:beforeAutospacing="0" w:after="240" w:afterAutospacing="0" w:line="21" w:lineRule="atLeast"/>
        <w:jc w:val="center"/>
        <w:rPr>
          <w:rFonts w:asciiTheme="majorAscii"/>
          <w:sz w:val="24"/>
          <w:szCs w:val="24"/>
        </w:rPr>
      </w:pPr>
      <w:r>
        <w:rPr>
          <w:rFonts w:hint="default" w:hAnsi="Arial" w:cs="Arial" w:asciiTheme="majorAscii"/>
          <w:b/>
          <w:i w:val="0"/>
          <w:color w:val="000000"/>
          <w:sz w:val="24"/>
          <w:szCs w:val="24"/>
          <w:u w:val="none"/>
          <w:vertAlign w:val="baseline"/>
        </w:rPr>
        <w:t>The Impact of Leadership on Organizational Performance</w:t>
      </w:r>
    </w:p>
    <w:p>
      <w:pPr>
        <w:pStyle w:val="67"/>
        <w:keepNext w:val="0"/>
        <w:keepLines w:val="0"/>
        <w:widowControl/>
        <w:suppressLineNumbers w:val="0"/>
        <w:bidi w:val="0"/>
        <w:spacing w:before="240" w:beforeAutospacing="0" w:after="240" w:afterAutospacing="0" w:line="21" w:lineRule="atLeast"/>
        <w:jc w:val="center"/>
        <w:rPr>
          <w:rFonts w:asciiTheme="majorAscii"/>
          <w:sz w:val="24"/>
          <w:szCs w:val="24"/>
        </w:rPr>
      </w:pPr>
    </w:p>
    <w:p>
      <w:pPr>
        <w:pStyle w:val="67"/>
        <w:keepNext w:val="0"/>
        <w:keepLines w:val="0"/>
        <w:widowControl/>
        <w:suppressLineNumbers w:val="0"/>
        <w:bidi w:val="0"/>
        <w:spacing w:before="240" w:beforeAutospacing="0" w:after="240" w:afterAutospacing="0" w:line="21" w:lineRule="atLeast"/>
        <w:ind w:left="360"/>
        <w:jc w:val="center"/>
        <w:rPr>
          <w:rFonts w:asciiTheme="majorAscii"/>
          <w:sz w:val="24"/>
          <w:szCs w:val="24"/>
        </w:rPr>
      </w:pPr>
      <w:r>
        <w:rPr>
          <w:rFonts w:hint="default" w:hAnsi="Arial" w:cs="Arial" w:asciiTheme="majorAscii"/>
          <w:b/>
          <w:i w:val="0"/>
          <w:color w:val="000000"/>
          <w:sz w:val="24"/>
          <w:szCs w:val="24"/>
          <w:u w:val="none"/>
          <w:vertAlign w:val="baseline"/>
        </w:rPr>
        <w:t>Dissertation Proposal</w:t>
      </w:r>
    </w:p>
    <w:p>
      <w:pPr>
        <w:pStyle w:val="67"/>
        <w:keepNext w:val="0"/>
        <w:keepLines w:val="0"/>
        <w:widowControl/>
        <w:suppressLineNumbers w:val="0"/>
        <w:bidi w:val="0"/>
        <w:spacing w:before="240" w:beforeAutospacing="0" w:after="240" w:afterAutospacing="0" w:line="21" w:lineRule="atLeast"/>
        <w:ind w:left="360"/>
        <w:jc w:val="center"/>
        <w:rPr>
          <w:rFonts w:asciiTheme="majorAscii"/>
          <w:sz w:val="24"/>
          <w:szCs w:val="24"/>
        </w:rPr>
      </w:pPr>
      <w:r>
        <w:rPr>
          <w:rFonts w:hint="default" w:hAnsi="Arial" w:cs="Arial" w:asciiTheme="majorAscii"/>
          <w:b/>
          <w:i w:val="0"/>
          <w:color w:val="000000"/>
          <w:sz w:val="24"/>
          <w:szCs w:val="24"/>
          <w:u w:val="none"/>
          <w:vertAlign w:val="baseline"/>
        </w:rPr>
        <w:t>(SBMA7123D)</w:t>
      </w:r>
    </w:p>
    <w:p>
      <w:pPr>
        <w:pStyle w:val="67"/>
        <w:keepNext w:val="0"/>
        <w:keepLines w:val="0"/>
        <w:widowControl/>
        <w:suppressLineNumbers w:val="0"/>
        <w:bidi w:val="0"/>
        <w:spacing w:before="240" w:beforeAutospacing="0" w:after="240" w:afterAutospacing="0" w:line="21" w:lineRule="atLeast"/>
        <w:ind w:left="360"/>
        <w:jc w:val="center"/>
        <w:rPr>
          <w:rFonts w:asciiTheme="majorAscii"/>
          <w:sz w:val="24"/>
          <w:szCs w:val="24"/>
        </w:rPr>
      </w:pPr>
      <w:r>
        <w:rPr>
          <w:rFonts w:hint="default" w:hAnsi="Arial" w:cs="Arial" w:asciiTheme="majorAscii"/>
          <w:b/>
          <w:i w:val="0"/>
          <w:color w:val="000000"/>
          <w:sz w:val="24"/>
          <w:szCs w:val="24"/>
          <w:u w:val="none"/>
          <w:vertAlign w:val="baseline"/>
        </w:rPr>
        <w:t>MBA Stage II</w:t>
      </w:r>
    </w:p>
    <w:p>
      <w:pPr>
        <w:pStyle w:val="67"/>
        <w:keepNext w:val="0"/>
        <w:keepLines w:val="0"/>
        <w:widowControl/>
        <w:suppressLineNumbers w:val="0"/>
        <w:bidi w:val="0"/>
        <w:spacing w:before="240" w:beforeAutospacing="0" w:after="240" w:afterAutospacing="0" w:line="21" w:lineRule="atLeast"/>
        <w:ind w:left="360"/>
        <w:jc w:val="center"/>
        <w:rPr>
          <w:rFonts w:asciiTheme="majorAscii"/>
          <w:sz w:val="24"/>
          <w:szCs w:val="24"/>
        </w:rPr>
      </w:pPr>
      <w:r>
        <w:rPr>
          <w:rFonts w:hint="default" w:hAnsi="Arial" w:cs="Arial" w:asciiTheme="majorAscii"/>
          <w:b/>
          <w:i w:val="0"/>
          <w:color w:val="000000"/>
          <w:sz w:val="24"/>
          <w:szCs w:val="24"/>
          <w:u w:val="none"/>
          <w:vertAlign w:val="baseline"/>
        </w:rPr>
        <w:t>20/12/2019</w:t>
      </w:r>
    </w:p>
    <w:p>
      <w:pPr>
        <w:pStyle w:val="67"/>
        <w:keepNext w:val="0"/>
        <w:keepLines w:val="0"/>
        <w:widowControl/>
        <w:suppressLineNumbers w:val="0"/>
        <w:bidi w:val="0"/>
        <w:spacing w:before="240" w:beforeAutospacing="0" w:after="240" w:afterAutospacing="0" w:line="21" w:lineRule="atLeast"/>
        <w:jc w:val="center"/>
        <w:rPr>
          <w:rFonts w:asciiTheme="majorAscii"/>
          <w:sz w:val="24"/>
          <w:szCs w:val="24"/>
        </w:rPr>
      </w:pPr>
    </w:p>
    <w:p>
      <w:pPr>
        <w:pStyle w:val="67"/>
        <w:keepNext w:val="0"/>
        <w:keepLines w:val="0"/>
        <w:widowControl/>
        <w:suppressLineNumbers w:val="0"/>
        <w:bidi w:val="0"/>
        <w:spacing w:before="240" w:beforeAutospacing="0" w:after="240" w:afterAutospacing="0" w:line="21" w:lineRule="atLeast"/>
        <w:jc w:val="center"/>
        <w:rPr>
          <w:rFonts w:asciiTheme="majorAscii"/>
          <w:sz w:val="24"/>
          <w:szCs w:val="24"/>
        </w:rPr>
      </w:pPr>
      <w:r>
        <w:rPr>
          <w:rFonts w:hint="default" w:hAnsi="Arial" w:cs="Arial" w:asciiTheme="majorAscii"/>
          <w:b/>
          <w:i w:val="0"/>
          <w:color w:val="000000"/>
          <w:sz w:val="24"/>
          <w:szCs w:val="24"/>
          <w:u w:val="none"/>
          <w:vertAlign w:val="baseline"/>
        </w:rPr>
        <w:t>Student ID: 1906367</w:t>
      </w:r>
    </w:p>
    <w:p>
      <w:pPr>
        <w:pStyle w:val="67"/>
        <w:keepNext w:val="0"/>
        <w:keepLines w:val="0"/>
        <w:widowControl/>
        <w:suppressLineNumbers w:val="0"/>
        <w:bidi w:val="0"/>
        <w:spacing w:before="240" w:beforeAutospacing="0" w:after="240" w:afterAutospacing="0" w:line="21" w:lineRule="atLeast"/>
        <w:ind w:left="360"/>
        <w:jc w:val="center"/>
        <w:rPr>
          <w:rFonts w:asciiTheme="majorAscii"/>
          <w:sz w:val="24"/>
          <w:szCs w:val="24"/>
        </w:rPr>
      </w:pPr>
      <w:r>
        <w:rPr>
          <w:rFonts w:hint="default" w:hAnsi="Arial" w:cs="Arial" w:asciiTheme="majorAscii"/>
          <w:b/>
          <w:i w:val="0"/>
          <w:color w:val="000000"/>
          <w:sz w:val="24"/>
          <w:szCs w:val="24"/>
          <w:u w:val="none"/>
          <w:vertAlign w:val="baseline"/>
        </w:rPr>
        <w:t>Student Name: Abdul Aziz</w:t>
      </w:r>
    </w:p>
    <w:p>
      <w:pPr>
        <w:jc w:val="center"/>
        <w:rPr>
          <w:color w:val="auto"/>
        </w:rPr>
      </w:pPr>
      <w:r>
        <w:rPr>
          <w:rFonts w:hint="default" w:hAnsi="Arial" w:eastAsia="SimSun" w:cs="Arial" w:asciiTheme="majorAscii"/>
          <w:b/>
          <w:i w:val="0"/>
          <w:color w:val="auto"/>
          <w:sz w:val="24"/>
          <w:szCs w:val="24"/>
          <w:u w:val="none"/>
          <w:vertAlign w:val="baseline"/>
        </w:rPr>
        <w:t>Supervisor: Dr Roisin Mulli</w:t>
      </w:r>
      <w:r>
        <w:rPr>
          <w:rFonts w:hint="default" w:ascii="Arial" w:hAnsi="Arial" w:eastAsia="SimSun" w:cs="Arial"/>
          <w:b/>
          <w:i w:val="0"/>
          <w:color w:val="auto"/>
          <w:sz w:val="24"/>
          <w:szCs w:val="24"/>
          <w:u w:val="none"/>
          <w:vertAlign w:val="baseline"/>
        </w:rPr>
        <w:t>ns</w:t>
      </w:r>
    </w:p>
    <w:p>
      <w:pPr>
        <w:pStyle w:val="2"/>
        <w:rPr>
          <w:b w:val="0"/>
          <w:bCs w:val="0"/>
          <w:lang w:val="en-US"/>
        </w:rPr>
      </w:pPr>
      <w:r>
        <w:rPr>
          <w:lang w:bidi="en-GB"/>
        </w:rPr>
        <w:br w:type="page"/>
      </w:r>
      <w:bookmarkStart w:id="0" w:name="_Toc41576847"/>
      <w:r>
        <w:rPr>
          <w:b w:val="0"/>
          <w:bCs w:val="0"/>
          <w:lang w:val="en-US" w:bidi="en-GB"/>
        </w:rPr>
        <w:t>Abstract</w:t>
      </w:r>
      <w:bookmarkEnd w:id="0"/>
    </w:p>
    <w:p>
      <w:pPr>
        <w:pStyle w:val="97"/>
        <w:spacing w:after="240"/>
        <w:rPr>
          <w:lang w:val="en-GB" w:eastAsia="en-GB"/>
        </w:rPr>
      </w:pPr>
      <w:r>
        <w:rPr>
          <w:lang w:val="en-GB" w:eastAsia="en-GB"/>
        </w:rPr>
        <w:t>The following study is aimed at finding the answer to the following research question – What effect</w:t>
      </w:r>
      <w:r>
        <w:rPr>
          <w:rFonts w:hint="default"/>
          <w:lang w:val="en-US" w:eastAsia="en-GB"/>
        </w:rPr>
        <w:t>s</w:t>
      </w:r>
      <w:r>
        <w:rPr>
          <w:lang w:val="en-GB" w:eastAsia="en-GB"/>
        </w:rPr>
        <w:t xml:space="preserve"> transformational leadership in organisational performance in SMEs based in Asia?</w:t>
      </w:r>
    </w:p>
    <w:p>
      <w:pPr>
        <w:pStyle w:val="97"/>
        <w:spacing w:after="240"/>
        <w:rPr>
          <w:lang w:val="en-GB" w:eastAsia="en-GB"/>
        </w:rPr>
      </w:pPr>
      <w:r>
        <w:rPr>
          <w:lang w:val="en-GB" w:eastAsia="en-GB"/>
        </w:rPr>
        <w:t>In the modern dynamic business environment, leadership has been considered to be the key to the success of SMEs. The transformational style of leadership is regarded as one of the most appropriate forms as such leaders are equipped with specific skills for encouraging, inspiring, and motivating the employees to change their moral and value and work harder towards the attainment of the organisational objectives. However, there is a lack of evidence that insinuates that transformational leadership style would have a significant and positive impact on the performance of SMEs. This study is aimed at investigating the effect of transformational leadership on the organisational performance by considering the context of SMEs based in Asian countries.</w:t>
      </w:r>
    </w:p>
    <w:p>
      <w:pPr>
        <w:pStyle w:val="97"/>
        <w:spacing w:after="240"/>
        <w:rPr>
          <w:lang w:val="en-GB" w:eastAsia="en-GB"/>
        </w:rPr>
      </w:pPr>
      <w:r>
        <w:rPr>
          <w:lang w:val="en-GB" w:eastAsia="en-GB"/>
        </w:rPr>
        <w:t>Theories and concepts on leadership and organisational performance, as well as, earlier studies on this topic have been reviewed to establish the knowledge gap related to the effect of transformational leadership on the performance of SMEs. The framework concerning the four dimensions of transformational leadership has been referred to for the purpose of forming the theoretical base of this study.</w:t>
      </w:r>
    </w:p>
    <w:p>
      <w:pPr>
        <w:pStyle w:val="97"/>
        <w:spacing w:after="240"/>
        <w:rPr>
          <w:lang w:val="en-GB" w:eastAsia="en-GB"/>
        </w:rPr>
      </w:pPr>
      <w:r>
        <w:rPr>
          <w:lang w:val="en-GB" w:eastAsia="en-GB"/>
        </w:rPr>
        <w:t>Furthermore, mixed-method research has been conducted by employing online surveys and telephonic interviews for the collection of qualitative and quantitative data from primary sources. The employees, both in managerial as well as non-managerial position of SMEs based in Asian countries have been invited to take part in the study. Out of the 50 questionnaires that were distributed online, 41 qualified for this study, and 5 one-on-one interviews were conducted. The quantitative data collected through surveys were analysed using linear regression, and the qualitative data gathered from the interviews were interpreted using descriptive techniques.</w:t>
      </w:r>
    </w:p>
    <w:p>
      <w:pPr>
        <w:pStyle w:val="97"/>
        <w:spacing w:after="240"/>
        <w:rPr>
          <w:lang w:val="en-GB" w:eastAsia="en-GB"/>
        </w:rPr>
      </w:pPr>
      <w:r>
        <w:rPr>
          <w:lang w:val="en-GB" w:eastAsia="en-GB"/>
        </w:rPr>
        <w:t>The overall findings have revealed that a statistically significant positive relationship exists between transformational leadership style and organisational performance within the context of SMEs based in Asian countries. Moreover, it was established that all the cumulative impact of the four dimensions of the transformational leadership style has a positive impact on the overall performance of SMEs. This challenges previous research which established that transactional leadership style is effective for enhancing the performance of SMEs.</w:t>
      </w:r>
    </w:p>
    <w:p>
      <w:pPr>
        <w:pStyle w:val="97"/>
        <w:spacing w:after="240"/>
        <w:rPr>
          <w:lang w:val="en-GB" w:eastAsia="en-GB"/>
        </w:rPr>
      </w:pPr>
      <w:r>
        <w:rPr>
          <w:lang w:val="en-GB" w:eastAsia="en-GB"/>
        </w:rPr>
        <w:t>This research, therefore, has focused on the prevailing conditions of the SMEs in Asia for minimising the knowledge gap related to the effect of transformational leadership on the performance of SMEs. Accordingly, it has been recommended to the managers of such organisations to ensure that all the four dimensions of the transformational leadership are followed so that the effectiveness of the organisational performance can be maximised.</w:t>
      </w:r>
    </w:p>
    <w:p>
      <w:pPr>
        <w:pStyle w:val="97"/>
        <w:spacing w:after="240"/>
        <w:rPr>
          <w:lang w:val="en-GB" w:eastAsia="en-GB"/>
        </w:rPr>
      </w:pPr>
      <w:r>
        <w:rPr>
          <w:lang w:val="en-GB" w:eastAsia="en-GB"/>
        </w:rPr>
        <w:t>The limitation of this study is lies in the fact that is follows on the non-probability sampling and generalisations made about the whole population, that is, the SMEs across Asia. Interviewing 5 individuals and conducting a survey comprising 41 respondents has limited the scope of this research in establishing the effects of transformational leadership on the performance of all SMEs across all Asian countries. Such limitations can be explored through further research.</w:t>
      </w:r>
    </w:p>
    <w:sdt>
      <w:sdtPr>
        <w:rPr>
          <w:rFonts w:asciiTheme="minorHAnsi" w:hAnsiTheme="minorHAnsi" w:eastAsiaTheme="minorEastAsia" w:cstheme="minorBidi"/>
          <w:kern w:val="24"/>
          <w:szCs w:val="24"/>
          <w:lang w:eastAsia="ja-JP"/>
        </w:rPr>
        <w:id w:val="-2069870525"/>
        <w:docPartObj>
          <w:docPartGallery w:val="Table of Contents"/>
          <w:docPartUnique/>
        </w:docPartObj>
      </w:sdtPr>
      <w:sdtEndPr>
        <w:rPr>
          <w:rFonts w:asciiTheme="minorHAnsi" w:hAnsiTheme="minorHAnsi" w:eastAsiaTheme="minorEastAsia" w:cstheme="minorBidi"/>
          <w:b/>
          <w:bCs/>
          <w:kern w:val="24"/>
          <w:szCs w:val="24"/>
          <w:lang w:eastAsia="ja-JP"/>
        </w:rPr>
      </w:sdtEndPr>
      <w:sdtContent>
        <w:p>
          <w:pPr>
            <w:pStyle w:val="143"/>
          </w:pPr>
          <w:r>
            <w:rPr>
              <w:lang w:bidi="en-GB"/>
            </w:rPr>
            <w:t>Table of Contents</w:t>
          </w:r>
        </w:p>
        <w:p>
          <w:pPr>
            <w:pStyle w:val="77"/>
            <w:tabs>
              <w:tab w:val="right" w:leader="dot" w:pos="9016"/>
            </w:tabs>
            <w:rPr>
              <w:kern w:val="0"/>
              <w:sz w:val="22"/>
              <w:szCs w:val="22"/>
              <w:lang w:eastAsia="en-GB"/>
            </w:rPr>
          </w:pPr>
          <w:r>
            <w:rPr>
              <w:lang w:bidi="en-GB"/>
            </w:rPr>
            <w:fldChar w:fldCharType="begin"/>
          </w:r>
          <w:r>
            <w:rPr>
              <w:lang w:bidi="en-GB"/>
            </w:rPr>
            <w:instrText xml:space="preserve"> TOC \o "1-3" \h \z \u </w:instrText>
          </w:r>
          <w:r>
            <w:rPr>
              <w:lang w:bidi="en-GB"/>
            </w:rPr>
            <w:fldChar w:fldCharType="separate"/>
          </w:r>
          <w:r>
            <w:fldChar w:fldCharType="begin"/>
          </w:r>
          <w:r>
            <w:instrText xml:space="preserve"> HYPERLINK \l "_Toc41576847" </w:instrText>
          </w:r>
          <w:r>
            <w:fldChar w:fldCharType="separate"/>
          </w:r>
          <w:r>
            <w:fldChar w:fldCharType="end"/>
          </w:r>
          <w:r>
            <w:fldChar w:fldCharType="begin"/>
          </w:r>
          <w:r>
            <w:instrText xml:space="preserve"> HYPERLINK \l "_Toc41576848" </w:instrText>
          </w:r>
          <w:r>
            <w:fldChar w:fldCharType="separate"/>
          </w:r>
          <w:r>
            <w:rPr>
              <w:rStyle w:val="90"/>
            </w:rPr>
            <w:t>1.0 Introduction</w:t>
          </w:r>
          <w:r>
            <w:tab/>
          </w:r>
          <w:r>
            <w:fldChar w:fldCharType="begin"/>
          </w:r>
          <w:r>
            <w:instrText xml:space="preserve"> PAGEREF _Toc41576848 \h </w:instrText>
          </w:r>
          <w:r>
            <w:fldChar w:fldCharType="separate"/>
          </w:r>
          <w:r>
            <w:t>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"_Toc41576849" </w:instrText>
          </w:r>
          <w:r>
            <w:fldChar w:fldCharType="separate"/>
          </w:r>
          <w:r>
            <w:rPr>
              <w:rStyle w:val="90"/>
            </w:rPr>
            <w:t>1.1 Background</w:t>
          </w:r>
          <w:r>
            <w:tab/>
          </w:r>
          <w:r>
            <w:fldChar w:fldCharType="begin"/>
          </w:r>
          <w:r>
            <w:instrText xml:space="preserve"> PAGEREF _Toc41576849 \h </w:instrText>
          </w:r>
          <w:r>
            <w:fldChar w:fldCharType="separate"/>
          </w:r>
          <w:r>
            <w:t>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"_Toc41576850" </w:instrText>
          </w:r>
          <w:r>
            <w:fldChar w:fldCharType="separate"/>
          </w:r>
          <w:r>
            <w:rPr>
              <w:rStyle w:val="90"/>
            </w:rPr>
            <w:t>1.2 Justification</w:t>
          </w:r>
          <w:r>
            <w:tab/>
          </w:r>
          <w:r>
            <w:fldChar w:fldCharType="begin"/>
          </w:r>
          <w:r>
            <w:instrText xml:space="preserve"> PAGEREF _Toc41576850 \h </w:instrText>
          </w:r>
          <w:r>
            <w:fldChar w:fldCharType="separate"/>
          </w:r>
          <w:r>
            <w:t>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"_Toc41576851" </w:instrText>
          </w:r>
          <w:r>
            <w:fldChar w:fldCharType="separate"/>
          </w:r>
          <w:r>
            <w:rPr>
              <w:rStyle w:val="90"/>
            </w:rPr>
            <w:t>1.3 Research Aim and Objectives</w:t>
          </w:r>
          <w:r>
            <w:tab/>
          </w:r>
          <w:r>
            <w:fldChar w:fldCharType="begin"/>
          </w:r>
          <w:r>
            <w:instrText xml:space="preserve"> PAGEREF _Toc41576851 \h </w:instrText>
          </w:r>
          <w:r>
            <w:fldChar w:fldCharType="separate"/>
          </w:r>
          <w:r>
            <w:t>10</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"_Toc41576852" </w:instrText>
          </w:r>
          <w:r>
            <w:fldChar w:fldCharType="separate"/>
          </w:r>
          <w:r>
            <w:rPr>
              <w:rStyle w:val="90"/>
            </w:rPr>
            <w:t>1.3.1 Research Aim</w:t>
          </w:r>
          <w:r>
            <w:tab/>
          </w:r>
          <w:r>
            <w:fldChar w:fldCharType="begin"/>
          </w:r>
          <w:r>
            <w:instrText xml:space="preserve"> PAGEREF _Toc41576852 \h </w:instrText>
          </w:r>
          <w:r>
            <w:fldChar w:fldCharType="separate"/>
          </w:r>
          <w:r>
            <w:t>10</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"_Toc41576853" </w:instrText>
          </w:r>
          <w:r>
            <w:fldChar w:fldCharType="separate"/>
          </w:r>
          <w:r>
            <w:rPr>
              <w:rStyle w:val="90"/>
            </w:rPr>
            <w:t>1.3.2 Research Objectives</w:t>
          </w:r>
          <w:r>
            <w:tab/>
          </w:r>
          <w:r>
            <w:fldChar w:fldCharType="begin"/>
          </w:r>
          <w:r>
            <w:instrText xml:space="preserve"> PAGEREF _Toc41576853 \h </w:instrText>
          </w:r>
          <w:r>
            <w:fldChar w:fldCharType="separate"/>
          </w:r>
          <w:r>
            <w:t>10</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"_Toc41576854" </w:instrText>
          </w:r>
          <w:r>
            <w:fldChar w:fldCharType="separate"/>
          </w:r>
          <w:r>
            <w:rPr>
              <w:rStyle w:val="90"/>
            </w:rPr>
            <w:t>1.4 Research Question</w:t>
          </w:r>
          <w:r>
            <w:tab/>
          </w:r>
          <w:r>
            <w:fldChar w:fldCharType="begin"/>
          </w:r>
          <w:r>
            <w:instrText xml:space="preserve"> PAGEREF _Toc41576854 \h </w:instrText>
          </w:r>
          <w:r>
            <w:fldChar w:fldCharType="separate"/>
          </w:r>
          <w:r>
            <w:t>10</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"_Toc41576855" </w:instrText>
          </w:r>
          <w:r>
            <w:fldChar w:fldCharType="separate"/>
          </w:r>
          <w:r>
            <w:rPr>
              <w:rStyle w:val="90"/>
            </w:rPr>
            <w:t>1.5 Overview of the Chapters</w:t>
          </w:r>
          <w:r>
            <w:tab/>
          </w:r>
          <w:r>
            <w:fldChar w:fldCharType="begin"/>
          </w:r>
          <w:r>
            <w:instrText xml:space="preserve"> PAGEREF _Toc41576855 \h </w:instrText>
          </w:r>
          <w:r>
            <w:fldChar w:fldCharType="separate"/>
          </w:r>
          <w:r>
            <w:t>11</w:t>
          </w:r>
          <w:r>
            <w:fldChar w:fldCharType="end"/>
          </w:r>
          <w:r>
            <w:fldChar w:fldCharType="end"/>
          </w:r>
        </w:p>
        <w:p>
          <w:pPr>
            <w:pStyle w:val="77"/>
            <w:tabs>
              <w:tab w:val="right" w:leader="dot" w:pos="9016"/>
            </w:tabs>
            <w:rPr>
              <w:kern w:val="0"/>
              <w:sz w:val="22"/>
              <w:szCs w:val="22"/>
              <w:lang w:eastAsia="en-GB"/>
            </w:rPr>
          </w:pPr>
          <w:r>
            <w:fldChar w:fldCharType="begin"/>
          </w:r>
          <w:r>
            <w:instrText xml:space="preserve"> HYPERLINK \l "_Toc41576856" </w:instrText>
          </w:r>
          <w:r>
            <w:fldChar w:fldCharType="separate"/>
          </w:r>
          <w:r>
            <w:rPr>
              <w:rStyle w:val="90"/>
            </w:rPr>
            <w:t>2.0 Literature Review</w:t>
          </w:r>
          <w:r>
            <w:tab/>
          </w:r>
          <w:r>
            <w:fldChar w:fldCharType="begin"/>
          </w:r>
          <w:r>
            <w:instrText xml:space="preserve"> PAGEREF _Toc41576856 \h </w:instrText>
          </w:r>
          <w:r>
            <w:fldChar w:fldCharType="separate"/>
          </w:r>
          <w:r>
            <w:t>12</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"_Toc41576857" </w:instrText>
          </w:r>
          <w:r>
            <w:fldChar w:fldCharType="separate"/>
          </w:r>
          <w:r>
            <w:rPr>
              <w:rStyle w:val="90"/>
            </w:rPr>
            <w:t>2.1 Leadership</w:t>
          </w:r>
          <w:r>
            <w:tab/>
          </w:r>
          <w:r>
            <w:fldChar w:fldCharType="begin"/>
          </w:r>
          <w:r>
            <w:instrText xml:space="preserve"> PAGEREF _Toc41576857 \h </w:instrText>
          </w:r>
          <w:r>
            <w:fldChar w:fldCharType="separate"/>
          </w:r>
          <w:r>
            <w:t>12</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"_Toc41576858" </w:instrText>
          </w:r>
          <w:r>
            <w:fldChar w:fldCharType="separate"/>
          </w:r>
          <w:r>
            <w:rPr>
              <w:rStyle w:val="90"/>
            </w:rPr>
            <w:t>2.1.1 Styles of Leadership</w:t>
          </w:r>
          <w:r>
            <w:tab/>
          </w:r>
          <w:r>
            <w:fldChar w:fldCharType="begin"/>
          </w:r>
          <w:r>
            <w:instrText xml:space="preserve"> PAGEREF _Toc41576858 \h </w:instrText>
          </w:r>
          <w:r>
            <w:fldChar w:fldCharType="separate"/>
          </w:r>
          <w:r>
            <w:t>13</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"_Toc41576859" </w:instrText>
          </w:r>
          <w:r>
            <w:fldChar w:fldCharType="separate"/>
          </w:r>
          <w:r>
            <w:rPr>
              <w:rStyle w:val="90"/>
            </w:rPr>
            <w:t>2.1.2 Role of Leadership in SMEs</w:t>
          </w:r>
          <w:r>
            <w:tab/>
          </w:r>
          <w:r>
            <w:fldChar w:fldCharType="begin"/>
          </w:r>
          <w:r>
            <w:instrText xml:space="preserve"> PAGEREF _Toc41576859 \h </w:instrText>
          </w:r>
          <w:r>
            <w:fldChar w:fldCharType="separate"/>
          </w:r>
          <w:r>
            <w:t>17</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"_Toc41576860" </w:instrText>
          </w:r>
          <w:r>
            <w:fldChar w:fldCharType="separate"/>
          </w:r>
          <w:r>
            <w:rPr>
              <w:rStyle w:val="90"/>
            </w:rPr>
            <w:t>2.2 Organisational Performance</w:t>
          </w:r>
          <w:r>
            <w:tab/>
          </w:r>
          <w:r>
            <w:fldChar w:fldCharType="begin"/>
          </w:r>
          <w:r>
            <w:instrText xml:space="preserve"> PAGEREF _Toc41576860 \h </w:instrText>
          </w:r>
          <w:r>
            <w:fldChar w:fldCharType="separate"/>
          </w:r>
          <w:r>
            <w:t>18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"_Toc41576861" </w:instrText>
          </w:r>
          <w:r>
            <w:fldChar w:fldCharType="separate"/>
          </w:r>
          <w:r>
            <w:rPr>
              <w:rStyle w:val="90"/>
            </w:rPr>
            <w:t>2.3 Leadership and Organisational Performance</w:t>
          </w:r>
          <w:r>
            <w:tab/>
          </w:r>
          <w:r>
            <w:fldChar w:fldCharType="begin"/>
          </w:r>
          <w:r>
            <w:instrText xml:space="preserve"> PAGEREF _Toc41576861 \h </w:instrText>
          </w:r>
          <w:r>
            <w:fldChar w:fldCharType="separate"/>
          </w:r>
          <w:r>
            <w:t>19</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"_Toc41576862" </w:instrText>
          </w:r>
          <w:r>
            <w:fldChar w:fldCharType="separate"/>
          </w:r>
          <w:r>
            <w:rPr>
              <w:rStyle w:val="90"/>
            </w:rPr>
            <w:t>2.4 Literature Gap</w:t>
          </w:r>
          <w:r>
            <w:tab/>
          </w:r>
          <w:r>
            <w:fldChar w:fldCharType="begin"/>
          </w:r>
          <w:r>
            <w:instrText xml:space="preserve"> PAGEREF _Toc41576862 \h </w:instrText>
          </w:r>
          <w:r>
            <w:fldChar w:fldCharType="separate"/>
          </w:r>
          <w:r>
            <w:t>23</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"_Toc41576863" </w:instrText>
          </w:r>
          <w:r>
            <w:fldChar w:fldCharType="separate"/>
          </w:r>
          <w:r>
            <w:rPr>
              <w:rStyle w:val="90"/>
            </w:rPr>
            <w:t>2.5 Conceptual Framework</w:t>
          </w:r>
          <w:r>
            <w:tab/>
          </w:r>
          <w:r>
            <w:fldChar w:fldCharType="begin"/>
          </w:r>
          <w:r>
            <w:instrText xml:space="preserve"> PAGEREF _Toc41576863 \h </w:instrText>
          </w:r>
          <w:r>
            <w:fldChar w:fldCharType="separate"/>
          </w:r>
          <w:r>
            <w:t>23</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"_Toc41576864" </w:instrText>
          </w:r>
          <w:r>
            <w:fldChar w:fldCharType="separate"/>
          </w:r>
          <w:r>
            <w:rPr>
              <w:rStyle w:val="90"/>
            </w:rPr>
            <w:t>2.3.1 Hypothesis Development</w:t>
          </w:r>
          <w:r>
            <w:tab/>
          </w:r>
          <w:r>
            <w:fldChar w:fldCharType="begin"/>
          </w:r>
          <w:r>
            <w:instrText xml:space="preserve"> PAGEREF _Toc41576864 \h </w:instrText>
          </w:r>
          <w:r>
            <w:fldChar w:fldCharType="separate"/>
          </w:r>
          <w:r>
            <w:t>24</w:t>
          </w:r>
          <w:r>
            <w:fldChar w:fldCharType="end"/>
          </w:r>
          <w:r>
            <w:fldChar w:fldCharType="end"/>
          </w:r>
        </w:p>
        <w:p>
          <w:pPr>
            <w:pStyle w:val="77"/>
            <w:tabs>
              <w:tab w:val="right" w:leader="dot" w:pos="9016"/>
            </w:tabs>
            <w:rPr>
              <w:kern w:val="0"/>
              <w:sz w:val="22"/>
              <w:szCs w:val="22"/>
              <w:lang w:eastAsia="en-GB"/>
            </w:rPr>
          </w:pPr>
          <w:r>
            <w:fldChar w:fldCharType="begin"/>
          </w:r>
          <w:r>
            <w:instrText xml:space="preserve"> HYPERLINK \l "_Toc41576865" </w:instrText>
          </w:r>
          <w:r>
            <w:fldChar w:fldCharType="separate"/>
          </w:r>
          <w:r>
            <w:rPr>
              <w:rStyle w:val="90"/>
            </w:rPr>
            <w:t>3.0 Methodology</w:t>
          </w:r>
          <w:r>
            <w:tab/>
          </w:r>
          <w:r>
            <w:fldChar w:fldCharType="begin"/>
          </w:r>
          <w:r>
            <w:instrText xml:space="preserve"> PAGEREF _Toc41576865 \h </w:instrText>
          </w:r>
          <w:r>
            <w:fldChar w:fldCharType="separate"/>
          </w:r>
          <w:r>
            <w:t>25</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"_Toc41576866" </w:instrText>
          </w:r>
          <w:r>
            <w:fldChar w:fldCharType="separate"/>
          </w:r>
          <w:r>
            <w:rPr>
              <w:rStyle w:val="90"/>
            </w:rPr>
            <w:t>3.1 Research Philosophy</w:t>
          </w:r>
          <w:r>
            <w:tab/>
          </w:r>
          <w:r>
            <w:fldChar w:fldCharType="begin"/>
          </w:r>
          <w:r>
            <w:instrText xml:space="preserve"> PAGEREF _Toc41576866 \h </w:instrText>
          </w:r>
          <w:r>
            <w:fldChar w:fldCharType="separate"/>
          </w:r>
          <w:r>
            <w:t>25</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"_Toc41576867" </w:instrText>
          </w:r>
          <w:r>
            <w:fldChar w:fldCharType="separate"/>
          </w:r>
          <w:r>
            <w:rPr>
              <w:rStyle w:val="90"/>
            </w:rPr>
            <w:t>3.2 Research Approach</w:t>
          </w:r>
          <w:r>
            <w:tab/>
          </w:r>
          <w:r>
            <w:fldChar w:fldCharType="begin"/>
          </w:r>
          <w:r>
            <w:instrText xml:space="preserve"> PAGEREF _Toc41576867 \h </w:instrText>
          </w:r>
          <w:r>
            <w:fldChar w:fldCharType="separate"/>
          </w:r>
          <w:r>
            <w:t>26</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"_Toc41576868" </w:instrText>
          </w:r>
          <w:r>
            <w:fldChar w:fldCharType="separate"/>
          </w:r>
          <w:r>
            <w:rPr>
              <w:rStyle w:val="90"/>
            </w:rPr>
            <w:t>3.3 Research Strategy</w:t>
          </w:r>
          <w:r>
            <w:tab/>
          </w:r>
          <w:r>
            <w:fldChar w:fldCharType="begin"/>
          </w:r>
          <w:r>
            <w:instrText xml:space="preserve"> PAGEREF _Toc41576868 \h </w:instrText>
          </w:r>
          <w:r>
            <w:fldChar w:fldCharType="separate"/>
          </w:r>
          <w:r>
            <w:t>27</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"_Toc41576869" </w:instrText>
          </w:r>
          <w:r>
            <w:fldChar w:fldCharType="separate"/>
          </w:r>
          <w:r>
            <w:rPr>
              <w:rStyle w:val="90"/>
            </w:rPr>
            <w:t>3.4 Research Choice</w:t>
          </w:r>
          <w:r>
            <w:tab/>
          </w:r>
          <w:r>
            <w:fldChar w:fldCharType="begin"/>
          </w:r>
          <w:r>
            <w:instrText xml:space="preserve"> PAGEREF _Toc41576869 \h </w:instrText>
          </w:r>
          <w:r>
            <w:fldChar w:fldCharType="separate"/>
          </w:r>
          <w:r>
            <w:t>27</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"_Toc41576870" </w:instrText>
          </w:r>
          <w:r>
            <w:fldChar w:fldCharType="separate"/>
          </w:r>
          <w:r>
            <w:rPr>
              <w:rStyle w:val="90"/>
            </w:rPr>
            <w:t>3.4 Time Horizon</w:t>
          </w:r>
          <w:r>
            <w:tab/>
          </w:r>
          <w:r>
            <w:fldChar w:fldCharType="begin"/>
          </w:r>
          <w:r>
            <w:instrText xml:space="preserve"> PAGEREF _Toc41576870 \h </w:instrText>
          </w:r>
          <w:r>
            <w:fldChar w:fldCharType="separate"/>
          </w:r>
          <w:r>
            <w:t>28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"_Toc41576871" </w:instrText>
          </w:r>
          <w:r>
            <w:fldChar w:fldCharType="separate"/>
          </w:r>
          <w:r>
            <w:rPr>
              <w:rStyle w:val="90"/>
            </w:rPr>
            <w:t>3.6 Data Collection</w:t>
          </w:r>
          <w:r>
            <w:tab/>
          </w:r>
          <w:r>
            <w:fldChar w:fldCharType="begin"/>
          </w:r>
          <w:r>
            <w:instrText xml:space="preserve"> PAGEREF _Toc41576871 \h </w:instrText>
          </w:r>
          <w:r>
            <w:fldChar w:fldCharType="separate"/>
          </w:r>
          <w:r>
            <w:t>29</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"_Toc41576872" </w:instrText>
          </w:r>
          <w:r>
            <w:fldChar w:fldCharType="separate"/>
          </w:r>
          <w:r>
            <w:rPr>
              <w:rStyle w:val="90"/>
            </w:rPr>
            <w:t>3.6.1 Source of Data Collection</w:t>
          </w:r>
          <w:r>
            <w:tab/>
          </w:r>
          <w:r>
            <w:fldChar w:fldCharType="begin"/>
          </w:r>
          <w:r>
            <w:instrText xml:space="preserve"> PAGEREF _Toc41576872 \h </w:instrText>
          </w:r>
          <w:r>
            <w:fldChar w:fldCharType="separate"/>
          </w:r>
          <w:r>
            <w:t>29</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"_Toc41576873" </w:instrText>
          </w:r>
          <w:r>
            <w:fldChar w:fldCharType="separate"/>
          </w:r>
          <w:r>
            <w:rPr>
              <w:rStyle w:val="90"/>
            </w:rPr>
            <w:t>3.6.2 Sample Selection</w:t>
          </w:r>
          <w:r>
            <w:tab/>
          </w:r>
          <w:r>
            <w:fldChar w:fldCharType="begin"/>
          </w:r>
          <w:r>
            <w:instrText xml:space="preserve"> PAGEREF _Toc41576873 \h </w:instrText>
          </w:r>
          <w:r>
            <w:fldChar w:fldCharType="separate"/>
          </w:r>
          <w:r>
            <w:t>30</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"_Toc41576874" </w:instrText>
          </w:r>
          <w:r>
            <w:fldChar w:fldCharType="separate"/>
          </w:r>
          <w:r>
            <w:rPr>
              <w:rStyle w:val="90"/>
            </w:rPr>
            <w:t>3.6.3 Questionnaire Design</w:t>
          </w:r>
          <w:r>
            <w:tab/>
          </w:r>
          <w:r>
            <w:fldChar w:fldCharType="begin"/>
          </w:r>
          <w:r>
            <w:instrText xml:space="preserve"> PAGEREF _Toc41576874 \h </w:instrText>
          </w:r>
          <w:r>
            <w:fldChar w:fldCharType="separate"/>
          </w:r>
          <w:r>
            <w:t>30</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"_Toc41576875" </w:instrText>
          </w:r>
          <w:r>
            <w:fldChar w:fldCharType="separate"/>
          </w:r>
          <w:r>
            <w:rPr>
              <w:rStyle w:val="90"/>
            </w:rPr>
            <w:t>3.7 Analysis of Data</w:t>
          </w:r>
          <w:r>
            <w:tab/>
          </w:r>
          <w:r>
            <w:fldChar w:fldCharType="begin"/>
          </w:r>
          <w:r>
            <w:instrText xml:space="preserve"> PAGEREF _Toc41576875 \h </w:instrText>
          </w:r>
          <w:r>
            <w:fldChar w:fldCharType="separate"/>
          </w:r>
          <w:r>
            <w:t>31</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"_Toc41576876" </w:instrText>
          </w:r>
          <w:r>
            <w:fldChar w:fldCharType="separate"/>
          </w:r>
          <w:r>
            <w:rPr>
              <w:rStyle w:val="90"/>
            </w:rPr>
            <w:t>3.7.1 Quantitative Data</w:t>
          </w:r>
          <w:r>
            <w:tab/>
          </w:r>
          <w:r>
            <w:fldChar w:fldCharType="begin"/>
          </w:r>
          <w:r>
            <w:instrText xml:space="preserve"> PAGEREF _Toc41576876 \h </w:instrText>
          </w:r>
          <w:r>
            <w:fldChar w:fldCharType="separate"/>
          </w:r>
          <w:r>
            <w:t>31</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"_Toc41576877" </w:instrText>
          </w:r>
          <w:r>
            <w:fldChar w:fldCharType="separate"/>
          </w:r>
          <w:r>
            <w:rPr>
              <w:rStyle w:val="90"/>
            </w:rPr>
            <w:t>3.7.2 Qualitative Data</w:t>
          </w:r>
          <w:r>
            <w:tab/>
          </w:r>
          <w:r>
            <w:fldChar w:fldCharType="begin"/>
          </w:r>
          <w:r>
            <w:instrText xml:space="preserve"> PAGEREF _Toc41576877 \h </w:instrText>
          </w:r>
          <w:r>
            <w:fldChar w:fldCharType="separate"/>
          </w:r>
          <w:r>
            <w:t>32</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"_Toc41576878" </w:instrText>
          </w:r>
          <w:r>
            <w:fldChar w:fldCharType="separate"/>
          </w:r>
          <w:r>
            <w:rPr>
              <w:rStyle w:val="90"/>
            </w:rPr>
            <w:t>3.8 Ethical Considerations</w:t>
          </w:r>
          <w:r>
            <w:tab/>
          </w:r>
          <w:r>
            <w:fldChar w:fldCharType="begin"/>
          </w:r>
          <w:r>
            <w:instrText xml:space="preserve"> PAGEREF _Toc41576878 \h </w:instrText>
          </w:r>
          <w:r>
            <w:fldChar w:fldCharType="separate"/>
          </w:r>
          <w:r>
            <w:t>32</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"_Toc41576879" </w:instrText>
          </w:r>
          <w:r>
            <w:fldChar w:fldCharType="separate"/>
          </w:r>
          <w:r>
            <w:rPr>
              <w:rStyle w:val="90"/>
            </w:rPr>
            <w:t>3.9 Limitations of the Methodology and Methods Used</w:t>
          </w:r>
          <w:r>
            <w:tab/>
          </w:r>
          <w:r>
            <w:fldChar w:fldCharType="begin"/>
          </w:r>
          <w:r>
            <w:instrText xml:space="preserve"> PAGEREF _Toc41576879 \h </w:instrText>
          </w:r>
          <w:r>
            <w:fldChar w:fldCharType="separate"/>
          </w:r>
          <w:r>
            <w:t>33</w:t>
          </w:r>
          <w:r>
            <w:fldChar w:fldCharType="end"/>
          </w:r>
          <w:r>
            <w:fldChar w:fldCharType="end"/>
          </w:r>
        </w:p>
        <w:p>
          <w:pPr>
            <w:pStyle w:val="77"/>
            <w:tabs>
              <w:tab w:val="right" w:leader="dot" w:pos="9016"/>
            </w:tabs>
            <w:rPr>
              <w:kern w:val="0"/>
              <w:sz w:val="22"/>
              <w:szCs w:val="22"/>
              <w:lang w:eastAsia="en-GB"/>
            </w:rPr>
          </w:pPr>
          <w:r>
            <w:fldChar w:fldCharType="begin"/>
          </w:r>
          <w:r>
            <w:instrText xml:space="preserve"> HYPERLINK \l "_Toc41576880" </w:instrText>
          </w:r>
          <w:r>
            <w:fldChar w:fldCharType="separate"/>
          </w:r>
          <w:r>
            <w:rPr>
              <w:rStyle w:val="90"/>
            </w:rPr>
            <w:t>4.0 Data Analysis</w:t>
          </w:r>
          <w:r>
            <w:tab/>
          </w:r>
          <w:r>
            <w:fldChar w:fldCharType="begin"/>
          </w:r>
          <w:r>
            <w:instrText xml:space="preserve"> PAGEREF _Toc41576880 \h </w:instrText>
          </w:r>
          <w:r>
            <w:fldChar w:fldCharType="separate"/>
          </w:r>
          <w:r>
            <w:t>34</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"_Toc41576881" </w:instrText>
          </w:r>
          <w:r>
            <w:fldChar w:fldCharType="separate"/>
          </w:r>
          <w:r>
            <w:rPr>
              <w:rStyle w:val="90"/>
            </w:rPr>
            <w:t>4.1 Analysis of Survey Responses</w:t>
          </w:r>
          <w:r>
            <w:tab/>
          </w:r>
          <w:r>
            <w:fldChar w:fldCharType="begin"/>
          </w:r>
          <w:r>
            <w:instrText xml:space="preserve"> PAGEREF _Toc41576881 \h </w:instrText>
          </w:r>
          <w:r>
            <w:fldChar w:fldCharType="separate"/>
          </w:r>
          <w:r>
            <w:t>34</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"_Toc41576882" </w:instrText>
          </w:r>
          <w:r>
            <w:fldChar w:fldCharType="separate"/>
          </w:r>
          <w:r>
            <w:rPr>
              <w:rStyle w:val="90"/>
            </w:rPr>
            <w:t>4.1.1 Overview of Data Collected</w:t>
          </w:r>
          <w:r>
            <w:tab/>
          </w:r>
          <w:r>
            <w:fldChar w:fldCharType="begin"/>
          </w:r>
          <w:r>
            <w:instrText xml:space="preserve"> PAGEREF _Toc41576882 \h </w:instrText>
          </w:r>
          <w:r>
            <w:fldChar w:fldCharType="separate"/>
          </w:r>
          <w:r>
            <w:t>34</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"_Toc41576883" </w:instrText>
          </w:r>
          <w:r>
            <w:fldChar w:fldCharType="separate"/>
          </w:r>
          <w:r>
            <w:rPr>
              <w:rStyle w:val="90"/>
            </w:rPr>
            <w:t>4.1.2 Effect of Transformational Leadership on Organisational Performance</w:t>
          </w:r>
          <w:r>
            <w:tab/>
          </w:r>
          <w:r>
            <w:fldChar w:fldCharType="begin"/>
          </w:r>
          <w:r>
            <w:instrText xml:space="preserve"> PAGEREF _Toc41576883 \h </w:instrText>
          </w:r>
          <w:r>
            <w:fldChar w:fldCharType="separate"/>
          </w:r>
          <w:r>
            <w:t>38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"_Toc41576884" </w:instrText>
          </w:r>
          <w:r>
            <w:fldChar w:fldCharType="separate"/>
          </w:r>
          <w:r>
            <w:rPr>
              <w:rStyle w:val="90"/>
            </w:rPr>
            <w:t>4.2 Analysis of One-on-One Telephonic Interviews</w:t>
          </w:r>
          <w:r>
            <w:tab/>
          </w:r>
          <w:r>
            <w:fldChar w:fldCharType="begin"/>
          </w:r>
          <w:r>
            <w:instrText xml:space="preserve"> PAGEREF _Toc41576884 \h </w:instrText>
          </w:r>
          <w:r>
            <w:fldChar w:fldCharType="separate"/>
          </w:r>
          <w:r>
            <w:t>41</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"_Toc41576885" </w:instrText>
          </w:r>
          <w:r>
            <w:fldChar w:fldCharType="separate"/>
          </w:r>
          <w:r>
            <w:rPr>
              <w:rStyle w:val="90"/>
            </w:rPr>
            <w:t>4.2.1 Nature of Transformational Leadership and Organisational Performance</w:t>
          </w:r>
          <w:r>
            <w:tab/>
          </w:r>
          <w:r>
            <w:fldChar w:fldCharType="begin"/>
          </w:r>
          <w:r>
            <w:instrText xml:space="preserve"> PAGEREF _Toc41576885 \h </w:instrText>
          </w:r>
          <w:r>
            <w:fldChar w:fldCharType="separate"/>
          </w:r>
          <w:r>
            <w:t>41</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"_Toc41576886" </w:instrText>
          </w:r>
          <w:r>
            <w:fldChar w:fldCharType="separate"/>
          </w:r>
          <w:r>
            <w:rPr>
              <w:rStyle w:val="90"/>
            </w:rPr>
            <w:t>4.2.2 Importance of Organisational Performance</w:t>
          </w:r>
          <w:r>
            <w:tab/>
          </w:r>
          <w:r>
            <w:fldChar w:fldCharType="begin"/>
          </w:r>
          <w:r>
            <w:instrText xml:space="preserve"> PAGEREF _Toc41576886 \h </w:instrText>
          </w:r>
          <w:r>
            <w:fldChar w:fldCharType="separate"/>
          </w:r>
          <w:r>
            <w:t>43</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"_Toc41576887" </w:instrText>
          </w:r>
          <w:r>
            <w:fldChar w:fldCharType="separate"/>
          </w:r>
          <w:r>
            <w:rPr>
              <w:rStyle w:val="90"/>
            </w:rPr>
            <w:t>4.2.3 Enhancing the Effectiveness of Organisational Performance</w:t>
          </w:r>
          <w:r>
            <w:tab/>
          </w:r>
          <w:r>
            <w:fldChar w:fldCharType="begin"/>
          </w:r>
          <w:r>
            <w:instrText xml:space="preserve"> PAGEREF _Toc41576887 \h </w:instrText>
          </w:r>
          <w:r>
            <w:fldChar w:fldCharType="separate"/>
          </w:r>
          <w:r>
            <w:t>44</w:t>
          </w:r>
          <w:r>
            <w:fldChar w:fldCharType="end"/>
          </w:r>
          <w:r>
            <w:fldChar w:fldCharType="end"/>
          </w:r>
        </w:p>
        <w:p>
          <w:pPr>
            <w:pStyle w:val="77"/>
            <w:tabs>
              <w:tab w:val="right" w:leader="dot" w:pos="9016"/>
            </w:tabs>
            <w:rPr>
              <w:kern w:val="0"/>
              <w:sz w:val="22"/>
              <w:szCs w:val="22"/>
              <w:lang w:eastAsia="en-GB"/>
            </w:rPr>
          </w:pPr>
          <w:r>
            <w:fldChar w:fldCharType="begin"/>
          </w:r>
          <w:r>
            <w:instrText xml:space="preserve"> HYPERLINK \l "_Toc41576888" </w:instrText>
          </w:r>
          <w:r>
            <w:fldChar w:fldCharType="separate"/>
          </w:r>
          <w:r>
            <w:rPr>
              <w:rStyle w:val="90"/>
            </w:rPr>
            <w:t>5.0 Discussion, Conclusions and Recommendations</w:t>
          </w:r>
          <w:r>
            <w:tab/>
          </w:r>
          <w:r>
            <w:fldChar w:fldCharType="begin"/>
          </w:r>
          <w:r>
            <w:instrText xml:space="preserve"> PAGEREF _Toc41576888 \h </w:instrText>
          </w:r>
          <w:r>
            <w:fldChar w:fldCharType="separate"/>
          </w:r>
          <w:r>
            <w:t>45</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"_Toc41576889" </w:instrText>
          </w:r>
          <w:r>
            <w:fldChar w:fldCharType="separate"/>
          </w:r>
          <w:r>
            <w:rPr>
              <w:rStyle w:val="90"/>
            </w:rPr>
            <w:t>5.1 Discussion</w:t>
          </w:r>
          <w:r>
            <w:tab/>
          </w:r>
          <w:r>
            <w:fldChar w:fldCharType="begin"/>
          </w:r>
          <w:r>
            <w:instrText xml:space="preserve"> PAGEREF _Toc41576889 \h </w:instrText>
          </w:r>
          <w:r>
            <w:fldChar w:fldCharType="separate"/>
          </w:r>
          <w:r>
            <w:t>45</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"_Toc41576890" </w:instrText>
          </w:r>
          <w:r>
            <w:fldChar w:fldCharType="separate"/>
          </w:r>
          <w:r>
            <w:rPr>
              <w:rStyle w:val="90"/>
            </w:rPr>
            <w:t>5.1.1 Nature of Transformational Leadership and Organisational Performance</w:t>
          </w:r>
          <w:r>
            <w:tab/>
          </w:r>
          <w:r>
            <w:fldChar w:fldCharType="begin"/>
          </w:r>
          <w:r>
            <w:instrText xml:space="preserve"> PAGEREF _Toc41576890 \h </w:instrText>
          </w:r>
          <w:r>
            <w:fldChar w:fldCharType="separate"/>
          </w:r>
          <w:r>
            <w:t>45</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"_Toc41576891" </w:instrText>
          </w:r>
          <w:r>
            <w:fldChar w:fldCharType="separate"/>
          </w:r>
          <w:r>
            <w:rPr>
              <w:rStyle w:val="90"/>
            </w:rPr>
            <w:t>5.1.2 Effect of Transformational Leadership on Organisational Performance</w:t>
          </w:r>
          <w:r>
            <w:tab/>
          </w:r>
          <w:r>
            <w:fldChar w:fldCharType="begin"/>
          </w:r>
          <w:r>
            <w:instrText xml:space="preserve"> PAGEREF _Toc41576891 \h </w:instrText>
          </w:r>
          <w:r>
            <w:fldChar w:fldCharType="separate"/>
          </w:r>
          <w:r>
            <w:t>46</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"_Toc41576892" </w:instrText>
          </w:r>
          <w:r>
            <w:fldChar w:fldCharType="separate"/>
          </w:r>
          <w:r>
            <w:rPr>
              <w:rStyle w:val="90"/>
            </w:rPr>
            <w:t>5.1.3 Importance of Organisational Performance</w:t>
          </w:r>
          <w:r>
            <w:tab/>
          </w:r>
          <w:r>
            <w:fldChar w:fldCharType="begin"/>
          </w:r>
          <w:r>
            <w:instrText xml:space="preserve"> PAGEREF _Toc41576892 \h </w:instrText>
          </w:r>
          <w:r>
            <w:fldChar w:fldCharType="separate"/>
          </w:r>
          <w:r>
            <w:t>47</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"_Toc41576893" </w:instrText>
          </w:r>
          <w:r>
            <w:fldChar w:fldCharType="separate"/>
          </w:r>
          <w:r>
            <w:rPr>
              <w:rStyle w:val="90"/>
            </w:rPr>
            <w:t>5.1.4 Enhancing the Effectiveness of Organisational Performance</w:t>
          </w:r>
          <w:r>
            <w:tab/>
          </w:r>
          <w:r>
            <w:fldChar w:fldCharType="begin"/>
          </w:r>
          <w:r>
            <w:instrText xml:space="preserve"> PAGEREF _Toc41576893 \h </w:instrText>
          </w:r>
          <w:r>
            <w:fldChar w:fldCharType="separate"/>
          </w:r>
          <w:r>
            <w:t>47</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"_Toc41576894" </w:instrText>
          </w:r>
          <w:r>
            <w:fldChar w:fldCharType="separate"/>
          </w:r>
          <w:r>
            <w:rPr>
              <w:rStyle w:val="90"/>
            </w:rPr>
            <w:t>5.2 Conclusions</w:t>
          </w:r>
          <w:r>
            <w:tab/>
          </w:r>
          <w:r>
            <w:fldChar w:fldCharType="begin"/>
          </w:r>
          <w:r>
            <w:instrText xml:space="preserve"> PAGEREF _Toc41576894 \h </w:instrText>
          </w:r>
          <w:r>
            <w:fldChar w:fldCharType="separate"/>
          </w:r>
          <w:r>
            <w:t>48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"_Toc41576895" </w:instrText>
          </w:r>
          <w:r>
            <w:fldChar w:fldCharType="separate"/>
          </w:r>
          <w:r>
            <w:rPr>
              <w:rStyle w:val="90"/>
            </w:rPr>
            <w:t>5.3 Recommendations</w:t>
          </w:r>
          <w:r>
            <w:tab/>
          </w:r>
          <w:r>
            <w:fldChar w:fldCharType="begin"/>
          </w:r>
          <w:r>
            <w:instrText xml:space="preserve"> PAGEREF _Toc41576895 \h </w:instrText>
          </w:r>
          <w:r>
            <w:fldChar w:fldCharType="separate"/>
          </w:r>
          <w:r>
            <w:t>49</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"_Toc41576896" </w:instrText>
          </w:r>
          <w:r>
            <w:fldChar w:fldCharType="separate"/>
          </w:r>
          <w:r>
            <w:rPr>
              <w:rStyle w:val="90"/>
            </w:rPr>
            <w:t>5.3.1 Suggestions for Industries</w:t>
          </w:r>
          <w:r>
            <w:tab/>
          </w:r>
          <w:r>
            <w:fldChar w:fldCharType="begin"/>
          </w:r>
          <w:r>
            <w:instrText xml:space="preserve"> PAGEREF _Toc41576896 \h </w:instrText>
          </w:r>
          <w:r>
            <w:fldChar w:fldCharType="separate"/>
          </w:r>
          <w:r>
            <w:t>49</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"_Toc41576897" </w:instrText>
          </w:r>
          <w:r>
            <w:fldChar w:fldCharType="separate"/>
          </w:r>
          <w:r>
            <w:rPr>
              <w:rStyle w:val="90"/>
            </w:rPr>
            <w:t>5.3.2 Future Research Scope</w:t>
          </w:r>
          <w:r>
            <w:tab/>
          </w:r>
          <w:r>
            <w:fldChar w:fldCharType="begin"/>
          </w:r>
          <w:r>
            <w:instrText xml:space="preserve"> PAGEREF _Toc41576897 \h </w:instrText>
          </w:r>
          <w:r>
            <w:fldChar w:fldCharType="separate"/>
          </w:r>
          <w:r>
            <w:t>50</w:t>
          </w:r>
          <w:r>
            <w:fldChar w:fldCharType="end"/>
          </w:r>
          <w:r>
            <w:fldChar w:fldCharType="end"/>
          </w:r>
        </w:p>
        <w:p>
          <w:pPr>
            <w:pStyle w:val="77"/>
            <w:tabs>
              <w:tab w:val="right" w:leader="dot" w:pos="9016"/>
            </w:tabs>
            <w:rPr>
              <w:kern w:val="0"/>
              <w:sz w:val="22"/>
              <w:szCs w:val="22"/>
              <w:lang w:eastAsia="en-GB"/>
            </w:rPr>
          </w:pPr>
          <w:r>
            <w:fldChar w:fldCharType="begin"/>
          </w:r>
          <w:r>
            <w:instrText xml:space="preserve"> HYPERLINK \l "_Toc41576898" </w:instrText>
          </w:r>
          <w:r>
            <w:fldChar w:fldCharType="separate"/>
          </w:r>
          <w:r>
            <w:rPr>
              <w:rStyle w:val="90"/>
            </w:rPr>
            <w:t>References</w:t>
          </w:r>
          <w:r>
            <w:tab/>
          </w:r>
          <w:r>
            <w:fldChar w:fldCharType="begin"/>
          </w:r>
          <w:r>
            <w:instrText xml:space="preserve"> PAGEREF _Toc41576898 \h </w:instrText>
          </w:r>
          <w:r>
            <w:fldChar w:fldCharType="separate"/>
          </w:r>
          <w:r>
            <w:t>51</w:t>
          </w:r>
          <w:r>
            <w:fldChar w:fldCharType="end"/>
          </w:r>
          <w:r>
            <w:fldChar w:fldCharType="end"/>
          </w:r>
        </w:p>
        <w:p>
          <w:pPr>
            <w:pStyle w:val="77"/>
            <w:tabs>
              <w:tab w:val="right" w:leader="dot" w:pos="9016"/>
            </w:tabs>
            <w:rPr>
              <w:kern w:val="0"/>
              <w:sz w:val="22"/>
              <w:szCs w:val="22"/>
              <w:lang w:eastAsia="en-GB"/>
            </w:rPr>
          </w:pPr>
          <w:r>
            <w:fldChar w:fldCharType="begin"/>
          </w:r>
          <w:r>
            <w:instrText xml:space="preserve"> HYPERLINK \l "_Toc41576899" </w:instrText>
          </w:r>
          <w:r>
            <w:fldChar w:fldCharType="separate"/>
          </w:r>
          <w:r>
            <w:rPr>
              <w:rStyle w:val="90"/>
            </w:rPr>
            <w:t>Appendices</w:t>
          </w:r>
          <w:r>
            <w:tab/>
          </w:r>
          <w:r>
            <w:fldChar w:fldCharType="begin"/>
          </w:r>
          <w:r>
            <w:instrText xml:space="preserve"> PAGEREF _Toc41576899 \h </w:instrText>
          </w:r>
          <w:r>
            <w:fldChar w:fldCharType="separate"/>
          </w:r>
          <w:r>
            <w:t>58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"_Toc41576900" </w:instrText>
          </w:r>
          <w:r>
            <w:fldChar w:fldCharType="separate"/>
          </w:r>
          <w:r>
            <w:rPr>
              <w:rStyle w:val="90"/>
            </w:rPr>
            <w:t>A. Survey Questionnaire</w:t>
          </w:r>
          <w:r>
            <w:tab/>
          </w:r>
          <w:r>
            <w:fldChar w:fldCharType="begin"/>
          </w:r>
          <w:r>
            <w:instrText xml:space="preserve"> PAGEREF _Toc41576900 \h </w:instrText>
          </w:r>
          <w:r>
            <w:fldChar w:fldCharType="separate"/>
          </w:r>
          <w:r>
            <w:t>58</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"_Toc41576901" </w:instrText>
          </w:r>
          <w:r>
            <w:fldChar w:fldCharType="separate"/>
          </w:r>
          <w:r>
            <w:rPr>
              <w:rStyle w:val="90"/>
            </w:rPr>
            <w:t>B. Interview Questions</w:t>
          </w:r>
          <w:r>
            <w:tab/>
          </w:r>
          <w:r>
            <w:fldChar w:fldCharType="begin"/>
          </w:r>
          <w:r>
            <w:instrText xml:space="preserve"> PAGEREF _Toc41576901 \h </w:instrText>
          </w:r>
          <w:r>
            <w:fldChar w:fldCharType="separate"/>
          </w:r>
          <w:r>
            <w:t>62</w:t>
          </w:r>
          <w:r>
            <w:fldChar w:fldCharType="end"/>
          </w:r>
          <w:r>
            <w:fldChar w:fldCharType="end"/>
          </w:r>
        </w:p>
        <w:p>
          <w:pPr>
            <w:pStyle w:val="78"/>
            <w:tabs>
              <w:tab w:val="right" w:leader="dot" w:pos="9016"/>
            </w:tabs>
            <w:rPr>
              <w:kern w:val="0"/>
              <w:sz w:val="22"/>
              <w:szCs w:val="22"/>
              <w:lang w:eastAsia="en-GB"/>
            </w:rPr>
          </w:pPr>
          <w:r>
            <w:fldChar w:fldCharType="begin"/>
          </w:r>
          <w:r>
            <w:instrText xml:space="preserve"> HYPERLINK \l "_Toc41576902" </w:instrText>
          </w:r>
          <w:r>
            <w:fldChar w:fldCharType="separate"/>
          </w:r>
          <w:r>
            <w:rPr>
              <w:rStyle w:val="90"/>
            </w:rPr>
            <w:t>C. Statistical Output</w:t>
          </w:r>
          <w:r>
            <w:tab/>
          </w:r>
          <w:r>
            <w:fldChar w:fldCharType="begin"/>
          </w:r>
          <w:r>
            <w:instrText xml:space="preserve"> PAGEREF _Toc41576902 \h </w:instrText>
          </w:r>
          <w:r>
            <w:fldChar w:fldCharType="separate"/>
          </w:r>
          <w:r>
            <w:t>63</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"_Toc41576903" </w:instrText>
          </w:r>
          <w:r>
            <w:fldChar w:fldCharType="separate"/>
          </w:r>
          <w:r>
            <w:rPr>
              <w:rStyle w:val="90"/>
            </w:rPr>
            <w:t>1. Reliability Test Results</w:t>
          </w:r>
          <w:r>
            <w:tab/>
          </w:r>
          <w:r>
            <w:fldChar w:fldCharType="begin"/>
          </w:r>
          <w:r>
            <w:instrText xml:space="preserve"> PAGEREF _Toc41576903 \h </w:instrText>
          </w:r>
          <w:r>
            <w:fldChar w:fldCharType="separate"/>
          </w:r>
          <w:r>
            <w:t>63</w:t>
          </w:r>
          <w:r>
            <w:fldChar w:fldCharType="end"/>
          </w:r>
          <w:r>
            <w:fldChar w:fldCharType="end"/>
          </w:r>
        </w:p>
        <w:p>
          <w:pPr>
            <w:pStyle w:val="79"/>
            <w:tabs>
              <w:tab w:val="right" w:leader="dot" w:pos="9016"/>
            </w:tabs>
            <w:rPr>
              <w:kern w:val="0"/>
              <w:sz w:val="22"/>
              <w:szCs w:val="22"/>
              <w:lang w:eastAsia="en-GB"/>
            </w:rPr>
          </w:pPr>
          <w:r>
            <w:fldChar w:fldCharType="begin"/>
          </w:r>
          <w:r>
            <w:instrText xml:space="preserve"> HYPERLINK \l "_Toc41576904" </w:instrText>
          </w:r>
          <w:r>
            <w:fldChar w:fldCharType="separate"/>
          </w:r>
          <w:r>
            <w:rPr>
              <w:rStyle w:val="90"/>
            </w:rPr>
            <w:t>2. Linear Regression Results</w:t>
          </w:r>
          <w:r>
            <w:tab/>
          </w:r>
          <w:r>
            <w:fldChar w:fldCharType="begin"/>
          </w:r>
          <w:r>
            <w:instrText xml:space="preserve"> PAGEREF _Toc41576904 \h </w:instrText>
          </w:r>
          <w:r>
            <w:fldChar w:fldCharType="separate"/>
          </w:r>
          <w:r>
            <w:t>63</w:t>
          </w:r>
          <w:r>
            <w:fldChar w:fldCharType="end"/>
          </w:r>
          <w:r>
            <w:fldChar w:fldCharType="end"/>
          </w:r>
        </w:p>
        <w:p>
          <w:pPr>
            <w:ind w:firstLine="0"/>
          </w:pPr>
          <w:r>
            <w:rPr>
              <w:b/>
              <w:lang w:bidi="en-GB"/>
            </w:rPr>
            <w:fldChar w:fldCharType="end"/>
          </w:r>
        </w:p>
      </w:sdtContent>
    </w:sdt>
    <w:p/>
    <w:p>
      <w:r>
        <w:br w:type="page"/>
      </w:r>
      <w:r>
        <w:fldChar w:fldCharType="begin"/>
      </w:r>
      <w:r>
        <w:instrText xml:space="preserve"> TOC \h \z \c "Figure" </w:instrText>
      </w:r>
      <w:r>
        <w:fldChar w:fldCharType="separate"/>
      </w:r>
    </w:p>
    <w:p>
      <w:pPr>
        <w:pStyle w:val="74"/>
        <w:tabs>
          <w:tab w:val="right" w:leader="dot" w:pos="9016"/>
        </w:tabs>
        <w:jc w:val="center"/>
        <w:rPr>
          <w:rStyle w:val="90"/>
          <w:color w:val="000000" w:themeColor="text1"/>
          <w:u w:val="none"/>
          <w14:textFill>
            <w14:solidFill>
              <w14:schemeClr w14:val="tx1"/>
            </w14:solidFill>
          </w14:textFill>
        </w:rPr>
      </w:pPr>
      <w:r>
        <w:rPr>
          <w:rStyle w:val="90"/>
          <w:color w:val="000000" w:themeColor="text1"/>
          <w:u w:val="none"/>
          <w14:textFill>
            <w14:solidFill>
              <w14:schemeClr w14:val="tx1"/>
            </w14:solidFill>
          </w14:textFill>
        </w:rPr>
        <w:t>Table of Figures</w:t>
      </w:r>
    </w:p>
    <w:p>
      <w:pPr>
        <w:pStyle w:val="74"/>
        <w:tabs>
          <w:tab w:val="right" w:leader="dot" w:pos="9016"/>
        </w:tabs>
        <w:rPr>
          <w:kern w:val="0"/>
          <w:sz w:val="22"/>
          <w:szCs w:val="22"/>
          <w:lang w:eastAsia="en-GB"/>
        </w:rPr>
      </w:pPr>
      <w:r>
        <w:fldChar w:fldCharType="begin"/>
      </w:r>
      <w:r>
        <w:instrText xml:space="preserve"> HYPERLINK \l "_Toc41553721" </w:instrText>
      </w:r>
      <w:r>
        <w:fldChar w:fldCharType="separate"/>
      </w:r>
      <w:r>
        <w:rPr>
          <w:rStyle w:val="90"/>
        </w:rPr>
        <w:t>Figure 1: Conceptual Framework</w:t>
      </w:r>
      <w:r>
        <w:tab/>
      </w:r>
      <w:r>
        <w:fldChar w:fldCharType="begin"/>
      </w:r>
      <w:r>
        <w:instrText xml:space="preserve"> PAGEREF _Toc41553721 \h </w:instrText>
      </w:r>
      <w:r>
        <w:fldChar w:fldCharType="separate"/>
      </w:r>
      <w:r>
        <w:t>24</w:t>
      </w:r>
      <w:r>
        <w:fldChar w:fldCharType="end"/>
      </w:r>
      <w:r>
        <w:fldChar w:fldCharType="end"/>
      </w:r>
    </w:p>
    <w:p>
      <w:pPr>
        <w:pStyle w:val="74"/>
        <w:tabs>
          <w:tab w:val="right" w:leader="dot" w:pos="9016"/>
        </w:tabs>
        <w:rPr>
          <w:kern w:val="0"/>
          <w:sz w:val="22"/>
          <w:szCs w:val="22"/>
          <w:lang w:eastAsia="en-GB"/>
        </w:rPr>
      </w:pPr>
      <w:r>
        <w:fldChar w:fldCharType="begin"/>
      </w:r>
      <w:r>
        <w:instrText xml:space="preserve"> HYPERLINK \l "_Toc41553722" </w:instrText>
      </w:r>
      <w:r>
        <w:fldChar w:fldCharType="separate"/>
      </w:r>
      <w:r>
        <w:rPr>
          <w:rStyle w:val="90"/>
        </w:rPr>
        <w:t>Figure 2: Gender Distribution of the Respondents</w:t>
      </w:r>
      <w:r>
        <w:tab/>
      </w:r>
      <w:r>
        <w:fldChar w:fldCharType="begin"/>
      </w:r>
      <w:r>
        <w:instrText xml:space="preserve"> PAGEREF _Toc41553722 \h </w:instrText>
      </w:r>
      <w:r>
        <w:fldChar w:fldCharType="separate"/>
      </w:r>
      <w:r>
        <w:t>34</w:t>
      </w:r>
      <w:r>
        <w:fldChar w:fldCharType="end"/>
      </w:r>
      <w:r>
        <w:fldChar w:fldCharType="end"/>
      </w:r>
    </w:p>
    <w:p>
      <w:pPr>
        <w:pStyle w:val="74"/>
        <w:tabs>
          <w:tab w:val="right" w:leader="dot" w:pos="9016"/>
        </w:tabs>
        <w:rPr>
          <w:kern w:val="0"/>
          <w:sz w:val="22"/>
          <w:szCs w:val="22"/>
          <w:lang w:eastAsia="en-GB"/>
        </w:rPr>
      </w:pPr>
      <w:r>
        <w:fldChar w:fldCharType="begin"/>
      </w:r>
      <w:r>
        <w:instrText xml:space="preserve"> HYPERLINK \l "_Toc41553723" </w:instrText>
      </w:r>
      <w:r>
        <w:fldChar w:fldCharType="separate"/>
      </w:r>
      <w:r>
        <w:rPr>
          <w:rStyle w:val="90"/>
        </w:rPr>
        <w:t>Figure 3: Age Distribution of the Respondents</w:t>
      </w:r>
      <w:r>
        <w:tab/>
      </w:r>
      <w:r>
        <w:fldChar w:fldCharType="begin"/>
      </w:r>
      <w:r>
        <w:instrText xml:space="preserve"> PAGEREF _Toc41553723 \h </w:instrText>
      </w:r>
      <w:r>
        <w:fldChar w:fldCharType="separate"/>
      </w:r>
      <w:r>
        <w:t>35</w:t>
      </w:r>
      <w:r>
        <w:fldChar w:fldCharType="end"/>
      </w:r>
      <w:r>
        <w:fldChar w:fldCharType="end"/>
      </w:r>
    </w:p>
    <w:p>
      <w:pPr>
        <w:pStyle w:val="74"/>
        <w:tabs>
          <w:tab w:val="right" w:leader="dot" w:pos="9016"/>
        </w:tabs>
        <w:rPr>
          <w:kern w:val="0"/>
          <w:sz w:val="22"/>
          <w:szCs w:val="22"/>
          <w:lang w:eastAsia="en-GB"/>
        </w:rPr>
      </w:pPr>
      <w:r>
        <w:fldChar w:fldCharType="begin"/>
      </w:r>
      <w:r>
        <w:instrText xml:space="preserve"> HYPERLINK \l "_Toc41553724" </w:instrText>
      </w:r>
      <w:r>
        <w:fldChar w:fldCharType="separate"/>
      </w:r>
      <w:r>
        <w:rPr>
          <w:rStyle w:val="90"/>
        </w:rPr>
        <w:t>Figure 4: Income Distribution of the Respondents</w:t>
      </w:r>
      <w:r>
        <w:tab/>
      </w:r>
      <w:r>
        <w:fldChar w:fldCharType="begin"/>
      </w:r>
      <w:r>
        <w:instrText xml:space="preserve"> PAGEREF _Toc41553724 \h </w:instrText>
      </w:r>
      <w:r>
        <w:fldChar w:fldCharType="separate"/>
      </w:r>
      <w:r>
        <w:t>36</w:t>
      </w:r>
      <w:r>
        <w:fldChar w:fldCharType="end"/>
      </w:r>
      <w:r>
        <w:fldChar w:fldCharType="end"/>
      </w:r>
    </w:p>
    <w:p>
      <w:pPr>
        <w:pStyle w:val="74"/>
        <w:tabs>
          <w:tab w:val="right" w:leader="dot" w:pos="9016"/>
        </w:tabs>
        <w:rPr>
          <w:kern w:val="0"/>
          <w:sz w:val="22"/>
          <w:szCs w:val="22"/>
          <w:lang w:eastAsia="en-GB"/>
        </w:rPr>
      </w:pPr>
      <w:r>
        <w:fldChar w:fldCharType="begin"/>
      </w:r>
      <w:r>
        <w:instrText xml:space="preserve"> HYPERLINK \l "_Toc41553725" </w:instrText>
      </w:r>
      <w:r>
        <w:fldChar w:fldCharType="separate"/>
      </w:r>
      <w:r>
        <w:rPr>
          <w:rStyle w:val="90"/>
        </w:rPr>
        <w:t>Figure 5: Countries in Which the SMEs are based</w:t>
      </w:r>
      <w:r>
        <w:tab/>
      </w:r>
      <w:r>
        <w:fldChar w:fldCharType="begin"/>
      </w:r>
      <w:r>
        <w:instrText xml:space="preserve"> PAGEREF _Toc41553725 \h </w:instrText>
      </w:r>
      <w:r>
        <w:fldChar w:fldCharType="separate"/>
      </w:r>
      <w:r>
        <w:t>37</w:t>
      </w:r>
      <w:r>
        <w:fldChar w:fldCharType="end"/>
      </w:r>
      <w:r>
        <w:fldChar w:fldCharType="end"/>
      </w:r>
    </w:p>
    <w:p>
      <w:r>
        <w:fldChar w:fldCharType="end"/>
      </w:r>
    </w:p>
    <w:p>
      <w:pPr>
        <w:rPr>
          <w:rFonts w:asciiTheme="majorHAnsi" w:hAnsiTheme="majorHAnsi" w:eastAsiaTheme="majorEastAsia" w:cstheme="majorBidi"/>
          <w:b/>
          <w:bCs/>
        </w:rPr>
      </w:pPr>
      <w:r>
        <w:br w:type="page"/>
      </w:r>
    </w:p>
    <w:p>
      <w:pPr>
        <w:pStyle w:val="2"/>
      </w:pPr>
      <w:bookmarkStart w:id="1" w:name="_Toc41576848"/>
      <w:r>
        <w:t>1.0 Introduction</w:t>
      </w:r>
      <w:bookmarkEnd w:id="1"/>
    </w:p>
    <w:p>
      <w:pPr>
        <w:pStyle w:val="3"/>
      </w:pPr>
      <w:bookmarkStart w:id="2" w:name="_Toc41576849"/>
      <w:r>
        <w:t>1.1 Background</w:t>
      </w:r>
      <w:bookmarkEnd w:id="2"/>
    </w:p>
    <w:p>
      <w:pPr>
        <w:rPr>
          <w:color w:val="000000" w:themeColor="text1"/>
          <w14:textFill>
            <w14:solidFill>
              <w14:schemeClr w14:val="tx1"/>
            </w14:solidFill>
          </w14:textFill>
        </w:rPr>
      </w:pPr>
      <w:r>
        <w:t>Leadership is a crucial aspect of all organisations, irrespective of its size and scope of operation (</w:t>
      </w:r>
      <w:r>
        <w:rPr>
          <w:color w:val="000000" w:themeColor="text1"/>
          <w14:textFill>
            <w14:solidFill>
              <w14:schemeClr w14:val="tx1"/>
            </w14:solidFill>
          </w14:textFill>
        </w:rPr>
        <w:t>Komives &amp; Wagner, 2016; Schein, 2010</w:t>
      </w:r>
      <w:r>
        <w:t xml:space="preserve">). According to Craig (2018), leadership has a direct impact on the engagement of the employees, and the overall success of the organisation. Tracy (2008) and </w:t>
      </w:r>
      <w:r>
        <w:rPr>
          <w:color w:val="000000" w:themeColor="text1"/>
          <w14:textFill>
            <w14:solidFill>
              <w14:schemeClr w14:val="tx1"/>
            </w14:solidFill>
          </w14:textFill>
        </w:rPr>
        <w:t>Manning (2012)</w:t>
      </w:r>
      <w:r>
        <w:t xml:space="preserve"> opined that the leader is responsible instigating the team to provide results that contribute to the progress of the organisation. A leader’s primary responsibility is to develop a shared vision which resonates with the employees. Thereafter, the goals for individual employee is to be developed so that the common vision can be achieved. According to </w:t>
      </w:r>
      <w:r>
        <w:rPr>
          <w:color w:val="000000" w:themeColor="text1"/>
          <w14:textFill>
            <w14:solidFill>
              <w14:schemeClr w14:val="tx1"/>
            </w14:solidFill>
          </w14:textFill>
        </w:rPr>
        <w:t xml:space="preserve">Schooley (2019) and Northouse (2014), the success of an organisation is dictated by the style of leadership followed. This is because the leadership style determines the way in which the employees would be directed. </w:t>
      </w:r>
    </w:p>
    <w:p>
      <w:r>
        <w:rPr>
          <w:color w:val="000000" w:themeColor="text1"/>
          <w14:textFill>
            <w14:solidFill>
              <w14:schemeClr w14:val="tx1"/>
            </w14:solidFill>
          </w14:textFill>
        </w:rPr>
        <w:t xml:space="preserve">Schooley (2019) stated that there are several styles of leadership that are practiced in organisations. Some of the common leadership styles include – </w:t>
      </w:r>
      <w:r>
        <w:t>autocratic, bureaucratic, charismatic, democratic, laissez-faire, servant, situational, transactional, and transformational (</w:t>
      </w:r>
      <w:r>
        <w:rPr>
          <w:color w:val="000000" w:themeColor="text1"/>
          <w14:textFill>
            <w14:solidFill>
              <w14:schemeClr w14:val="tx1"/>
            </w14:solidFill>
          </w14:textFill>
        </w:rPr>
        <w:t>Murari, 2015; Barling, 2014; Gill, 2011)</w:t>
      </w:r>
      <w:r>
        <w:t>. Each leadership style has different characteristics which contributes to specific advantages and disadvantages. The leader is effective only when they are efficient in capitalising on the strong suits of their leadership style and are able to encourage the employees to achieve the corporate goal (</w:t>
      </w:r>
      <w:r>
        <w:rPr>
          <w:color w:val="000000" w:themeColor="text1"/>
          <w14:textFill>
            <w14:solidFill>
              <w14:schemeClr w14:val="tx1"/>
            </w14:solidFill>
          </w14:textFill>
        </w:rPr>
        <w:t>Schooley, 2019)</w:t>
      </w:r>
      <w:r>
        <w:t>. The success of the organisation, is therefore predicated on the ability of the leader to harness the strengths of their leadership style. The performance of the organisations is predicated on the fitness of the leadership style based on the requirements of the organisations.</w:t>
      </w:r>
    </w:p>
    <w:p>
      <w:pPr>
        <w:pStyle w:val="3"/>
      </w:pPr>
      <w:bookmarkStart w:id="3" w:name="_Toc41576850"/>
      <w:r>
        <w:t>1.2 Justification</w:t>
      </w:r>
      <w:bookmarkEnd w:id="3"/>
    </w:p>
    <w:p>
      <w:r>
        <w:t xml:space="preserve">The role of leadership from the perspective of small or medium enterprises (SMEs) has some unique characteristics as compared to larger corporations. According to Seth (2017), the role of leaders in an SME is also significantly different as compared to start-up organisation. Leaders in start-ups are required to play an active role in the day to day activities of the business, while in larger corporations, the responsibility of the leaders is restricted to long term planning and macro level decision making. The role of leaders in SMEs is dynamic as they have to manage both macro level decision making as well as day to day business processes. Therefore, the leaders in such organisations have to be highly skilled in order to make such varied decisions. In order to ensure that the organisational objectives can be met, the leader ought to adopt a style that has a significant and positive impact on the performance of an organisation. </w:t>
      </w:r>
    </w:p>
    <w:p>
      <w:r>
        <w:t xml:space="preserve">According to Balster (2018), change is constant in the modern business environment, the leaders have to be effective in identifying the need for change and ensuring that the employees are encouraged, inspired and motivated to implement such initiative. The transformational leadership styles may be considered to be appropriate for such purpose. However, evidence ought to be gathered to ensure that transformation leadership style does indeed have a positive impact on the organisational performance of SMEs. Therefore, there is a need to conduct a study for investigating the effect of transformational leadership on organisational performance by focusing on the context of SMEs. The geographical area of Asia has been chosen in order to streamline the study. The purpose of this study can be justified based on the fact that the results of this investigation will provide insights to the SMEs based in Asia, about whether assuming a transformational leadership style will contribute to an improvement in the performance of the organisation. </w:t>
      </w:r>
    </w:p>
    <w:p>
      <w:pPr>
        <w:pStyle w:val="3"/>
      </w:pPr>
      <w:bookmarkStart w:id="4" w:name="_Toc41576851"/>
      <w:r>
        <w:t>1.3 Research Aim and Objectives</w:t>
      </w:r>
      <w:bookmarkEnd w:id="4"/>
    </w:p>
    <w:p>
      <w:pPr>
        <w:pStyle w:val="4"/>
      </w:pPr>
      <w:bookmarkStart w:id="5" w:name="_Toc41576852"/>
      <w:r>
        <w:t>1.3.1 Research Aim</w:t>
      </w:r>
      <w:bookmarkEnd w:id="5"/>
    </w:p>
    <w:p>
      <w:r>
        <w:t xml:space="preserve">The aim of this research paper is to provide insights on the effect of transformational leadership on the organisational performance. Such an investigation would be conducted from the context of SMEs based in Asia. </w:t>
      </w:r>
    </w:p>
    <w:p>
      <w:pPr>
        <w:pStyle w:val="4"/>
      </w:pPr>
      <w:bookmarkStart w:id="6" w:name="_Toc41576853"/>
      <w:r>
        <w:t>1.3.2 Research Objectives</w:t>
      </w:r>
      <w:bookmarkEnd w:id="6"/>
    </w:p>
    <w:p>
      <w:r>
        <w:t>The aforementioned research aim would be facilitated by the following specific objectives:</w:t>
      </w:r>
    </w:p>
    <w:p>
      <w:pPr>
        <w:pStyle w:val="131"/>
        <w:numPr>
          <w:ilvl w:val="0"/>
          <w:numId w:val="11"/>
        </w:numPr>
      </w:pPr>
      <w:r>
        <w:t>To identify the nature of transformational leadership and organisational performance.</w:t>
      </w:r>
    </w:p>
    <w:p>
      <w:pPr>
        <w:pStyle w:val="131"/>
        <w:numPr>
          <w:ilvl w:val="0"/>
          <w:numId w:val="11"/>
        </w:numPr>
      </w:pPr>
      <w:r>
        <w:t xml:space="preserve">To assess the importance of organisational performance. </w:t>
      </w:r>
    </w:p>
    <w:p>
      <w:pPr>
        <w:pStyle w:val="131"/>
        <w:numPr>
          <w:ilvl w:val="0"/>
          <w:numId w:val="11"/>
        </w:numPr>
      </w:pPr>
      <w:r>
        <w:t>To analyse the effects of transformational leadership on organisational performance</w:t>
      </w:r>
    </w:p>
    <w:p>
      <w:pPr>
        <w:pStyle w:val="131"/>
        <w:numPr>
          <w:ilvl w:val="0"/>
          <w:numId w:val="11"/>
        </w:numPr>
      </w:pPr>
      <w:r>
        <w:t>To provide recommendations to the management of SMEs in Asia in terms of motivating employees and enhancing the effectiveness of organisational performance.</w:t>
      </w:r>
    </w:p>
    <w:p>
      <w:pPr>
        <w:pStyle w:val="3"/>
      </w:pPr>
      <w:bookmarkStart w:id="7" w:name="_Toc41576854"/>
      <w:r>
        <w:t>1.4 Research Question</w:t>
      </w:r>
      <w:bookmarkEnd w:id="7"/>
    </w:p>
    <w:p>
      <w:r>
        <w:t xml:space="preserve">This study has been set out to find the answer to the following research question: </w:t>
      </w:r>
    </w:p>
    <w:p>
      <w:pPr>
        <w:pStyle w:val="131"/>
        <w:numPr>
          <w:ilvl w:val="0"/>
          <w:numId w:val="12"/>
        </w:numPr>
      </w:pPr>
      <w:r>
        <w:t>What affects transformational leadership in organisational performance in SMEs based in Asia?</w:t>
      </w:r>
    </w:p>
    <w:p>
      <w:r>
        <w:t>The overall research question mentioned above can be pursued through the following specific research questions.</w:t>
      </w:r>
    </w:p>
    <w:p>
      <w:pPr>
        <w:pStyle w:val="131"/>
        <w:numPr>
          <w:ilvl w:val="0"/>
          <w:numId w:val="13"/>
        </w:numPr>
      </w:pPr>
      <w:r>
        <w:t>What is the nature of transformational leadership and organisational performance?</w:t>
      </w:r>
    </w:p>
    <w:p>
      <w:pPr>
        <w:pStyle w:val="131"/>
        <w:numPr>
          <w:ilvl w:val="0"/>
          <w:numId w:val="13"/>
        </w:numPr>
      </w:pPr>
      <w:r>
        <w:t>What is the importance of organisational performance?</w:t>
      </w:r>
    </w:p>
    <w:p>
      <w:pPr>
        <w:pStyle w:val="131"/>
        <w:numPr>
          <w:ilvl w:val="0"/>
          <w:numId w:val="13"/>
        </w:numPr>
      </w:pPr>
      <w:r>
        <w:t>What effects of transformational leadership on organisational performance can be observed?</w:t>
      </w:r>
    </w:p>
    <w:p>
      <w:pPr>
        <w:pStyle w:val="131"/>
        <w:numPr>
          <w:ilvl w:val="0"/>
          <w:numId w:val="13"/>
        </w:numPr>
      </w:pPr>
      <w:r>
        <w:t>What recommendations can be provided to the management of SMEs in Asia in terms of motivating employees and enhancing the effectiveness of organisational performance?</w:t>
      </w:r>
    </w:p>
    <w:p>
      <w:pPr>
        <w:pStyle w:val="3"/>
      </w:pPr>
      <w:bookmarkStart w:id="8" w:name="_Toc41576855"/>
      <w:r>
        <w:t>1.5 Overview of the Chapters</w:t>
      </w:r>
      <w:bookmarkEnd w:id="8"/>
    </w:p>
    <w:p>
      <w:r>
        <w:t xml:space="preserve">This section denotes the completion of the first chapter of this dissertation, that is, </w:t>
      </w:r>
      <w:r>
        <w:rPr>
          <w:i/>
        </w:rPr>
        <w:t>Introduction</w:t>
      </w:r>
      <w:r>
        <w:t xml:space="preserve">. Based on the background information on the topic, the rationale of this research, and the aim and objective highlighted above, the second chapter has been developed. In the </w:t>
      </w:r>
      <w:r>
        <w:rPr>
          <w:i/>
        </w:rPr>
        <w:t>Literature Review</w:t>
      </w:r>
      <w:r>
        <w:t xml:space="preserve">, relevant sources, outlining and discussing key ideas and concepts, explanations of leadership styles and organisational performance has been consulted. Previous studies that have investigated the cause and effect relationship of the variables or the variables independently have been reviewed to gain an indication about the existing base of research on the topic. </w:t>
      </w:r>
    </w:p>
    <w:p>
      <w:r>
        <w:t xml:space="preserve">The third chapter, </w:t>
      </w:r>
      <w:r>
        <w:rPr>
          <w:i/>
        </w:rPr>
        <w:t>Methodology</w:t>
      </w:r>
      <w:r>
        <w:t xml:space="preserve">, highlights a thorough description of the techniques and procedures that have been followed for effect of transformational leadership on the organisational performance. The research onion model has been used for the organisation of the tools that have been used in the study. Moreover, the rationale for the choice of tools based on the specific requirement of this study has been justified. This chapter also highlights the ethical aspects that has been considered in this study as well as the limitations of the methodology and methods used. In the fourth chapter, </w:t>
      </w:r>
      <w:r>
        <w:rPr>
          <w:i/>
        </w:rPr>
        <w:t>Data Analysis</w:t>
      </w:r>
      <w:r>
        <w:t xml:space="preserve">, the data gathred has been scrutinised using the appropriate techniques. Meaningful information is extracted from the gathered data for articulating the answers to the research questions. </w:t>
      </w:r>
    </w:p>
    <w:p>
      <w:r>
        <w:t xml:space="preserve">The last chapter, </w:t>
      </w:r>
      <w:r>
        <w:rPr>
          <w:i/>
        </w:rPr>
        <w:t>Discussion, Conclusions and Recommendations</w:t>
      </w:r>
      <w:r>
        <w:t xml:space="preserve"> present the discussions of the results, including implications, consequences and issues raised. The results are also compared and contrasted to previous research and the unique findings of this study have been highlighted. Thereafter, recommendations have been made.  Lastly, in the conclusion section, the main aim of the research, methodology, the findings and the implications for SMEs in Asia have been highlighted. The limitation of the findings and further research opportunities have been also been suggested. </w:t>
      </w:r>
    </w:p>
    <w:p>
      <w:pPr>
        <w:pStyle w:val="2"/>
      </w:pPr>
      <w:bookmarkStart w:id="9" w:name="_Toc41576856"/>
      <w:r>
        <w:t>2.0 Literature Review</w:t>
      </w:r>
      <w:bookmarkEnd w:id="9"/>
    </w:p>
    <w:p>
      <w:r>
        <w:t>In this chapter, relevant academic paper and journal have been reviewed to gain insights about the concepts of leadership and organisational performance. In addition, the various styles of leadership have been elaborated, however, this study has concentrated on the nature of transformational leadership style. Moreover, existing research that has previously investigated the relationship between leadership and organisational performance, especially by emphasising transformational leadership has also been reviewed. Based on the current body of literature, a gap has been identified, and the way that this study has made up for such lack of evidence has also been elaborated. Furthermore, based on the nature of the relationship between transformational leadership and organisational performance as identified through previous studies, a conceptual framework has been developed. This framework has facilitated the process of development of the hypothesis which is to be tested for the achievement of the research aim.</w:t>
      </w:r>
    </w:p>
    <w:p>
      <w:pPr>
        <w:pStyle w:val="3"/>
      </w:pPr>
      <w:bookmarkStart w:id="10" w:name="_Toc41576857"/>
      <w:r>
        <w:t>2.1 Leadership</w:t>
      </w:r>
      <w:bookmarkEnd w:id="10"/>
    </w:p>
    <w:p>
      <w:pPr>
        <w:rPr>
          <w:color w:val="000000" w:themeColor="text1"/>
          <w14:textFill>
            <w14:solidFill>
              <w14:schemeClr w14:val="tx1"/>
            </w14:solidFill>
          </w14:textFill>
        </w:rPr>
      </w:pPr>
      <w:r>
        <w:t xml:space="preserve">The definition of leadership has evolved with time. According to </w:t>
      </w:r>
      <w:r>
        <w:rPr>
          <w:color w:val="000000" w:themeColor="text1"/>
          <w14:textFill>
            <w14:solidFill>
              <w14:schemeClr w14:val="tx1"/>
            </w14:solidFill>
          </w14:textFill>
        </w:rPr>
        <w:t xml:space="preserve">Veliu et al. (2017), historically leadership has been viewed as a personality trait. In other words, the personal characteristics and abilities of an individual determine if one can be a leader or not. However, in the modern business context, it has been stated that leadership is learned skill and not solely determined by an individual’s personal characteristics. Modern theories dictate that a leadership trait in addition to personal abilities also depend on the circumstances of the prevailing situation. In other words, a leader is able to make the best of a situation. Gandolfi and Stone (2018) emphasised that ineffective leadership can have an adverse impact on the employees, the organisation, its competitors, and the society as a whole. Studies have also established that poor leadership is responsible for high employee turnover, and affects both internal and external stakeholders. Leadership is imperative for the achievement of a shared goal and encouraging the followers to do the same. </w:t>
      </w:r>
    </w:p>
    <w:p>
      <w:pPr>
        <w:pStyle w:val="4"/>
      </w:pPr>
      <w:bookmarkStart w:id="11" w:name="_Toc41576858"/>
      <w:r>
        <w:t>2.1.1 Styles of Leadership</w:t>
      </w:r>
      <w:bookmarkEnd w:id="11"/>
    </w:p>
    <w:p>
      <w:pPr>
        <w:rPr>
          <w:color w:val="000000" w:themeColor="text1"/>
          <w14:textFill>
            <w14:solidFill>
              <w14:schemeClr w14:val="tx1"/>
            </w14:solidFill>
          </w14:textFill>
        </w:rPr>
      </w:pPr>
      <w:r>
        <w:rPr>
          <w:color w:val="000000" w:themeColor="text1"/>
          <w14:textFill>
            <w14:solidFill>
              <w14:schemeClr w14:val="tx1"/>
            </w14:solidFill>
          </w14:textFill>
        </w:rPr>
        <w:t>Veliu et al. (2017) stated that the leader is responsible for the execution of collaborative efforts for meeting the organisational goal and objectives. In other words, the role of the leaders is to influence others to perform certain actions with the achievement of a common goal in mind. There are several ways in which leaders can influence their followers, and such behaviours lead to the formation of leadership styles. A leadership style is a result of behavioural and situation demands that dictate the way in which the leader should interact with the followers.  Nanjundeswaraswamy and Swamy (2014) opined that the style of leadership should also take into consideration the</w:t>
      </w:r>
      <w:r>
        <w:t xml:space="preserve"> rapidly changing global environment and the challenges that it presents. This is because such factors may dictate the appropriate style for the efficient performance of the organisation. </w:t>
      </w:r>
      <w:r>
        <w:rPr>
          <w:color w:val="000000" w:themeColor="text1"/>
          <w14:textFill>
            <w14:solidFill>
              <w14:schemeClr w14:val="tx1"/>
            </w14:solidFill>
          </w14:textFill>
        </w:rPr>
        <w:t>According to Veliu et al. (2017),</w:t>
      </w:r>
      <w:r>
        <w:t xml:space="preserve"> leadership style is a combination of various aspects of the individual’s personality that the leaders use when interacting with their subordinates. The common style of leadership that is followed in the business world have been summarised in the following sections. </w:t>
      </w:r>
    </w:p>
    <w:p>
      <w:r>
        <w:rPr>
          <w:i/>
        </w:rPr>
        <w:t>Autocratic leadership style</w:t>
      </w:r>
      <w:r>
        <w:t xml:space="preserve"> indicates that the leader is strict and exercises complete control over the decision-making process. The followers have no role in the decision that are made and are compelled to follow the orders of the leader. According to Khan et al. (2015), such leaders rely on negative reinforcements to influence the leaders. This style is effective when a decision has to be taken in a prompt manner. </w:t>
      </w:r>
    </w:p>
    <w:p>
      <w:r>
        <w:rPr>
          <w:i/>
        </w:rPr>
        <w:t>Bureaucratic leadership style</w:t>
      </w:r>
      <w:r>
        <w:t xml:space="preserve"> is similar to the autocratic style however, the former is not as strict. The leaders develop a set of rules and the followers are expected to follow such rules. According to </w:t>
      </w:r>
      <w:r>
        <w:rPr>
          <w:color w:val="000000" w:themeColor="text1"/>
          <w14:textFill>
            <w14:solidFill>
              <w14:schemeClr w14:val="tx1"/>
            </w14:solidFill>
          </w14:textFill>
        </w:rPr>
        <w:t xml:space="preserve">Veliu et al. (2017) this style of leadership is appropriate for employees that perform routine tasks. </w:t>
      </w:r>
    </w:p>
    <w:p>
      <w:r>
        <w:rPr>
          <w:i/>
        </w:rPr>
        <w:t>Charismatic leadership style</w:t>
      </w:r>
      <w:r>
        <w:t xml:space="preserve"> is where the leader influences the followers using positive reinforcements. According to Khan et al. (2015), such leaders have positive energy to inspire and motive the employees to execute their responsibilities to the best of their abilities. </w:t>
      </w:r>
    </w:p>
    <w:p>
      <w:r>
        <w:rPr>
          <w:i/>
        </w:rPr>
        <w:t>Democratic leadership style</w:t>
      </w:r>
      <w:r>
        <w:t xml:space="preserve"> indicates that the leader involves the subordinates in the decision-making process (Khan et al., 2015). This style of leadership encourages the employees to express their opinion freely. This leads to creativity within the workplace, and therefore it is suitable for organisation where such creative work flow is necessary. </w:t>
      </w:r>
    </w:p>
    <w:p>
      <w:r>
        <w:rPr>
          <w:i/>
        </w:rPr>
        <w:t>Laissez-faire leadership style</w:t>
      </w:r>
      <w:r>
        <w:t xml:space="preserve"> indicates that the leaders do not follow a hands-on approach and encourages the employees to assume responsibility (</w:t>
      </w:r>
      <w:r>
        <w:rPr>
          <w:color w:val="000000" w:themeColor="text1"/>
          <w14:textFill>
            <w14:solidFill>
              <w14:schemeClr w14:val="tx1"/>
            </w14:solidFill>
          </w14:textFill>
        </w:rPr>
        <w:t>Veliu et al., 2017</w:t>
      </w:r>
      <w:r>
        <w:t xml:space="preserve">). This style is followed when the subordinates have certain necessary skills and are experienced, and can be trusted to make their own decision to fulfil their responsibility. </w:t>
      </w:r>
    </w:p>
    <w:p>
      <w:r>
        <w:rPr>
          <w:i/>
        </w:rPr>
        <w:t>Servant leadership style</w:t>
      </w:r>
      <w:r>
        <w:t xml:space="preserve"> implies that the main role of the leader is to serve. </w:t>
      </w:r>
      <w:r>
        <w:rPr>
          <w:color w:val="000000" w:themeColor="text1"/>
          <w14:textFill>
            <w14:solidFill>
              <w14:schemeClr w14:val="tx1"/>
            </w14:solidFill>
          </w14:textFill>
        </w:rPr>
        <w:t xml:space="preserve">Gandolfi and Stone (2018) opined that the leader is responsible for catering to the needs of every employee and the team as a whole. The organisational goals are often determined based on the interests of the team members. Such a style of leadership is effective for humanitarian organisations. </w:t>
      </w:r>
    </w:p>
    <w:p>
      <w:r>
        <w:rPr>
          <w:i/>
        </w:rPr>
        <w:t>Situational leadership style</w:t>
      </w:r>
      <w:r>
        <w:t xml:space="preserve"> suggests there is no leadership style that can be considered to be the best. According to Thompson and Glasø (2018), situational leaders modify their leadership style depending on the demands of the prevailing situation. Such leaders also change their style so that it is in the best interest of the employees. Therefore, this style of leadership is highly versatile and suitable for organisation which operate in a dynamic environment. </w:t>
      </w:r>
    </w:p>
    <w:p>
      <w:r>
        <w:rPr>
          <w:i/>
        </w:rPr>
        <w:t>Transactional leadership style</w:t>
      </w:r>
      <w:r>
        <w:t xml:space="preserve"> is based on providing the employees with rewards which are determined by their performance (</w:t>
      </w:r>
      <w:r>
        <w:rPr>
          <w:color w:val="000000" w:themeColor="text1"/>
          <w14:textFill>
            <w14:solidFill>
              <w14:schemeClr w14:val="tx1"/>
            </w14:solidFill>
          </w14:textFill>
        </w:rPr>
        <w:t>Nanjundeswaraswamy and Swamy, 2014</w:t>
      </w:r>
      <w:r>
        <w:t xml:space="preserve">). Such rewards or adverse consequences are established to motivate the employees and discourage them from performing poorly. Close monitoring is necessary for the identification of mistakes and errors, or for recognising achievement.  </w:t>
      </w:r>
    </w:p>
    <w:p>
      <w:pPr>
        <w:rPr>
          <w:color w:val="000000" w:themeColor="text1"/>
          <w14:textFill>
            <w14:solidFill>
              <w14:schemeClr w14:val="tx1"/>
            </w14:solidFill>
          </w14:textFill>
        </w:rPr>
      </w:pPr>
      <w:r>
        <w:rPr>
          <w:i/>
        </w:rPr>
        <w:t>Transformational leadership style</w:t>
      </w:r>
      <w:r>
        <w:t xml:space="preserve"> is aimed at the development of the followers to perform beyond the expected levels. Acceding to </w:t>
      </w:r>
      <w:r>
        <w:rPr>
          <w:color w:val="000000" w:themeColor="text1"/>
          <w14:textFill>
            <w14:solidFill>
              <w14:schemeClr w14:val="tx1"/>
            </w14:solidFill>
          </w14:textFill>
        </w:rPr>
        <w:t>Nanjundeswaraswamy and Swamy (2014), such leaders aim to inspire and develop the value system of the employees. Such leaders are not motivated by their self-interest but the overall development of the group (Korejan &amp; Shahbazi, 2016).</w:t>
      </w:r>
      <w:r>
        <w:t xml:space="preserve"> Transformational leaders encourage followers to change their perspective for viewing problems and provide support where necessary. Transformational leadership has an active influence on individual as well as organisational performance (</w:t>
      </w:r>
      <w:r>
        <w:rPr>
          <w:color w:val="000000" w:themeColor="text1"/>
          <w14:textFill>
            <w14:solidFill>
              <w14:schemeClr w14:val="tx1"/>
            </w14:solidFill>
          </w14:textFill>
        </w:rPr>
        <w:t>Nanjundeswaraswamy and Swamy, 2014)</w:t>
      </w:r>
      <w:r>
        <w:t xml:space="preserve">. </w:t>
      </w:r>
    </w:p>
    <w:p>
      <w:pPr>
        <w:pStyle w:val="6"/>
      </w:pPr>
      <w:r>
        <w:t>2.1.1.1 Transformational Leadership</w:t>
      </w:r>
    </w:p>
    <w:p>
      <w:r>
        <w:t xml:space="preserve">Transformational leadership indicates the ability to encourage people to change in order to improve their skills. According to </w:t>
      </w:r>
      <w:r>
        <w:rPr>
          <w:color w:val="000000" w:themeColor="text1"/>
          <w14:textFill>
            <w14:solidFill>
              <w14:schemeClr w14:val="tx1"/>
            </w14:solidFill>
          </w14:textFill>
        </w:rPr>
        <w:t>Ghasabeh and Provitera (2017), the transformational leaders go beyond the satisfaction of basic needs and ensure that higher level desires can be achieved. Such</w:t>
      </w:r>
      <w:r>
        <w:t xml:space="preserve"> leaders inspire their followers by providing innovative solutions and ensuring that a better workplace culture can be created. Transformational leadership has been considered to be an extension of charismatic leadership style but, the former is aimed at changing the attitudes and value systems of the employees. In the modern era, where the global business environments have a high degree of uncertainty, transformational leadership may be appropriate (</w:t>
      </w:r>
      <w:r>
        <w:rPr>
          <w:color w:val="000000" w:themeColor="text1"/>
          <w14:textFill>
            <w14:solidFill>
              <w14:schemeClr w14:val="tx1"/>
            </w14:solidFill>
          </w14:textFill>
        </w:rPr>
        <w:t>Chou et al., 2013)</w:t>
      </w:r>
      <w:r>
        <w:t xml:space="preserve">. This is because such leaders are more likely to instate the employees to be innovative and creative. According to </w:t>
      </w:r>
      <w:r>
        <w:rPr>
          <w:color w:val="000000" w:themeColor="text1"/>
          <w14:textFill>
            <w14:solidFill>
              <w14:schemeClr w14:val="tx1"/>
            </w14:solidFill>
          </w14:textFill>
        </w:rPr>
        <w:t xml:space="preserve">Mencl et al. (2016), </w:t>
      </w:r>
      <w:r>
        <w:t xml:space="preserve">the cumulative impact of emotional skill, political skill, and work engagement among transformational leaders contributes to job satisfaction. In fact, political skills, which is the ability to gain an understanding of other for influencing them is a crucial aspect of transformational leaders. </w:t>
      </w:r>
    </w:p>
    <w:p>
      <w:r>
        <w:t xml:space="preserve">There are four factors to transformational leadership, also referred to as the four I’s – Idealised Influence, Inspirational Motivation, Intellectual Stimulation, and Individual Consideration. These factors are imperative for the transformation of the followers into more productive versions of themselves. According to </w:t>
      </w:r>
      <w:r>
        <w:rPr>
          <w:color w:val="000000" w:themeColor="text1"/>
          <w14:textFill>
            <w14:solidFill>
              <w14:schemeClr w14:val="tx1"/>
            </w14:solidFill>
          </w14:textFill>
        </w:rPr>
        <w:t xml:space="preserve">Ghasabeh and Provitera </w:t>
      </w:r>
      <w:r>
        <w:t xml:space="preserve">(2017), it is the cumulative impact of the four aspects of transformational leadership that contributes to performance beyond expectations. </w:t>
      </w:r>
      <w:r>
        <w:rPr>
          <w:i/>
        </w:rPr>
        <w:t>Idealised Influence</w:t>
      </w:r>
      <w:r>
        <w:t xml:space="preserve"> are utilised by leaders for developing a shared vision and improving relationships with the followers (</w:t>
      </w:r>
      <w:r>
        <w:rPr>
          <w:color w:val="000000" w:themeColor="text1"/>
          <w14:textFill>
            <w14:solidFill>
              <w14:schemeClr w14:val="tx1"/>
            </w14:solidFill>
          </w14:textFill>
        </w:rPr>
        <w:t>Afshari, 2012)</w:t>
      </w:r>
      <w:r>
        <w:t xml:space="preserve">. Such leaders are also considered to be exemplary role models and are trusted by the management to make decision that facilities the improvement of the individual employees as well as the organisation as a whole. </w:t>
      </w:r>
      <w:r>
        <w:rPr>
          <w:i/>
        </w:rPr>
        <w:t>Inspirational Motivation</w:t>
      </w:r>
      <w:r>
        <w:t xml:space="preserve"> is used by the transformational leaders to inspire the human capital to commit to the vision of the organisation (</w:t>
      </w:r>
      <w:r>
        <w:rPr>
          <w:color w:val="000000" w:themeColor="text1"/>
          <w14:textFill>
            <w14:solidFill>
              <w14:schemeClr w14:val="tx1"/>
            </w14:solidFill>
          </w14:textFill>
        </w:rPr>
        <w:t>Abou-Moghli, 2018)</w:t>
      </w:r>
      <w:r>
        <w:t xml:space="preserve">. This indicates that the leaders use the power of motivation to encourage employees to be meet the goals of the organisation. </w:t>
      </w:r>
      <w:r>
        <w:rPr>
          <w:i/>
        </w:rPr>
        <w:t>Intellectual Stimulation</w:t>
      </w:r>
      <w:r>
        <w:t xml:space="preserve"> indicates that transformational leaders capitalise on their knowledge within the organisation for the generation of more innovative ideas (</w:t>
      </w:r>
      <w:r>
        <w:rPr>
          <w:color w:val="000000" w:themeColor="text1"/>
          <w14:textFill>
            <w14:solidFill>
              <w14:schemeClr w14:val="tx1"/>
            </w14:solidFill>
          </w14:textFill>
        </w:rPr>
        <w:t>Alatawi, 2017)</w:t>
      </w:r>
      <w:r>
        <w:t xml:space="preserve">. In other words, the leaders promote an organisational culture where critical thinking and out of the box problem solving are encouraged. Such creative thinking and developing innovative ideas are encouraged for the purpose of improving the performance of the individuals and the organisation. Lastly, </w:t>
      </w:r>
      <w:r>
        <w:rPr>
          <w:i/>
        </w:rPr>
        <w:t>Individual Consideration</w:t>
      </w:r>
      <w:r>
        <w:t xml:space="preserve"> implies that transformational leaders focus on the individual needs of the employees and develop a culture of continuous learning (</w:t>
      </w:r>
      <w:r>
        <w:rPr>
          <w:color w:val="000000" w:themeColor="text1"/>
          <w14:textFill>
            <w14:solidFill>
              <w14:schemeClr w14:val="tx1"/>
            </w14:solidFill>
          </w14:textFill>
        </w:rPr>
        <w:t>Ewell, 2018)</w:t>
      </w:r>
      <w:r>
        <w:t xml:space="preserve">. Such a leader coaches and advices the employees about how they can improve on their abilities to support the goals of the organisational. </w:t>
      </w:r>
    </w:p>
    <w:p>
      <w:pPr>
        <w:pStyle w:val="4"/>
        <w:tabs>
          <w:tab w:val="left" w:pos="993"/>
        </w:tabs>
      </w:pPr>
      <w:bookmarkStart w:id="12" w:name="_Toc41576859"/>
      <w:r>
        <w:t>2.1.2 Role of Leadership in SMEs</w:t>
      </w:r>
      <w:bookmarkEnd w:id="12"/>
    </w:p>
    <w:p>
      <w:pPr>
        <w:rPr>
          <w:color w:val="000000" w:themeColor="text1"/>
          <w14:textFill>
            <w14:solidFill>
              <w14:schemeClr w14:val="tx1"/>
            </w14:solidFill>
          </w14:textFill>
        </w:rPr>
      </w:pPr>
      <w:r>
        <w:rPr>
          <w:color w:val="000000" w:themeColor="text1"/>
          <w14:textFill>
            <w14:solidFill>
              <w14:schemeClr w14:val="tx1"/>
            </w14:solidFill>
          </w14:textFill>
        </w:rPr>
        <w:t xml:space="preserve">According to Madanchian and Taherdoost (2017), effective leadership is crucial for the success of SMEs. In fact, the main reason for the failure of SMEs is the existence of weak leaders. SMEs commonly function in a dynamic and competitive business environment, where change is constant and there are several uncertainties. Under such circumstances, for SMEs, the human resources are considered to be the source of competitive advantage. However, in order for the human resources to work at optimal levels and ensure organisational success, the employees should be motivated. The key to motivation of the employee lies in communicating how their efforts contribute to the organisational goal. The motivation of the employees towards the fulfilment of the vision of the organisation is the primary role of the leader in SMEs. Proactive behaviour is a common trait among the leaders of SMEs. This is because anticipating possible threats and opportunities within the external business environment is the key to success. </w:t>
      </w:r>
    </w:p>
    <w:p>
      <w:r>
        <w:rPr>
          <w:color w:val="000000" w:themeColor="text1"/>
          <w14:textFill>
            <w14:solidFill>
              <w14:schemeClr w14:val="tx1"/>
            </w14:solidFill>
          </w14:textFill>
        </w:rPr>
        <w:t>Franco and Matos (2015) opined that focusing on the quality of leadership is the most effective way of measuring the success of SMEs. Since such organisations comprise a significant part of the economy, it is crucial to distinguish between them to establish which is more successful. The author emphasised that the most efficient way of doing that is by analysing the leadership and determining if the hard work and skills of the leader can be attributed to the success of the SME. Moreover, since such organisations are smaller, the contribution of the leader, in terms of value addition can be easily determined. The leaders are at the forefront of such organisations, and are responsible for a wide range of roles ranging from day to day business processes and long-term vision development. Such efforts are more prominent and transparent in the case of SMEs, and hence leadership is used as a metric for the determination of the success of such organisations.</w:t>
      </w:r>
    </w:p>
    <w:p>
      <w:r>
        <w:rPr>
          <w:color w:val="000000" w:themeColor="text1"/>
          <w14:textFill>
            <w14:solidFill>
              <w14:schemeClr w14:val="tx1"/>
            </w14:solidFill>
          </w14:textFill>
        </w:rPr>
        <w:t>Kocherbaeva et al. (2019) highlighted that SMEs rely on the leader for sustaining challenges related to the globalised economy, high degree of competitiveness, and rapid advancement in</w:t>
      </w:r>
      <w:r>
        <w:t xml:space="preserve"> </w:t>
      </w:r>
      <w:r>
        <w:rPr>
          <w:color w:val="000000" w:themeColor="text1"/>
          <w14:textFill>
            <w14:solidFill>
              <w14:schemeClr w14:val="tx1"/>
            </w14:solidFill>
          </w14:textFill>
        </w:rPr>
        <w:t xml:space="preserve">technology and innovation. The study reviewed various leadership styles and its impact on SMEs by considering the perspective of three such organisations based in Portugal. The evidence has suggested that there is no leadership style that is effective for SMEs as different styles have different results. However, the authors observed that transformational leadership style is relevant given the nature of SMEs. This is because such leaders have a dominant approach and communication skills, the vision and goals can be effectively conveyed to the collaborators of the organisation. Moreover, such a leadership style also ensures that the intrinsic motivation would be used to encourage the followers to work at optimal levels. Specific character traits that are observed among transformational leaders in SMEs include – courage, determination, persistence, responsibility, justice, empathy, passion, dedication and self-control. In addition, upholding moral and ethical values is also a common trait among transformational leaders. </w:t>
      </w:r>
      <w:r>
        <w:t>Matzler (2008) similarly established that transformational leadership is appropriate for the effective management of SMEs.</w:t>
      </w:r>
      <w:r>
        <w:tab/>
      </w:r>
    </w:p>
    <w:p>
      <w:pPr>
        <w:pStyle w:val="3"/>
      </w:pPr>
      <w:bookmarkStart w:id="13" w:name="_Toc41576860"/>
      <w:r>
        <w:t>2.2 Organisational Performance</w:t>
      </w:r>
      <w:bookmarkEnd w:id="13"/>
    </w:p>
    <w:p>
      <w:pPr>
        <w:rPr>
          <w:color w:val="000000" w:themeColor="text1"/>
          <w14:textFill>
            <w14:solidFill>
              <w14:schemeClr w14:val="tx1"/>
            </w14:solidFill>
          </w14:textFill>
        </w:rPr>
      </w:pPr>
      <w:r>
        <w:t xml:space="preserve">According to </w:t>
      </w:r>
      <w:r>
        <w:rPr>
          <w:color w:val="000000" w:themeColor="text1"/>
          <w14:textFill>
            <w14:solidFill>
              <w14:schemeClr w14:val="tx1"/>
            </w14:solidFill>
          </w14:textFill>
        </w:rPr>
        <w:t>Singh et al. (2016), organisational performance signifies the ability of the leader to effectively implemented strategies so that the corporate vision can be achieved. In other words, the performance of the organisations is largely dependent on the skills and abilities of the leader. The author emphasised that in the modern business environment which is dynamic in nature, leaders should adopt a flexible approach so that changes can be accommodated in terms of the leadership style as well as organisational strategies. In addition to the skills of the leader, the performance of organisations also depends on the employees. However, the leader is responsible for ensuring that the employee are performing at optimal levels. The importance of organisational performance can, therefore, be explained by the need to identify the aspects and the skills that the leaders may lack, as far as achieving the corporate vision and motivating the employees is concerned. In other words, the success of the business lies in the ability of the leaders, and organisation is an indicator of the effectiveness of leadership. This implies that if the organisational performance is unfavourable, the leader is ineffective in executing their roles and responsibilities.</w:t>
      </w:r>
    </w:p>
    <w:p>
      <w:r>
        <w:rPr>
          <w:color w:val="000000" w:themeColor="text1"/>
          <w14:textFill>
            <w14:solidFill>
              <w14:schemeClr w14:val="tx1"/>
            </w14:solidFill>
          </w14:textFill>
        </w:rPr>
        <w:t xml:space="preserve">Saleh, et al. (2018) and Obiwuru, et al. (2011) shared the opinion that organisational performance is an indicator of the success and the ability of an enterprise to meet it pre-determined objectives. Some of the common objectives for the measurement of organisational performance include – </w:t>
      </w:r>
      <w:r>
        <w:t>high profit, premium quality product, large market share, favourable financial result, and long-term sustenance, as compared to its rivals in the industry (</w:t>
      </w:r>
      <w:r>
        <w:rPr>
          <w:color w:val="000000" w:themeColor="text1"/>
          <w14:textFill>
            <w14:solidFill>
              <w14:schemeClr w14:val="tx1"/>
            </w14:solidFill>
          </w14:textFill>
        </w:rPr>
        <w:t>Obiwuru, et al., 2011</w:t>
      </w:r>
      <w:r>
        <w:t xml:space="preserve">). In other words, organisational performance is important for obtaining an overview of how the enterprise is performing with respect to the corporate vision, the rival companies in the industry and leadership. </w:t>
      </w:r>
    </w:p>
    <w:p>
      <w:r>
        <w:rPr>
          <w:color w:val="000000" w:themeColor="text1"/>
          <w14:textFill>
            <w14:solidFill>
              <w14:schemeClr w14:val="tx1"/>
            </w14:solidFill>
          </w14:textFill>
        </w:rPr>
        <w:t xml:space="preserve">According to Al Khajeh (2018), </w:t>
      </w:r>
      <w:r>
        <w:t xml:space="preserve">organisational performance can be evaluated based on three broad criteria – financial performance, shareholder return and the product and/or service market performance. The financial performance can be evaluated using metrics like return of investment and profit. The shareholder return can be assessed by considering economic value added and total value to the shareholders. Lastly, the product and/or service market performance can be estimated using measures like market share and sales. </w:t>
      </w:r>
    </w:p>
    <w:p>
      <w:pPr>
        <w:pStyle w:val="3"/>
      </w:pPr>
      <w:bookmarkStart w:id="14" w:name="_Toc41576861"/>
      <w:r>
        <w:t>2.3 Leadership and Organisational Performance</w:t>
      </w:r>
      <w:bookmarkEnd w:id="14"/>
    </w:p>
    <w:p>
      <w:pPr>
        <w:rPr>
          <w:color w:val="000000" w:themeColor="text1"/>
          <w14:textFill>
            <w14:solidFill>
              <w14:schemeClr w14:val="tx1"/>
            </w14:solidFill>
          </w14:textFill>
        </w:rPr>
      </w:pPr>
      <w:r>
        <w:rPr>
          <w:color w:val="000000" w:themeColor="text1"/>
          <w14:textFill>
            <w14:solidFill>
              <w14:schemeClr w14:val="tx1"/>
            </w14:solidFill>
          </w14:textFill>
        </w:rPr>
        <w:t xml:space="preserve">There have been several studies that investigate the impact that various leadership styles have on the overall organisational performance. Al Khajeh (2018) stated that leadership is responsible for determining the success and failure of organisations, and the style of leadership that is followed determined how the followers would be directed and motivated. The author also studied the impact that six common styles of leadership have on organisational performance by conducting an empirical investigation. The results revealed that some leadership styles have a positive effect on organisational performance while others do not. The leadership styles that positively impact organisational performance include </w:t>
      </w:r>
      <w:r>
        <w:t>democratic, transformational, and autocratic. On the other hand charismatic, bureaucratic, and transactional leadership styles have an adverse impact on the overall organisational performance. The author also emphasised that transformational and democratic leadership styles should be used in organisations for the improvement of organisational performance since it ensures that the employees can develop a sense of belonging and be motivated to improve their individual performance. Moreover, the active participation of the employees are encouraged through such leadership styles, especially in the decision-making process. This improves the morale of the employees and their performance. The improvement of the individual performance of the employees would consequently lead to the enhancement of organisational performance.</w:t>
      </w:r>
    </w:p>
    <w:p>
      <w:r>
        <w:rPr>
          <w:color w:val="000000" w:themeColor="text1"/>
          <w14:textFill>
            <w14:solidFill>
              <w14:schemeClr w14:val="tx1"/>
            </w14:solidFill>
          </w14:textFill>
        </w:rPr>
        <w:t xml:space="preserve">Ojokuku, et al. (2012) similarly establishes that </w:t>
      </w:r>
      <w:r>
        <w:t xml:space="preserve">transformational and democratic leadership styles are most effective for the facilitating the improvement of the organisational performance. This study was conducted from the perspective of banking organisations in Nigeria. Such leadership style have been detected to have a significant positive impact since such leaders entrust the followers to fulfil their roles and responsibilities with little to no supervision. Such leaders, as opposed to giving command, play the role of a coach and provide support to the followers when necessary. This has been observed to create a sense of belonging in the minds of the employees and, as a result, they are highly motivated to execute their duties to the best of their capabilities. This ensures that organisations can achieve higher efficiency levels. </w:t>
      </w:r>
    </w:p>
    <w:p>
      <w:r>
        <w:rPr>
          <w:color w:val="000000" w:themeColor="text1"/>
          <w14:textFill>
            <w14:solidFill>
              <w14:schemeClr w14:val="tx1"/>
            </w14:solidFill>
          </w14:textFill>
        </w:rPr>
        <w:t xml:space="preserve">Saleh, et al. (2018) conducted a similar study by considering manufacturing organisations in Yemen. The author conducted an empirical study and established that leadership has a significant and direct impact on organisational performance. This study evaluated only the effect of transactional and transformation leadership style on the performance of the organisation. The results have indicated that transformation leadership positively affects organisational performance, and therefore it should be utilised for influencing the employees in manufacturing companies. </w:t>
      </w:r>
    </w:p>
    <w:p>
      <w:r>
        <w:rPr>
          <w:color w:val="000000" w:themeColor="text1"/>
          <w14:textFill>
            <w14:solidFill>
              <w14:schemeClr w14:val="tx1"/>
            </w14:solidFill>
          </w14:textFill>
        </w:rPr>
        <w:t xml:space="preserve">In the study conducted by Obiwuru, et al. (2011), similarly only transactional and transformation leadership style has been taken into consideration. This research is also focused on small scale organisations or SMEs based in Nigeria. The results of this study revealed that the while the transformation leadership style has a favourable impact on organisational performance, it is statistically insignificant. On the other hand, transactional leadership style have been observed to have a significant and positive effect on the performance of the small-scale organisations. Therefore, the author highlighted that, as far as small-scale organisations or SMEs are concerned, transactional leadership style is more effective. </w:t>
      </w:r>
    </w:p>
    <w:p>
      <w:r>
        <w:rPr>
          <w:color w:val="000000" w:themeColor="text1"/>
          <w14:textFill>
            <w14:solidFill>
              <w14:schemeClr w14:val="tx1"/>
            </w14:solidFill>
          </w14:textFill>
        </w:rPr>
        <w:t xml:space="preserve">Igbaekemen and Odivwri (2015) examined the cause and effect relationship of leadership styles and organisational performance by conducting a review of literature as opposed to an empirical study. In this article, </w:t>
      </w:r>
      <w:r>
        <w:t xml:space="preserve">autocratic, democratic, and laissez-faire style of leadership has been studied. This study established that performance is impacted by leadership styles and, recommended that organisation adopt a democratic leadership style. The authors highlighted that this style of leadership is appropriate for enhancing organisational effectiveness. This is because, democratic leaders are aimed at ensuring that the employees are benefitted and that they are motivated towards the achievement of the organisational goals. The authors emphasised that a democratic leadership style is the key to ensuring the sustenance of organisations. </w:t>
      </w:r>
    </w:p>
    <w:p>
      <w:r>
        <w:rPr>
          <w:color w:val="000000" w:themeColor="text1"/>
          <w14:textFill>
            <w14:solidFill>
              <w14:schemeClr w14:val="tx1"/>
            </w14:solidFill>
          </w14:textFill>
        </w:rPr>
        <w:t xml:space="preserve">Orabi (2016) focused on the influence of transformational leadership from the perspective of banking organisations in Jordan. This study has proven that such leaders have a specific skill set that allows them to influence the followers to commit to the organisational goals through the creation of a learning environment within the organisation. Such an influence at an individual level is translated to the improvement of the overall performance of the organisation. The findings of the study has highlighted that out of the four dimensions of transformational leadership, only three contribute to the enhancement of the organisational performance. In other words, </w:t>
      </w:r>
      <w:r>
        <w:t xml:space="preserve">inspirational motivation, intellectual stimulation, and individual consideration, have been observed to have a direct and significant impact on organisational performance and the impact of idealised influence was found to be insignificant. Therefore, it is probable for the organisational performance to be enhanced when transformational leaders concentrated on inspirational motivation, intellectual stimulation, and individual consideration. </w:t>
      </w:r>
    </w:p>
    <w:p>
      <w:r>
        <w:rPr>
          <w:color w:val="000000" w:themeColor="text1"/>
          <w14:textFill>
            <w14:solidFill>
              <w14:schemeClr w14:val="tx1"/>
            </w14:solidFill>
          </w14:textFill>
        </w:rPr>
        <w:t xml:space="preserve">According to Arif and Akram (2018), transformational leadership has a strong impact on organisational performance when such variables are mediated using innovation. This implies that organisational performance is likely to be improved when transformational leaders are skilled at encouraging the employees to be creative and innovative. In other words, such leaders ought to create an organisational culture where creativity can flow freely, and the employees have the freedom to express their opinions. </w:t>
      </w:r>
    </w:p>
    <w:p>
      <w:pPr>
        <w:rPr>
          <w:color w:val="000000" w:themeColor="text1"/>
          <w14:textFill>
            <w14:solidFill>
              <w14:schemeClr w14:val="tx1"/>
            </w14:solidFill>
          </w14:textFill>
        </w:rPr>
      </w:pPr>
      <w:r>
        <w:rPr>
          <w:color w:val="000000" w:themeColor="text1"/>
          <w14:textFill>
            <w14:solidFill>
              <w14:schemeClr w14:val="tx1"/>
            </w14:solidFill>
          </w14:textFill>
        </w:rPr>
        <w:t>In the study conducted by Saasongu (2015), the context of SMEs in Nigeria has been considered for investigating the effect of leadership styles on organisational performance. The leadership styles that the researcher considered include transactional and transformational. Similar to the findings in the study conducted by Obiwuru, et al. (2011), as the results showed that revealed that the transformation leadership style has a favourable impact on organisational performance, it is statistically insignificant. On the other hand, transactional leadership style has a significant and positive effect on the performance of the SMEs in Nigeria.</w:t>
      </w:r>
    </w:p>
    <w:p>
      <w:pPr>
        <w:pStyle w:val="3"/>
      </w:pPr>
      <w:bookmarkStart w:id="15" w:name="_Toc41576862"/>
      <w:r>
        <w:t>2.4 Literature Gap</w:t>
      </w:r>
      <w:bookmarkEnd w:id="15"/>
    </w:p>
    <w:p>
      <w:r>
        <w:t xml:space="preserve">The review of current literature has made it apparent that substantial research has been conducted about the impact the different leadership styles have on the performance of an organisation. It is apparent that the different styles of leaderships have a significant effect on organisational performance. Such an effect has also been Moreover, research has also been conducted from the perspective of SMEs in particular.  In addition, there are considerable studies that have investigated the nature of impact that transformational leadership style, in particular, have on the organisational performance. Such studies have established that transformational leadership has a significant effect on organisational performance.  However, none of the existing studies have considered the context of Asian countries. Therefore, there is a dearth of research about the effect of transformational leadership on organisational performance as far as the circumstances surrounding SMEs based in Asia are considered. The purpose of this research, therefore, is to make for such a gap in academic discourse. </w:t>
      </w:r>
    </w:p>
    <w:p>
      <w:pPr>
        <w:pStyle w:val="3"/>
      </w:pPr>
      <w:bookmarkStart w:id="16" w:name="_Toc41576863"/>
      <w:r>
        <w:t>2.5 Conceptual Framework</w:t>
      </w:r>
      <w:bookmarkEnd w:id="16"/>
    </w:p>
    <w:p>
      <w:r>
        <w:t>The review of literature on the relationship between leadership style and organisational performance has made it apparent that the latter is effected by the former. In other words, the organisational performance is dependent on the style of leadership followed in the established. This suggests that organisational performance is the dependent variable and the transformational style of leadership which is considered in this study is the independent variable. The factors that have been used for the evaluation of the independent variables include the four elements of transformational leadership – Idealised Influence, Intellectual Stimulation, Individualised Consideration, and Inspirational Motivation (refer to Figure 1). In case of the organisational performance, the factors that has been examined includes – Financial Performance, Shareholder Return, and Product or Service Market Performance.</w:t>
      </w:r>
    </w:p>
    <w:p>
      <w:pPr>
        <w:pStyle w:val="21"/>
        <w:jc w:val="center"/>
        <w:rPr>
          <w:b/>
          <w:i w:val="0"/>
          <w:sz w:val="24"/>
        </w:rPr>
      </w:pPr>
      <w:bookmarkStart w:id="17" w:name="_Toc41553721"/>
      <w:bookmarkStart w:id="18" w:name="_Toc41421464"/>
      <w:r>
        <w:rPr>
          <w:b/>
          <w:i w:val="0"/>
          <w:sz w:val="24"/>
        </w:rPr>
        <w:t xml:space="preserve">Figure </w:t>
      </w:r>
      <w:r>
        <w:rPr>
          <w:b/>
          <w:i w:val="0"/>
          <w:sz w:val="24"/>
        </w:rPr>
        <w:fldChar w:fldCharType="begin"/>
      </w:r>
      <w:r>
        <w:rPr>
          <w:b/>
          <w:i w:val="0"/>
          <w:sz w:val="24"/>
        </w:rPr>
        <w:instrText xml:space="preserve"> SEQ Figure \* ARABIC </w:instrText>
      </w:r>
      <w:r>
        <w:rPr>
          <w:b/>
          <w:i w:val="0"/>
          <w:sz w:val="24"/>
        </w:rPr>
        <w:fldChar w:fldCharType="separate"/>
      </w:r>
      <w:r>
        <w:rPr>
          <w:b/>
          <w:i w:val="0"/>
          <w:sz w:val="24"/>
        </w:rPr>
        <w:t>1</w:t>
      </w:r>
      <w:r>
        <w:rPr>
          <w:b/>
          <w:i w:val="0"/>
          <w:sz w:val="24"/>
        </w:rPr>
        <w:fldChar w:fldCharType="end"/>
      </w:r>
      <w:r>
        <w:rPr>
          <w:b/>
          <w:i w:val="0"/>
          <w:sz w:val="24"/>
        </w:rPr>
        <w:t>: Conceptual Framework</w:t>
      </w:r>
      <w:bookmarkEnd w:id="17"/>
      <w:bookmarkEnd w:id="18"/>
    </w:p>
    <w:p>
      <w:pPr>
        <w:ind w:firstLine="0"/>
      </w:pPr>
      <w:r>
        <w:rPr>
          <w:lang w:eastAsia="en-GB"/>
        </w:rPr>
        <w:drawing>
          <wp:inline distT="0" distB="0" distL="0" distR="0">
            <wp:extent cx="5686425" cy="2028825"/>
            <wp:effectExtent l="0" t="0" r="9525"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pStyle w:val="4"/>
      </w:pPr>
      <w:bookmarkStart w:id="19" w:name="_Toc41576864"/>
      <w:r>
        <w:t>2.3.1 Hypothesis Development</w:t>
      </w:r>
      <w:bookmarkEnd w:id="19"/>
    </w:p>
    <w:p>
      <w:r>
        <w:t>Based on the conceptual framework formed in the above section, the following hypothesis has been developed. The null hypothesis (H</w:t>
      </w:r>
      <w:r>
        <w:rPr>
          <w:vertAlign w:val="subscript"/>
        </w:rPr>
        <w:t>0</w:t>
      </w:r>
      <w:r>
        <w:t>) has been developed test the assumption related to the effects of transformational leadership on organisational performance by considering SMEs in the Asian continent. The null hypothesis would be tested against the alternative hypothesis (H</w:t>
      </w:r>
      <w:r>
        <w:rPr>
          <w:vertAlign w:val="subscript"/>
        </w:rPr>
        <w:t>1</w:t>
      </w:r>
      <w:r>
        <w:t xml:space="preserve">) which states that there is a statistical significance between the two variables – transformational leadership style and organisational performance. </w:t>
      </w:r>
    </w:p>
    <w:p>
      <w:pPr>
        <w:pStyle w:val="131"/>
        <w:numPr>
          <w:ilvl w:val="0"/>
          <w:numId w:val="14"/>
        </w:numPr>
      </w:pPr>
      <w:r>
        <w:rPr>
          <w:b/>
        </w:rPr>
        <w:t>H</w:t>
      </w:r>
      <w:r>
        <w:rPr>
          <w:b/>
          <w:vertAlign w:val="subscript"/>
        </w:rPr>
        <w:t>0</w:t>
      </w:r>
      <w:r>
        <w:rPr>
          <w:b/>
        </w:rPr>
        <w:t>:</w:t>
      </w:r>
      <w:r>
        <w:t xml:space="preserve"> Transformational leadership style does not have a significant effect on the overall organisational performance. </w:t>
      </w:r>
    </w:p>
    <w:p>
      <w:pPr>
        <w:pStyle w:val="131"/>
        <w:numPr>
          <w:ilvl w:val="0"/>
          <w:numId w:val="14"/>
        </w:numPr>
      </w:pPr>
      <w:r>
        <w:rPr>
          <w:b/>
        </w:rPr>
        <w:t>H</w:t>
      </w:r>
      <w:r>
        <w:rPr>
          <w:b/>
          <w:vertAlign w:val="subscript"/>
        </w:rPr>
        <w:t>1</w:t>
      </w:r>
      <w:r>
        <w:rPr>
          <w:b/>
        </w:rPr>
        <w:t>:</w:t>
      </w:r>
      <w:r>
        <w:t xml:space="preserve"> Transformational leadership style has a significant effect on the overall organisational performance.</w:t>
      </w:r>
    </w:p>
    <w:p>
      <w:pPr>
        <w:pStyle w:val="2"/>
      </w:pPr>
      <w:bookmarkStart w:id="20" w:name="_Toc41576865"/>
      <w:r>
        <w:t>3.0 Methodology</w:t>
      </w:r>
      <w:bookmarkEnd w:id="20"/>
      <w:r>
        <w:t xml:space="preserve"> </w:t>
      </w:r>
    </w:p>
    <w:p>
      <w:r>
        <w:t xml:space="preserve">In this chapter, the techniques and processes that have been used for identifying and analysing the effect of transformational leadership on the organisational performance have been discussed. According to Bell, </w:t>
      </w:r>
      <w:r>
        <w:rPr>
          <w:rFonts w:cs="Times New Roman"/>
        </w:rPr>
        <w:t>Bryman and Harley (2018), s</w:t>
      </w:r>
      <w:r>
        <w:t xml:space="preserve">uch tools facilitate the processes needed for finding the solution of the research questions as stated in the introductory chapter. The research onion model has been referred to justify the choice of the techniques that have been used based on the specific requirements of this study. As per the framework, research methodology has several layers or stratum, similar to that of an onion (Saunders, 2011). The techniques and procedures, which is the inmost section of the research onion has been separately discussed based on the tools used for data collection and data analysis. In the following sections, each of the sections of the research onion has been elaborated, and the suitable tools that are selected based on the nature of the current study have been justified. Thereafter, the ethical consideration of this study and the limitations of this methodology have been discussed. </w:t>
      </w:r>
    </w:p>
    <w:p>
      <w:pPr>
        <w:pStyle w:val="3"/>
      </w:pPr>
      <w:bookmarkStart w:id="21" w:name="_Toc41576866"/>
      <w:bookmarkStart w:id="22" w:name="_Toc35637221"/>
      <w:r>
        <w:t>3.1 Research Philosophy</w:t>
      </w:r>
      <w:bookmarkEnd w:id="21"/>
      <w:bookmarkEnd w:id="22"/>
    </w:p>
    <w:p>
      <w:r>
        <w:t xml:space="preserve">The philosophical perspective is the first stage of determining the appropriate methods depending on the nature of the study and sets the foundation based on which the research is conducted. </w:t>
      </w:r>
      <w:r>
        <w:rPr>
          <w:rFonts w:cs="Times New Roman"/>
        </w:rPr>
        <w:t xml:space="preserve">Quinlan et al. (2019) stated that research </w:t>
      </w:r>
      <w:r>
        <w:t xml:space="preserve">philosophy </w:t>
      </w:r>
      <w:r>
        <w:rPr>
          <w:rFonts w:cs="Times New Roman"/>
        </w:rPr>
        <w:t>is most commonly divided into four options –</w:t>
      </w:r>
      <w:bookmarkStart w:id="23" w:name="_Hlk6578475"/>
      <w:r>
        <w:rPr>
          <w:rFonts w:cs="Times New Roman"/>
        </w:rPr>
        <w:t xml:space="preserve"> positivism, realism, interpretivism</w:t>
      </w:r>
      <w:bookmarkEnd w:id="23"/>
      <w:r>
        <w:rPr>
          <w:rFonts w:cs="Times New Roman"/>
        </w:rPr>
        <w:t xml:space="preserve">, and pragmatism. </w:t>
      </w:r>
      <w:r>
        <w:t xml:space="preserve"> </w:t>
      </w:r>
    </w:p>
    <w:p>
      <w:r>
        <w:t>Positivism is appropriate when the measurable data is necessary for conducting the research and a hypothesis can be developed based on the research questions (</w:t>
      </w:r>
      <w:r>
        <w:rPr>
          <w:rFonts w:cs="Times New Roman"/>
        </w:rPr>
        <w:t>Kumar, 2019)</w:t>
      </w:r>
      <w:r>
        <w:t xml:space="preserve">. Realism, is employed when the purpose study is to revise an existing theory using new research methods. This philosophical perspective can be employed when either qualitative or quantitative techniques have to be employed. Interpretivism, on the other hand, is concerned with examining people and the way in which they behave within a context. This philosophy is only appropriate when quantitative techniques are to be employed. Lastly, the pragmatism philosophy recognises that there can be different ways for solving a problem, and no single method can provide an overview. According to Bell, </w:t>
      </w:r>
      <w:r>
        <w:rPr>
          <w:rFonts w:cs="Times New Roman"/>
        </w:rPr>
        <w:t xml:space="preserve">Bryman and Harley </w:t>
      </w:r>
      <w:r>
        <w:t xml:space="preserve">(2018), the pragmatism philosophy integrates both, positivist and interpretivism point of views within the scope of a single research. </w:t>
      </w:r>
    </w:p>
    <w:p>
      <w:r>
        <w:t>In this study, based on the research questions, a hypothesis can be developed to test the effect of transformational leadership on the organisational performance, making the appropriate method positivism. In addition, the perception of the people with the context of transformational leadership and organisational performance is also to be examined, and hence interpretivism method is to be employed. This research, therefore, combines both, positivist and interpretivism philosophical positions, indicating that pragmatism is suitable (</w:t>
      </w:r>
      <w:r>
        <w:rPr>
          <w:rFonts w:cs="Times New Roman"/>
        </w:rPr>
        <w:t>Brannen, 2017</w:t>
      </w:r>
      <w:r>
        <w:t xml:space="preserve">). This implies that this study will follow a mixed method strategy wherein both qualitative and quantitative methods are employed. </w:t>
      </w:r>
    </w:p>
    <w:p>
      <w:pPr>
        <w:pStyle w:val="3"/>
      </w:pPr>
      <w:bookmarkStart w:id="24" w:name="_Toc35637222"/>
      <w:bookmarkStart w:id="25" w:name="_Toc41576867"/>
      <w:r>
        <w:t>3.2 Research Approach</w:t>
      </w:r>
      <w:bookmarkEnd w:id="24"/>
      <w:bookmarkEnd w:id="25"/>
    </w:p>
    <w:p>
      <w:r>
        <w:rPr>
          <w:rFonts w:cs="Times New Roman"/>
        </w:rPr>
        <w:t xml:space="preserve">According to </w:t>
      </w:r>
      <w:r>
        <w:t xml:space="preserve">Saunders, et al. </w:t>
      </w:r>
      <w:r>
        <w:rPr>
          <w:rFonts w:cs="Times New Roman"/>
        </w:rPr>
        <w:t xml:space="preserve">(2012), studies usually follow two types of research approach – inductive and deductive. The choice of research approach is dictated by the outcome of the research. In the case of inductive approach, patterns within the dataset is to be identified with the intention of making generalised inferences from a specific example. Such an approach commonly involves the use of qualitative data. </w:t>
      </w:r>
      <w:r>
        <w:t>Deductive approach is the complete reverse of the inductive one, in the sense that is uses a specific case for making generalised conclusions. This approach also involves the testing of a hypothesis for confirming the theory. Commonly, quantitative data is commonly used when a study is based on the deductive approach. However, deductive studies may also be conducted using qualitative data (</w:t>
      </w:r>
      <w:r>
        <w:rPr>
          <w:rFonts w:cs="Times New Roman"/>
          <w:color w:val="000000" w:themeColor="text1"/>
          <w14:textFill>
            <w14:solidFill>
              <w14:schemeClr w14:val="tx1"/>
            </w14:solidFill>
          </w14:textFill>
        </w:rPr>
        <w:t>Joyner, et al., 2018</w:t>
      </w:r>
      <w:r>
        <w:t xml:space="preserve">). In this study, the purpose is to examine effect that a transformational leadership style on organisational performance and confirm is the existing theories can be applied to the case of SMEs based in Asia. In addition, a hypothesis has been developed in this study for confirming is transformational leadership style has an effect on organisational performance based on the particular nature of SMEs of Asian countries. Therefore, this study follows the conventions of the deductive approach. </w:t>
      </w:r>
    </w:p>
    <w:p>
      <w:pPr>
        <w:pStyle w:val="3"/>
      </w:pPr>
      <w:bookmarkStart w:id="26" w:name="_Toc35637223"/>
      <w:bookmarkStart w:id="27" w:name="_Toc41576868"/>
      <w:r>
        <w:t>3.3 Research Strategy</w:t>
      </w:r>
      <w:bookmarkEnd w:id="26"/>
      <w:bookmarkEnd w:id="27"/>
      <w:r>
        <w:t xml:space="preserve"> </w:t>
      </w:r>
    </w:p>
    <w:p>
      <w:r>
        <w:t xml:space="preserve">Research strategy provides the parameters for collecting and studying the data. </w:t>
      </w:r>
      <w:r>
        <w:rPr>
          <w:shd w:val="clear" w:color="auto" w:fill="FFFFFF"/>
        </w:rPr>
        <w:t xml:space="preserve">Each strategy dictates how the data is to be collected and the relevant techniques for analysing the same. This study follows the case study strategy, wherein the real-life scenarios of SMEs that are based out of Asian countries have been studied. Since this study follows the pragmatism philosophy, both quantitative as well as qualitative data is used for answering the research questions. Therefore, the survey strategy would be used for the collection of quantitative data. According to </w:t>
      </w:r>
      <w:r>
        <w:t xml:space="preserve">Fowler Jr. </w:t>
      </w:r>
      <w:r>
        <w:rPr>
          <w:shd w:val="clear" w:color="auto" w:fill="FFFFFF"/>
        </w:rPr>
        <w:t>(</w:t>
      </w:r>
      <w:r>
        <w:t>2013</w:t>
      </w:r>
      <w:r>
        <w:rPr>
          <w:shd w:val="clear" w:color="auto" w:fill="FFFFFF"/>
        </w:rPr>
        <w:t>), data from a large sample can be obtained from a large sample using this strategy. The use of the survey method can also be justified based on the fact that is the most appropriate method for the testing of hypothesis (</w:t>
      </w:r>
      <w:r>
        <w:rPr>
          <w:rFonts w:cs="Times New Roman"/>
        </w:rPr>
        <w:t xml:space="preserve">Moser </w:t>
      </w:r>
      <w:r>
        <w:rPr>
          <w:color w:val="000000" w:themeColor="text1"/>
          <w14:textFill>
            <w14:solidFill>
              <w14:schemeClr w14:val="tx1"/>
            </w14:solidFill>
          </w14:textFill>
        </w:rPr>
        <w:t xml:space="preserve">&amp; </w:t>
      </w:r>
      <w:r>
        <w:rPr>
          <w:rFonts w:cs="Times New Roman"/>
        </w:rPr>
        <w:t>Kalton, 2017</w:t>
      </w:r>
      <w:r>
        <w:rPr>
          <w:shd w:val="clear" w:color="auto" w:fill="FFFFFF"/>
        </w:rPr>
        <w:t>).</w:t>
      </w:r>
    </w:p>
    <w:p>
      <w:pPr>
        <w:pStyle w:val="3"/>
      </w:pPr>
      <w:bookmarkStart w:id="28" w:name="_Toc41576869"/>
      <w:bookmarkStart w:id="29" w:name="_Toc35637224"/>
      <w:r>
        <w:t>3.4 Research Choice</w:t>
      </w:r>
      <w:bookmarkEnd w:id="28"/>
      <w:bookmarkEnd w:id="29"/>
    </w:p>
    <w:p>
      <w:bookmarkStart w:id="30" w:name="_Toc35637225"/>
      <w:r>
        <w:t xml:space="preserve">The research choice is the fourth section of the research which specifies the selection of the type(s) of data that would be gathered and analysed. According to </w:t>
      </w:r>
      <w:r>
        <w:rPr>
          <w:rFonts w:cs="Times New Roman"/>
          <w:color w:val="000000" w:themeColor="text1"/>
          <w14:textFill>
            <w14:solidFill>
              <w14:schemeClr w14:val="tx1"/>
            </w14:solidFill>
          </w14:textFill>
        </w:rPr>
        <w:t>Walliman</w:t>
      </w:r>
      <w:r>
        <w:rPr>
          <w:color w:val="000000" w:themeColor="text1"/>
          <w14:textFill>
            <w14:solidFill>
              <w14:schemeClr w14:val="tx1"/>
            </w14:solidFill>
          </w14:textFill>
        </w:rPr>
        <w:t xml:space="preserve"> </w:t>
      </w:r>
      <w:r>
        <w:t>(2017), the selections for research choice includes mono-method, multi-method and mixed method. Mono-method implies that only one type of data, that is, either qualitative or quantitative is used for conducting the study. In multi-method, both</w:t>
      </w:r>
      <w:r>
        <w:rPr>
          <w:rFonts w:ascii="Tahoma" w:hAnsi="Tahoma" w:cs="Tahoma"/>
          <w:color w:val="222222"/>
          <w:sz w:val="26"/>
          <w:szCs w:val="26"/>
          <w:shd w:val="clear" w:color="auto" w:fill="FFFFFF"/>
        </w:rPr>
        <w:t xml:space="preserve"> </w:t>
      </w:r>
      <w:r>
        <w:t>qualitative and quantitative methods are used, however, the same source is used for the collection of both types of data (Nunkoo, 2018.). This implies that the method of collecting data is the same, however, techniques that are used for the analysis of such gathered data differ based on their respective nature. Mixed method implies both</w:t>
      </w:r>
      <w:r>
        <w:rPr>
          <w:rFonts w:ascii="Tahoma" w:hAnsi="Tahoma" w:cs="Tahoma"/>
          <w:color w:val="222222"/>
          <w:sz w:val="26"/>
          <w:szCs w:val="26"/>
          <w:shd w:val="clear" w:color="auto" w:fill="FFFFFF"/>
        </w:rPr>
        <w:t xml:space="preserve"> </w:t>
      </w:r>
      <w:r>
        <w:t xml:space="preserve">qualitative and quantitative methods are used for the research. Here, the data is collected from different sources and different analysis techniques are also used. </w:t>
      </w:r>
    </w:p>
    <w:p>
      <w:r>
        <w:t>Based on the conventions of the pragmatism philosophy, both</w:t>
      </w:r>
      <w:r>
        <w:rPr>
          <w:rFonts w:ascii="Tahoma" w:hAnsi="Tahoma" w:cs="Tahoma"/>
          <w:color w:val="222222"/>
          <w:sz w:val="26"/>
          <w:szCs w:val="26"/>
          <w:shd w:val="clear" w:color="auto" w:fill="FFFFFF"/>
        </w:rPr>
        <w:t xml:space="preserve"> </w:t>
      </w:r>
      <w:r>
        <w:t xml:space="preserve">qualitative and quantitative methods can be used for the study (Cohen, et al., 2013.). Therefore, this study is based on the mixed method research choice. The quantitative data would be collected from the employees of the SMEs that are based in India and this would be used for the testing of the hypothesis. Owing to the nature of the data, it would be analysed using quantitative techniques. On the other hand, qualitative data would be collected from the employees of the SMEs who are specifically engaged in managerial positions. Such data would be analysed using descriptive technique. </w:t>
      </w:r>
    </w:p>
    <w:p>
      <w:pPr>
        <w:pStyle w:val="3"/>
      </w:pPr>
      <w:bookmarkStart w:id="31" w:name="_Toc41576870"/>
      <w:r>
        <w:t>3.4 Time Horizon</w:t>
      </w:r>
      <w:bookmarkEnd w:id="30"/>
      <w:bookmarkEnd w:id="31"/>
    </w:p>
    <w:p>
      <w:r>
        <w:t xml:space="preserve">This stratum of the research onion is concerned with the timeline within which the research is to be conducted. </w:t>
      </w:r>
      <w:r>
        <w:rPr>
          <w:shd w:val="clear" w:color="auto" w:fill="FFFFFF"/>
        </w:rPr>
        <w:t xml:space="preserve">According to </w:t>
      </w:r>
      <w:r>
        <w:t>Collins</w:t>
      </w:r>
      <w:r>
        <w:rPr>
          <w:shd w:val="clear" w:color="auto" w:fill="FFFFFF"/>
        </w:rPr>
        <w:t xml:space="preserve"> (2018), as far as the time horizon is concerned, a study can be cross sectional or longitudinal. A longitudinal study is where change in the pattern of data over a certain period of time is observed, recorded, and then analysed. On the other hand, in cross sectional study, data is collected at a particular point of time. </w:t>
      </w:r>
      <w:r>
        <w:t>Saunders (2011</w:t>
      </w:r>
      <w:r>
        <w:rPr>
          <w:shd w:val="clear" w:color="auto" w:fill="FFFFFF"/>
        </w:rPr>
        <w:t xml:space="preserve">) stated that in a cross-sectional study, the data is collected and examined during a specified point of time. In this study, the data has been collected to analyse </w:t>
      </w:r>
      <w:r>
        <w:t xml:space="preserve">effect of transformational leadership on the organisational performance within the context of SMEs based in Asia. Such data is collected in short time period, that is, over a period of 2 weeks. This implies that the long-term perspective in not considered in this study, and the analysis has been conducted based on the prevailing circumstances during the time of data collection Therefore, this study follows the cross-sectional time horizon. </w:t>
      </w:r>
    </w:p>
    <w:p>
      <w:pPr>
        <w:pStyle w:val="3"/>
      </w:pPr>
      <w:bookmarkStart w:id="32" w:name="_Toc41576871"/>
      <w:bookmarkStart w:id="33" w:name="_Toc35637226"/>
      <w:r>
        <w:t>3.6 Data Collection</w:t>
      </w:r>
      <w:bookmarkEnd w:id="32"/>
      <w:bookmarkEnd w:id="33"/>
    </w:p>
    <w:p>
      <w:pPr>
        <w:pStyle w:val="4"/>
      </w:pPr>
      <w:bookmarkStart w:id="34" w:name="_Toc35637227"/>
      <w:bookmarkStart w:id="35" w:name="_Toc41576872"/>
      <w:r>
        <w:t>3.6.1 Source of Data Collection</w:t>
      </w:r>
      <w:bookmarkEnd w:id="34"/>
      <w:bookmarkEnd w:id="35"/>
    </w:p>
    <w:p>
      <w:r>
        <w:t>The sources of data can either be primary or secondary. Primary sources of data signifies that such data is collected by the researcher directly from the research participants (</w:t>
      </w:r>
      <w:r>
        <w:rPr>
          <w:rFonts w:cs="Times New Roman"/>
        </w:rPr>
        <w:t>Sekaran and Bougie, 2016</w:t>
      </w:r>
      <w:r>
        <w:t>). On the other hand, secondary data refers to the data that has been collected previously by other researchers and used for some other purpose. Since primary data is collected for the current research, it makes the data unique and catered to the specific requirements of the study. Since it is aligned to the research aim and objectives, primary data is more reliable as compared to secondary data (</w:t>
      </w:r>
      <w:r>
        <w:rPr>
          <w:rFonts w:cs="Times New Roman"/>
          <w:color w:val="000000" w:themeColor="text1"/>
          <w14:textFill>
            <w14:solidFill>
              <w14:schemeClr w14:val="tx1"/>
            </w14:solidFill>
          </w14:textFill>
        </w:rPr>
        <w:t>Williams, 2018)</w:t>
      </w:r>
      <w:r>
        <w:t>. In addition, this also ensures that the data is adequate for solving the research questions. However, the collection process is time consuming and not economic. On the contrary, the collection of secondary data is economic and does not require a significant time investment. Since such data is already published, it is not unique (</w:t>
      </w:r>
      <w:r>
        <w:rPr>
          <w:rFonts w:cs="Times New Roman"/>
        </w:rPr>
        <w:t>Bryman, 2016</w:t>
      </w:r>
      <w:r>
        <w:t xml:space="preserve">). Moreover, secondary data implies that it has been collected previously for some other purpose, therefore, is has to be modified to suit the purpose of this study. This makes the data less reliable and not as capable of providing answers to the research questions as primary data. </w:t>
      </w:r>
    </w:p>
    <w:p>
      <w:r>
        <w:t xml:space="preserve">In this study, data has been collected from primary sources in order to suit the specific requirement of obtaining insights about the SMEs in Asia. The employees of such organisations would be approached for the collection of data for this study. The quantitative data was collected through survey questionnaire from the employees in non-managerial position of SMEs in Asia. Such questionnaires was developed using Google forms, the link for it was shared via social media platforms like WhatsApp and Facebook.  The qualitative data, on the other hand, has been collected through telephonic interviews from the managers of such organisations.  According to Qu and Dumay (2011), the use of telephone as a medium for conducting interview is cost effective and ensures that respondents located in geographic area which is beyond the reach of the researcher. </w:t>
      </w:r>
    </w:p>
    <w:p>
      <w:pPr>
        <w:pStyle w:val="4"/>
      </w:pPr>
      <w:bookmarkStart w:id="36" w:name="_Toc35637229"/>
      <w:bookmarkStart w:id="37" w:name="_Toc41576873"/>
      <w:bookmarkStart w:id="38" w:name="_Toc35637228"/>
      <w:r>
        <w:t>3.6.2 Sample Selection</w:t>
      </w:r>
      <w:bookmarkEnd w:id="36"/>
      <w:bookmarkEnd w:id="37"/>
    </w:p>
    <w:p>
      <w:r>
        <w:t xml:space="preserve">The population for this study consists of all employees, both engaged in managerial as well as non-managerial roles within the SMEs across all the Asian countries. It is not </w:t>
      </w:r>
      <w:r>
        <w:rPr>
          <w:rFonts w:cs="Times New Roman"/>
        </w:rPr>
        <w:t>feasible to collect the data from all such employees, hence sampling techniques have been applied (Chaudhuri, 2019). Convenience sampling, which is a type of non-probability sampling has been used for the selection of the employees at non-managerial roles for the survey as well as for selecting the managers for the telephonic interviews. According to</w:t>
      </w:r>
      <w:r>
        <w:t xml:space="preserve"> Levy and Lemeshow </w:t>
      </w:r>
      <w:r>
        <w:rPr>
          <w:rFonts w:cs="Times New Roman"/>
        </w:rPr>
        <w:t>(</w:t>
      </w:r>
      <w:r>
        <w:t>2013</w:t>
      </w:r>
      <w:r>
        <w:rPr>
          <w:rFonts w:cs="Times New Roman"/>
        </w:rPr>
        <w:t xml:space="preserve">), convenience sampling indicates that the choice of research participant is dictated based on the suitability and feasibility of the researcher. Using this technique, the survey questionnaire was distributed using Google form link through social media platforms and addressed to people employed by SMEs. Convenience sampling was also used to reach out to 5 managers or leaders of SMEs based on Asia. </w:t>
      </w:r>
    </w:p>
    <w:p>
      <w:pPr>
        <w:pStyle w:val="4"/>
      </w:pPr>
      <w:bookmarkStart w:id="39" w:name="_Toc41576874"/>
      <w:r>
        <w:t>3.6.3 Questionnaire Design</w:t>
      </w:r>
      <w:bookmarkEnd w:id="38"/>
      <w:bookmarkEnd w:id="39"/>
    </w:p>
    <w:p>
      <w:pPr>
        <w:pStyle w:val="131"/>
        <w:numPr>
          <w:ilvl w:val="0"/>
          <w:numId w:val="15"/>
        </w:numPr>
        <w:rPr>
          <w:i/>
        </w:rPr>
      </w:pPr>
      <w:r>
        <w:rPr>
          <w:i/>
        </w:rPr>
        <w:t>Survey Questionnaire</w:t>
      </w:r>
    </w:p>
    <w:p>
      <w:r>
        <w:t xml:space="preserve">The questionnaire for the survey consisted of 14 questions, most of which was closed ended (refer to Appendix A). </w:t>
      </w:r>
      <w:r>
        <w:rPr>
          <w:rFonts w:cs="Times New Roman"/>
          <w:color w:val="000000" w:themeColor="text1"/>
          <w14:textFill>
            <w14:solidFill>
              <w14:schemeClr w14:val="tx1"/>
            </w14:solidFill>
          </w14:textFill>
        </w:rPr>
        <w:t>Saris and Gallhofer</w:t>
      </w:r>
      <w:r>
        <w:t xml:space="preserve"> (2014) emphasized that the closed ended questions are designed in a way t</w:t>
      </w:r>
      <w:r>
        <w:rPr>
          <w:rFonts w:cs="Times New Roman"/>
        </w:rPr>
        <w:t xml:space="preserve">hat the respondents have to select the option that best suits their circumstances. In other words, the possible answers to the questions are provided and the respondent has to select the one that they believe to be most appropriate. </w:t>
      </w:r>
      <w:r>
        <w:t>Closed ended questions have been used since it can be translated into quantitative terms which can then be analysed using quantitative techniques (Krosnick, 2018). The first three questions in the questionnaire are designed to determine if the research participants meet the criteria for being employed in non-managerial roles in SMEs that are based in Asian countries. Thereafter, demographic questions have been included to establish the diverse nature of the respondents. The remainder of the questions have been designed to establish the perception of the employees in terms of degree to which the leaders of their organisation demonstrate the four elements of transformational leadership. In addition, the perception of employees in term of the performance of the organisation in comparison to their competitors has been evaluated. The</w:t>
      </w:r>
      <w:r>
        <w:rPr>
          <w:rFonts w:cs="Times New Roman"/>
        </w:rPr>
        <w:t xml:space="preserve"> psychometric scale, 5-point Likert, has been used for facilitating the process of translating the responses in quantitative terms (Brace, 2018).</w:t>
      </w:r>
    </w:p>
    <w:p>
      <w:pPr>
        <w:pStyle w:val="131"/>
        <w:numPr>
          <w:ilvl w:val="0"/>
          <w:numId w:val="15"/>
        </w:numPr>
        <w:rPr>
          <w:i/>
        </w:rPr>
      </w:pPr>
      <w:r>
        <w:rPr>
          <w:i/>
        </w:rPr>
        <w:t>Interview Questionnaire</w:t>
      </w:r>
    </w:p>
    <w:p>
      <w:r>
        <w:t xml:space="preserve">The questionnaire for the one-on-one interview consisted of 11 structured questions (refer to Appendix B). According to </w:t>
      </w:r>
      <w:r>
        <w:rPr>
          <w:color w:val="000000" w:themeColor="text1"/>
          <w14:textFill>
            <w14:solidFill>
              <w14:schemeClr w14:val="tx1"/>
            </w14:solidFill>
          </w14:textFill>
        </w:rPr>
        <w:t>Willis</w:t>
      </w:r>
      <w:r>
        <w:t xml:space="preserve"> (2015), a structured interview is where the researchers asks questions to the interviewees from a pre-determined list of questions. The interview questions were open ended, which encouraged the respondents to express themselves using their own words. </w:t>
      </w:r>
      <w:r>
        <w:rPr>
          <w:color w:val="000000" w:themeColor="text1"/>
          <w14:textFill>
            <w14:solidFill>
              <w14:schemeClr w14:val="tx1"/>
            </w14:solidFill>
          </w14:textFill>
        </w:rPr>
        <w:t>Krosnick</w:t>
      </w:r>
      <w:r>
        <w:t xml:space="preserve"> (2018) stated that open ended questions does not restrict the respondent to limit their answers to the predefined options, and gives them the freedom to express their opinions. Open-ended questions also encouraged the respondents to engage in a conversation with the interviewer, as a result in-depth information can be obtained. The purpose of the interview questions was to identify the nature of transformational leadership and organisational performance, its importance and how it can be enhanced by focusing on employee motivation.</w:t>
      </w:r>
    </w:p>
    <w:p>
      <w:pPr>
        <w:pStyle w:val="3"/>
      </w:pPr>
      <w:bookmarkStart w:id="40" w:name="_Toc35637230"/>
      <w:bookmarkStart w:id="41" w:name="_Toc41576875"/>
      <w:r>
        <w:t>3.7 Analysis</w:t>
      </w:r>
      <w:bookmarkEnd w:id="40"/>
      <w:r>
        <w:t xml:space="preserve"> of Data</w:t>
      </w:r>
      <w:bookmarkEnd w:id="41"/>
    </w:p>
    <w:p>
      <w:pPr>
        <w:pStyle w:val="4"/>
      </w:pPr>
      <w:bookmarkStart w:id="42" w:name="_Toc41576876"/>
      <w:r>
        <w:t>3.7.1 Quantitative Data</w:t>
      </w:r>
      <w:bookmarkEnd w:id="42"/>
    </w:p>
    <w:p>
      <w:r>
        <w:t>The quantitative data which has been collected through surveys, has been analysed using statistical tools (</w:t>
      </w:r>
      <w:r>
        <w:rPr>
          <w:rFonts w:cs="Times New Roman"/>
          <w:color w:val="000000" w:themeColor="text1"/>
          <w14:textFill>
            <w14:solidFill>
              <w14:schemeClr w14:val="tx1"/>
            </w14:solidFill>
          </w14:textFill>
        </w:rPr>
        <w:t>Bell, et al., 2018</w:t>
      </w:r>
      <w:r>
        <w:t xml:space="preserve">). Graphical tools has been used for encapsulating the demographic information of the respondents, making the interpretation visually appealing. Statistical analysis has also been used for extracting the information about the effect that transformational leadership style have on organisational performance. The cause and effect relationship between the variables have been analysed using linear regression analysis. </w:t>
      </w:r>
    </w:p>
    <w:p>
      <w:pPr>
        <w:pStyle w:val="4"/>
      </w:pPr>
      <w:bookmarkStart w:id="43" w:name="_Toc41576877"/>
      <w:r>
        <w:t>3.7.2 Qualitative Data</w:t>
      </w:r>
      <w:bookmarkEnd w:id="43"/>
    </w:p>
    <w:p>
      <w:r>
        <w:t>The qualitative data has been gathered from telephonic interviews with the managers of SMEs. Since the data cannot be transformed to a measurable form, statistical tools cannot be used for its analysis. The qualitative or categorical data has therefore been analysed using descriptive techniques (</w:t>
      </w:r>
      <w:r>
        <w:rPr>
          <w:rFonts w:cs="Times New Roman"/>
          <w:color w:val="000000" w:themeColor="text1"/>
          <w14:textFill>
            <w14:solidFill>
              <w14:schemeClr w14:val="tx1"/>
            </w14:solidFill>
          </w14:textFill>
        </w:rPr>
        <w:t>Brannen, 2017</w:t>
      </w:r>
      <w:r>
        <w:t>). This implies that recurring pattern from the data has been identified and highlighted. In other words, the common aspects from the responses of the managers have been identified from the interview responses, and such data has been interpreted for answering the research questions.</w:t>
      </w:r>
    </w:p>
    <w:p>
      <w:pPr>
        <w:pStyle w:val="3"/>
      </w:pPr>
      <w:bookmarkStart w:id="44" w:name="_Toc41576878"/>
      <w:bookmarkStart w:id="45" w:name="_Toc35637231"/>
      <w:r>
        <w:t>3.8 Ethical Considerations</w:t>
      </w:r>
      <w:bookmarkEnd w:id="44"/>
      <w:bookmarkEnd w:id="45"/>
    </w:p>
    <w:p>
      <w:pPr>
        <w:rPr>
          <w:rFonts w:cs="Times New Roman"/>
        </w:rPr>
      </w:pPr>
      <w:r>
        <w:rPr>
          <w:rFonts w:cs="Times New Roman"/>
        </w:rPr>
        <w:t xml:space="preserve">Maintaining an ethical objective throughout the research process is crucial to ensure the authentic and validity of the results of the study. In the event that unethical measures are taken to conduct the research, it discredits the reliability of the results. According to Woodfield (2017), researchers ought to be ethically responsible to ensure that the integrity of the study is upheld. For this reason, the principle of ethics in conducting an empirical study has been referred. Firstly, the rules specified by the University in terms of guidelines for completing a dissertation, has been thoroughly followed. This ensures that the study is conducted as per the guidelines of the University and that it is disqualified for non-compliance. In order to comply with the norms related to plagiarism, efforts have been made to ensure that this study is not similar to previous research and the concepts and theories taken from other studies have been have been duly acknowledged. </w:t>
      </w:r>
    </w:p>
    <w:p>
      <w:pPr>
        <w:rPr>
          <w:rFonts w:cs="Times New Roman"/>
        </w:rPr>
      </w:pPr>
      <w:r>
        <w:rPr>
          <w:rFonts w:cs="Times New Roman"/>
        </w:rPr>
        <w:t xml:space="preserve">Secondly, since this study involved the collection of primary data, the ethical guidelines for such processes have been followed. This implies that the consent of the participants has been obtained through forms, where the purpose of the study, and the role that they played in it were explained in depth (H. Mustajoki </w:t>
      </w:r>
      <w:r>
        <w:rPr>
          <w:color w:val="000000" w:themeColor="text1"/>
          <w14:textFill>
            <w14:solidFill>
              <w14:schemeClr w14:val="tx1"/>
            </w14:solidFill>
          </w14:textFill>
        </w:rPr>
        <w:t xml:space="preserve">&amp; </w:t>
      </w:r>
      <w:r>
        <w:rPr>
          <w:rFonts w:cs="Times New Roman"/>
        </w:rPr>
        <w:t xml:space="preserve">A. Mustajoki, 2017; </w:t>
      </w:r>
      <w:r>
        <w:t>Oliver, 2010</w:t>
      </w:r>
      <w:r>
        <w:rPr>
          <w:rFonts w:cs="Times New Roman"/>
        </w:rPr>
        <w:t xml:space="preserve">). All possible risks and advantages of participating in the study have been thoroughly described so that the research participants could make informed decision about whether to take part in the research. The participants were also informed that taking part in the study was a voluntary process, and they would choose not to participate without having to provide an explanation for the same. In addition, the consent form also elaborated on how they can choose to withdraw their responses at any time. </w:t>
      </w:r>
      <w:r>
        <w:t>Wilson</w:t>
      </w:r>
      <w:r>
        <w:rPr>
          <w:rFonts w:cs="Times New Roman"/>
        </w:rPr>
        <w:t xml:space="preserve"> (2014) also explained that it is crucial to respect the privacy of the participants in the study. Accordingly, personal information that might reveal the identity of the respondents were not collected or recorded during the interview process or through the survey (</w:t>
      </w:r>
      <w:r>
        <w:t>Wiles, 2012</w:t>
      </w:r>
      <w:r>
        <w:rPr>
          <w:rFonts w:cs="Times New Roman"/>
        </w:rPr>
        <w:t xml:space="preserve">). Additionally, the data collected from the employees of the SMEs in Asia would not be published, therefore ensuring that such sensitive data cannot be accessed by other parties. </w:t>
      </w:r>
    </w:p>
    <w:p>
      <w:pPr>
        <w:pStyle w:val="3"/>
      </w:pPr>
      <w:bookmarkStart w:id="46" w:name="_Toc41576879"/>
      <w:r>
        <w:t>3.9 Limitations of the Methodology and Methods Used</w:t>
      </w:r>
      <w:bookmarkEnd w:id="46"/>
    </w:p>
    <w:p>
      <w:pPr>
        <w:rPr>
          <w:rFonts w:cs="Times New Roman"/>
        </w:rPr>
      </w:pPr>
      <w:r>
        <w:t>The most prominent limitation of the methods used is related to the fact that primary data has been used. Since the collection of primary data is time consuming, the sample size has to be restricted to ensure that the study can be completed within the specified time period (</w:t>
      </w:r>
      <w:r>
        <w:rPr>
          <w:rFonts w:cs="Times New Roman"/>
        </w:rPr>
        <w:t>Kumar, 2019</w:t>
      </w:r>
      <w:r>
        <w:t>). In addition, the use of primary data implies that there is a probability for selection bias. Moreover, since non-probabilistic or non-random sampling techniques has been used, the probability of bias increases. This is because under the non-probabilistic technique, the respondents are not chosen at random and therefore all the possible participants within the population do not have the same chance of being selected (</w:t>
      </w:r>
      <w:r>
        <w:rPr>
          <w:rFonts w:cs="Times New Roman"/>
        </w:rPr>
        <w:t>Chaudhuri, 2019</w:t>
      </w:r>
      <w:r>
        <w:t>). Therefore, there is a high possibility that bias exists in the study.</w:t>
      </w:r>
    </w:p>
    <w:p>
      <w:pPr>
        <w:pStyle w:val="2"/>
      </w:pPr>
      <w:bookmarkStart w:id="47" w:name="_Toc41576880"/>
      <w:r>
        <w:t>4.0 Data Analysis</w:t>
      </w:r>
      <w:bookmarkEnd w:id="47"/>
      <w:r>
        <w:t xml:space="preserve"> </w:t>
      </w:r>
    </w:p>
    <w:p>
      <w:r>
        <w:t xml:space="preserve">In this chapter, the data collected from the primary sources, that is, the employee both engaged in managerial as well as non-managerial roles within the SMEs across all the Asian countries have been analysed. </w:t>
      </w:r>
    </w:p>
    <w:p>
      <w:pPr>
        <w:pStyle w:val="3"/>
      </w:pPr>
      <w:bookmarkStart w:id="48" w:name="_Toc41576881"/>
      <w:r>
        <w:t>4.1 Analysis of Survey Responses</w:t>
      </w:r>
      <w:bookmarkEnd w:id="48"/>
      <w:r>
        <w:t xml:space="preserve"> </w:t>
      </w:r>
    </w:p>
    <w:p>
      <w:r>
        <w:t xml:space="preserve">The data collected from the employees in non-managerial roles is quantitative in nature and hence has been analysed using statistical techniques. Such results have been used to test the null hypothesis – transformational leadership style does not have a significant effect on the overall organisational performance. </w:t>
      </w:r>
    </w:p>
    <w:p>
      <w:pPr>
        <w:pStyle w:val="4"/>
      </w:pPr>
      <w:bookmarkStart w:id="49" w:name="_Toc41576882"/>
      <w:r>
        <w:t>4.1.1 Overview of Data Collected</w:t>
      </w:r>
      <w:bookmarkEnd w:id="49"/>
    </w:p>
    <w:p>
      <w:pPr>
        <w:pStyle w:val="5"/>
      </w:pPr>
      <w:r>
        <w:t>4.1.1.1 Response Rate</w:t>
      </w:r>
    </w:p>
    <w:p>
      <w:r>
        <w:t xml:space="preserve">A total of 50 survey questionnaires were distributed among the chosen research participants. However, all the responses that were collected could not be analysed. Firstly, 5 of the respondents failed to meet the qualifying criteria for this study, indicating that they were either not in a non-managerial position, or they were not employed at an SME based in an Asian country or both. Another 4 respondents had failed to provide answers to all the questions, and hence such response sheet was not taken into consideration for the statistical analysis. Therefore, out of the 50 survey questionnaires that were distributed, 41 responses sheets were have been utilized for extracting meaning information from the data. This indicates a response rate of 82% has been obtained. </w:t>
      </w:r>
    </w:p>
    <w:p>
      <w:pPr>
        <w:pStyle w:val="5"/>
        <w:tabs>
          <w:tab w:val="left" w:pos="5070"/>
        </w:tabs>
      </w:pPr>
      <w:r>
        <w:t>4.1.1.2 Demographic Characteristics</w:t>
      </w:r>
      <w:r>
        <w:tab/>
      </w:r>
    </w:p>
    <w:p>
      <w:pPr>
        <w:pStyle w:val="131"/>
        <w:numPr>
          <w:ilvl w:val="0"/>
          <w:numId w:val="16"/>
        </w:numPr>
        <w:rPr>
          <w:i/>
        </w:rPr>
      </w:pPr>
      <w:r>
        <w:rPr>
          <w:i/>
        </w:rPr>
        <w:t>Gender Distribution of the Respondents</w:t>
      </w:r>
    </w:p>
    <w:p>
      <w:r>
        <w:t xml:space="preserve">It is evident from Figure 2 that the majority of the respondents, which accounts for 56.10% is male, while the remaining 43.90% are female. </w:t>
      </w:r>
    </w:p>
    <w:p>
      <w:pPr>
        <w:pStyle w:val="21"/>
        <w:jc w:val="center"/>
        <w:rPr>
          <w:b/>
          <w:i w:val="0"/>
          <w:sz w:val="24"/>
        </w:rPr>
      </w:pPr>
      <w:bookmarkStart w:id="50" w:name="_Toc41553722"/>
      <w:bookmarkStart w:id="51" w:name="_Toc41421465"/>
      <w:r>
        <w:rPr>
          <w:b/>
          <w:i w:val="0"/>
          <w:sz w:val="24"/>
        </w:rPr>
        <w:t xml:space="preserve">Figure </w:t>
      </w:r>
      <w:r>
        <w:rPr>
          <w:b/>
          <w:i w:val="0"/>
          <w:sz w:val="24"/>
        </w:rPr>
        <w:fldChar w:fldCharType="begin"/>
      </w:r>
      <w:r>
        <w:rPr>
          <w:b/>
          <w:i w:val="0"/>
          <w:sz w:val="24"/>
        </w:rPr>
        <w:instrText xml:space="preserve"> SEQ Figure \* ARABIC </w:instrText>
      </w:r>
      <w:r>
        <w:rPr>
          <w:b/>
          <w:i w:val="0"/>
          <w:sz w:val="24"/>
        </w:rPr>
        <w:fldChar w:fldCharType="separate"/>
      </w:r>
      <w:r>
        <w:rPr>
          <w:b/>
          <w:i w:val="0"/>
          <w:sz w:val="24"/>
        </w:rPr>
        <w:t>2</w:t>
      </w:r>
      <w:r>
        <w:rPr>
          <w:b/>
          <w:i w:val="0"/>
          <w:sz w:val="24"/>
        </w:rPr>
        <w:fldChar w:fldCharType="end"/>
      </w:r>
      <w:r>
        <w:rPr>
          <w:b/>
          <w:i w:val="0"/>
          <w:sz w:val="24"/>
        </w:rPr>
        <w:t>: Gender Distribution of the Respondents</w:t>
      </w:r>
      <w:bookmarkEnd w:id="50"/>
      <w:bookmarkEnd w:id="51"/>
    </w:p>
    <w:p>
      <w:pPr>
        <w:autoSpaceDE w:val="0"/>
        <w:autoSpaceDN w:val="0"/>
        <w:adjustRightInd w:val="0"/>
        <w:spacing w:after="240" w:line="240" w:lineRule="auto"/>
        <w:ind w:firstLine="0"/>
        <w:rPr>
          <w:rFonts w:ascii="Times New Roman" w:hAnsi="Times New Roman" w:cs="Times New Roman"/>
          <w:kern w:val="0"/>
        </w:rPr>
      </w:pPr>
      <w:r>
        <w:rPr>
          <w:rFonts w:ascii="Times New Roman" w:hAnsi="Times New Roman" w:cs="Times New Roman"/>
          <w:kern w:val="0"/>
          <w:lang w:eastAsia="en-GB"/>
        </w:rPr>
        <w:drawing>
          <wp:inline distT="0" distB="0" distL="0" distR="0">
            <wp:extent cx="5686425" cy="3514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rcRect r="4785"/>
                    <a:stretch>
                      <a:fillRect/>
                    </a:stretch>
                  </pic:blipFill>
                  <pic:spPr>
                    <a:xfrm>
                      <a:off x="0" y="0"/>
                      <a:ext cx="5686425" cy="3514725"/>
                    </a:xfrm>
                    <a:prstGeom prst="rect">
                      <a:avLst/>
                    </a:prstGeom>
                    <a:noFill/>
                    <a:ln>
                      <a:noFill/>
                    </a:ln>
                  </pic:spPr>
                </pic:pic>
              </a:graphicData>
            </a:graphic>
          </wp:inline>
        </w:drawing>
      </w:r>
    </w:p>
    <w:p>
      <w:pPr>
        <w:pStyle w:val="131"/>
        <w:numPr>
          <w:ilvl w:val="0"/>
          <w:numId w:val="16"/>
        </w:numPr>
        <w:spacing w:before="240"/>
        <w:rPr>
          <w:i/>
        </w:rPr>
      </w:pPr>
      <w:r>
        <w:rPr>
          <w:i/>
        </w:rPr>
        <w:t>Age Distribution of the Respondents</w:t>
      </w:r>
    </w:p>
    <w:p>
      <w:r>
        <w:t xml:space="preserve">Figure 3 illustrates that 65.85% of the respondents are aged between 25 and 34 years. This accounts for the majority of the research participants. The remaining 34.15% belong to the age cohort of 18 to 24 years. Therefore, the respondents that have taken part in this study include the younger generations. </w:t>
      </w:r>
    </w:p>
    <w:p>
      <w:pPr>
        <w:pStyle w:val="21"/>
        <w:jc w:val="center"/>
        <w:rPr>
          <w:rFonts w:ascii="Times New Roman" w:hAnsi="Times New Roman" w:cs="Times New Roman"/>
          <w:b/>
          <w:i w:val="0"/>
          <w:kern w:val="0"/>
          <w:sz w:val="24"/>
        </w:rPr>
      </w:pPr>
      <w:bookmarkStart w:id="52" w:name="_Toc41421466"/>
      <w:bookmarkStart w:id="53" w:name="_Toc41553723"/>
      <w:r>
        <w:rPr>
          <w:b/>
          <w:i w:val="0"/>
          <w:sz w:val="24"/>
        </w:rPr>
        <w:t xml:space="preserve">Figure </w:t>
      </w:r>
      <w:r>
        <w:rPr>
          <w:b/>
          <w:i w:val="0"/>
          <w:sz w:val="24"/>
        </w:rPr>
        <w:fldChar w:fldCharType="begin"/>
      </w:r>
      <w:r>
        <w:rPr>
          <w:b/>
          <w:i w:val="0"/>
          <w:sz w:val="24"/>
        </w:rPr>
        <w:instrText xml:space="preserve"> SEQ Figure \* ARABIC </w:instrText>
      </w:r>
      <w:r>
        <w:rPr>
          <w:b/>
          <w:i w:val="0"/>
          <w:sz w:val="24"/>
        </w:rPr>
        <w:fldChar w:fldCharType="separate"/>
      </w:r>
      <w:r>
        <w:rPr>
          <w:b/>
          <w:i w:val="0"/>
          <w:sz w:val="24"/>
        </w:rPr>
        <w:t>3</w:t>
      </w:r>
      <w:r>
        <w:rPr>
          <w:b/>
          <w:i w:val="0"/>
          <w:sz w:val="24"/>
        </w:rPr>
        <w:fldChar w:fldCharType="end"/>
      </w:r>
      <w:r>
        <w:rPr>
          <w:b/>
          <w:i w:val="0"/>
          <w:sz w:val="24"/>
        </w:rPr>
        <w:t>: Age Distribution of the Respondents</w:t>
      </w:r>
      <w:bookmarkEnd w:id="52"/>
      <w:bookmarkEnd w:id="53"/>
    </w:p>
    <w:p>
      <w:pPr>
        <w:autoSpaceDE w:val="0"/>
        <w:autoSpaceDN w:val="0"/>
        <w:adjustRightInd w:val="0"/>
        <w:spacing w:after="240" w:line="240" w:lineRule="auto"/>
        <w:ind w:firstLine="0"/>
        <w:rPr>
          <w:rFonts w:ascii="Times New Roman" w:hAnsi="Times New Roman" w:cs="Times New Roman"/>
          <w:kern w:val="0"/>
        </w:rPr>
      </w:pPr>
      <w:r>
        <w:rPr>
          <w:rFonts w:ascii="Times New Roman" w:hAnsi="Times New Roman" w:cs="Times New Roman"/>
          <w:kern w:val="0"/>
          <w:lang w:eastAsia="en-GB"/>
        </w:rPr>
        <w:drawing>
          <wp:inline distT="0" distB="0" distL="0" distR="0">
            <wp:extent cx="5753100" cy="3514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2">
                      <a:extLst>
                        <a:ext uri="{28A0092B-C50C-407E-A947-70E740481C1C}">
                          <a14:useLocalDpi xmlns:a14="http://schemas.microsoft.com/office/drawing/2010/main" val="0"/>
                        </a:ext>
                      </a:extLst>
                    </a:blip>
                    <a:srcRect l="1" r="2893"/>
                    <a:stretch>
                      <a:fillRect/>
                    </a:stretch>
                  </pic:blipFill>
                  <pic:spPr>
                    <a:xfrm>
                      <a:off x="0" y="0"/>
                      <a:ext cx="5753100" cy="3514725"/>
                    </a:xfrm>
                    <a:prstGeom prst="rect">
                      <a:avLst/>
                    </a:prstGeom>
                    <a:noFill/>
                    <a:ln>
                      <a:noFill/>
                    </a:ln>
                  </pic:spPr>
                </pic:pic>
              </a:graphicData>
            </a:graphic>
          </wp:inline>
        </w:drawing>
      </w:r>
    </w:p>
    <w:p>
      <w:pPr>
        <w:pStyle w:val="131"/>
        <w:numPr>
          <w:ilvl w:val="0"/>
          <w:numId w:val="16"/>
        </w:numPr>
        <w:autoSpaceDE w:val="0"/>
        <w:autoSpaceDN w:val="0"/>
        <w:adjustRightInd w:val="0"/>
        <w:spacing w:after="240" w:line="240" w:lineRule="auto"/>
        <w:rPr>
          <w:rFonts w:ascii="Times New Roman" w:hAnsi="Times New Roman" w:cs="Times New Roman"/>
          <w:i/>
          <w:kern w:val="0"/>
        </w:rPr>
      </w:pPr>
      <w:r>
        <w:rPr>
          <w:rFonts w:ascii="Times New Roman" w:hAnsi="Times New Roman" w:cs="Times New Roman"/>
          <w:i/>
          <w:kern w:val="0"/>
        </w:rPr>
        <w:t>Income Distribution of the Respondents</w:t>
      </w:r>
    </w:p>
    <w:p>
      <w:r>
        <w:t>Figure 4 demonstrates that 23 out of the 41 research participants, which is 56.10% has a monthly income of less than US$ 40,000. The remaining 18 respondents have claimed to have a monthly income ranging from US$ 41,000 to US$ 50,000. None of the employees of the SMEs that have participated in the study has an income of more than US$ 50,000.</w:t>
      </w:r>
    </w:p>
    <w:p>
      <w:pPr>
        <w:pStyle w:val="21"/>
        <w:jc w:val="center"/>
        <w:rPr>
          <w:rFonts w:ascii="Times New Roman" w:hAnsi="Times New Roman" w:cs="Times New Roman"/>
          <w:b/>
          <w:i w:val="0"/>
          <w:kern w:val="0"/>
          <w:sz w:val="24"/>
        </w:rPr>
      </w:pPr>
      <w:bookmarkStart w:id="54" w:name="_Toc41553724"/>
      <w:bookmarkStart w:id="55" w:name="_Toc41421467"/>
      <w:r>
        <w:rPr>
          <w:b/>
          <w:i w:val="0"/>
          <w:sz w:val="24"/>
        </w:rPr>
        <w:t xml:space="preserve">Figure </w:t>
      </w:r>
      <w:r>
        <w:rPr>
          <w:b/>
          <w:i w:val="0"/>
          <w:sz w:val="24"/>
        </w:rPr>
        <w:fldChar w:fldCharType="begin"/>
      </w:r>
      <w:r>
        <w:rPr>
          <w:b/>
          <w:i w:val="0"/>
          <w:sz w:val="24"/>
        </w:rPr>
        <w:instrText xml:space="preserve"> SEQ Figure \* ARABIC </w:instrText>
      </w:r>
      <w:r>
        <w:rPr>
          <w:b/>
          <w:i w:val="0"/>
          <w:sz w:val="24"/>
        </w:rPr>
        <w:fldChar w:fldCharType="separate"/>
      </w:r>
      <w:r>
        <w:rPr>
          <w:b/>
          <w:i w:val="0"/>
          <w:sz w:val="24"/>
        </w:rPr>
        <w:t>4</w:t>
      </w:r>
      <w:r>
        <w:rPr>
          <w:b/>
          <w:i w:val="0"/>
          <w:sz w:val="24"/>
        </w:rPr>
        <w:fldChar w:fldCharType="end"/>
      </w:r>
      <w:r>
        <w:rPr>
          <w:b/>
          <w:i w:val="0"/>
          <w:sz w:val="24"/>
        </w:rPr>
        <w:t>: Income Distribution of the Respondents</w:t>
      </w:r>
      <w:bookmarkEnd w:id="54"/>
      <w:bookmarkEnd w:id="55"/>
    </w:p>
    <w:p>
      <w:pPr>
        <w:autoSpaceDE w:val="0"/>
        <w:autoSpaceDN w:val="0"/>
        <w:adjustRightInd w:val="0"/>
        <w:spacing w:after="240" w:line="240" w:lineRule="auto"/>
        <w:ind w:firstLine="0"/>
        <w:rPr>
          <w:rFonts w:ascii="Times New Roman" w:hAnsi="Times New Roman" w:cs="Times New Roman"/>
          <w:kern w:val="0"/>
        </w:rPr>
      </w:pPr>
      <w:r>
        <w:rPr>
          <w:rFonts w:ascii="Times New Roman" w:hAnsi="Times New Roman" w:cs="Times New Roman"/>
          <w:kern w:val="0"/>
          <w:lang w:eastAsia="en-GB"/>
        </w:rPr>
        <w:drawing>
          <wp:inline distT="0" distB="0" distL="0" distR="0">
            <wp:extent cx="5781675" cy="35147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3">
                      <a:extLst>
                        <a:ext uri="{28A0092B-C50C-407E-A947-70E740481C1C}">
                          <a14:useLocalDpi xmlns:a14="http://schemas.microsoft.com/office/drawing/2010/main" val="0"/>
                        </a:ext>
                      </a:extLst>
                    </a:blip>
                    <a:srcRect r="3189"/>
                    <a:stretch>
                      <a:fillRect/>
                    </a:stretch>
                  </pic:blipFill>
                  <pic:spPr>
                    <a:xfrm>
                      <a:off x="0" y="0"/>
                      <a:ext cx="5781675" cy="3514725"/>
                    </a:xfrm>
                    <a:prstGeom prst="rect">
                      <a:avLst/>
                    </a:prstGeom>
                    <a:noFill/>
                    <a:ln>
                      <a:noFill/>
                    </a:ln>
                  </pic:spPr>
                </pic:pic>
              </a:graphicData>
            </a:graphic>
          </wp:inline>
        </w:drawing>
      </w:r>
    </w:p>
    <w:p>
      <w:pPr>
        <w:pStyle w:val="131"/>
        <w:numPr>
          <w:ilvl w:val="0"/>
          <w:numId w:val="17"/>
        </w:numPr>
        <w:rPr>
          <w:i/>
        </w:rPr>
      </w:pPr>
      <w:r>
        <w:rPr>
          <w:i/>
        </w:rPr>
        <w:t>Countries in Which the SMEs are based</w:t>
      </w:r>
    </w:p>
    <w:p>
      <w:r>
        <w:t xml:space="preserve">In order to keep tabs on the Asian countries that have been considered in this study, the country in which the SME of the research participants is based has been tabulated. The vast majority, which is 46.3% of the employees that have participated in the study were working in SMEs that are based in India. 24.39% of the research participants are employed by organisations in the Philippines. 14.63% are from Malaysia based SMEs. Respondents under the employment of organisations based in Singapore accounted for 9.76% of the total. Lastly, only 4.88% of the respondents have claimed to be working for SMEs that are based in China. </w:t>
      </w:r>
    </w:p>
    <w:p>
      <w:pPr>
        <w:pStyle w:val="21"/>
        <w:jc w:val="center"/>
        <w:rPr>
          <w:rFonts w:ascii="Times New Roman" w:hAnsi="Times New Roman" w:cs="Times New Roman"/>
          <w:b/>
          <w:i w:val="0"/>
          <w:kern w:val="0"/>
          <w:sz w:val="24"/>
        </w:rPr>
      </w:pPr>
      <w:bookmarkStart w:id="56" w:name="_Toc41553725"/>
      <w:bookmarkStart w:id="57" w:name="_Toc41421468"/>
      <w:r>
        <w:rPr>
          <w:b/>
          <w:i w:val="0"/>
          <w:sz w:val="24"/>
        </w:rPr>
        <w:t xml:space="preserve">Figure </w:t>
      </w:r>
      <w:r>
        <w:rPr>
          <w:b/>
          <w:i w:val="0"/>
          <w:sz w:val="24"/>
        </w:rPr>
        <w:fldChar w:fldCharType="begin"/>
      </w:r>
      <w:r>
        <w:rPr>
          <w:b/>
          <w:i w:val="0"/>
          <w:sz w:val="24"/>
        </w:rPr>
        <w:instrText xml:space="preserve"> SEQ Figure \* ARABIC </w:instrText>
      </w:r>
      <w:r>
        <w:rPr>
          <w:b/>
          <w:i w:val="0"/>
          <w:sz w:val="24"/>
        </w:rPr>
        <w:fldChar w:fldCharType="separate"/>
      </w:r>
      <w:r>
        <w:rPr>
          <w:b/>
          <w:i w:val="0"/>
          <w:sz w:val="24"/>
        </w:rPr>
        <w:t>5</w:t>
      </w:r>
      <w:r>
        <w:rPr>
          <w:b/>
          <w:i w:val="0"/>
          <w:sz w:val="24"/>
        </w:rPr>
        <w:fldChar w:fldCharType="end"/>
      </w:r>
      <w:r>
        <w:rPr>
          <w:b/>
          <w:i w:val="0"/>
          <w:sz w:val="24"/>
        </w:rPr>
        <w:t>: Countries in Which the SMEs are based</w:t>
      </w:r>
      <w:bookmarkEnd w:id="56"/>
      <w:bookmarkEnd w:id="57"/>
    </w:p>
    <w:p>
      <w:pPr>
        <w:autoSpaceDE w:val="0"/>
        <w:autoSpaceDN w:val="0"/>
        <w:adjustRightInd w:val="0"/>
        <w:spacing w:after="240" w:line="240" w:lineRule="auto"/>
        <w:ind w:firstLine="0"/>
        <w:rPr>
          <w:rFonts w:ascii="Times New Roman" w:hAnsi="Times New Roman" w:cs="Times New Roman"/>
          <w:kern w:val="0"/>
        </w:rPr>
      </w:pPr>
      <w:r>
        <w:rPr>
          <w:rFonts w:ascii="Times New Roman" w:hAnsi="Times New Roman" w:cs="Times New Roman"/>
          <w:kern w:val="0"/>
          <w:lang w:eastAsia="en-GB"/>
        </w:rPr>
        <w:drawing>
          <wp:inline distT="0" distB="0" distL="0" distR="0">
            <wp:extent cx="5715000" cy="3514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4">
                      <a:extLst>
                        <a:ext uri="{28A0092B-C50C-407E-A947-70E740481C1C}">
                          <a14:useLocalDpi xmlns:a14="http://schemas.microsoft.com/office/drawing/2010/main" val="0"/>
                        </a:ext>
                      </a:extLst>
                    </a:blip>
                    <a:srcRect r="4306"/>
                    <a:stretch>
                      <a:fillRect/>
                    </a:stretch>
                  </pic:blipFill>
                  <pic:spPr>
                    <a:xfrm>
                      <a:off x="0" y="0"/>
                      <a:ext cx="5715000" cy="3514725"/>
                    </a:xfrm>
                    <a:prstGeom prst="rect">
                      <a:avLst/>
                    </a:prstGeom>
                    <a:noFill/>
                    <a:ln>
                      <a:noFill/>
                    </a:ln>
                  </pic:spPr>
                </pic:pic>
              </a:graphicData>
            </a:graphic>
          </wp:inline>
        </w:drawing>
      </w:r>
    </w:p>
    <w:p>
      <w:pPr>
        <w:pStyle w:val="4"/>
      </w:pPr>
      <w:bookmarkStart w:id="58" w:name="_Toc41576883"/>
      <w:r>
        <w:t>4.1.2 Effect of Transformational Leadership on Organisational Performance</w:t>
      </w:r>
      <w:bookmarkEnd w:id="58"/>
    </w:p>
    <w:p>
      <w:pPr>
        <w:pStyle w:val="5"/>
      </w:pPr>
      <w:r>
        <w:t>4.1.2.1 Reliability Test</w:t>
      </w:r>
    </w:p>
    <w:p>
      <w:r>
        <w:rPr>
          <w:rFonts w:cs="Times New Roman"/>
        </w:rPr>
        <w:t xml:space="preserve">The test of reliability is done for guaranteeing that the dataset created for this study is unchanging and consistent. The instrument that is commonly used and has been used in this study for the measurement of reliability is the Alpha Cronbach. According to </w:t>
      </w:r>
      <w:r>
        <w:t>Stehlik-Barry and Babinec</w:t>
      </w:r>
      <w:r>
        <w:rPr>
          <w:rFonts w:cs="Times New Roman"/>
        </w:rPr>
        <w:t xml:space="preserve"> (2017), an Alpha Cronbach’s value ranges between 0 and 1. A number closer to 1 is indicative of high-reliability index, while a value closer to 0 implies a low degree of reliability. The author stated that the benchmark for the evaluation of the Alpha Cronbach’s value is 0.60, and a value that is lower than 0.60 is an indication that the dataset has a low reliability. Such results are undesirable in the case of empirical studies, as it indicates that the dataset is unstable and is less likely to provide consistent results. A value within the range on 0.60 to 0.80 is usually considered to be adequate, however, it still falls under the acceptable range. An Alpha Cronbach’s value that exceeds 0.80 is said to have high reliability, which is desirable in empirical research. In this study, the Alpha Cronbach’s value is 0.989, which is significantly greater than 0.80 (refer to Appendix C1). Therefore, the data set is highly reliable, and that the dataset is stable and is likely to produce consistent results.</w:t>
      </w:r>
    </w:p>
    <w:p>
      <w:pPr>
        <w:pStyle w:val="5"/>
      </w:pPr>
      <w:r>
        <w:t>4.1.2.2 Linear Regression Test</w:t>
      </w:r>
    </w:p>
    <w:p>
      <w:pPr>
        <w:rPr>
          <w:rFonts w:cs="Times New Roman"/>
        </w:rPr>
      </w:pPr>
      <w:r>
        <w:rPr>
          <w:rFonts w:cs="Times New Roman"/>
        </w:rPr>
        <w:t xml:space="preserve">Linear regression is a statistical tool which is commonly used for predictive analysis. The tool works by demonstrating the relationship between a dependent variable and one or more independent variables (Groebner et al., 2013). In other words, linear regression is used for speculating and estimating the relationship between the dependent and independent variables. In this study, the linear regression analysis has been used in order to predict the effect that a transformational leadership style has on the organisational performance of SMEs based in Asian countries. There is a certain value within the output of the linear regression test that is to be interpreted in order to predict the effect that a transformational leadership style has on the organisational performance. </w:t>
      </w:r>
    </w:p>
    <w:p>
      <w:pPr>
        <w:rPr>
          <w:rFonts w:cs="Times New Roman"/>
        </w:rPr>
      </w:pPr>
      <w:r>
        <w:rPr>
          <w:rFonts w:cs="Times New Roman"/>
        </w:rPr>
        <w:t xml:space="preserve">The R square value indicates the coefficient of determination and it is used to determine the degree to which the regression model fits the data. According to </w:t>
      </w:r>
      <w:r>
        <w:t>Gray and Kinnear</w:t>
      </w:r>
      <w:r>
        <w:rPr>
          <w:rFonts w:cs="Times New Roman"/>
        </w:rPr>
        <w:t xml:space="preserve"> (</w:t>
      </w:r>
      <w:r>
        <w:t>2012</w:t>
      </w:r>
      <w:r>
        <w:rPr>
          <w:rFonts w:cs="Times New Roman"/>
        </w:rPr>
        <w:t xml:space="preserve">), the R square value raged from 0 to 1. A number closer to 1 is indicative of a high degree of fit, while a value closer to 0 implies a low degree of fit. In the current study, the R square value of the observed data is 0.875, which is closer to 1 and therefore a high value (refer to Appendix C2). The value indicates that the data fits 87.50% of the regression model, which is significantly high. </w:t>
      </w:r>
    </w:p>
    <w:p>
      <w:pPr>
        <w:rPr>
          <w:rFonts w:cs="Times New Roman"/>
        </w:rPr>
      </w:pPr>
      <w:r>
        <w:rPr>
          <w:rFonts w:cs="Times New Roman"/>
        </w:rPr>
        <w:t>The significance value is another important metric that is to be considered for the extraction of meaningful information from the output table. This value is indicative of the statistical significance of the results. Since the regression test has been conducted at a 95% confidence level, a significance value which is less than 0.05 would indicate that the result is significant (</w:t>
      </w:r>
      <w:r>
        <w:t>McCormick and Salcedo, 2017</w:t>
      </w:r>
      <w:r>
        <w:rPr>
          <w:rFonts w:cs="Times New Roman"/>
        </w:rPr>
        <w:t>). The significance value of the regression of the current study is 0.000, which is significantly less than 0.05 (refer to Appendix C2). According to Cronk (2019), this implies that the regression model predicts the dependent variable in a way that can be considered to be statistically significant. Therefore, the null hypothesis developed in this study has been rejected. In other words, the evidence suggests that the statement – t</w:t>
      </w:r>
      <w:r>
        <w:t>ransformational leadership style does not have a significant effect on the overall organisational performance</w:t>
      </w:r>
      <w:r>
        <w:rPr>
          <w:rFonts w:cs="Times New Roman"/>
          <w:lang w:eastAsia="en-GB"/>
        </w:rPr>
        <w:t xml:space="preserve">, is not true. This suggests that the alternative hypothesis may be considered to be true. </w:t>
      </w:r>
      <w:r>
        <w:rPr>
          <w:rFonts w:cs="Times New Roman"/>
        </w:rPr>
        <w:t>Therefore, the hypothesis that states that the t</w:t>
      </w:r>
      <w:r>
        <w:t>ransformational leadership style has a significant effect on the overall organisational performance is true.</w:t>
      </w:r>
      <w:r>
        <w:rPr>
          <w:rFonts w:cs="Times New Roman"/>
          <w:lang w:eastAsia="en-GB"/>
        </w:rPr>
        <w:t xml:space="preserve"> Practising a transformational leadership style, therefore, has an effect on the financial market performance of the organisation as well as the stakeholder value.</w:t>
      </w:r>
    </w:p>
    <w:p>
      <w:pPr>
        <w:rPr>
          <w:rFonts w:cs="Times New Roman"/>
          <w:lang w:eastAsia="en-GB"/>
        </w:rPr>
      </w:pPr>
      <w:r>
        <w:rPr>
          <w:rFonts w:cs="Times New Roman"/>
        </w:rPr>
        <w:t xml:space="preserve">The final value that is to be interpreted for predicting the effect that a transformational leadership style has on the organisational performance of SMEs based in Asian countries, is the coefficient value. The coefficient value, also known as the slope, is indicative of the relationship between the dependent and independent variables, in this case, transformational leadership style and organisational performance. According to </w:t>
      </w:r>
      <w:r>
        <w:rPr>
          <w:color w:val="000000" w:themeColor="text1"/>
          <w14:textFill>
            <w14:solidFill>
              <w14:schemeClr w14:val="tx1"/>
            </w14:solidFill>
          </w14:textFill>
        </w:rPr>
        <w:t>McCormick and Salcedo</w:t>
      </w:r>
      <w:r>
        <w:rPr>
          <w:rFonts w:cs="Times New Roman"/>
        </w:rPr>
        <w:t xml:space="preserve"> (2017), a negative coefficient value implies that an inverse relationship exists between the dependent and independent variables. This implies that an increase in the independent variable will cause the dependent variable to decrease. On the other hand, positive coefficient value implies that a direct relationship exists between the dependent and independent variables, and an increase on the latter will lead to the enhancement of the former. In this study, the coefficient value 0.944 indicates that there exists a positive correlation between the dependent and independent variables of this research (refer to Appendix C2). In other words, a positive relationship exists between transformational leadership style and organisational performance within the context of SMEs based in Asian countries. Therefore, an increase in the degree to which the four </w:t>
      </w:r>
      <w:r>
        <w:t>elements of transformational leadership is present in the organisation will contribute to an increase in the financial performance, shareholder return, and product or service market performance.</w:t>
      </w:r>
    </w:p>
    <w:p>
      <w:pPr>
        <w:pStyle w:val="3"/>
      </w:pPr>
      <w:bookmarkStart w:id="59" w:name="_Toc41576884"/>
      <w:r>
        <w:t>4.2 Analysis of One-on-One Telephonic Interviews</w:t>
      </w:r>
      <w:bookmarkEnd w:id="59"/>
    </w:p>
    <w:p>
      <w:r>
        <w:t>The data collected from the employees in managerial roles are qualitative in nature, and hence, descriptive techniques have been used for its analysis. Such data have been collected using one-on-one telephonic interviews with 5 mangers that were under the employment of SMEs in Asia. Such results have been used for determining the nature of transformational leadership and organisational performance, its importance and how it can be enhanced by focusing on employee motivation.</w:t>
      </w:r>
    </w:p>
    <w:p>
      <w:r>
        <w:t>The interview responses have revealed that out of the 5 managers, 2 are employed by organisations that are based in India. The others were based in Malaysia, Philippines and Singapore. Therefore, the context of 4 Asian countries has been investigated in this study. The managers that have taken part in this study, all have claimed to have at least 3 years of work experience in such roles.</w:t>
      </w:r>
    </w:p>
    <w:p>
      <w:pPr>
        <w:pStyle w:val="4"/>
      </w:pPr>
      <w:bookmarkStart w:id="60" w:name="_Toc41576885"/>
      <w:r>
        <w:t>4.2.1 Nature of Transformational Leadership and Organisational Performance</w:t>
      </w:r>
      <w:bookmarkEnd w:id="60"/>
    </w:p>
    <w:p>
      <w:r>
        <w:t xml:space="preserve">The responses of the managers have revealed that the transformational leadership style is followed in their respective SMEs, and the leaders are most effective in encouraging the employees to perform at optimum levels. All but one of the managers claimed that the leader in their organisation is highly skilled in improving the morale and value systems of the employees. The interviewees claimed that such encouragement is effective in motivating the employees to perform at superior levels and actively contribute to the enhancement of the overall organisational performance. </w:t>
      </w:r>
    </w:p>
    <w:p>
      <w:r>
        <w:t>Some of the common traits that the managers claimed to be present in the leaders of the respective organisations included –</w:t>
      </w:r>
      <w:r>
        <w:rPr>
          <w:color w:val="000000" w:themeColor="text1"/>
          <w14:textFill>
            <w14:solidFill>
              <w14:schemeClr w14:val="tx1"/>
            </w14:solidFill>
          </w14:textFill>
        </w:rPr>
        <w:t xml:space="preserve"> determination, persistence, responsibility, empathy, dedication, self-control, and </w:t>
      </w:r>
      <w:r>
        <w:t xml:space="preserve">work engagement. The presence of such skills, according to the research participants is an effective way of ensuring that all the roles and responsibilities of the leaders will be appropriately executed. This includes the creation of an organisational culture wherein continuous learning is encouraged, and the leader provides support to the employee when necessary so that they can improve their own skills and abilities. </w:t>
      </w:r>
    </w:p>
    <w:p>
      <w:r>
        <w:t xml:space="preserve">While there are four factors to transformational leadership, referred to as the four I’s, the interviewees claimed that the presence of all the dimension is not imperative for the fulfilment of their roles and responsibilities. While they agreed that it is the cumulative impact of the four aspects of transformational leadership that contributes to performance beyond expectations, the presence of all four is not realistically feasible for the transformational leaders. The respondents claimed that Inspirational Motivation, Intellectual Stimulation, and Individual Consideration are crucial while the Idealised Influence dimension is not imperative. According to the respondents, the nature of transformational leadership that is followed in the SMEs of Asia is that the leaders capitalise on three-dimension and neglect one. The managers explained that the Idealised Influence dimension is concerned with developing a shared vision and improving relationships with the followers, and while it has the potential to improve the conditions within the workplace, it is not critical. </w:t>
      </w:r>
    </w:p>
    <w:p>
      <w:r>
        <w:t xml:space="preserve">As far as the nature of organisational performance is concerned, the interviewees claimed that they rely on the overall impact for making an assessment. In other words, the managers evaluate the financial performance, product and/or service market performance, shareholder return, the effectiveness of leadership and the current progress made with respect to the g. The interviewees claimed that the organisational performance is also evaluated with respect to the rival organisations in the industry. </w:t>
      </w:r>
    </w:p>
    <w:p>
      <w:r>
        <w:t xml:space="preserve">The managers also stated that in the case of SMEs, the individual performance, as well as the overall performance of the organisation, is important. The respondents explained that both individual performances of the employee at SMEs are crucial since </w:t>
      </w:r>
      <w:r>
        <w:rPr>
          <w:color w:val="000000" w:themeColor="text1"/>
          <w14:textFill>
            <w14:solidFill>
              <w14:schemeClr w14:val="tx1"/>
            </w14:solidFill>
          </w14:textFill>
        </w:rPr>
        <w:t xml:space="preserve">human resources are considered to be the source of competitive advantage in such an organisation. In addition, the improvement of the overall performance of the organisation is contingent on the enhancement of the individual performances of the employees. Therefore, in order to ensure organisational success, the individual performance of the employees should be analysed, and encouragement should be provided for its improvement. </w:t>
      </w:r>
      <w:r>
        <w:t>The managers stated that doing so with contributing to the improvement of the organisational performance. However, they added that efforts should also be made to ensure that the organisational performance is aligned to the corporate vision. Therefore, both individual, as well as organisational performance, is to be valued.</w:t>
      </w:r>
    </w:p>
    <w:p>
      <w:pPr>
        <w:pStyle w:val="4"/>
      </w:pPr>
      <w:bookmarkStart w:id="61" w:name="_Toc41576886"/>
      <w:r>
        <w:t>4.2.2 Importance of Organisational Performance</w:t>
      </w:r>
      <w:bookmarkEnd w:id="61"/>
    </w:p>
    <w:p>
      <w:pPr>
        <w:rPr>
          <w:color w:val="000000" w:themeColor="text1"/>
          <w14:textFill>
            <w14:solidFill>
              <w14:schemeClr w14:val="tx1"/>
            </w14:solidFill>
          </w14:textFill>
        </w:rPr>
      </w:pPr>
      <w:r>
        <w:t>The interviewees stated that the performance of an organisation is one of the most crucial metrics that can be used to determine if the SMEs are performing successfully. They added that the organisational performance is also an indicator of the a</w:t>
      </w:r>
      <w:r>
        <w:rPr>
          <w:color w:val="000000" w:themeColor="text1"/>
          <w14:textFill>
            <w14:solidFill>
              <w14:schemeClr w14:val="tx1"/>
            </w14:solidFill>
          </w14:textFill>
        </w:rPr>
        <w:t xml:space="preserve">bility of the leader to effectively implemented strategies so that the corporate vision can be achieved. This implies that the managers of SMEs rely on measuring the performance of the organisation to determine if the organisation is performing favourably or not. It also provides an indication of the progress that the organisation has made as far as the corporate goal and objective is concerned.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The interviewees also explained that they consider organisational performance to be an important metric since it also provides an indication of the effectiveness of the leader. This has been observed to include the skills of the leader in terms of encouraging the employees to improve their performance and work towards the achievement of the organisational goal and objectives. The effective of the leadership, as evidenced through organisational performance also provides insights about the ability of the leader to be proactive in implanting necessary changes so that the SME can sustain in the modern business environment which is dynamic.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Based on the responses of the interviews, it is apparent that the organisational performance is an umbrella term, and it provides an indication of various aspects of the organisation. In addition to providing insights about the internal conditions of the SMEs, the metric can also be used to analyse the way that the organisation is performing in the market. This includes sales, market share, product and brand awareness, and brand image. This also demonstrates how the SME is performing with respect to rival organisations. It was also revealed in the interview process, the managers use organisational performance to determine the financial indicators of the SME. Some of the common metrics used to measure financial performance include profit and return on investment. </w:t>
      </w:r>
    </w:p>
    <w:p>
      <w:pPr>
        <w:pStyle w:val="4"/>
      </w:pPr>
      <w:bookmarkStart w:id="62" w:name="_Toc41576887"/>
      <w:r>
        <w:t>4.2.3 Enhancing the Effectiveness of Organisational Performance</w:t>
      </w:r>
      <w:bookmarkEnd w:id="62"/>
    </w:p>
    <w:p>
      <w:pPr>
        <w:rPr>
          <w:color w:val="000000" w:themeColor="text1"/>
          <w14:textFill>
            <w14:solidFill>
              <w14:schemeClr w14:val="tx1"/>
            </w14:solidFill>
          </w14:textFill>
        </w:rPr>
      </w:pPr>
      <w:r>
        <w:t xml:space="preserve">The research participants have unanimously agreed to that fact motivating employees contributes to the enhancement of organisational performance. In other words, a motivated workforce is committed to ensuring that the performance of organisations can be improved. </w:t>
      </w:r>
      <w:r>
        <w:rPr>
          <w:color w:val="000000" w:themeColor="text1"/>
          <w14:textFill>
            <w14:solidFill>
              <w14:schemeClr w14:val="tx1"/>
            </w14:solidFill>
          </w14:textFill>
        </w:rPr>
        <w:t xml:space="preserve">The style of leadership that is followed determined how the followers would be directed and motivated. The respondents indicated that motivation is one the dimension of the transformational leadership style, which has a significant effect on organisational performance. </w:t>
      </w:r>
    </w:p>
    <w:p>
      <w:r>
        <w:rPr>
          <w:color w:val="000000" w:themeColor="text1"/>
          <w14:textFill>
            <w14:solidFill>
              <w14:schemeClr w14:val="tx1"/>
            </w14:solidFill>
          </w14:textFill>
        </w:rPr>
        <w:t xml:space="preserve">The respondents also stated that the </w:t>
      </w:r>
      <w:r>
        <w:t>factors related to transformational leadership which contribute to the enhancement of the effectiveness of organisational performance, in addition to inspirational motivation includes idealised influence, intellectual stimulation, and individual consideration. Intellectual stimulation and individual consideration, based on the opinions of the managers, are more likely to enhance the effectiveness of organisational performance, as compared to idealised influence. The respondents explained that apart from inspirational motivation, the leaders ought to promote an organisational culture where critical thinking, problem-solving, and development of innovative ideas are encouraged. In addition, the leaders also ought to focus on the individual needs of the employees and coach them about how they can improve on their abilities. The managers are of the opinion that these factors would enhance the effectiveness of organisational performance.</w:t>
      </w:r>
    </w:p>
    <w:p>
      <w:pPr>
        <w:pStyle w:val="2"/>
      </w:pPr>
      <w:bookmarkStart w:id="63" w:name="_Toc41576888"/>
      <w:r>
        <w:t>5.0 Discussion, Conclusions and Recommendations</w:t>
      </w:r>
      <w:bookmarkEnd w:id="63"/>
    </w:p>
    <w:p>
      <w:pPr>
        <w:pStyle w:val="3"/>
      </w:pPr>
      <w:bookmarkStart w:id="64" w:name="_Toc41576889"/>
      <w:r>
        <w:t>5.1 Discussion</w:t>
      </w:r>
      <w:bookmarkEnd w:id="64"/>
    </w:p>
    <w:p>
      <w:pPr>
        <w:pStyle w:val="4"/>
      </w:pPr>
      <w:bookmarkStart w:id="65" w:name="_Toc41576890"/>
      <w:r>
        <w:t>5.1.1 Nature of Transformational Leadership and Organisational Performance</w:t>
      </w:r>
      <w:bookmarkEnd w:id="65"/>
      <w:r>
        <w:t xml:space="preserve"> </w:t>
      </w:r>
    </w:p>
    <w:p>
      <w:r>
        <w:t xml:space="preserve">This study has revealed that transformational leadership implies that the leader ought to be highly skilled in improving the morale and value systems of the employees. This coincides with the research conducted by </w:t>
      </w:r>
      <w:r>
        <w:rPr>
          <w:color w:val="000000" w:themeColor="text1"/>
          <w14:textFill>
            <w14:solidFill>
              <w14:schemeClr w14:val="tx1"/>
            </w14:solidFill>
          </w14:textFill>
        </w:rPr>
        <w:t xml:space="preserve">Ghasabeh and Provitera (2017) which specified that the transformational leaders are responsible for changing the values of the employees so feel motivated to improve their abilities. In addition, the </w:t>
      </w:r>
      <w:r>
        <w:t>common traits that the leaders as pointed out by the research participants is similar to the specific traits of a transformational leader as identified in previous studies (</w:t>
      </w:r>
      <w:r>
        <w:rPr>
          <w:color w:val="000000" w:themeColor="text1"/>
          <w14:textFill>
            <w14:solidFill>
              <w14:schemeClr w14:val="tx1"/>
            </w14:solidFill>
          </w14:textFill>
        </w:rPr>
        <w:t>Kocherbaeva et al., 2019</w:t>
      </w:r>
      <w:r>
        <w:t xml:space="preserve">). Moreover, the managers of the SMEs emphasised that Inspirational Motivation, Intellectual Stimulation, and Individual Consideration are crucial for transformational leaders to be effective, while the Idealised Influence dimension is not vital. In a previous research conducted by </w:t>
      </w:r>
      <w:r>
        <w:rPr>
          <w:color w:val="000000" w:themeColor="text1"/>
          <w14:textFill>
            <w14:solidFill>
              <w14:schemeClr w14:val="tx1"/>
            </w14:solidFill>
          </w14:textFill>
        </w:rPr>
        <w:t xml:space="preserve">Orabi (2016) it has been established that </w:t>
      </w:r>
      <w:r>
        <w:t xml:space="preserve">inspirational motivation, intellectual stimulation, and individual consideration, have been observed to have a direct and significant impact on organisational performance and the impact of idealised influence was found to be insignificant. </w:t>
      </w:r>
    </w:p>
    <w:p>
      <w:r>
        <w:t xml:space="preserve">This study also demonstrates that managers evaluated organisational performance based on various parameters, and there is an overlap with previous research in terms of theses metric. Similar to this study, </w:t>
      </w:r>
      <w:r>
        <w:rPr>
          <w:color w:val="000000" w:themeColor="text1"/>
          <w14:textFill>
            <w14:solidFill>
              <w14:schemeClr w14:val="tx1"/>
            </w14:solidFill>
          </w14:textFill>
        </w:rPr>
        <w:t xml:space="preserve">Al Khajeh (2018), stated </w:t>
      </w:r>
      <w:r>
        <w:t xml:space="preserve">organisational performance can be evaluated based on three broad criteria financial performance, product and/or service market performance, and shareholder return. In addition, other metrics like the effectiveness of leadership coincides with the study conducted by </w:t>
      </w:r>
      <w:r>
        <w:rPr>
          <w:color w:val="000000" w:themeColor="text1"/>
          <w14:textFill>
            <w14:solidFill>
              <w14:schemeClr w14:val="tx1"/>
            </w14:solidFill>
          </w14:textFill>
        </w:rPr>
        <w:t>Singh et al. (2016),</w:t>
      </w:r>
      <w:r>
        <w:t xml:space="preserve"> which stated that </w:t>
      </w:r>
      <w:r>
        <w:rPr>
          <w:color w:val="000000" w:themeColor="text1"/>
          <w14:textFill>
            <w14:solidFill>
              <w14:schemeClr w14:val="tx1"/>
            </w14:solidFill>
          </w14:textFill>
        </w:rPr>
        <w:t xml:space="preserve">organisational performance signifies the ability of the leader to implemented strategies for the achievement of the corporate vision. The results also indicated that both individual and organisational performance is to be considered. This corroborates with the study conducted by Al Khajeh (2018) which emphasised that </w:t>
      </w:r>
      <w:r>
        <w:t>improvement of the individual level performance would consequently lead to the enhancement of organisational performance towards the fulfilment of organisational goals, thus proving that both are crucial.</w:t>
      </w:r>
    </w:p>
    <w:p>
      <w:pPr>
        <w:pStyle w:val="4"/>
      </w:pPr>
      <w:bookmarkStart w:id="66" w:name="_Toc41576891"/>
      <w:r>
        <w:t>5.1.2 Effect of Transformational Leadership on Organisational Performance</w:t>
      </w:r>
      <w:bookmarkEnd w:id="66"/>
    </w:p>
    <w:p>
      <w:pPr>
        <w:rPr>
          <w:color w:val="000000" w:themeColor="text1"/>
          <w14:textFill>
            <w14:solidFill>
              <w14:schemeClr w14:val="tx1"/>
            </w14:solidFill>
          </w14:textFill>
        </w:rPr>
      </w:pPr>
      <w:r>
        <w:t xml:space="preserve">The results of this study have proved that a statistically significant </w:t>
      </w:r>
      <w:r>
        <w:rPr>
          <w:rFonts w:cs="Times New Roman"/>
        </w:rPr>
        <w:t xml:space="preserve">positive relationship exists between transformational leadership style and organisational performance within the context of SMEs based in Asian countries. Previous studies conducted by </w:t>
      </w:r>
      <w:r>
        <w:rPr>
          <w:color w:val="000000" w:themeColor="text1"/>
          <w14:textFill>
            <w14:solidFill>
              <w14:schemeClr w14:val="tx1"/>
            </w14:solidFill>
          </w14:textFill>
        </w:rPr>
        <w:t xml:space="preserve">Al Khajeh (2018), Ojokuku, et al. (2012), Saleh, et al. (2018), Orabi (2016), and Arif and Akram (2018) have established the transformational leadership is the supreme form of leadership for the improvement of organisational performance. Similar to the current study, the previous studies have also observed that there is a statistically significant and positive effect of transformational leadership on organisational performance.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The findings of the current study, however, contradicts the study conducted by Saasongu (2015) and Obiwuru, et al. (2011), which like this study concentrated on small scale organisations or SMEs. These previous studies evaluated both </w:t>
      </w:r>
      <w:r>
        <w:rPr>
          <w:rFonts w:cs="Times New Roman"/>
        </w:rPr>
        <w:t xml:space="preserve">transformational and transactional leadership styles for investigating the impact on organisational performance. These studies have proved that while </w:t>
      </w:r>
      <w:r>
        <w:rPr>
          <w:color w:val="000000" w:themeColor="text1"/>
          <w14:textFill>
            <w14:solidFill>
              <w14:schemeClr w14:val="tx1"/>
            </w14:solidFill>
          </w14:textFill>
        </w:rPr>
        <w:t xml:space="preserve">transformation leadership style has a favourable impact on organisational performance, such an impact is statistically insignificant; and transactional leadership style has a significant and positive effect on the performance of the SMEs. Therefore, this study challenges the findings of previous studies that have similarly focused on the context of SMEs. </w:t>
      </w:r>
    </w:p>
    <w:p>
      <w:r>
        <w:t xml:space="preserve">The findings of this study have also established that all four dimensions of transformational leadership must be followed for it to have a significant and positive impact on organisational performance. This, however, contradicts the study conducted by </w:t>
      </w:r>
      <w:r>
        <w:rPr>
          <w:color w:val="000000" w:themeColor="text1"/>
          <w14:textFill>
            <w14:solidFill>
              <w14:schemeClr w14:val="tx1"/>
            </w14:solidFill>
          </w14:textFill>
        </w:rPr>
        <w:t xml:space="preserve">Orabi (2016) wherein it was established that out of the four dimensions, only three contribute to the enhancement of the organisational performance. These three dimensions of </w:t>
      </w:r>
      <w:r>
        <w:t>transformational leadership have a direct and significant impact on organisational performance included –</w:t>
      </w:r>
      <w:r>
        <w:rPr>
          <w:color w:val="000000" w:themeColor="text1"/>
          <w14:textFill>
            <w14:solidFill>
              <w14:schemeClr w14:val="tx1"/>
            </w14:solidFill>
          </w14:textFill>
        </w:rPr>
        <w:t xml:space="preserve"> </w:t>
      </w:r>
      <w:r>
        <w:t xml:space="preserve">inspirational motivation, intellectual stimulation, and individual consideration. This implies that the impact of idealised influence on organisational performance is insignificant, which goes against the findings of this study. </w:t>
      </w:r>
    </w:p>
    <w:p>
      <w:pPr>
        <w:pStyle w:val="4"/>
      </w:pPr>
      <w:bookmarkStart w:id="67" w:name="_Toc41576892"/>
      <w:r>
        <w:t>5.1.3 Importance of Organisational Performance</w:t>
      </w:r>
      <w:bookmarkEnd w:id="67"/>
    </w:p>
    <w:p>
      <w:r>
        <w:t xml:space="preserve">This study recognised that organisational performance is one of the most crucial metrics that can be used to determine if the SMEs are performing successfully and for ensuring that the leadership is effective. This challenges the study conducted by </w:t>
      </w:r>
      <w:r>
        <w:rPr>
          <w:color w:val="000000" w:themeColor="text1"/>
          <w14:textFill>
            <w14:solidFill>
              <w14:schemeClr w14:val="tx1"/>
            </w14:solidFill>
          </w14:textFill>
        </w:rPr>
        <w:t xml:space="preserve">Madanchian and Taherdoost (2017) and Franco and Matos (2015) wherein it was proved that effective leadership is the key to the success of SMEs. </w:t>
      </w:r>
    </w:p>
    <w:p>
      <w:pPr>
        <w:pStyle w:val="4"/>
      </w:pPr>
      <w:bookmarkStart w:id="68" w:name="_Toc41576893"/>
      <w:r>
        <w:t>5.1.4 Enhancing the Effectiveness of Organisational Performance</w:t>
      </w:r>
      <w:bookmarkEnd w:id="68"/>
    </w:p>
    <w:p>
      <w:r>
        <w:t xml:space="preserve">These findings of the study state that the motivation of the employees is the key to the enhancement of organisational performance. Studies conducted by </w:t>
      </w:r>
      <w:r>
        <w:rPr>
          <w:color w:val="000000" w:themeColor="text1"/>
          <w14:textFill>
            <w14:solidFill>
              <w14:schemeClr w14:val="tx1"/>
            </w14:solidFill>
          </w14:textFill>
        </w:rPr>
        <w:t xml:space="preserve">Madanchian and Taherdoost (2017), Kocherbaeva et al. (2019) and Singh et al. (2016), have also established the importance motivation has in ensuring that the individuals perform at higher efficiency levels, thereby contributing to the </w:t>
      </w:r>
      <w:r>
        <w:t xml:space="preserve">enhancement of overall organisational performance. In addition, apart from motivation, this study has established that intellectual stimulation and individual consideration are crucial, while idealised influence is not as effective. This corroborates with the findings of the study conducted by </w:t>
      </w:r>
      <w:r>
        <w:rPr>
          <w:color w:val="000000" w:themeColor="text1"/>
          <w14:textFill>
            <w14:solidFill>
              <w14:schemeClr w14:val="tx1"/>
            </w14:solidFill>
          </w14:textFill>
        </w:rPr>
        <w:t xml:space="preserve">Orabi (2016), where </w:t>
      </w:r>
      <w:r>
        <w:t>inspirational motivation, intellectual stimulation, and individual consideration was identified to have a direct and significant impact on the enhancement of the effectiveness of organisational performance.</w:t>
      </w:r>
    </w:p>
    <w:p>
      <w:pPr>
        <w:pStyle w:val="3"/>
      </w:pPr>
      <w:bookmarkStart w:id="69" w:name="_Toc41576894"/>
      <w:r>
        <w:t>5.2 Conclusions</w:t>
      </w:r>
      <w:bookmarkEnd w:id="69"/>
      <w:r>
        <w:t xml:space="preserve"> </w:t>
      </w:r>
    </w:p>
    <w:p>
      <w:r>
        <w:t xml:space="preserve">This study has been conducted to examine the effect of transformational leadership on the organisational performance by considering the context of SMEs based in Asia. In order to conduct this investigation, the mixed method technique was employed wherein both qualitative and quantitative data have been taken into consideration. The data for such research has been collected from primary sources. Qualitative data has been obtained from 5 managers of SMEs based in Asian countries through one-on-one telephonic interviews. The questionnaire for this consisted of 11 open-ended questions. This data has been analysed using descriptive techniques. Quantitative data, on the other hand, has been obtained through survey questionnaires from employees of SMEs that are engaged in a non-managerial role. The survey questionnaire consisted of 13 close-ended questions and 1 open-ended question. This data, owing to is measurable nature, has been evaluated with the help of statistical tools. </w:t>
      </w:r>
    </w:p>
    <w:p>
      <w:r>
        <w:t xml:space="preserve"> The results of the statistical analysis have revealed that transformational leadership styles have a direct and positive impact on the overall performance. In other words, following the four dimensions of the transformational leadership style in SMEs has a positive impact on the overall organisational performance. The results of the interview responses have revealed that organisational performance is an important measure and SMEs use it for the measurement of financial performance, product and/or service market performance, shareholder return, the effectiveness of leadership and the current progress made with respect to the organisational goal and objectives. </w:t>
      </w:r>
    </w:p>
    <w:p>
      <w:r>
        <w:t>In addition, the analysis of the interviews has also made it apparent that for enhancing the effectiveness of organisational performance, the leadership should be effective. In other words, the leader ought to be diligent in identifying the need for change and ensuring that the employees are encouraged, inspired and motivated to implement such initiative. Moreover, the transformational leaders also ought to capitalise their specific skills, especially political skills, which is the ability to gain an understanding of their subordinates. This will ensure that the leader can influencer their followers to continuously learn and improve themselves. Improvement at an individual level would contribute to the enhancement of the overall organisational performance.</w:t>
      </w:r>
    </w:p>
    <w:p>
      <w:r>
        <w:t xml:space="preserve">This study has made significant contributions for SMEs that are in search of ways of improving the organisational performance. The results of this study have challenged several existing types of research. One of the exiting theories that this study refuted is that transactional leadership is appropriated for SMEs. This study recognised that the performance of SMEs is significantly improved when transformational leadership style is followed. This implies that SMEs may no longer benefit from employing a transactional leadership style. Another prevailing theory that was disproved by this study is that </w:t>
      </w:r>
      <w:r>
        <w:rPr>
          <w:color w:val="000000" w:themeColor="text1"/>
          <w14:textFill>
            <w14:solidFill>
              <w14:schemeClr w14:val="tx1"/>
            </w14:solidFill>
          </w14:textFill>
        </w:rPr>
        <w:t xml:space="preserve">out of the four dimensions of transformational leadership, only three, </w:t>
      </w:r>
      <w:r>
        <w:t>inspirational motivation, intellectual stimulation, and individual consideration</w:t>
      </w:r>
      <w:r>
        <w:rPr>
          <w:color w:val="000000" w:themeColor="text1"/>
          <w14:textFill>
            <w14:solidFill>
              <w14:schemeClr w14:val="tx1"/>
            </w14:solidFill>
          </w14:textFill>
        </w:rPr>
        <w:t xml:space="preserve">, contribute to the enhancement of the organisational performance. This study has established that the cumulative impact of all the four dimensions of transformational leadership </w:t>
      </w:r>
      <w:r>
        <w:t>contributes to performance beyond expectations.</w:t>
      </w:r>
      <w:r>
        <w:rPr>
          <w:color w:val="000000" w:themeColor="text1"/>
          <w14:textFill>
            <w14:solidFill>
              <w14:schemeClr w14:val="tx1"/>
            </w14:solidFill>
          </w14:textFill>
        </w:rPr>
        <w:t xml:space="preserve"> This implies that SMEs would not be able to achieve high-performance levels of the individuals and of the overall organisation by concentrating on </w:t>
      </w:r>
      <w:r>
        <w:t>inspirational motivation, intellectual stimulation, and individual consideration alone.</w:t>
      </w:r>
    </w:p>
    <w:p>
      <w:pPr>
        <w:pStyle w:val="3"/>
      </w:pPr>
      <w:bookmarkStart w:id="70" w:name="_Toc41576895"/>
      <w:r>
        <w:t>5.3 Recommendations</w:t>
      </w:r>
      <w:bookmarkEnd w:id="70"/>
    </w:p>
    <w:p>
      <w:pPr>
        <w:pStyle w:val="4"/>
      </w:pPr>
      <w:bookmarkStart w:id="71" w:name="_Toc41576896"/>
      <w:r>
        <w:t>5.3.1 Suggestions for Industries</w:t>
      </w:r>
      <w:bookmarkEnd w:id="71"/>
    </w:p>
    <w:p>
      <w:r>
        <w:t xml:space="preserve">This study has provided an understanding of the effect of transformational leadership on the organisational performance from the perspective of SMEs in China. Based on such unique findings, it can be stated that SMEs, particularly the ones based in Asian countries, ought to employ transformational leadership in order to enhance their performance. Such leadership styles would lead to the development of the overall performance of the organisation, this includes – financial performance, shareholder return and the product and/or service market performance. The results also imply that organisations would benefit the most when the transformational leader follows all the dimensions, that is, idealised influence, inspirational motivation, intellectual stimulation, and individual consideration. SMEs, therefore, ought to ensure that the leaders are following all the four dimension of the transformational leadership style – idealised influence, inspirational motivation, intellectual stimulation, and individual consideration, for the improvement of all aspects of the organisation. </w:t>
      </w:r>
    </w:p>
    <w:p>
      <w:pPr>
        <w:pStyle w:val="4"/>
      </w:pPr>
      <w:bookmarkStart w:id="72" w:name="_Toc41576897"/>
      <w:r>
        <w:t>5.3.2 Future Research Scope</w:t>
      </w:r>
      <w:bookmarkEnd w:id="72"/>
    </w:p>
    <w:p>
      <w:pPr>
        <w:pStyle w:val="97"/>
        <w:spacing w:after="240"/>
        <w:rPr>
          <w:rFonts w:cs="Times New Roman"/>
          <w:lang w:val="en-GB"/>
        </w:rPr>
      </w:pPr>
      <w:r>
        <w:t xml:space="preserve">There are several limitations to this study. Firstly, </w:t>
      </w:r>
      <w:r>
        <w:rPr>
          <w:rFonts w:cs="Times New Roman"/>
          <w:lang w:val="en-GB"/>
        </w:rPr>
        <w:t xml:space="preserve">the use of non-probability sampling techniques implies a high chance of the existence of bias. Such bias undermines the validity and authenticity of the research. Secondly, generalisations were made about the whole population, that is, the SMEs across all Asian countries based on the interview of 5 managers and the collection of 41 survey responses from non-managerial employees. In comparison to the population, the sample size is negligible and therefore it is unlikely to portray an accurate representation of all SMEs that are based in Asian countries. This has limited the scope of this research in establishing the </w:t>
      </w:r>
      <w:r>
        <w:rPr>
          <w:lang w:val="en-GB"/>
        </w:rPr>
        <w:t xml:space="preserve">effect of </w:t>
      </w:r>
      <w:r>
        <w:rPr>
          <w:rFonts w:cs="Times New Roman"/>
          <w:lang w:val="en-GB"/>
        </w:rPr>
        <w:t xml:space="preserve">transformational leadership on the performance of all SMEs across all Asian countries. Such limitations provide an opportunity for further research on this topic. Thirdly, this study only concentrated on the transformational style of leaders. Therefore, further research is recommended using a comparative analysis of various leadership styles, to determine which is most appropriate given the specific requirements of SMEs. Furthermore, research may also be conducted in terms of comparative analysis between two or more Asian countries and considering the cultural perspective for future investigation. </w:t>
      </w:r>
    </w:p>
    <w:p>
      <w:pPr>
        <w:rPr>
          <w:rFonts w:asciiTheme="majorHAnsi" w:hAnsiTheme="majorHAnsi" w:eastAsiaTheme="majorEastAsia" w:cstheme="majorBidi"/>
          <w:b/>
          <w:bCs/>
        </w:rPr>
      </w:pPr>
      <w:r>
        <w:br w:type="page"/>
      </w:r>
    </w:p>
    <w:p>
      <w:pPr>
        <w:pStyle w:val="2"/>
      </w:pPr>
      <w:bookmarkStart w:id="73" w:name="_Toc41576898"/>
      <w:r>
        <w:t>References</w:t>
      </w:r>
      <w:bookmarkEnd w:id="73"/>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Abou-Moghli, A. A. (2018). Analyzing the Significance of Transformational Leadership on Organizational Creativity of Employees: A Case of Insurance Companies in Jordan. </w:t>
      </w:r>
      <w:r>
        <w:rPr>
          <w:i/>
          <w:iCs/>
          <w:color w:val="000000" w:themeColor="text1"/>
          <w14:textFill>
            <w14:solidFill>
              <w14:schemeClr w14:val="tx1"/>
            </w14:solidFill>
          </w14:textFill>
        </w:rPr>
        <w:t>International Journal of Business Administration</w:t>
      </w:r>
      <w:r>
        <w:rPr>
          <w:color w:val="000000" w:themeColor="text1"/>
          <w14:textFill>
            <w14:solidFill>
              <w14:schemeClr w14:val="tx1"/>
            </w14:solidFill>
          </w14:textFill>
        </w:rPr>
        <w:t>, </w:t>
      </w:r>
      <w:r>
        <w:rPr>
          <w:i/>
          <w:iCs/>
          <w:color w:val="000000" w:themeColor="text1"/>
          <w14:textFill>
            <w14:solidFill>
              <w14:schemeClr w14:val="tx1"/>
            </w14:solidFill>
          </w14:textFill>
        </w:rPr>
        <w:t>9</w:t>
      </w:r>
      <w:r>
        <w:rPr>
          <w:color w:val="000000" w:themeColor="text1"/>
          <w14:textFill>
            <w14:solidFill>
              <w14:schemeClr w14:val="tx1"/>
            </w14:solidFill>
          </w14:textFill>
        </w:rPr>
        <w:t xml:space="preserve">(4), 64-72. DOI: </w:t>
      </w:r>
      <w:r>
        <w:rPr>
          <w:rStyle w:val="90"/>
        </w:rPr>
        <w:t>10.5430/ijba.v9n4p64</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Afshari, M., Bakar, K. A., Luan, W. S., &amp; Siraj, S. (2012). Factors affecting the transformational leadership role of principals in implementing ICT in schools. </w:t>
      </w:r>
      <w:r>
        <w:rPr>
          <w:i/>
          <w:iCs/>
          <w:color w:val="000000" w:themeColor="text1"/>
          <w14:textFill>
            <w14:solidFill>
              <w14:schemeClr w14:val="tx1"/>
            </w14:solidFill>
          </w14:textFill>
        </w:rPr>
        <w:t>Turkish Online Journal of Educational Technology-TOJET</w:t>
      </w:r>
      <w:r>
        <w:rPr>
          <w:color w:val="000000" w:themeColor="text1"/>
          <w14:textFill>
            <w14:solidFill>
              <w14:schemeClr w14:val="tx1"/>
            </w14:solidFill>
          </w14:textFill>
        </w:rPr>
        <w:t>, </w:t>
      </w:r>
      <w:r>
        <w:rPr>
          <w:i/>
          <w:iCs/>
          <w:color w:val="000000" w:themeColor="text1"/>
          <w14:textFill>
            <w14:solidFill>
              <w14:schemeClr w14:val="tx1"/>
            </w14:solidFill>
          </w14:textFill>
        </w:rPr>
        <w:t>11</w:t>
      </w:r>
      <w:r>
        <w:rPr>
          <w:color w:val="000000" w:themeColor="text1"/>
          <w14:textFill>
            <w14:solidFill>
              <w14:schemeClr w14:val="tx1"/>
            </w14:solidFill>
          </w14:textFill>
        </w:rPr>
        <w:t>(4), 164-176.</w:t>
      </w:r>
      <w:r>
        <w:t xml:space="preserve"> </w:t>
      </w:r>
      <w:r>
        <w:fldChar w:fldCharType="begin"/>
      </w:r>
      <w:r>
        <w:instrText xml:space="preserve"> HYPERLINK "https://www.researchgate.net/publication/233944708_Factors_Affecting_the_transformational_Leadership_Role_of_Principals_in_Implementing_ICT_in_Schools" </w:instrText>
      </w:r>
      <w:r>
        <w:fldChar w:fldCharType="separate"/>
      </w:r>
      <w:r>
        <w:rPr>
          <w:rStyle w:val="90"/>
        </w:rPr>
        <w:t>https://www.researchgate.net/publication/233944708_Factors_Affecting_the_transformational_Leadership_Role_of_Principals_in_Implementing_ICT_in_Schools</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Al Khajeh, E. H. (2018). Impact of leadership styles on organizational performance. </w:t>
      </w:r>
      <w:r>
        <w:rPr>
          <w:i/>
          <w:iCs/>
          <w:color w:val="000000" w:themeColor="text1"/>
          <w14:textFill>
            <w14:solidFill>
              <w14:schemeClr w14:val="tx1"/>
            </w14:solidFill>
          </w14:textFill>
        </w:rPr>
        <w:t>Journal of Human Resources Management Research</w:t>
      </w:r>
      <w:r>
        <w:rPr>
          <w:color w:val="000000" w:themeColor="text1"/>
          <w14:textFill>
            <w14:solidFill>
              <w14:schemeClr w14:val="tx1"/>
            </w14:solidFill>
          </w14:textFill>
        </w:rPr>
        <w:t>, </w:t>
      </w:r>
      <w:r>
        <w:rPr>
          <w:i/>
          <w:iCs/>
          <w:color w:val="000000" w:themeColor="text1"/>
          <w14:textFill>
            <w14:solidFill>
              <w14:schemeClr w14:val="tx1"/>
            </w14:solidFill>
          </w14:textFill>
        </w:rPr>
        <w:t>2018</w:t>
      </w:r>
      <w:r>
        <w:rPr>
          <w:color w:val="000000" w:themeColor="text1"/>
          <w14:textFill>
            <w14:solidFill>
              <w14:schemeClr w14:val="tx1"/>
            </w14:solidFill>
          </w14:textFill>
        </w:rPr>
        <w:t xml:space="preserve">, 1-10. DOI: </w:t>
      </w:r>
      <w:r>
        <w:rPr>
          <w:rStyle w:val="90"/>
        </w:rPr>
        <w:t>10.5171/2018.687849</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Alatawi, M. A. (2017). The myth of the additive effect of the transformational leadership model. </w:t>
      </w:r>
      <w:r>
        <w:rPr>
          <w:i/>
          <w:iCs/>
          <w:color w:val="000000" w:themeColor="text1"/>
          <w14:textFill>
            <w14:solidFill>
              <w14:schemeClr w14:val="tx1"/>
            </w14:solidFill>
          </w14:textFill>
        </w:rPr>
        <w:t>Contemporary Management Research</w:t>
      </w:r>
      <w:r>
        <w:rPr>
          <w:color w:val="000000" w:themeColor="text1"/>
          <w14:textFill>
            <w14:solidFill>
              <w14:schemeClr w14:val="tx1"/>
            </w14:solidFill>
          </w14:textFill>
        </w:rPr>
        <w:t>, </w:t>
      </w:r>
      <w:r>
        <w:rPr>
          <w:i/>
          <w:iCs/>
          <w:color w:val="000000" w:themeColor="text1"/>
          <w14:textFill>
            <w14:solidFill>
              <w14:schemeClr w14:val="tx1"/>
            </w14:solidFill>
          </w14:textFill>
        </w:rPr>
        <w:t>13</w:t>
      </w:r>
      <w:r>
        <w:rPr>
          <w:color w:val="000000" w:themeColor="text1"/>
          <w14:textFill>
            <w14:solidFill>
              <w14:schemeClr w14:val="tx1"/>
            </w14:solidFill>
          </w14:textFill>
        </w:rPr>
        <w:t>(1), 19-30.</w:t>
      </w:r>
      <w:r>
        <w:t xml:space="preserve"> </w:t>
      </w:r>
      <w:r>
        <w:rPr>
          <w:color w:val="000000" w:themeColor="text1"/>
          <w14:textFill>
            <w14:solidFill>
              <w14:schemeClr w14:val="tx1"/>
            </w14:solidFill>
          </w14:textFill>
        </w:rPr>
        <w:t xml:space="preserve">DOI: </w:t>
      </w:r>
      <w:r>
        <w:rPr>
          <w:rStyle w:val="90"/>
        </w:rPr>
        <w:t>10.7903/cmr.16269</w:t>
      </w:r>
    </w:p>
    <w:p>
      <w:pPr>
        <w:ind w:left="720" w:hanging="720"/>
        <w:rPr>
          <w:rStyle w:val="90"/>
          <w:color w:val="000000" w:themeColor="text1"/>
          <w:u w:val="none"/>
          <w14:textFill>
            <w14:solidFill>
              <w14:schemeClr w14:val="tx1"/>
            </w14:solidFill>
          </w14:textFill>
        </w:rPr>
      </w:pPr>
      <w:r>
        <w:rPr>
          <w:color w:val="000000" w:themeColor="text1"/>
          <w14:textFill>
            <w14:solidFill>
              <w14:schemeClr w14:val="tx1"/>
            </w14:solidFill>
          </w14:textFill>
        </w:rPr>
        <w:t>Arif, S., &amp; Akram, A. (2018). Transformational Leadership and Organizational Performance. </w:t>
      </w:r>
      <w:r>
        <w:rPr>
          <w:i/>
          <w:iCs/>
          <w:color w:val="000000" w:themeColor="text1"/>
          <w14:textFill>
            <w14:solidFill>
              <w14:schemeClr w14:val="tx1"/>
            </w14:solidFill>
          </w14:textFill>
        </w:rPr>
        <w:t>SEISENSE Journal of Management</w:t>
      </w:r>
      <w:r>
        <w:rPr>
          <w:color w:val="000000" w:themeColor="text1"/>
          <w14:textFill>
            <w14:solidFill>
              <w14:schemeClr w14:val="tx1"/>
            </w14:solidFill>
          </w14:textFill>
        </w:rPr>
        <w:t>, </w:t>
      </w:r>
      <w:r>
        <w:rPr>
          <w:i/>
          <w:iCs/>
          <w:color w:val="000000" w:themeColor="text1"/>
          <w14:textFill>
            <w14:solidFill>
              <w14:schemeClr w14:val="tx1"/>
            </w14:solidFill>
          </w14:textFill>
        </w:rPr>
        <w:t>1</w:t>
      </w:r>
      <w:r>
        <w:rPr>
          <w:color w:val="000000" w:themeColor="text1"/>
          <w14:textFill>
            <w14:solidFill>
              <w14:schemeClr w14:val="tx1"/>
            </w14:solidFill>
          </w14:textFill>
        </w:rPr>
        <w:t xml:space="preserve">(3), 59-75. DOI: </w:t>
      </w:r>
      <w:r>
        <w:rPr>
          <w:rStyle w:val="90"/>
        </w:rPr>
        <w:t>10.5281/zenodo.1306335</w:t>
      </w:r>
    </w:p>
    <w:p>
      <w:pPr>
        <w:ind w:left="720" w:hanging="720"/>
        <w:rPr>
          <w:color w:val="000000" w:themeColor="text1"/>
          <w14:textFill>
            <w14:solidFill>
              <w14:schemeClr w14:val="tx1"/>
            </w14:solidFill>
          </w14:textFill>
        </w:rPr>
      </w:pPr>
      <w:r>
        <w:t xml:space="preserve">Balster, J. (2018, October, 2). </w:t>
      </w:r>
      <w:r>
        <w:rPr>
          <w:i/>
        </w:rPr>
        <w:t>Change is Constant. Manage it Well</w:t>
      </w:r>
      <w:r>
        <w:t xml:space="preserve">. </w:t>
      </w:r>
      <w:r>
        <w:fldChar w:fldCharType="begin"/>
      </w:r>
      <w:r>
        <w:instrText xml:space="preserve"> HYPERLINK "https://www.thedrum.com/industryinsights/2018/10/02/change-constant-manage-it-well" </w:instrText>
      </w:r>
      <w:r>
        <w:fldChar w:fldCharType="separate"/>
      </w:r>
      <w:r>
        <w:rPr>
          <w:rStyle w:val="90"/>
        </w:rPr>
        <w:t>https://www.thedrum.com/industryinsights/2018/10/02/change-constant-manage-it-well</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Barling, J. (2014). </w:t>
      </w:r>
      <w:r>
        <w:rPr>
          <w:i/>
          <w:iCs/>
          <w:color w:val="000000" w:themeColor="text1"/>
          <w14:textFill>
            <w14:solidFill>
              <w14:schemeClr w14:val="tx1"/>
            </w14:solidFill>
          </w14:textFill>
        </w:rPr>
        <w:t>The Science of Leadership: Lessons from Research for Organizational Leaders</w:t>
      </w:r>
      <w:r>
        <w:rPr>
          <w:color w:val="000000" w:themeColor="text1"/>
          <w14:textFill>
            <w14:solidFill>
              <w14:schemeClr w14:val="tx1"/>
            </w14:solidFill>
          </w14:textFill>
        </w:rPr>
        <w:t>. Oxford University Press.</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Bell, E., Bryman, A, </w:t>
      </w:r>
      <w:r>
        <w:rPr>
          <w:color w:val="000000" w:themeColor="text1"/>
          <w14:textFill>
            <w14:solidFill>
              <w14:schemeClr w14:val="tx1"/>
            </w14:solidFill>
          </w14:textFill>
        </w:rPr>
        <w:t xml:space="preserve">&amp; </w:t>
      </w:r>
      <w:r>
        <w:rPr>
          <w:rFonts w:cs="Times New Roman"/>
          <w:color w:val="000000" w:themeColor="text1"/>
          <w14:textFill>
            <w14:solidFill>
              <w14:schemeClr w14:val="tx1"/>
            </w14:solidFill>
          </w14:textFill>
        </w:rPr>
        <w:t>Harley, B. (2018). </w:t>
      </w:r>
      <w:r>
        <w:rPr>
          <w:rFonts w:cs="Times New Roman"/>
          <w:i/>
          <w:iCs/>
          <w:color w:val="000000" w:themeColor="text1"/>
          <w14:textFill>
            <w14:solidFill>
              <w14:schemeClr w14:val="tx1"/>
            </w14:solidFill>
          </w14:textFill>
        </w:rPr>
        <w:t>Business Research Methods</w:t>
      </w:r>
      <w:r>
        <w:rPr>
          <w:rFonts w:cs="Times New Roman"/>
          <w:color w:val="000000" w:themeColor="text1"/>
          <w14:textFill>
            <w14:solidFill>
              <w14:schemeClr w14:val="tx1"/>
            </w14:solidFill>
          </w14:textFill>
        </w:rPr>
        <w:t>. Oxford university press.</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Brace, I. (2018). </w:t>
      </w:r>
      <w:r>
        <w:rPr>
          <w:rFonts w:cs="Times New Roman"/>
          <w:i/>
          <w:iCs/>
          <w:color w:val="000000" w:themeColor="text1"/>
          <w14:textFill>
            <w14:solidFill>
              <w14:schemeClr w14:val="tx1"/>
            </w14:solidFill>
          </w14:textFill>
        </w:rPr>
        <w:t>Questionnaire Design: How to Plan, Structure and Write Survey Material for Effective Market Research</w:t>
      </w:r>
      <w:r>
        <w:rPr>
          <w:rFonts w:cs="Times New Roman"/>
          <w:color w:val="000000" w:themeColor="text1"/>
          <w14:textFill>
            <w14:solidFill>
              <w14:schemeClr w14:val="tx1"/>
            </w14:solidFill>
          </w14:textFill>
        </w:rPr>
        <w:t>. Kogan Page Publishers.</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Brannen, J. (2017). </w:t>
      </w:r>
      <w:r>
        <w:rPr>
          <w:rFonts w:cs="Times New Roman"/>
          <w:i/>
          <w:iCs/>
          <w:color w:val="000000" w:themeColor="text1"/>
          <w14:textFill>
            <w14:solidFill>
              <w14:schemeClr w14:val="tx1"/>
            </w14:solidFill>
          </w14:textFill>
        </w:rPr>
        <w:t>Mixing Methods: Qualitative and Quantitative Research</w:t>
      </w:r>
      <w:r>
        <w:rPr>
          <w:rFonts w:cs="Times New Roman"/>
          <w:color w:val="000000" w:themeColor="text1"/>
          <w14:textFill>
            <w14:solidFill>
              <w14:schemeClr w14:val="tx1"/>
            </w14:solidFill>
          </w14:textFill>
        </w:rPr>
        <w:t>. Routledge.</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Bryman, A. (2016). </w:t>
      </w:r>
      <w:r>
        <w:rPr>
          <w:rFonts w:cs="Times New Roman"/>
          <w:i/>
          <w:iCs/>
          <w:color w:val="000000" w:themeColor="text1"/>
          <w14:textFill>
            <w14:solidFill>
              <w14:schemeClr w14:val="tx1"/>
            </w14:solidFill>
          </w14:textFill>
        </w:rPr>
        <w:t>Social Research Methods</w:t>
      </w:r>
      <w:r>
        <w:rPr>
          <w:rFonts w:cs="Times New Roman"/>
          <w:color w:val="000000" w:themeColor="text1"/>
          <w14:textFill>
            <w14:solidFill>
              <w14:schemeClr w14:val="tx1"/>
            </w14:solidFill>
          </w14:textFill>
        </w:rPr>
        <w:t>. Oxford university press.</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Chaudhuri, A. (2019). </w:t>
      </w:r>
      <w:r>
        <w:rPr>
          <w:rFonts w:cs="Times New Roman"/>
          <w:i/>
          <w:color w:val="000000" w:themeColor="text1"/>
          <w14:textFill>
            <w14:solidFill>
              <w14:schemeClr w14:val="tx1"/>
            </w14:solidFill>
          </w14:textFill>
        </w:rPr>
        <w:t>Survey Sampling</w:t>
      </w:r>
      <w:r>
        <w:rPr>
          <w:rFonts w:cs="Times New Roman"/>
          <w:color w:val="000000" w:themeColor="text1"/>
          <w14:textFill>
            <w14:solidFill>
              <w14:schemeClr w14:val="tx1"/>
            </w14:solidFill>
          </w14:textFill>
        </w:rPr>
        <w:t>. Taylor &amp; Francis Group.</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Chou, H. W., Lin, Y. H., Chang, H. H., &amp; Chuang, W. W. (2013). Transformational leadership and team performance: The mediating roles of cognitive trust and collective efficacy. </w:t>
      </w:r>
      <w:r>
        <w:rPr>
          <w:i/>
          <w:iCs/>
          <w:color w:val="000000" w:themeColor="text1"/>
          <w14:textFill>
            <w14:solidFill>
              <w14:schemeClr w14:val="tx1"/>
            </w14:solidFill>
          </w14:textFill>
        </w:rPr>
        <w:t>Sage Open</w:t>
      </w:r>
      <w:r>
        <w:rPr>
          <w:color w:val="000000" w:themeColor="text1"/>
          <w14:textFill>
            <w14:solidFill>
              <w14:schemeClr w14:val="tx1"/>
            </w14:solidFill>
          </w14:textFill>
        </w:rPr>
        <w:t>, </w:t>
      </w:r>
      <w:r>
        <w:rPr>
          <w:i/>
          <w:iCs/>
          <w:color w:val="000000" w:themeColor="text1"/>
          <w14:textFill>
            <w14:solidFill>
              <w14:schemeClr w14:val="tx1"/>
            </w14:solidFill>
          </w14:textFill>
        </w:rPr>
        <w:t>3</w:t>
      </w:r>
      <w:r>
        <w:rPr>
          <w:color w:val="000000" w:themeColor="text1"/>
          <w14:textFill>
            <w14:solidFill>
              <w14:schemeClr w14:val="tx1"/>
            </w14:solidFill>
          </w14:textFill>
        </w:rPr>
        <w:t xml:space="preserve">(3). </w:t>
      </w:r>
      <w:r>
        <w:fldChar w:fldCharType="begin"/>
      </w:r>
      <w:r>
        <w:instrText xml:space="preserve"> HYPERLINK "https://doi.org/10.1177%2F2158244013497027" </w:instrText>
      </w:r>
      <w:r>
        <w:fldChar w:fldCharType="separate"/>
      </w:r>
      <w:r>
        <w:rPr>
          <w:rStyle w:val="90"/>
        </w:rPr>
        <w:t>https://doi.org/10.1177/2158244013497027</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Cohen, L., Manion, L. &amp; Morrison, K. (2013). </w:t>
      </w:r>
      <w:r>
        <w:rPr>
          <w:i/>
          <w:iCs/>
          <w:color w:val="000000" w:themeColor="text1"/>
          <w14:textFill>
            <w14:solidFill>
              <w14:schemeClr w14:val="tx1"/>
            </w14:solidFill>
          </w14:textFill>
        </w:rPr>
        <w:t>Research Methods in Education</w:t>
      </w:r>
      <w:r>
        <w:rPr>
          <w:color w:val="000000" w:themeColor="text1"/>
          <w14:textFill>
            <w14:solidFill>
              <w14:schemeClr w14:val="tx1"/>
            </w14:solidFill>
          </w14:textFill>
        </w:rPr>
        <w:t>. Routledge.</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Collins, H. (2018). </w:t>
      </w:r>
      <w:r>
        <w:rPr>
          <w:i/>
          <w:iCs/>
          <w:color w:val="000000" w:themeColor="text1"/>
          <w14:textFill>
            <w14:solidFill>
              <w14:schemeClr w14:val="tx1"/>
            </w14:solidFill>
          </w14:textFill>
        </w:rPr>
        <w:t>Creative Research: The Theory and Practice of Research for the Creative Industries</w:t>
      </w:r>
      <w:r>
        <w:rPr>
          <w:color w:val="000000" w:themeColor="text1"/>
          <w14:textFill>
            <w14:solidFill>
              <w14:schemeClr w14:val="tx1"/>
            </w14:solidFill>
          </w14:textFill>
        </w:rPr>
        <w:t>. Bloomsbury Publishing.</w:t>
      </w:r>
    </w:p>
    <w:p>
      <w:pPr>
        <w:ind w:left="720" w:hanging="720"/>
        <w:rPr>
          <w:color w:val="000000" w:themeColor="text1"/>
          <w14:textFill>
            <w14:solidFill>
              <w14:schemeClr w14:val="tx1"/>
            </w14:solidFill>
          </w14:textFill>
        </w:rPr>
      </w:pPr>
      <w:r>
        <w:t xml:space="preserve">Craig, W. (2018, September 5). </w:t>
      </w:r>
      <w:r>
        <w:rPr>
          <w:i/>
        </w:rPr>
        <w:t>The Role Leadership Has in Company Culture</w:t>
      </w:r>
      <w:r>
        <w:t xml:space="preserve">. </w:t>
      </w:r>
      <w:r>
        <w:fldChar w:fldCharType="begin"/>
      </w:r>
      <w:r>
        <w:instrText xml:space="preserve"> HYPERLINK "https://www.forbes.com/sites/williamcraig/2018/09/05/the-role-leadership-has-in-company-culture/" \l "37dc61b616b6" </w:instrText>
      </w:r>
      <w:r>
        <w:fldChar w:fldCharType="separate"/>
      </w:r>
      <w:r>
        <w:rPr>
          <w:rStyle w:val="90"/>
        </w:rPr>
        <w:t>https://www.forbes.com/sites/williamcraig/2018/09/05/the-role-leadership-has-in-company-culture/#37dc61b616b6</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Cronk, B.C. (2019). </w:t>
      </w:r>
      <w:r>
        <w:rPr>
          <w:i/>
          <w:iCs/>
          <w:color w:val="000000" w:themeColor="text1"/>
          <w14:textFill>
            <w14:solidFill>
              <w14:schemeClr w14:val="tx1"/>
            </w14:solidFill>
          </w14:textFill>
        </w:rPr>
        <w:t>How to use SPSS®: A Step-by-step Guide to Analysis and Interpretation</w:t>
      </w:r>
      <w:r>
        <w:rPr>
          <w:color w:val="000000" w:themeColor="text1"/>
          <w14:textFill>
            <w14:solidFill>
              <w14:schemeClr w14:val="tx1"/>
            </w14:solidFill>
          </w14:textFill>
        </w:rPr>
        <w:t>. Routledge.</w:t>
      </w:r>
    </w:p>
    <w:p>
      <w:pPr>
        <w:ind w:left="720" w:hanging="720"/>
        <w:rPr>
          <w:rStyle w:val="90"/>
          <w:color w:val="000000" w:themeColor="text1"/>
          <w:u w:val="none"/>
          <w14:textFill>
            <w14:solidFill>
              <w14:schemeClr w14:val="tx1"/>
            </w14:solidFill>
          </w14:textFill>
        </w:rPr>
      </w:pPr>
      <w:r>
        <w:rPr>
          <w:color w:val="000000" w:themeColor="text1"/>
          <w14:textFill>
            <w14:solidFill>
              <w14:schemeClr w14:val="tx1"/>
            </w14:solidFill>
          </w14:textFill>
        </w:rPr>
        <w:t>Ewell, J. (2018). Revitalizing a Student Organization by Applying Transformational Leadership. </w:t>
      </w:r>
      <w:r>
        <w:rPr>
          <w:i/>
          <w:iCs/>
          <w:color w:val="000000" w:themeColor="text1"/>
          <w14:textFill>
            <w14:solidFill>
              <w14:schemeClr w14:val="tx1"/>
            </w14:solidFill>
          </w14:textFill>
        </w:rPr>
        <w:t>Journal of Leadership Education</w:t>
      </w:r>
      <w:r>
        <w:rPr>
          <w:color w:val="000000" w:themeColor="text1"/>
          <w14:textFill>
            <w14:solidFill>
              <w14:schemeClr w14:val="tx1"/>
            </w14:solidFill>
          </w14:textFill>
        </w:rPr>
        <w:t>, </w:t>
      </w:r>
      <w:r>
        <w:rPr>
          <w:i/>
          <w:iCs/>
          <w:color w:val="000000" w:themeColor="text1"/>
          <w14:textFill>
            <w14:solidFill>
              <w14:schemeClr w14:val="tx1"/>
            </w14:solidFill>
          </w14:textFill>
        </w:rPr>
        <w:t>17</w:t>
      </w:r>
      <w:r>
        <w:rPr>
          <w:color w:val="000000" w:themeColor="text1"/>
          <w14:textFill>
            <w14:solidFill>
              <w14:schemeClr w14:val="tx1"/>
            </w14:solidFill>
          </w14:textFill>
        </w:rPr>
        <w:t xml:space="preserve">(3). DOI: </w:t>
      </w:r>
      <w:r>
        <w:rPr>
          <w:rStyle w:val="90"/>
        </w:rPr>
        <w:t>10.12806/V17/I3/A2</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Fowler Jr., F.J. (2013). </w:t>
      </w:r>
      <w:r>
        <w:rPr>
          <w:i/>
          <w:iCs/>
          <w:color w:val="000000" w:themeColor="text1"/>
          <w14:textFill>
            <w14:solidFill>
              <w14:schemeClr w14:val="tx1"/>
            </w14:solidFill>
          </w14:textFill>
        </w:rPr>
        <w:t>Survey Research Methods</w:t>
      </w:r>
      <w:r>
        <w:rPr>
          <w:color w:val="000000" w:themeColor="text1"/>
          <w14:textFill>
            <w14:solidFill>
              <w14:schemeClr w14:val="tx1"/>
            </w14:solidFill>
          </w14:textFill>
        </w:rPr>
        <w:t>. Sage publications.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Franco, M., &amp; Matos, P. G. (2015). Leadership styles in SMEs: a mixed-method approach. </w:t>
      </w:r>
      <w:r>
        <w:rPr>
          <w:i/>
          <w:iCs/>
          <w:color w:val="000000" w:themeColor="text1"/>
          <w14:textFill>
            <w14:solidFill>
              <w14:schemeClr w14:val="tx1"/>
            </w14:solidFill>
          </w14:textFill>
        </w:rPr>
        <w:t>International Entrepreneurship and Management Journal</w:t>
      </w:r>
      <w:r>
        <w:rPr>
          <w:color w:val="000000" w:themeColor="text1"/>
          <w14:textFill>
            <w14:solidFill>
              <w14:schemeClr w14:val="tx1"/>
            </w14:solidFill>
          </w14:textFill>
        </w:rPr>
        <w:t>, </w:t>
      </w:r>
      <w:r>
        <w:rPr>
          <w:i/>
          <w:iCs/>
          <w:color w:val="000000" w:themeColor="text1"/>
          <w14:textFill>
            <w14:solidFill>
              <w14:schemeClr w14:val="tx1"/>
            </w14:solidFill>
          </w14:textFill>
        </w:rPr>
        <w:t>11</w:t>
      </w:r>
      <w:r>
        <w:rPr>
          <w:color w:val="000000" w:themeColor="text1"/>
          <w14:textFill>
            <w14:solidFill>
              <w14:schemeClr w14:val="tx1"/>
            </w14:solidFill>
          </w14:textFill>
        </w:rPr>
        <w:t xml:space="preserve">(2), 425-451. DOI: </w:t>
      </w:r>
      <w:r>
        <w:rPr>
          <w:rStyle w:val="90"/>
        </w:rPr>
        <w:t>10.1007/s11365-013-0283-2</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Gandolfi, F., &amp; Stone, S. (2018). Leadership, leadership styles, and servant leadership. </w:t>
      </w:r>
      <w:r>
        <w:rPr>
          <w:i/>
          <w:iCs/>
          <w:color w:val="000000" w:themeColor="text1"/>
          <w14:textFill>
            <w14:solidFill>
              <w14:schemeClr w14:val="tx1"/>
            </w14:solidFill>
          </w14:textFill>
        </w:rPr>
        <w:t>Journal of Management Research</w:t>
      </w:r>
      <w:r>
        <w:rPr>
          <w:color w:val="000000" w:themeColor="text1"/>
          <w14:textFill>
            <w14:solidFill>
              <w14:schemeClr w14:val="tx1"/>
            </w14:solidFill>
          </w14:textFill>
        </w:rPr>
        <w:t>, </w:t>
      </w:r>
      <w:r>
        <w:rPr>
          <w:i/>
          <w:iCs/>
          <w:color w:val="000000" w:themeColor="text1"/>
          <w14:textFill>
            <w14:solidFill>
              <w14:schemeClr w14:val="tx1"/>
            </w14:solidFill>
          </w14:textFill>
        </w:rPr>
        <w:t>18</w:t>
      </w:r>
      <w:r>
        <w:rPr>
          <w:color w:val="000000" w:themeColor="text1"/>
          <w14:textFill>
            <w14:solidFill>
              <w14:schemeClr w14:val="tx1"/>
            </w14:solidFill>
          </w14:textFill>
        </w:rPr>
        <w:t xml:space="preserve">(4), 261-269. </w:t>
      </w:r>
      <w:r>
        <w:fldChar w:fldCharType="begin"/>
      </w:r>
      <w:r>
        <w:instrText xml:space="preserve"> HYPERLINK "https://www.lasnny.org/wp-content/uploads/2018/11/Leadership-Leadership-Styles-and-Servant-Leadership.pdf" </w:instrText>
      </w:r>
      <w:r>
        <w:fldChar w:fldCharType="separate"/>
      </w:r>
      <w:r>
        <w:rPr>
          <w:rStyle w:val="90"/>
        </w:rPr>
        <w:t>https://www.lasnny.org/wp-content/uploads/2018/11/Leadership-Leadership-Styles-and-Servant-Leadership.pdf</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Ghasabeh, M. S., &amp; Provitera, M. J. (2017). Transformational leadership: Building an effective culture to manage organisational knowledge. </w:t>
      </w:r>
      <w:r>
        <w:rPr>
          <w:i/>
          <w:iCs/>
          <w:color w:val="000000" w:themeColor="text1"/>
          <w14:textFill>
            <w14:solidFill>
              <w14:schemeClr w14:val="tx1"/>
            </w14:solidFill>
          </w14:textFill>
        </w:rPr>
        <w:t>The Journal of Values-Based Leadership</w:t>
      </w:r>
      <w:r>
        <w:rPr>
          <w:color w:val="000000" w:themeColor="text1"/>
          <w14:textFill>
            <w14:solidFill>
              <w14:schemeClr w14:val="tx1"/>
            </w14:solidFill>
          </w14:textFill>
        </w:rPr>
        <w:t>, </w:t>
      </w:r>
      <w:r>
        <w:rPr>
          <w:i/>
          <w:iCs/>
          <w:color w:val="000000" w:themeColor="text1"/>
          <w14:textFill>
            <w14:solidFill>
              <w14:schemeClr w14:val="tx1"/>
            </w14:solidFill>
          </w14:textFill>
        </w:rPr>
        <w:t>10</w:t>
      </w:r>
      <w:r>
        <w:rPr>
          <w:color w:val="000000" w:themeColor="text1"/>
          <w14:textFill>
            <w14:solidFill>
              <w14:schemeClr w14:val="tx1"/>
            </w14:solidFill>
          </w14:textFill>
        </w:rPr>
        <w:t xml:space="preserve">(2). </w:t>
      </w:r>
      <w:r>
        <w:fldChar w:fldCharType="begin"/>
      </w:r>
      <w:r>
        <w:instrText xml:space="preserve"> HYPERLINK "https://pdfs.semanticscholar.org/dd7c/e38da908a1db02d569bb5a7a68b1cc1a8eab.pdf" </w:instrText>
      </w:r>
      <w:r>
        <w:fldChar w:fldCharType="separate"/>
      </w:r>
      <w:r>
        <w:rPr>
          <w:rStyle w:val="90"/>
        </w:rPr>
        <w:t>https://pdfs.semanticscholar.org/dd7c/e38da908a1db02d569bb5a7a68b1cc1a8eab.pdf</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Gill, R. (2011). </w:t>
      </w:r>
      <w:r>
        <w:rPr>
          <w:i/>
          <w:iCs/>
          <w:color w:val="000000" w:themeColor="text1"/>
          <w14:textFill>
            <w14:solidFill>
              <w14:schemeClr w14:val="tx1"/>
            </w14:solidFill>
          </w14:textFill>
        </w:rPr>
        <w:t>Theory and practice of leadership</w:t>
      </w:r>
      <w:r>
        <w:rPr>
          <w:color w:val="000000" w:themeColor="text1"/>
          <w14:textFill>
            <w14:solidFill>
              <w14:schemeClr w14:val="tx1"/>
            </w14:solidFill>
          </w14:textFill>
        </w:rPr>
        <w:t>. Sage.</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Gray, C.D. &amp; Kinnear, P.R. (2012). </w:t>
      </w:r>
      <w:r>
        <w:rPr>
          <w:i/>
          <w:iCs/>
          <w:color w:val="000000" w:themeColor="text1"/>
          <w14:textFill>
            <w14:solidFill>
              <w14:schemeClr w14:val="tx1"/>
            </w14:solidFill>
          </w14:textFill>
        </w:rPr>
        <w:t>IBM SPSS Statistics 19 Made Simple</w:t>
      </w:r>
      <w:r>
        <w:rPr>
          <w:color w:val="000000" w:themeColor="text1"/>
          <w14:textFill>
            <w14:solidFill>
              <w14:schemeClr w14:val="tx1"/>
            </w14:solidFill>
          </w14:textFill>
        </w:rPr>
        <w:t>. Psychology Press.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Groebner, D.F., Shannon, P.W., Fry, P.C. and Smith, K.D. (2013). </w:t>
      </w:r>
      <w:r>
        <w:rPr>
          <w:i/>
          <w:iCs/>
          <w:color w:val="000000" w:themeColor="text1"/>
          <w14:textFill>
            <w14:solidFill>
              <w14:schemeClr w14:val="tx1"/>
            </w14:solidFill>
          </w14:textFill>
        </w:rPr>
        <w:t>Business Statistics</w:t>
      </w:r>
      <w:r>
        <w:rPr>
          <w:color w:val="000000" w:themeColor="text1"/>
          <w14:textFill>
            <w14:solidFill>
              <w14:schemeClr w14:val="tx1"/>
            </w14:solidFill>
          </w14:textFill>
        </w:rPr>
        <w:t>. Pearson Education.</w:t>
      </w:r>
    </w:p>
    <w:p>
      <w:pPr>
        <w:ind w:left="720" w:hanging="720"/>
        <w:rPr>
          <w:rStyle w:val="90"/>
          <w:color w:val="000000" w:themeColor="text1"/>
          <w:u w:val="none"/>
          <w14:textFill>
            <w14:solidFill>
              <w14:schemeClr w14:val="tx1"/>
            </w14:solidFill>
          </w14:textFill>
        </w:rPr>
      </w:pPr>
      <w:r>
        <w:rPr>
          <w:color w:val="000000" w:themeColor="text1"/>
          <w14:textFill>
            <w14:solidFill>
              <w14:schemeClr w14:val="tx1"/>
            </w14:solidFill>
          </w14:textFill>
        </w:rPr>
        <w:t>Igbaekemen, G. O., &amp; Odivwri, J. E. (2015). Impact of leadership style on organization performance: A critical literature review. </w:t>
      </w:r>
      <w:r>
        <w:rPr>
          <w:i/>
          <w:iCs/>
          <w:color w:val="000000" w:themeColor="text1"/>
          <w14:textFill>
            <w14:solidFill>
              <w14:schemeClr w14:val="tx1"/>
            </w14:solidFill>
          </w14:textFill>
        </w:rPr>
        <w:t>Arabian Journal of Business and Management Review</w:t>
      </w:r>
      <w:r>
        <w:rPr>
          <w:color w:val="000000" w:themeColor="text1"/>
          <w14:textFill>
            <w14:solidFill>
              <w14:schemeClr w14:val="tx1"/>
            </w14:solidFill>
          </w14:textFill>
        </w:rPr>
        <w:t>, </w:t>
      </w:r>
      <w:r>
        <w:rPr>
          <w:i/>
          <w:iCs/>
          <w:color w:val="000000" w:themeColor="text1"/>
          <w14:textFill>
            <w14:solidFill>
              <w14:schemeClr w14:val="tx1"/>
            </w14:solidFill>
          </w14:textFill>
        </w:rPr>
        <w:t>5</w:t>
      </w:r>
      <w:r>
        <w:rPr>
          <w:color w:val="000000" w:themeColor="text1"/>
          <w14:textFill>
            <w14:solidFill>
              <w14:schemeClr w14:val="tx1"/>
            </w14:solidFill>
          </w14:textFill>
        </w:rPr>
        <w:t xml:space="preserve">(5), 1-7. DOI: </w:t>
      </w:r>
      <w:r>
        <w:rPr>
          <w:rStyle w:val="90"/>
        </w:rPr>
        <w:t>10.4172/2223-5833.1000142</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Joyner, R. L., Rouse, W. A. </w:t>
      </w:r>
      <w:r>
        <w:rPr>
          <w:color w:val="000000" w:themeColor="text1"/>
          <w14:textFill>
            <w14:solidFill>
              <w14:schemeClr w14:val="tx1"/>
            </w14:solidFill>
          </w14:textFill>
        </w:rPr>
        <w:t xml:space="preserve">&amp; </w:t>
      </w:r>
      <w:r>
        <w:rPr>
          <w:rFonts w:cs="Times New Roman"/>
          <w:color w:val="000000" w:themeColor="text1"/>
          <w14:textFill>
            <w14:solidFill>
              <w14:schemeClr w14:val="tx1"/>
            </w14:solidFill>
          </w14:textFill>
        </w:rPr>
        <w:t>Glatthorn, A. A. (2018). </w:t>
      </w:r>
      <w:r>
        <w:rPr>
          <w:rFonts w:cs="Times New Roman"/>
          <w:i/>
          <w:iCs/>
          <w:color w:val="000000" w:themeColor="text1"/>
          <w14:textFill>
            <w14:solidFill>
              <w14:schemeClr w14:val="tx1"/>
            </w14:solidFill>
          </w14:textFill>
        </w:rPr>
        <w:t>Writing the Winning Thesis or Dissertation: A Step-by-step Guide</w:t>
      </w:r>
      <w:r>
        <w:rPr>
          <w:rFonts w:cs="Times New Roman"/>
          <w:color w:val="000000" w:themeColor="text1"/>
          <w14:textFill>
            <w14:solidFill>
              <w14:schemeClr w14:val="tx1"/>
            </w14:solidFill>
          </w14:textFill>
        </w:rPr>
        <w:t>. Corwin press.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Khan, M. S., Khan, I., Qureshi, Q. A., Ismail, H. M., Rauf, H., Latif, A., &amp; Tahir, M. (2015). The styles of leadership: A critical review. </w:t>
      </w:r>
      <w:r>
        <w:rPr>
          <w:i/>
          <w:iCs/>
          <w:color w:val="000000" w:themeColor="text1"/>
          <w14:textFill>
            <w14:solidFill>
              <w14:schemeClr w14:val="tx1"/>
            </w14:solidFill>
          </w14:textFill>
        </w:rPr>
        <w:t>Public Policy and Administration Research</w:t>
      </w:r>
      <w:r>
        <w:rPr>
          <w:color w:val="000000" w:themeColor="text1"/>
          <w14:textFill>
            <w14:solidFill>
              <w14:schemeClr w14:val="tx1"/>
            </w14:solidFill>
          </w14:textFill>
        </w:rPr>
        <w:t>, </w:t>
      </w:r>
      <w:r>
        <w:rPr>
          <w:i/>
          <w:iCs/>
          <w:color w:val="000000" w:themeColor="text1"/>
          <w14:textFill>
            <w14:solidFill>
              <w14:schemeClr w14:val="tx1"/>
            </w14:solidFill>
          </w14:textFill>
        </w:rPr>
        <w:t>5</w:t>
      </w:r>
      <w:r>
        <w:rPr>
          <w:color w:val="000000" w:themeColor="text1"/>
          <w14:textFill>
            <w14:solidFill>
              <w14:schemeClr w14:val="tx1"/>
            </w14:solidFill>
          </w14:textFill>
        </w:rPr>
        <w:t xml:space="preserve">(3), 87-92. </w:t>
      </w:r>
      <w:r>
        <w:fldChar w:fldCharType="begin"/>
      </w:r>
      <w:r>
        <w:instrText xml:space="preserve"> HYPERLINK "https://www.iiste.org/Journals/index.php/PPAR/article/viewFile/20878/21131" </w:instrText>
      </w:r>
      <w:r>
        <w:fldChar w:fldCharType="separate"/>
      </w:r>
      <w:r>
        <w:rPr>
          <w:rStyle w:val="90"/>
        </w:rPr>
        <w:t>https://www.iiste.org/Journals/index.php/PPAR/article/viewFile/20878/21131</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 xml:space="preserve">Kocherbaeva, A., Samaibekova, Z., &amp; Isabaeva, K. (2019). Leadership and leaders in successful small and medium enterprises. </w:t>
      </w:r>
      <w:r>
        <w:rPr>
          <w:i/>
        </w:rPr>
        <w:t>Advances in Social Science, Education and Humanities Research</w:t>
      </w:r>
      <w:r>
        <w:rPr>
          <w:i/>
          <w:color w:val="000000" w:themeColor="text1"/>
          <w14:textFill>
            <w14:solidFill>
              <w14:schemeClr w14:val="tx1"/>
            </w14:solidFill>
          </w14:textFill>
        </w:rPr>
        <w:t>, 359</w:t>
      </w:r>
      <w:r>
        <w:rPr>
          <w:color w:val="000000" w:themeColor="text1"/>
          <w14:textFill>
            <w14:solidFill>
              <w14:schemeClr w14:val="tx1"/>
            </w14:solidFill>
          </w14:textFill>
        </w:rPr>
        <w:t xml:space="preserve">, 89-94. </w:t>
      </w:r>
      <w:r>
        <w:fldChar w:fldCharType="begin"/>
      </w:r>
      <w:r>
        <w:instrText xml:space="preserve"> HYPERLINK "https://www.atlantis-press.com/proceedings/icsbal-19/125921007" </w:instrText>
      </w:r>
      <w:r>
        <w:fldChar w:fldCharType="separate"/>
      </w:r>
      <w:r>
        <w:rPr>
          <w:rStyle w:val="90"/>
        </w:rPr>
        <w:t>https://www.atlantis-press.com/proceedings/icsbal-19/125921007</w:t>
      </w:r>
      <w:r>
        <w:rPr>
          <w:rStyle w:val="90"/>
        </w:rPr>
        <w:fldChar w:fldCharType="end"/>
      </w:r>
      <w:r>
        <w:t xml:space="preserve"> </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Komives, S. R., &amp; Wagner, W. (Eds.). (2016). </w:t>
      </w:r>
      <w:r>
        <w:rPr>
          <w:i/>
          <w:iCs/>
          <w:color w:val="000000" w:themeColor="text1"/>
          <w14:textFill>
            <w14:solidFill>
              <w14:schemeClr w14:val="tx1"/>
            </w14:solidFill>
          </w14:textFill>
        </w:rPr>
        <w:t>Leadership for a Better World: Understanding the Social Change Model of Leadership Development</w:t>
      </w:r>
      <w:r>
        <w:rPr>
          <w:color w:val="000000" w:themeColor="text1"/>
          <w14:textFill>
            <w14:solidFill>
              <w14:schemeClr w14:val="tx1"/>
            </w14:solidFill>
          </w14:textFill>
        </w:rPr>
        <w:t>. John Wiley &amp; Sons.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Korejan, M. M., &amp; Shahbazi, H. (2016). An analysis of the transformational leadership theory. </w:t>
      </w:r>
      <w:r>
        <w:rPr>
          <w:i/>
          <w:iCs/>
          <w:color w:val="000000" w:themeColor="text1"/>
          <w14:textFill>
            <w14:solidFill>
              <w14:schemeClr w14:val="tx1"/>
            </w14:solidFill>
          </w14:textFill>
        </w:rPr>
        <w:t>Journal of Fundamental and Applied Sciences</w:t>
      </w:r>
      <w:r>
        <w:rPr>
          <w:color w:val="000000" w:themeColor="text1"/>
          <w14:textFill>
            <w14:solidFill>
              <w14:schemeClr w14:val="tx1"/>
            </w14:solidFill>
          </w14:textFill>
        </w:rPr>
        <w:t>, </w:t>
      </w:r>
      <w:r>
        <w:rPr>
          <w:i/>
          <w:iCs/>
          <w:color w:val="000000" w:themeColor="text1"/>
          <w14:textFill>
            <w14:solidFill>
              <w14:schemeClr w14:val="tx1"/>
            </w14:solidFill>
          </w14:textFill>
        </w:rPr>
        <w:t>8</w:t>
      </w:r>
      <w:r>
        <w:rPr>
          <w:color w:val="000000" w:themeColor="text1"/>
          <w14:textFill>
            <w14:solidFill>
              <w14:schemeClr w14:val="tx1"/>
            </w14:solidFill>
          </w14:textFill>
        </w:rPr>
        <w:t xml:space="preserve">(3), 452-461. DOI: </w:t>
      </w:r>
      <w:r>
        <w:rPr>
          <w:rStyle w:val="90"/>
        </w:rPr>
        <w:t>10.4314/jfas.v8i3s.192</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 xml:space="preserve">Krosnick, J.A. (2018). </w:t>
      </w:r>
      <w:r>
        <w:rPr>
          <w:i/>
          <w:iCs/>
          <w:color w:val="000000" w:themeColor="text1"/>
          <w14:textFill>
            <w14:solidFill>
              <w14:schemeClr w14:val="tx1"/>
            </w14:solidFill>
          </w14:textFill>
        </w:rPr>
        <w:t>The Palgrave Handbook of Survey Research</w:t>
      </w:r>
      <w:r>
        <w:rPr>
          <w:color w:val="000000" w:themeColor="text1"/>
          <w14:textFill>
            <w14:solidFill>
              <w14:schemeClr w14:val="tx1"/>
            </w14:solidFill>
          </w14:textFill>
        </w:rPr>
        <w:t>. Palgrave Macmillan.</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Kumar, R. (2019). </w:t>
      </w:r>
      <w:r>
        <w:rPr>
          <w:rFonts w:cs="Times New Roman"/>
          <w:i/>
          <w:iCs/>
          <w:color w:val="000000" w:themeColor="text1"/>
          <w14:textFill>
            <w14:solidFill>
              <w14:schemeClr w14:val="tx1"/>
            </w14:solidFill>
          </w14:textFill>
        </w:rPr>
        <w:t>Research methodology: A step-by-step guide for beginners</w:t>
      </w:r>
      <w:r>
        <w:rPr>
          <w:rFonts w:cs="Times New Roman"/>
          <w:color w:val="000000" w:themeColor="text1"/>
          <w14:textFill>
            <w14:solidFill>
              <w14:schemeClr w14:val="tx1"/>
            </w14:solidFill>
          </w14:textFill>
        </w:rPr>
        <w:t>. Sage Publications Limited.</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Levy, P.S. &amp; Lemeshow, S. (2013). </w:t>
      </w:r>
      <w:r>
        <w:rPr>
          <w:i/>
          <w:iCs/>
          <w:color w:val="000000" w:themeColor="text1"/>
          <w14:textFill>
            <w14:solidFill>
              <w14:schemeClr w14:val="tx1"/>
            </w14:solidFill>
          </w14:textFill>
        </w:rPr>
        <w:t>Sampling of Populations: Methods And Applications</w:t>
      </w:r>
      <w:r>
        <w:rPr>
          <w:color w:val="000000" w:themeColor="text1"/>
          <w14:textFill>
            <w14:solidFill>
              <w14:schemeClr w14:val="tx1"/>
            </w14:solidFill>
          </w14:textFill>
        </w:rPr>
        <w:t>. John Wiley &amp; Sons.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Madanchian, M., &amp; Taherdoost, H. (2017). Role of leadership in small and medium enterprises (SMEs). </w:t>
      </w:r>
      <w:r>
        <w:rPr>
          <w:i/>
          <w:iCs/>
          <w:color w:val="000000" w:themeColor="text1"/>
          <w14:textFill>
            <w14:solidFill>
              <w14:schemeClr w14:val="tx1"/>
            </w14:solidFill>
          </w14:textFill>
        </w:rPr>
        <w:t>Journal of Economics and Management Systems</w:t>
      </w:r>
      <w:r>
        <w:rPr>
          <w:color w:val="000000" w:themeColor="text1"/>
          <w14:textFill>
            <w14:solidFill>
              <w14:schemeClr w14:val="tx1"/>
            </w14:solidFill>
          </w14:textFill>
        </w:rPr>
        <w:t>, </w:t>
      </w:r>
      <w:r>
        <w:rPr>
          <w:i/>
          <w:iCs/>
          <w:color w:val="000000" w:themeColor="text1"/>
          <w14:textFill>
            <w14:solidFill>
              <w14:schemeClr w14:val="tx1"/>
            </w14:solidFill>
          </w14:textFill>
        </w:rPr>
        <w:t>2</w:t>
      </w:r>
      <w:r>
        <w:rPr>
          <w:color w:val="000000" w:themeColor="text1"/>
          <w14:textFill>
            <w14:solidFill>
              <w14:schemeClr w14:val="tx1"/>
            </w14:solidFill>
          </w14:textFill>
        </w:rPr>
        <w:t xml:space="preserve">, 240-243. </w:t>
      </w:r>
      <w:r>
        <w:fldChar w:fldCharType="begin"/>
      </w:r>
      <w:r>
        <w:instrText xml:space="preserve"> HYPERLINK "https://www.iaras.org/iaras/filedownloads/ijems/2017/007-0033(2017).pdf" </w:instrText>
      </w:r>
      <w:r>
        <w:fldChar w:fldCharType="separate"/>
      </w:r>
      <w:r>
        <w:rPr>
          <w:rStyle w:val="90"/>
        </w:rPr>
        <w:t>https://www.iaras.org/iaras/filedownloads/ijems/2017/007-0033(2017).pdf</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Manning, G. (2012). </w:t>
      </w:r>
      <w:r>
        <w:rPr>
          <w:i/>
          <w:iCs/>
          <w:color w:val="000000" w:themeColor="text1"/>
          <w14:textFill>
            <w14:solidFill>
              <w14:schemeClr w14:val="tx1"/>
            </w14:solidFill>
          </w14:textFill>
        </w:rPr>
        <w:t>The Art of Leadership</w:t>
      </w:r>
      <w:r>
        <w:rPr>
          <w:color w:val="000000" w:themeColor="text1"/>
          <w14:textFill>
            <w14:solidFill>
              <w14:schemeClr w14:val="tx1"/>
            </w14:solidFill>
          </w14:textFill>
        </w:rPr>
        <w:t>. Tata McGraw-Hill Education.</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Matzler, K., Schwarz, E., Deutinger, N., &amp; Harms, R. (2008). The relationship between transformational leadership, product innovation and performance in SMEs. </w:t>
      </w:r>
      <w:r>
        <w:rPr>
          <w:i/>
          <w:iCs/>
          <w:color w:val="000000" w:themeColor="text1"/>
          <w14:textFill>
            <w14:solidFill>
              <w14:schemeClr w14:val="tx1"/>
            </w14:solidFill>
          </w14:textFill>
        </w:rPr>
        <w:t>Journal of Small Business &amp; Entrepreneurship</w:t>
      </w:r>
      <w:r>
        <w:rPr>
          <w:color w:val="000000" w:themeColor="text1"/>
          <w14:textFill>
            <w14:solidFill>
              <w14:schemeClr w14:val="tx1"/>
            </w14:solidFill>
          </w14:textFill>
        </w:rPr>
        <w:t>, </w:t>
      </w:r>
      <w:r>
        <w:rPr>
          <w:i/>
          <w:iCs/>
          <w:color w:val="000000" w:themeColor="text1"/>
          <w14:textFill>
            <w14:solidFill>
              <w14:schemeClr w14:val="tx1"/>
            </w14:solidFill>
          </w14:textFill>
        </w:rPr>
        <w:t>21</w:t>
      </w:r>
      <w:r>
        <w:rPr>
          <w:color w:val="000000" w:themeColor="text1"/>
          <w14:textFill>
            <w14:solidFill>
              <w14:schemeClr w14:val="tx1"/>
            </w14:solidFill>
          </w14:textFill>
        </w:rPr>
        <w:t xml:space="preserve">(2), 139-151. DOI: </w:t>
      </w:r>
      <w:r>
        <w:rPr>
          <w:rStyle w:val="90"/>
        </w:rPr>
        <w:t>10.1080/08276331.2008.10593418</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McCormick, K. &amp; Salcedo, J. (2017). </w:t>
      </w:r>
      <w:r>
        <w:rPr>
          <w:i/>
          <w:iCs/>
          <w:color w:val="000000" w:themeColor="text1"/>
          <w14:textFill>
            <w14:solidFill>
              <w14:schemeClr w14:val="tx1"/>
            </w14:solidFill>
          </w14:textFill>
        </w:rPr>
        <w:t>SPSS Statistics for Data Analysis and Visualization</w:t>
      </w:r>
      <w:r>
        <w:rPr>
          <w:color w:val="000000" w:themeColor="text1"/>
          <w14:textFill>
            <w14:solidFill>
              <w14:schemeClr w14:val="tx1"/>
            </w14:solidFill>
          </w14:textFill>
        </w:rPr>
        <w:t>. John Wiley &amp; Sons.</w:t>
      </w:r>
    </w:p>
    <w:p>
      <w:pPr>
        <w:ind w:left="720" w:hanging="720"/>
        <w:rPr>
          <w:rStyle w:val="90"/>
          <w:color w:val="000000" w:themeColor="text1"/>
          <w:u w:val="none"/>
          <w14:textFill>
            <w14:solidFill>
              <w14:schemeClr w14:val="tx1"/>
            </w14:solidFill>
          </w14:textFill>
        </w:rPr>
      </w:pPr>
      <w:r>
        <w:rPr>
          <w:color w:val="000000" w:themeColor="text1"/>
          <w14:textFill>
            <w14:solidFill>
              <w14:schemeClr w14:val="tx1"/>
            </w14:solidFill>
          </w14:textFill>
        </w:rPr>
        <w:t>Mencl, J., Wefald, A. J., &amp; van Ittersum, K. W. (2016). Transformational leader attributes: interpersonal skills, engagement, and well-being. </w:t>
      </w:r>
      <w:r>
        <w:rPr>
          <w:i/>
          <w:iCs/>
          <w:color w:val="000000" w:themeColor="text1"/>
          <w14:textFill>
            <w14:solidFill>
              <w14:schemeClr w14:val="tx1"/>
            </w14:solidFill>
          </w14:textFill>
        </w:rPr>
        <w:t>Leadership and Organization Development Journal</w:t>
      </w:r>
      <w:r>
        <w:rPr>
          <w:color w:val="000000" w:themeColor="text1"/>
          <w14:textFill>
            <w14:solidFill>
              <w14:schemeClr w14:val="tx1"/>
            </w14:solidFill>
          </w14:textFill>
        </w:rPr>
        <w:t>, </w:t>
      </w:r>
      <w:r>
        <w:rPr>
          <w:i/>
          <w:iCs/>
          <w:color w:val="000000" w:themeColor="text1"/>
          <w14:textFill>
            <w14:solidFill>
              <w14:schemeClr w14:val="tx1"/>
            </w14:solidFill>
          </w14:textFill>
        </w:rPr>
        <w:t>37</w:t>
      </w:r>
      <w:r>
        <w:rPr>
          <w:color w:val="000000" w:themeColor="text1"/>
          <w14:textFill>
            <w14:solidFill>
              <w14:schemeClr w14:val="tx1"/>
            </w14:solidFill>
          </w14:textFill>
        </w:rPr>
        <w:t xml:space="preserve">(5), 635-657. DOI: </w:t>
      </w:r>
      <w:r>
        <w:rPr>
          <w:rStyle w:val="90"/>
        </w:rPr>
        <w:t>10.1108/LODJ-09-2014-0178</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Moser, C. A. </w:t>
      </w:r>
      <w:r>
        <w:rPr>
          <w:color w:val="000000" w:themeColor="text1"/>
          <w14:textFill>
            <w14:solidFill>
              <w14:schemeClr w14:val="tx1"/>
            </w14:solidFill>
          </w14:textFill>
        </w:rPr>
        <w:t xml:space="preserve">&amp; </w:t>
      </w:r>
      <w:r>
        <w:rPr>
          <w:rFonts w:cs="Times New Roman"/>
          <w:color w:val="000000" w:themeColor="text1"/>
          <w14:textFill>
            <w14:solidFill>
              <w14:schemeClr w14:val="tx1"/>
            </w14:solidFill>
          </w14:textFill>
        </w:rPr>
        <w:t>Kalton, G. (2017). </w:t>
      </w:r>
      <w:r>
        <w:rPr>
          <w:rFonts w:cs="Times New Roman"/>
          <w:i/>
          <w:iCs/>
          <w:color w:val="000000" w:themeColor="text1"/>
          <w14:textFill>
            <w14:solidFill>
              <w14:schemeClr w14:val="tx1"/>
            </w14:solidFill>
          </w14:textFill>
        </w:rPr>
        <w:t>Survey Methods in Social Investigation</w:t>
      </w:r>
      <w:r>
        <w:rPr>
          <w:rFonts w:cs="Times New Roman"/>
          <w:color w:val="000000" w:themeColor="text1"/>
          <w14:textFill>
            <w14:solidFill>
              <w14:schemeClr w14:val="tx1"/>
            </w14:solidFill>
          </w14:textFill>
        </w:rPr>
        <w:t>. Routledge.</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Murari, K. (2015). </w:t>
      </w:r>
      <w:r>
        <w:rPr>
          <w:i/>
          <w:iCs/>
          <w:color w:val="000000" w:themeColor="text1"/>
          <w14:textFill>
            <w14:solidFill>
              <w14:schemeClr w14:val="tx1"/>
            </w14:solidFill>
          </w14:textFill>
        </w:rPr>
        <w:t>Impact of Leadership Styles on Employee Empowerment</w:t>
      </w:r>
      <w:r>
        <w:rPr>
          <w:color w:val="000000" w:themeColor="text1"/>
          <w14:textFill>
            <w14:solidFill>
              <w14:schemeClr w14:val="tx1"/>
            </w14:solidFill>
          </w14:textFill>
        </w:rPr>
        <w:t>. Partridge Publishing.</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Mustajoki, H. </w:t>
      </w:r>
      <w:r>
        <w:rPr>
          <w:color w:val="000000" w:themeColor="text1"/>
          <w14:textFill>
            <w14:solidFill>
              <w14:schemeClr w14:val="tx1"/>
            </w14:solidFill>
          </w14:textFill>
        </w:rPr>
        <w:t xml:space="preserve">&amp; </w:t>
      </w:r>
      <w:r>
        <w:rPr>
          <w:rFonts w:cs="Times New Roman"/>
          <w:color w:val="000000" w:themeColor="text1"/>
          <w14:textFill>
            <w14:solidFill>
              <w14:schemeClr w14:val="tx1"/>
            </w14:solidFill>
          </w14:textFill>
        </w:rPr>
        <w:t>Mustajoki, A. (2017). </w:t>
      </w:r>
      <w:r>
        <w:rPr>
          <w:rFonts w:cs="Times New Roman"/>
          <w:i/>
          <w:iCs/>
          <w:color w:val="000000" w:themeColor="text1"/>
          <w14:textFill>
            <w14:solidFill>
              <w14:schemeClr w14:val="tx1"/>
            </w14:solidFill>
          </w14:textFill>
        </w:rPr>
        <w:t>A New Approach to Research Ethics: Using Guided Dialogue to Strengthen Research Communities</w:t>
      </w:r>
      <w:r>
        <w:rPr>
          <w:rFonts w:cs="Times New Roman"/>
          <w:color w:val="000000" w:themeColor="text1"/>
          <w14:textFill>
            <w14:solidFill>
              <w14:schemeClr w14:val="tx1"/>
            </w14:solidFill>
          </w14:textFill>
        </w:rPr>
        <w:t>. Routledge.</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Nanjundeswaraswamy, T. S., &amp; Swamy, D. R. (2014). Leadership styles. </w:t>
      </w:r>
      <w:r>
        <w:rPr>
          <w:i/>
          <w:iCs/>
          <w:color w:val="000000" w:themeColor="text1"/>
          <w14:textFill>
            <w14:solidFill>
              <w14:schemeClr w14:val="tx1"/>
            </w14:solidFill>
          </w14:textFill>
        </w:rPr>
        <w:t>Advances in Management</w:t>
      </w:r>
      <w:r>
        <w:rPr>
          <w:color w:val="000000" w:themeColor="text1"/>
          <w14:textFill>
            <w14:solidFill>
              <w14:schemeClr w14:val="tx1"/>
            </w14:solidFill>
          </w14:textFill>
        </w:rPr>
        <w:t>, </w:t>
      </w:r>
      <w:r>
        <w:rPr>
          <w:i/>
          <w:iCs/>
          <w:color w:val="000000" w:themeColor="text1"/>
          <w14:textFill>
            <w14:solidFill>
              <w14:schemeClr w14:val="tx1"/>
            </w14:solidFill>
          </w14:textFill>
        </w:rPr>
        <w:t>7</w:t>
      </w:r>
      <w:r>
        <w:rPr>
          <w:color w:val="000000" w:themeColor="text1"/>
          <w14:textFill>
            <w14:solidFill>
              <w14:schemeClr w14:val="tx1"/>
            </w14:solidFill>
          </w14:textFill>
        </w:rPr>
        <w:t xml:space="preserve">(2), 57-62. </w:t>
      </w:r>
      <w:r>
        <w:fldChar w:fldCharType="begin"/>
      </w:r>
      <w:r>
        <w:instrText xml:space="preserve"> HYPERLINK "https://www.mnsu.edu/activities/leadership/leadership_styles.pdf" </w:instrText>
      </w:r>
      <w:r>
        <w:fldChar w:fldCharType="separate"/>
      </w:r>
      <w:r>
        <w:rPr>
          <w:rStyle w:val="90"/>
        </w:rPr>
        <w:t>https://www.mnsu.edu/activities/leadership/leadership_styles.pdf</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Northouse, P.G. (2014). </w:t>
      </w:r>
      <w:r>
        <w:rPr>
          <w:i/>
          <w:iCs/>
          <w:color w:val="000000" w:themeColor="text1"/>
          <w14:textFill>
            <w14:solidFill>
              <w14:schemeClr w14:val="tx1"/>
            </w14:solidFill>
          </w14:textFill>
        </w:rPr>
        <w:t>Introduction to Leadership: Concepts and Practice</w:t>
      </w:r>
      <w:r>
        <w:rPr>
          <w:color w:val="000000" w:themeColor="text1"/>
          <w14:textFill>
            <w14:solidFill>
              <w14:schemeClr w14:val="tx1"/>
            </w14:solidFill>
          </w14:textFill>
        </w:rPr>
        <w:t>. Sage.</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Nunkoo, R. ed. (2018). </w:t>
      </w:r>
      <w:r>
        <w:rPr>
          <w:i/>
          <w:iCs/>
          <w:color w:val="000000" w:themeColor="text1"/>
          <w14:textFill>
            <w14:solidFill>
              <w14:schemeClr w14:val="tx1"/>
            </w14:solidFill>
          </w14:textFill>
        </w:rPr>
        <w:t>Handbook of Research Methods for Tourism and Hospitality Management</w:t>
      </w:r>
      <w:r>
        <w:rPr>
          <w:color w:val="000000" w:themeColor="text1"/>
          <w14:textFill>
            <w14:solidFill>
              <w14:schemeClr w14:val="tx1"/>
            </w14:solidFill>
          </w14:textFill>
        </w:rPr>
        <w:t>. Edward Elgar Publishing.</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Obiwuru, T. C., Okwu, A. T., Akpa, V. O., &amp; Nwankwere, I. A. (2011). Effects of leadership style on organizational performance: A survey of selected small scale enterprises in Ikosi-Ketu council development area of Lagos State, Nigeria. </w:t>
      </w:r>
      <w:r>
        <w:rPr>
          <w:i/>
          <w:iCs/>
          <w:color w:val="000000" w:themeColor="text1"/>
          <w14:textFill>
            <w14:solidFill>
              <w14:schemeClr w14:val="tx1"/>
            </w14:solidFill>
          </w14:textFill>
        </w:rPr>
        <w:t>Australian Journal of Business and Management Research</w:t>
      </w:r>
      <w:r>
        <w:rPr>
          <w:color w:val="000000" w:themeColor="text1"/>
          <w14:textFill>
            <w14:solidFill>
              <w14:schemeClr w14:val="tx1"/>
            </w14:solidFill>
          </w14:textFill>
        </w:rPr>
        <w:t>, </w:t>
      </w:r>
      <w:r>
        <w:rPr>
          <w:i/>
          <w:iCs/>
          <w:color w:val="000000" w:themeColor="text1"/>
          <w14:textFill>
            <w14:solidFill>
              <w14:schemeClr w14:val="tx1"/>
            </w14:solidFill>
          </w14:textFill>
        </w:rPr>
        <w:t>1</w:t>
      </w:r>
      <w:r>
        <w:rPr>
          <w:color w:val="000000" w:themeColor="text1"/>
          <w14:textFill>
            <w14:solidFill>
              <w14:schemeClr w14:val="tx1"/>
            </w14:solidFill>
          </w14:textFill>
        </w:rPr>
        <w:t xml:space="preserve">(7), 100-111. </w:t>
      </w:r>
      <w:r>
        <w:fldChar w:fldCharType="begin"/>
      </w:r>
      <w:r>
        <w:instrText xml:space="preserve"> HYPERLINK "https://pdfs.semanticscholar.org/de19/2c5cdc22705ed0e105a29fc9d02e730e8283.pdf" </w:instrText>
      </w:r>
      <w:r>
        <w:fldChar w:fldCharType="separate"/>
      </w:r>
      <w:r>
        <w:rPr>
          <w:rStyle w:val="90"/>
        </w:rPr>
        <w:t>https://pdfs.semanticscholar.org/de19/2c5cdc22705ed0e105a29fc9d02e730e8283.pdf</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Ojokuku, R. M., Odetayo, T. A., &amp; Sajuyigbe, A. S. (2012). Impact of leadership style on organizational performance: a case study of Nigerian banks. </w:t>
      </w:r>
      <w:r>
        <w:rPr>
          <w:i/>
          <w:iCs/>
          <w:color w:val="000000" w:themeColor="text1"/>
          <w14:textFill>
            <w14:solidFill>
              <w14:schemeClr w14:val="tx1"/>
            </w14:solidFill>
          </w14:textFill>
        </w:rPr>
        <w:t>American Journal of Business and Management</w:t>
      </w:r>
      <w:r>
        <w:rPr>
          <w:color w:val="000000" w:themeColor="text1"/>
          <w14:textFill>
            <w14:solidFill>
              <w14:schemeClr w14:val="tx1"/>
            </w14:solidFill>
          </w14:textFill>
        </w:rPr>
        <w:t>, </w:t>
      </w:r>
      <w:r>
        <w:rPr>
          <w:i/>
          <w:iCs/>
          <w:color w:val="000000" w:themeColor="text1"/>
          <w14:textFill>
            <w14:solidFill>
              <w14:schemeClr w14:val="tx1"/>
            </w14:solidFill>
          </w14:textFill>
        </w:rPr>
        <w:t>1</w:t>
      </w:r>
      <w:r>
        <w:rPr>
          <w:color w:val="000000" w:themeColor="text1"/>
          <w14:textFill>
            <w14:solidFill>
              <w14:schemeClr w14:val="tx1"/>
            </w14:solidFill>
          </w14:textFill>
        </w:rPr>
        <w:t xml:space="preserve">(4), 202-207. </w:t>
      </w:r>
      <w:r>
        <w:fldChar w:fldCharType="begin"/>
      </w:r>
      <w:r>
        <w:instrText xml:space="preserve"> HYPERLINK "https://pdfs.semanticscholar.org/30be/16b9c137c4baed890af761c40109fe4255bb.pdf" </w:instrText>
      </w:r>
      <w:r>
        <w:fldChar w:fldCharType="separate"/>
      </w:r>
      <w:r>
        <w:rPr>
          <w:rStyle w:val="90"/>
        </w:rPr>
        <w:t>https://pdfs.semanticscholar.org/30be/16b9c137c4baed890af761c40109fe4255bb.pdf</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Oliver, P. (2010). </w:t>
      </w:r>
      <w:r>
        <w:rPr>
          <w:i/>
          <w:iCs/>
          <w:color w:val="000000" w:themeColor="text1"/>
          <w14:textFill>
            <w14:solidFill>
              <w14:schemeClr w14:val="tx1"/>
            </w14:solidFill>
          </w14:textFill>
        </w:rPr>
        <w:t>The Student's Guide to Research Ethics</w:t>
      </w:r>
      <w:r>
        <w:rPr>
          <w:color w:val="000000" w:themeColor="text1"/>
          <w14:textFill>
            <w14:solidFill>
              <w14:schemeClr w14:val="tx1"/>
            </w14:solidFill>
          </w14:textFill>
        </w:rPr>
        <w:t>. McGraw-Hill Education.</w:t>
      </w:r>
    </w:p>
    <w:p>
      <w:pPr>
        <w:ind w:left="720" w:hanging="720"/>
        <w:rPr>
          <w:rStyle w:val="90"/>
          <w:color w:val="000000" w:themeColor="text1"/>
          <w:u w:val="none"/>
          <w14:textFill>
            <w14:solidFill>
              <w14:schemeClr w14:val="tx1"/>
            </w14:solidFill>
          </w14:textFill>
        </w:rPr>
      </w:pPr>
      <w:r>
        <w:rPr>
          <w:color w:val="000000" w:themeColor="text1"/>
          <w14:textFill>
            <w14:solidFill>
              <w14:schemeClr w14:val="tx1"/>
            </w14:solidFill>
          </w14:textFill>
        </w:rPr>
        <w:t>Orabi, T. G. A. (2016). The impact of transformational leadership style on organizational performance: Evidence from Jordan. </w:t>
      </w:r>
      <w:r>
        <w:rPr>
          <w:i/>
          <w:iCs/>
          <w:color w:val="000000" w:themeColor="text1"/>
          <w14:textFill>
            <w14:solidFill>
              <w14:schemeClr w14:val="tx1"/>
            </w14:solidFill>
          </w14:textFill>
        </w:rPr>
        <w:t>International Journal of Human Resource Studies</w:t>
      </w:r>
      <w:r>
        <w:rPr>
          <w:color w:val="000000" w:themeColor="text1"/>
          <w14:textFill>
            <w14:solidFill>
              <w14:schemeClr w14:val="tx1"/>
            </w14:solidFill>
          </w14:textFill>
        </w:rPr>
        <w:t>, </w:t>
      </w:r>
      <w:r>
        <w:rPr>
          <w:i/>
          <w:iCs/>
          <w:color w:val="000000" w:themeColor="text1"/>
          <w14:textFill>
            <w14:solidFill>
              <w14:schemeClr w14:val="tx1"/>
            </w14:solidFill>
          </w14:textFill>
        </w:rPr>
        <w:t>6</w:t>
      </w:r>
      <w:r>
        <w:rPr>
          <w:color w:val="000000" w:themeColor="text1"/>
          <w14:textFill>
            <w14:solidFill>
              <w14:schemeClr w14:val="tx1"/>
            </w14:solidFill>
          </w14:textFill>
        </w:rPr>
        <w:t xml:space="preserve">(2), 89-102. DOI: </w:t>
      </w:r>
      <w:r>
        <w:rPr>
          <w:rStyle w:val="90"/>
        </w:rPr>
        <w:t>10.5296/ijhrs.v6i2.9427</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Qu, S.Q. &amp; Dumay, J. (2011). The qualitative research interview. </w:t>
      </w:r>
      <w:r>
        <w:rPr>
          <w:i/>
          <w:iCs/>
          <w:color w:val="000000" w:themeColor="text1"/>
          <w14:textFill>
            <w14:solidFill>
              <w14:schemeClr w14:val="tx1"/>
            </w14:solidFill>
          </w14:textFill>
        </w:rPr>
        <w:t>Qualitative Research in Accounting &amp; Management</w:t>
      </w:r>
      <w:r>
        <w:rPr>
          <w:i/>
          <w:color w:val="000000" w:themeColor="text1"/>
          <w14:textFill>
            <w14:solidFill>
              <w14:schemeClr w14:val="tx1"/>
            </w14:solidFill>
          </w14:textFill>
        </w:rPr>
        <w:t>. 8</w:t>
      </w:r>
      <w:r>
        <w:rPr>
          <w:color w:val="000000" w:themeColor="text1"/>
          <w14:textFill>
            <w14:solidFill>
              <w14:schemeClr w14:val="tx1"/>
            </w14:solidFill>
          </w14:textFill>
        </w:rPr>
        <w:t xml:space="preserve">(3). </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Quinlan, C., Babin, B., Carr, J. </w:t>
      </w:r>
      <w:r>
        <w:rPr>
          <w:color w:val="000000" w:themeColor="text1"/>
          <w14:textFill>
            <w14:solidFill>
              <w14:schemeClr w14:val="tx1"/>
            </w14:solidFill>
          </w14:textFill>
        </w:rPr>
        <w:t xml:space="preserve">&amp; </w:t>
      </w:r>
      <w:r>
        <w:rPr>
          <w:rFonts w:cs="Times New Roman"/>
          <w:color w:val="000000" w:themeColor="text1"/>
          <w14:textFill>
            <w14:solidFill>
              <w14:schemeClr w14:val="tx1"/>
            </w14:solidFill>
          </w14:textFill>
        </w:rPr>
        <w:t>Griffin, M. (2019). </w:t>
      </w:r>
      <w:r>
        <w:rPr>
          <w:rFonts w:cs="Times New Roman"/>
          <w:i/>
          <w:iCs/>
          <w:color w:val="000000" w:themeColor="text1"/>
          <w14:textFill>
            <w14:solidFill>
              <w14:schemeClr w14:val="tx1"/>
            </w14:solidFill>
          </w14:textFill>
        </w:rPr>
        <w:t>Business Research Methods</w:t>
      </w:r>
      <w:r>
        <w:rPr>
          <w:rFonts w:cs="Times New Roman"/>
          <w:color w:val="000000" w:themeColor="text1"/>
          <w14:textFill>
            <w14:solidFill>
              <w14:schemeClr w14:val="tx1"/>
            </w14:solidFill>
          </w14:textFill>
        </w:rPr>
        <w:t>. Cengage.</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Saasongu, N. (2015). Effects of leadership style on organizational performance in small and medium scale enterprises (SMEs) in Nigeria. </w:t>
      </w:r>
      <w:r>
        <w:rPr>
          <w:i/>
          <w:iCs/>
          <w:color w:val="000000" w:themeColor="text1"/>
          <w14:textFill>
            <w14:solidFill>
              <w14:schemeClr w14:val="tx1"/>
            </w14:solidFill>
          </w14:textFill>
        </w:rPr>
        <w:t>International Journal of Research in Management &amp; Business Studies</w:t>
      </w:r>
      <w:r>
        <w:rPr>
          <w:color w:val="000000" w:themeColor="text1"/>
          <w14:textFill>
            <w14:solidFill>
              <w14:schemeClr w14:val="tx1"/>
            </w14:solidFill>
          </w14:textFill>
        </w:rPr>
        <w:t>, </w:t>
      </w:r>
      <w:r>
        <w:rPr>
          <w:i/>
          <w:iCs/>
          <w:color w:val="000000" w:themeColor="text1"/>
          <w14:textFill>
            <w14:solidFill>
              <w14:schemeClr w14:val="tx1"/>
            </w14:solidFill>
          </w14:textFill>
        </w:rPr>
        <w:t>2</w:t>
      </w:r>
      <w:r>
        <w:rPr>
          <w:color w:val="000000" w:themeColor="text1"/>
          <w14:textFill>
            <w14:solidFill>
              <w14:schemeClr w14:val="tx1"/>
            </w14:solidFill>
          </w14:textFill>
        </w:rPr>
        <w:t xml:space="preserve">(2), 23-30. </w:t>
      </w:r>
      <w:r>
        <w:fldChar w:fldCharType="begin"/>
      </w:r>
      <w:r>
        <w:instrText xml:space="preserve"> HYPERLINK "http://ijrmbs.com/vol2issue2/nongo.pdf" </w:instrText>
      </w:r>
      <w:r>
        <w:fldChar w:fldCharType="separate"/>
      </w:r>
      <w:r>
        <w:rPr>
          <w:rStyle w:val="90"/>
        </w:rPr>
        <w:t>http://ijrmbs.com/vol2issue2/nongo.pdf</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Saleh, R. M. M., Nusari, M., Habtoor, N., &amp; Isaac, O. (2018). The Effect of Leadership Style on Organizational Performance: Organizational Commitment as a Mediator Variable in the Manufacturing Sector of Yemen. </w:t>
      </w:r>
      <w:r>
        <w:rPr>
          <w:i/>
          <w:iCs/>
          <w:color w:val="000000" w:themeColor="text1"/>
          <w14:textFill>
            <w14:solidFill>
              <w14:schemeClr w14:val="tx1"/>
            </w14:solidFill>
          </w14:textFill>
        </w:rPr>
        <w:t>International Journal of Management and Human Science</w:t>
      </w:r>
      <w:r>
        <w:rPr>
          <w:color w:val="000000" w:themeColor="text1"/>
          <w14:textFill>
            <w14:solidFill>
              <w14:schemeClr w14:val="tx1"/>
            </w14:solidFill>
          </w14:textFill>
        </w:rPr>
        <w:t>, </w:t>
      </w:r>
      <w:r>
        <w:rPr>
          <w:i/>
          <w:iCs/>
          <w:color w:val="000000" w:themeColor="text1"/>
          <w14:textFill>
            <w14:solidFill>
              <w14:schemeClr w14:val="tx1"/>
            </w14:solidFill>
          </w14:textFill>
        </w:rPr>
        <w:t>2</w:t>
      </w:r>
      <w:r>
        <w:rPr>
          <w:color w:val="000000" w:themeColor="text1"/>
          <w14:textFill>
            <w14:solidFill>
              <w14:schemeClr w14:val="tx1"/>
            </w14:solidFill>
          </w14:textFill>
        </w:rPr>
        <w:t>(4), 13-24.</w:t>
      </w:r>
      <w:r>
        <w:t xml:space="preserve"> </w:t>
      </w:r>
      <w:r>
        <w:fldChar w:fldCharType="begin"/>
      </w:r>
      <w:r>
        <w:instrText xml:space="preserve"> HYPERLINK "https://www.researchgate.net/publication/328513524_The_Effect_of_Leadership_Style_on_Organizational_Performance_Organizational_Commitment_as_a_Mediator_Variable_in_the_Manufacturing_Sector_of_Yemen" </w:instrText>
      </w:r>
      <w:r>
        <w:fldChar w:fldCharType="separate"/>
      </w:r>
      <w:r>
        <w:rPr>
          <w:rStyle w:val="90"/>
        </w:rPr>
        <w:t>https://www.researchgate.net/publication/328513524_The_Effect_of_Leadership_Style_on_Organizational_Performance_Organizational_Commitment_as_a_Mediator_Variable_in_the_Manufacturing_Sector_of_Yemen</w:t>
      </w:r>
      <w:r>
        <w:rPr>
          <w:rStyle w:val="90"/>
        </w:rPr>
        <w:fldChar w:fldCharType="end"/>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Saris, W.E. </w:t>
      </w:r>
      <w:r>
        <w:rPr>
          <w:color w:val="000000" w:themeColor="text1"/>
          <w14:textFill>
            <w14:solidFill>
              <w14:schemeClr w14:val="tx1"/>
            </w14:solidFill>
          </w14:textFill>
        </w:rPr>
        <w:t xml:space="preserve">&amp; </w:t>
      </w:r>
      <w:r>
        <w:rPr>
          <w:rFonts w:cs="Times New Roman"/>
          <w:color w:val="000000" w:themeColor="text1"/>
          <w14:textFill>
            <w14:solidFill>
              <w14:schemeClr w14:val="tx1"/>
            </w14:solidFill>
          </w14:textFill>
        </w:rPr>
        <w:t>Gallhofer, I.N. (2014). </w:t>
      </w:r>
      <w:r>
        <w:rPr>
          <w:rFonts w:cs="Times New Roman"/>
          <w:i/>
          <w:iCs/>
          <w:color w:val="000000" w:themeColor="text1"/>
          <w14:textFill>
            <w14:solidFill>
              <w14:schemeClr w14:val="tx1"/>
            </w14:solidFill>
          </w14:textFill>
        </w:rPr>
        <w:t>Design, Evaluation, and Analysis of Questionnaires for Survey Research</w:t>
      </w:r>
      <w:r>
        <w:rPr>
          <w:rFonts w:cs="Times New Roman"/>
          <w:color w:val="000000" w:themeColor="text1"/>
          <w14:textFill>
            <w14:solidFill>
              <w14:schemeClr w14:val="tx1"/>
            </w14:solidFill>
          </w14:textFill>
        </w:rPr>
        <w:t>. John Wiley &amp; Sons.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Saunders, M. N. (2011). </w:t>
      </w:r>
      <w:r>
        <w:rPr>
          <w:i/>
          <w:iCs/>
          <w:color w:val="000000" w:themeColor="text1"/>
          <w14:textFill>
            <w14:solidFill>
              <w14:schemeClr w14:val="tx1"/>
            </w14:solidFill>
          </w14:textFill>
        </w:rPr>
        <w:t>Research Methods for Business Students, 5/e</w:t>
      </w:r>
      <w:r>
        <w:rPr>
          <w:color w:val="000000" w:themeColor="text1"/>
          <w14:textFill>
            <w14:solidFill>
              <w14:schemeClr w14:val="tx1"/>
            </w14:solidFill>
          </w14:textFill>
        </w:rPr>
        <w:t>. Pearson Education India.</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 xml:space="preserve">Saunders, M., Lewis, P. &amp; Thornhill, A. (2012). </w:t>
      </w:r>
      <w:r>
        <w:rPr>
          <w:i/>
          <w:color w:val="000000" w:themeColor="text1"/>
          <w14:textFill>
            <w14:solidFill>
              <w14:schemeClr w14:val="tx1"/>
            </w14:solidFill>
          </w14:textFill>
        </w:rPr>
        <w:t>Research Philosophy in the ‘Research Onion’</w:t>
      </w:r>
      <w:r>
        <w:rPr>
          <w:color w:val="000000" w:themeColor="text1"/>
          <w14:textFill>
            <w14:solidFill>
              <w14:schemeClr w14:val="tx1"/>
            </w14:solidFill>
          </w14:textFill>
        </w:rPr>
        <w:t xml:space="preserve">. Pearson Education Limited. </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Schein, E. H. (2010). </w:t>
      </w:r>
      <w:r>
        <w:rPr>
          <w:i/>
          <w:iCs/>
          <w:color w:val="000000" w:themeColor="text1"/>
          <w14:textFill>
            <w14:solidFill>
              <w14:schemeClr w14:val="tx1"/>
            </w14:solidFill>
          </w14:textFill>
        </w:rPr>
        <w:t>Organizational Culture and Leadership</w:t>
      </w:r>
      <w:r>
        <w:rPr>
          <w:color w:val="000000" w:themeColor="text1"/>
          <w14:textFill>
            <w14:solidFill>
              <w14:schemeClr w14:val="tx1"/>
            </w14:solidFill>
          </w14:textFill>
        </w:rPr>
        <w:t> (Vol. 2). John Wiley &amp; Sons.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 xml:space="preserve">Schooley, S. (2019, September 29). </w:t>
      </w:r>
      <w:r>
        <w:rPr>
          <w:i/>
          <w:color w:val="000000" w:themeColor="text1"/>
          <w14:textFill>
            <w14:solidFill>
              <w14:schemeClr w14:val="tx1"/>
            </w14:solidFill>
          </w14:textFill>
        </w:rPr>
        <w:t>What Kind of Leader are You? 9 Leadership Types and Their Strengths</w:t>
      </w:r>
      <w:r>
        <w:rPr>
          <w:color w:val="000000" w:themeColor="text1"/>
          <w14:textFill>
            <w14:solidFill>
              <w14:schemeClr w14:val="tx1"/>
            </w14:solidFill>
          </w14:textFill>
        </w:rPr>
        <w:t xml:space="preserve">. </w:t>
      </w:r>
      <w:r>
        <w:fldChar w:fldCharType="begin"/>
      </w:r>
      <w:r>
        <w:instrText xml:space="preserve"> HYPERLINK "https://www.businessnewsdaily.com/9789-leadership-types.html" </w:instrText>
      </w:r>
      <w:r>
        <w:fldChar w:fldCharType="separate"/>
      </w:r>
      <w:r>
        <w:rPr>
          <w:rStyle w:val="90"/>
        </w:rPr>
        <w:t>https://www.businessnewsdaily.com/9789-leadership-types.html</w:t>
      </w:r>
      <w:r>
        <w:rPr>
          <w:rStyle w:val="90"/>
        </w:rPr>
        <w:fldChar w:fldCharType="end"/>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Sekaran, U. </w:t>
      </w:r>
      <w:r>
        <w:rPr>
          <w:color w:val="000000" w:themeColor="text1"/>
          <w14:textFill>
            <w14:solidFill>
              <w14:schemeClr w14:val="tx1"/>
            </w14:solidFill>
          </w14:textFill>
        </w:rPr>
        <w:t xml:space="preserve">&amp; </w:t>
      </w:r>
      <w:r>
        <w:rPr>
          <w:rFonts w:cs="Times New Roman"/>
          <w:color w:val="000000" w:themeColor="text1"/>
          <w14:textFill>
            <w14:solidFill>
              <w14:schemeClr w14:val="tx1"/>
            </w14:solidFill>
          </w14:textFill>
        </w:rPr>
        <w:t>Bougie, R. (2016). </w:t>
      </w:r>
      <w:r>
        <w:rPr>
          <w:rFonts w:cs="Times New Roman"/>
          <w:i/>
          <w:iCs/>
          <w:color w:val="000000" w:themeColor="text1"/>
          <w14:textFill>
            <w14:solidFill>
              <w14:schemeClr w14:val="tx1"/>
            </w14:solidFill>
          </w14:textFill>
        </w:rPr>
        <w:t>Research Methods for Business: A Skill Building Approach</w:t>
      </w:r>
      <w:r>
        <w:rPr>
          <w:rFonts w:cs="Times New Roman"/>
          <w:color w:val="000000" w:themeColor="text1"/>
          <w14:textFill>
            <w14:solidFill>
              <w14:schemeClr w14:val="tx1"/>
            </w14:solidFill>
          </w14:textFill>
        </w:rPr>
        <w:t>. John Wiley &amp; Sons.</w:t>
      </w:r>
    </w:p>
    <w:p>
      <w:pPr>
        <w:ind w:left="720" w:hanging="720"/>
        <w:rPr>
          <w:color w:val="000000" w:themeColor="text1"/>
          <w14:textFill>
            <w14:solidFill>
              <w14:schemeClr w14:val="tx1"/>
            </w14:solidFill>
          </w14:textFill>
        </w:rPr>
      </w:pPr>
      <w:r>
        <w:t xml:space="preserve">Seth, M., (2017, February 17). </w:t>
      </w:r>
      <w:r>
        <w:rPr>
          <w:i/>
        </w:rPr>
        <w:t>Leadership in SMEs</w:t>
      </w:r>
      <w:r>
        <w:t xml:space="preserve">. </w:t>
      </w:r>
      <w:r>
        <w:fldChar w:fldCharType="begin"/>
      </w:r>
      <w:r>
        <w:instrText xml:space="preserve"> HYPERLINK "https://www.peoplematters.in/article/leadership/leadership-in-smes-14983" </w:instrText>
      </w:r>
      <w:r>
        <w:fldChar w:fldCharType="separate"/>
      </w:r>
      <w:r>
        <w:rPr>
          <w:rStyle w:val="90"/>
        </w:rPr>
        <w:t>https://www.peoplematters.in/article/leadership/leadership-in-smes-14983</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Singh, S. K., Burgess, T. F., Heap, J., Almatrooshi, B., &amp; Farouk, S. (2016). Determinants of organizational performance: a proposed framework. </w:t>
      </w:r>
      <w:r>
        <w:rPr>
          <w:i/>
          <w:iCs/>
          <w:color w:val="000000" w:themeColor="text1"/>
          <w14:textFill>
            <w14:solidFill>
              <w14:schemeClr w14:val="tx1"/>
            </w14:solidFill>
          </w14:textFill>
        </w:rPr>
        <w:t>International Journal of Productivity and Performance Management</w:t>
      </w:r>
      <w:r>
        <w:rPr>
          <w:i/>
          <w:color w:val="000000" w:themeColor="text1"/>
          <w14:textFill>
            <w14:solidFill>
              <w14:schemeClr w14:val="tx1"/>
            </w14:solidFill>
          </w14:textFill>
        </w:rPr>
        <w:t>, 65</w:t>
      </w:r>
      <w:r>
        <w:rPr>
          <w:color w:val="000000" w:themeColor="text1"/>
          <w14:textFill>
            <w14:solidFill>
              <w14:schemeClr w14:val="tx1"/>
            </w14:solidFill>
          </w14:textFill>
        </w:rPr>
        <w:t xml:space="preserve">(6), 844-859. DOI: </w:t>
      </w:r>
      <w:r>
        <w:rPr>
          <w:rStyle w:val="90"/>
        </w:rPr>
        <w:t>10.1108/IJPPM-02-2016-0038</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Stehlik-Barry, K. &amp; Babinec, A.J. (2017). </w:t>
      </w:r>
      <w:r>
        <w:rPr>
          <w:i/>
          <w:iCs/>
          <w:color w:val="000000" w:themeColor="text1"/>
          <w14:textFill>
            <w14:solidFill>
              <w14:schemeClr w14:val="tx1"/>
            </w14:solidFill>
          </w14:textFill>
        </w:rPr>
        <w:t>Data Analysis with IBM SPSS Statistics</w:t>
      </w:r>
      <w:r>
        <w:rPr>
          <w:color w:val="000000" w:themeColor="text1"/>
          <w14:textFill>
            <w14:solidFill>
              <w14:schemeClr w14:val="tx1"/>
            </w14:solidFill>
          </w14:textFill>
        </w:rPr>
        <w:t>. Packt Publishing Ltd.</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Thompson, G., &amp; Glasø, L. (2018). Situational leadership theory: a test from a leader-follower congruence approach. </w:t>
      </w:r>
      <w:r>
        <w:rPr>
          <w:i/>
          <w:iCs/>
          <w:color w:val="000000" w:themeColor="text1"/>
          <w14:textFill>
            <w14:solidFill>
              <w14:schemeClr w14:val="tx1"/>
            </w14:solidFill>
          </w14:textFill>
        </w:rPr>
        <w:t>Leadership &amp; Organization Development Journal</w:t>
      </w:r>
      <w:r>
        <w:rPr>
          <w:color w:val="000000" w:themeColor="text1"/>
          <w14:textFill>
            <w14:solidFill>
              <w14:schemeClr w14:val="tx1"/>
            </w14:solidFill>
          </w14:textFill>
        </w:rPr>
        <w:t xml:space="preserve">, </w:t>
      </w:r>
      <w:r>
        <w:rPr>
          <w:i/>
          <w:color w:val="000000" w:themeColor="text1"/>
          <w14:textFill>
            <w14:solidFill>
              <w14:schemeClr w14:val="tx1"/>
            </w14:solidFill>
          </w14:textFill>
        </w:rPr>
        <w:t>39</w:t>
      </w:r>
      <w:r>
        <w:rPr>
          <w:color w:val="000000" w:themeColor="text1"/>
          <w14:textFill>
            <w14:solidFill>
              <w14:schemeClr w14:val="tx1"/>
            </w14:solidFill>
          </w14:textFill>
        </w:rPr>
        <w:t>(5),</w:t>
      </w:r>
      <w:r>
        <w:t xml:space="preserve"> </w:t>
      </w:r>
      <w:r>
        <w:rPr>
          <w:color w:val="000000" w:themeColor="text1"/>
          <w14:textFill>
            <w14:solidFill>
              <w14:schemeClr w14:val="tx1"/>
            </w14:solidFill>
          </w14:textFill>
        </w:rPr>
        <w:t xml:space="preserve">574-591. </w:t>
      </w:r>
      <w:r>
        <w:fldChar w:fldCharType="begin"/>
      </w:r>
      <w:r>
        <w:instrText xml:space="preserve"> HYPERLINK "https://doi.org/10.1108/LODJ-01-2018-0050" </w:instrText>
      </w:r>
      <w:r>
        <w:fldChar w:fldCharType="separate"/>
      </w:r>
      <w:r>
        <w:rPr>
          <w:rStyle w:val="90"/>
        </w:rPr>
        <w:t>https://doi.org/10.1108/LODJ-01-2018-0050</w:t>
      </w:r>
      <w:r>
        <w:rPr>
          <w:rStyle w:val="90"/>
        </w:rPr>
        <w:fldChar w:fldCharType="end"/>
      </w:r>
      <w:r>
        <w:rPr>
          <w:color w:val="000000" w:themeColor="text1"/>
          <w14:textFill>
            <w14:solidFill>
              <w14:schemeClr w14:val="tx1"/>
            </w14:solidFill>
          </w14:textFill>
        </w:rPr>
        <w:t xml:space="preserve"> </w:t>
      </w:r>
    </w:p>
    <w:p>
      <w:pPr>
        <w:ind w:left="720" w:hanging="720"/>
        <w:rPr>
          <w:color w:val="000000" w:themeColor="text1"/>
          <w14:textFill>
            <w14:solidFill>
              <w14:schemeClr w14:val="tx1"/>
            </w14:solidFill>
          </w14:textFill>
        </w:rPr>
      </w:pPr>
      <w:r>
        <w:t xml:space="preserve">Tracy, B. (2008, January 25). </w:t>
      </w:r>
      <w:r>
        <w:rPr>
          <w:i/>
        </w:rPr>
        <w:t>The Role of a Leader</w:t>
      </w:r>
      <w:r>
        <w:t xml:space="preserve">. </w:t>
      </w:r>
      <w:r>
        <w:fldChar w:fldCharType="begin"/>
      </w:r>
      <w:r>
        <w:instrText xml:space="preserve"> HYPERLINK "https://www.entrepreneur.com/article/189618" </w:instrText>
      </w:r>
      <w:r>
        <w:fldChar w:fldCharType="separate"/>
      </w:r>
      <w:r>
        <w:rPr>
          <w:rStyle w:val="90"/>
        </w:rPr>
        <w:t>https://www.entrepreneur.com/article/189618</w:t>
      </w:r>
      <w:r>
        <w:rPr>
          <w:rStyle w:val="90"/>
        </w:rPr>
        <w:fldChar w:fldCharType="end"/>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Veliu, L., Manxhari, M., Demiri, V., &amp; Jahaj, L. (2017). The influence of leadership styles on employee's performance. </w:t>
      </w:r>
      <w:r>
        <w:t>Vadyba Journal of Management</w:t>
      </w:r>
      <w:r>
        <w:rPr>
          <w:color w:val="000000" w:themeColor="text1"/>
          <w14:textFill>
            <w14:solidFill>
              <w14:schemeClr w14:val="tx1"/>
            </w14:solidFill>
          </w14:textFill>
        </w:rPr>
        <w:t>, </w:t>
      </w:r>
      <w:r>
        <w:rPr>
          <w:i/>
          <w:iCs/>
          <w:color w:val="000000" w:themeColor="text1"/>
          <w14:textFill>
            <w14:solidFill>
              <w14:schemeClr w14:val="tx1"/>
            </w14:solidFill>
          </w14:textFill>
        </w:rPr>
        <w:t>31</w:t>
      </w:r>
      <w:r>
        <w:rPr>
          <w:color w:val="000000" w:themeColor="text1"/>
          <w14:textFill>
            <w14:solidFill>
              <w14:schemeClr w14:val="tx1"/>
            </w14:solidFill>
          </w14:textFill>
        </w:rPr>
        <w:t>(2),</w:t>
      </w:r>
      <w:r>
        <w:t xml:space="preserve"> 59-69. </w:t>
      </w:r>
      <w:r>
        <w:fldChar w:fldCharType="begin"/>
      </w:r>
      <w:r>
        <w:instrText xml:space="preserve"> HYPERLINK "https://pdfs.semanticscholar.org/9755/781471681b4cd484b26c4d5fb3ce39d17d64.pdf" </w:instrText>
      </w:r>
      <w:r>
        <w:fldChar w:fldCharType="separate"/>
      </w:r>
      <w:r>
        <w:rPr>
          <w:rStyle w:val="90"/>
        </w:rPr>
        <w:t>https://pdfs.semanticscholar.org/9755/781471681b4cd484b26c4d5fb3ce39d17d64.pdf</w:t>
      </w:r>
      <w:r>
        <w:rPr>
          <w:rStyle w:val="90"/>
        </w:rPr>
        <w:fldChar w:fldCharType="end"/>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Walliman, N. (2017). </w:t>
      </w:r>
      <w:r>
        <w:rPr>
          <w:rFonts w:cs="Times New Roman"/>
          <w:i/>
          <w:iCs/>
          <w:color w:val="000000" w:themeColor="text1"/>
          <w14:textFill>
            <w14:solidFill>
              <w14:schemeClr w14:val="tx1"/>
            </w14:solidFill>
          </w14:textFill>
        </w:rPr>
        <w:t>Research Methods: The basics</w:t>
      </w:r>
      <w:r>
        <w:rPr>
          <w:rFonts w:cs="Times New Roman"/>
          <w:color w:val="000000" w:themeColor="text1"/>
          <w14:textFill>
            <w14:solidFill>
              <w14:schemeClr w14:val="tx1"/>
            </w14:solidFill>
          </w14:textFill>
        </w:rPr>
        <w:t>. Routledge.</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Wiles, R. (2012). </w:t>
      </w:r>
      <w:r>
        <w:rPr>
          <w:i/>
          <w:iCs/>
          <w:color w:val="000000" w:themeColor="text1"/>
          <w14:textFill>
            <w14:solidFill>
              <w14:schemeClr w14:val="tx1"/>
            </w14:solidFill>
          </w14:textFill>
        </w:rPr>
        <w:t>What are Qualitative Research Ethics?</w:t>
      </w:r>
      <w:r>
        <w:rPr>
          <w:color w:val="000000" w:themeColor="text1"/>
          <w14:textFill>
            <w14:solidFill>
              <w14:schemeClr w14:val="tx1"/>
            </w14:solidFill>
          </w14:textFill>
        </w:rPr>
        <w:t xml:space="preserve"> A&amp;C Black.</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Williams, K. (2018). </w:t>
      </w:r>
      <w:r>
        <w:rPr>
          <w:rFonts w:cs="Times New Roman"/>
          <w:i/>
          <w:iCs/>
          <w:color w:val="000000" w:themeColor="text1"/>
          <w14:textFill>
            <w14:solidFill>
              <w14:schemeClr w14:val="tx1"/>
            </w14:solidFill>
          </w14:textFill>
        </w:rPr>
        <w:t>Planning Your Dissertation</w:t>
      </w:r>
      <w:r>
        <w:rPr>
          <w:rFonts w:cs="Times New Roman"/>
          <w:color w:val="000000" w:themeColor="text1"/>
          <w14:textFill>
            <w14:solidFill>
              <w14:schemeClr w14:val="tx1"/>
            </w14:solidFill>
          </w14:textFill>
        </w:rPr>
        <w:t>. Macmillan International Higher Education.</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Willis, G.B. (2015). </w:t>
      </w:r>
      <w:r>
        <w:rPr>
          <w:i/>
          <w:iCs/>
          <w:color w:val="000000" w:themeColor="text1"/>
          <w14:textFill>
            <w14:solidFill>
              <w14:schemeClr w14:val="tx1"/>
            </w14:solidFill>
          </w14:textFill>
        </w:rPr>
        <w:t>Analysis of the Cognitive Interview in Questionnaire Design</w:t>
      </w:r>
      <w:r>
        <w:rPr>
          <w:color w:val="000000" w:themeColor="text1"/>
          <w14:textFill>
            <w14:solidFill>
              <w14:schemeClr w14:val="tx1"/>
            </w14:solidFill>
          </w14:textFill>
        </w:rPr>
        <w:t>. Oxford University Press.</w:t>
      </w:r>
    </w:p>
    <w:p>
      <w:pPr>
        <w:ind w:left="720" w:hanging="720"/>
        <w:rPr>
          <w:color w:val="000000" w:themeColor="text1"/>
          <w14:textFill>
            <w14:solidFill>
              <w14:schemeClr w14:val="tx1"/>
            </w14:solidFill>
          </w14:textFill>
        </w:rPr>
      </w:pPr>
      <w:r>
        <w:rPr>
          <w:color w:val="000000" w:themeColor="text1"/>
          <w14:textFill>
            <w14:solidFill>
              <w14:schemeClr w14:val="tx1"/>
            </w14:solidFill>
          </w14:textFill>
        </w:rPr>
        <w:t>Wilson, J. (2014). </w:t>
      </w:r>
      <w:r>
        <w:rPr>
          <w:i/>
          <w:iCs/>
          <w:color w:val="000000" w:themeColor="text1"/>
          <w14:textFill>
            <w14:solidFill>
              <w14:schemeClr w14:val="tx1"/>
            </w14:solidFill>
          </w14:textFill>
        </w:rPr>
        <w:t>Essentials of Business Research: A guide to Doing Your Research Project</w:t>
      </w:r>
      <w:r>
        <w:rPr>
          <w:color w:val="000000" w:themeColor="text1"/>
          <w14:textFill>
            <w14:solidFill>
              <w14:schemeClr w14:val="tx1"/>
            </w14:solidFill>
          </w14:textFill>
        </w:rPr>
        <w:t xml:space="preserve"> Sage.</w:t>
      </w:r>
    </w:p>
    <w:p>
      <w:pPr>
        <w:ind w:left="720" w:hanging="720"/>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Woodfield, K., Ed. (2017). </w:t>
      </w:r>
      <w:r>
        <w:rPr>
          <w:rFonts w:cs="Times New Roman"/>
          <w:i/>
          <w:iCs/>
          <w:color w:val="000000" w:themeColor="text1"/>
          <w14:textFill>
            <w14:solidFill>
              <w14:schemeClr w14:val="tx1"/>
            </w14:solidFill>
          </w14:textFill>
        </w:rPr>
        <w:t>The Ethics of Online Research</w:t>
      </w:r>
      <w:r>
        <w:rPr>
          <w:rFonts w:cs="Times New Roman"/>
          <w:color w:val="000000" w:themeColor="text1"/>
          <w14:textFill>
            <w14:solidFill>
              <w14:schemeClr w14:val="tx1"/>
            </w14:solidFill>
          </w14:textFill>
        </w:rPr>
        <w:t>. Emerald Publishing Limited.</w:t>
      </w:r>
    </w:p>
    <w:p>
      <w:pPr>
        <w:ind w:left="720" w:hanging="720"/>
        <w:rPr>
          <w:rFonts w:asciiTheme="majorHAnsi" w:hAnsiTheme="majorHAnsi" w:eastAsiaTheme="majorEastAsia" w:cstheme="majorBidi"/>
        </w:rPr>
      </w:pPr>
      <w:r>
        <w:br w:type="page"/>
      </w:r>
    </w:p>
    <w:p>
      <w:pPr>
        <w:pStyle w:val="2"/>
      </w:pPr>
      <w:bookmarkStart w:id="74" w:name="_Toc41576899"/>
      <w:r>
        <w:t>Appendices</w:t>
      </w:r>
      <w:bookmarkEnd w:id="74"/>
    </w:p>
    <w:p>
      <w:pPr>
        <w:pStyle w:val="3"/>
      </w:pPr>
      <w:bookmarkStart w:id="75" w:name="_Toc41576900"/>
      <w:r>
        <w:t>A. Survey Questionnaire</w:t>
      </w:r>
      <w:bookmarkEnd w:id="75"/>
    </w:p>
    <w:p>
      <w:r>
        <w:t>The surveys were targeted to the employees of SMEs based in Asia that have a non-managerial position in the organisation. A total of 50 such questionnaires were distributed as part of the survey.</w:t>
      </w:r>
    </w:p>
    <w:tbl>
      <w:tblPr>
        <w:tblStyle w:val="92"/>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2881"/>
        <w:gridCol w:w="1260"/>
        <w:gridCol w:w="1201"/>
        <w:gridCol w:w="1207"/>
        <w:gridCol w:w="1149"/>
        <w:gridCol w:w="1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DBDBDB" w:themeFill="accent6" w:themeFillTint="33"/>
            <w:vAlign w:val="center"/>
          </w:tcPr>
          <w:p>
            <w:pPr>
              <w:rPr>
                <w:rFonts w:eastAsia="Calibri" w:asciiTheme="majorHAnsi" w:hAnsiTheme="majorHAnsi" w:cstheme="majorHAnsi"/>
                <w:b/>
                <w:iCs/>
              </w:rPr>
            </w:pPr>
          </w:p>
        </w:tc>
        <w:tc>
          <w:tcPr>
            <w:tcW w:w="2881" w:type="dxa"/>
            <w:shd w:val="clear" w:color="auto" w:fill="DBDBDB" w:themeFill="accent6" w:themeFillTint="33"/>
            <w:vAlign w:val="center"/>
          </w:tcPr>
          <w:p>
            <w:pPr>
              <w:jc w:val="center"/>
              <w:rPr>
                <w:rFonts w:eastAsia="Calibri" w:asciiTheme="majorHAnsi" w:hAnsiTheme="majorHAnsi" w:cstheme="majorHAnsi"/>
                <w:iCs/>
              </w:rPr>
            </w:pPr>
          </w:p>
        </w:tc>
        <w:tc>
          <w:tcPr>
            <w:tcW w:w="1260" w:type="dxa"/>
            <w:shd w:val="clear" w:color="auto" w:fill="DBDBDB" w:themeFill="accent6" w:themeFillTint="33"/>
            <w:vAlign w:val="center"/>
          </w:tcPr>
          <w:p>
            <w:pPr>
              <w:ind w:firstLine="0"/>
              <w:jc w:val="center"/>
              <w:rPr>
                <w:rFonts w:eastAsia="Calibri" w:asciiTheme="majorHAnsi" w:hAnsiTheme="majorHAnsi" w:cstheme="majorHAnsi"/>
                <w:b/>
                <w:iCs/>
                <w:color w:val="000000"/>
                <w:lang w:eastAsia="zh-CN"/>
              </w:rPr>
            </w:pPr>
            <w:r>
              <w:rPr>
                <w:rFonts w:eastAsia="Calibri" w:asciiTheme="majorHAnsi" w:hAnsiTheme="majorHAnsi" w:cstheme="majorHAnsi"/>
                <w:b/>
                <w:iCs/>
                <w:color w:val="000000"/>
                <w:lang w:eastAsia="zh-CN"/>
              </w:rPr>
              <w:t>1</w:t>
            </w:r>
          </w:p>
        </w:tc>
        <w:tc>
          <w:tcPr>
            <w:tcW w:w="1201" w:type="dxa"/>
            <w:shd w:val="clear" w:color="auto" w:fill="DBDBDB" w:themeFill="accent6" w:themeFillTint="33"/>
            <w:vAlign w:val="center"/>
          </w:tcPr>
          <w:p>
            <w:pPr>
              <w:ind w:firstLine="0"/>
              <w:jc w:val="center"/>
              <w:rPr>
                <w:rFonts w:eastAsia="Calibri" w:asciiTheme="majorHAnsi" w:hAnsiTheme="majorHAnsi" w:cstheme="majorHAnsi"/>
                <w:b/>
                <w:iCs/>
                <w:color w:val="000000"/>
                <w:lang w:eastAsia="zh-CN"/>
              </w:rPr>
            </w:pPr>
            <w:r>
              <w:rPr>
                <w:rFonts w:eastAsia="Calibri" w:asciiTheme="majorHAnsi" w:hAnsiTheme="majorHAnsi" w:cstheme="majorHAnsi"/>
                <w:b/>
                <w:iCs/>
                <w:color w:val="000000"/>
                <w:lang w:eastAsia="zh-CN"/>
              </w:rPr>
              <w:t>2</w:t>
            </w:r>
          </w:p>
        </w:tc>
        <w:tc>
          <w:tcPr>
            <w:tcW w:w="1207" w:type="dxa"/>
            <w:shd w:val="clear" w:color="auto" w:fill="DBDBDB" w:themeFill="accent6" w:themeFillTint="33"/>
            <w:vAlign w:val="center"/>
          </w:tcPr>
          <w:p>
            <w:pPr>
              <w:ind w:firstLine="0"/>
              <w:jc w:val="center"/>
              <w:rPr>
                <w:rFonts w:eastAsia="Calibri" w:asciiTheme="majorHAnsi" w:hAnsiTheme="majorHAnsi" w:cstheme="majorHAnsi"/>
                <w:b/>
                <w:iCs/>
                <w:color w:val="000000"/>
                <w:lang w:eastAsia="zh-CN"/>
              </w:rPr>
            </w:pPr>
            <w:r>
              <w:rPr>
                <w:rFonts w:eastAsia="Calibri" w:asciiTheme="majorHAnsi" w:hAnsiTheme="majorHAnsi" w:cstheme="majorHAnsi"/>
                <w:b/>
                <w:iCs/>
                <w:color w:val="000000"/>
                <w:lang w:eastAsia="zh-CN"/>
              </w:rPr>
              <w:t>3</w:t>
            </w:r>
          </w:p>
        </w:tc>
        <w:tc>
          <w:tcPr>
            <w:tcW w:w="1149" w:type="dxa"/>
            <w:shd w:val="clear" w:color="auto" w:fill="DBDBDB" w:themeFill="accent6" w:themeFillTint="33"/>
            <w:vAlign w:val="center"/>
          </w:tcPr>
          <w:p>
            <w:pPr>
              <w:ind w:firstLine="0"/>
              <w:jc w:val="center"/>
              <w:rPr>
                <w:rFonts w:eastAsia="Calibri" w:asciiTheme="majorHAnsi" w:hAnsiTheme="majorHAnsi" w:cstheme="majorHAnsi"/>
                <w:b/>
                <w:iCs/>
                <w:color w:val="000000"/>
                <w:lang w:eastAsia="zh-CN"/>
              </w:rPr>
            </w:pPr>
            <w:r>
              <w:rPr>
                <w:rFonts w:eastAsia="Calibri" w:asciiTheme="majorHAnsi" w:hAnsiTheme="majorHAnsi" w:cstheme="majorHAnsi"/>
                <w:b/>
                <w:iCs/>
                <w:color w:val="000000"/>
                <w:lang w:eastAsia="zh-CN"/>
              </w:rPr>
              <w:t>4</w:t>
            </w:r>
          </w:p>
        </w:tc>
        <w:tc>
          <w:tcPr>
            <w:tcW w:w="1123" w:type="dxa"/>
            <w:shd w:val="clear" w:color="auto" w:fill="DBDBDB" w:themeFill="accent6" w:themeFillTint="33"/>
            <w:vAlign w:val="center"/>
          </w:tcPr>
          <w:p>
            <w:pPr>
              <w:ind w:firstLine="0"/>
              <w:jc w:val="center"/>
              <w:rPr>
                <w:rFonts w:eastAsia="Calibri" w:asciiTheme="majorHAnsi" w:hAnsiTheme="majorHAnsi" w:cstheme="majorHAnsi"/>
                <w:b/>
                <w:iCs/>
                <w:color w:val="000000"/>
                <w:lang w:eastAsia="zh-CN"/>
              </w:rPr>
            </w:pPr>
            <w:r>
              <w:rPr>
                <w:rFonts w:eastAsia="Calibri" w:asciiTheme="majorHAnsi" w:hAnsiTheme="majorHAnsi" w:cstheme="majorHAnsi"/>
                <w:b/>
                <w:iCs/>
                <w:color w:val="000000"/>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1</w:t>
            </w:r>
          </w:p>
        </w:tc>
        <w:tc>
          <w:tcPr>
            <w:tcW w:w="2881" w:type="dxa"/>
            <w:shd w:val="clear" w:color="auto" w:fill="auto"/>
          </w:tcPr>
          <w:p>
            <w:pPr>
              <w:ind w:firstLine="0"/>
              <w:rPr>
                <w:rFonts w:eastAsia="Calibri" w:asciiTheme="majorHAnsi" w:hAnsiTheme="majorHAnsi" w:cstheme="majorHAnsi"/>
                <w:iCs/>
              </w:rPr>
            </w:pPr>
            <w:r>
              <w:rPr>
                <w:rFonts w:eastAsia="Calibri" w:asciiTheme="majorHAnsi" w:hAnsiTheme="majorHAnsi" w:cstheme="majorHAnsi"/>
                <w:iCs/>
              </w:rPr>
              <w:t>Are you currently under the employment of an SME?</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 Yes</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 No</w:t>
            </w:r>
          </w:p>
        </w:tc>
        <w:tc>
          <w:tcPr>
            <w:tcW w:w="1207" w:type="dxa"/>
            <w:shd w:val="clear" w:color="auto" w:fill="auto"/>
            <w:vAlign w:val="center"/>
          </w:tcPr>
          <w:p>
            <w:pPr>
              <w:jc w:val="center"/>
              <w:rPr>
                <w:rFonts w:eastAsia="Calibri" w:asciiTheme="majorHAnsi" w:hAnsiTheme="majorHAnsi" w:cstheme="majorHAnsi"/>
                <w:iCs/>
                <w:color w:val="000000"/>
                <w:lang w:eastAsia="zh-CN"/>
              </w:rPr>
            </w:pPr>
          </w:p>
        </w:tc>
        <w:tc>
          <w:tcPr>
            <w:tcW w:w="1149" w:type="dxa"/>
            <w:shd w:val="clear" w:color="auto" w:fill="auto"/>
            <w:vAlign w:val="center"/>
          </w:tcPr>
          <w:p>
            <w:pPr>
              <w:jc w:val="center"/>
              <w:rPr>
                <w:rFonts w:eastAsia="Calibri" w:asciiTheme="majorHAnsi" w:hAnsiTheme="majorHAnsi" w:cstheme="majorHAnsi"/>
                <w:iCs/>
                <w:color w:val="000000"/>
                <w:lang w:eastAsia="zh-CN"/>
              </w:rPr>
            </w:pPr>
          </w:p>
        </w:tc>
        <w:tc>
          <w:tcPr>
            <w:tcW w:w="1123" w:type="dxa"/>
            <w:shd w:val="clear" w:color="auto" w:fill="auto"/>
            <w:vAlign w:val="center"/>
          </w:tcPr>
          <w:p>
            <w:pPr>
              <w:jc w:val="center"/>
              <w:rPr>
                <w:rFonts w:eastAsia="Calibri" w:asciiTheme="majorHAnsi" w:hAnsiTheme="majorHAnsi" w:cstheme="majorHAnsi"/>
                <w:iCs/>
                <w:color w:val="000000"/>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2</w:t>
            </w:r>
          </w:p>
        </w:tc>
        <w:tc>
          <w:tcPr>
            <w:tcW w:w="2881" w:type="dxa"/>
            <w:shd w:val="clear" w:color="auto" w:fill="auto"/>
          </w:tcPr>
          <w:p>
            <w:pPr>
              <w:ind w:firstLine="0"/>
              <w:rPr>
                <w:rFonts w:eastAsia="Calibri" w:asciiTheme="majorHAnsi" w:hAnsiTheme="majorHAnsi" w:cstheme="majorHAnsi"/>
                <w:iCs/>
              </w:rPr>
            </w:pPr>
            <w:r>
              <w:rPr>
                <w:rFonts w:asciiTheme="majorHAnsi" w:hAnsiTheme="majorHAnsi" w:cstheme="majorHAnsi"/>
              </w:rPr>
              <w:t>Is the SME based in an Asian country?</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 Yes</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 No</w:t>
            </w:r>
          </w:p>
        </w:tc>
        <w:tc>
          <w:tcPr>
            <w:tcW w:w="1207" w:type="dxa"/>
            <w:shd w:val="clear" w:color="auto" w:fill="auto"/>
            <w:vAlign w:val="center"/>
          </w:tcPr>
          <w:p>
            <w:pPr>
              <w:jc w:val="center"/>
              <w:rPr>
                <w:rFonts w:eastAsia="Calibri" w:asciiTheme="majorHAnsi" w:hAnsiTheme="majorHAnsi" w:cstheme="majorHAnsi"/>
                <w:iCs/>
                <w:color w:val="000000"/>
                <w:lang w:eastAsia="zh-CN"/>
              </w:rPr>
            </w:pPr>
          </w:p>
        </w:tc>
        <w:tc>
          <w:tcPr>
            <w:tcW w:w="1149" w:type="dxa"/>
            <w:shd w:val="clear" w:color="auto" w:fill="auto"/>
            <w:vAlign w:val="center"/>
          </w:tcPr>
          <w:p>
            <w:pPr>
              <w:jc w:val="center"/>
              <w:rPr>
                <w:rFonts w:eastAsia="Calibri" w:asciiTheme="majorHAnsi" w:hAnsiTheme="majorHAnsi" w:cstheme="majorHAnsi"/>
                <w:iCs/>
                <w:color w:val="000000"/>
                <w:lang w:eastAsia="zh-CN"/>
              </w:rPr>
            </w:pPr>
          </w:p>
        </w:tc>
        <w:tc>
          <w:tcPr>
            <w:tcW w:w="1123" w:type="dxa"/>
            <w:shd w:val="clear" w:color="auto" w:fill="auto"/>
            <w:vAlign w:val="center"/>
          </w:tcPr>
          <w:p>
            <w:pPr>
              <w:jc w:val="center"/>
              <w:rPr>
                <w:rFonts w:eastAsia="Calibri" w:asciiTheme="majorHAnsi" w:hAnsiTheme="majorHAnsi" w:cstheme="majorHAnsi"/>
                <w:iCs/>
                <w:color w:val="000000"/>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3</w:t>
            </w:r>
          </w:p>
        </w:tc>
        <w:tc>
          <w:tcPr>
            <w:tcW w:w="2881" w:type="dxa"/>
            <w:shd w:val="clear" w:color="auto" w:fill="auto"/>
          </w:tcPr>
          <w:p>
            <w:pPr>
              <w:ind w:firstLine="0"/>
              <w:rPr>
                <w:rFonts w:asciiTheme="majorHAnsi" w:hAnsiTheme="majorHAnsi" w:cstheme="majorHAnsi"/>
              </w:rPr>
            </w:pPr>
            <w:r>
              <w:rPr>
                <w:rFonts w:asciiTheme="majorHAnsi" w:hAnsiTheme="majorHAnsi" w:cstheme="majorHAnsi"/>
              </w:rPr>
              <w:t>Do you have a non-managerial role in your current place of employment?</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 Yes</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 No</w:t>
            </w:r>
          </w:p>
        </w:tc>
        <w:tc>
          <w:tcPr>
            <w:tcW w:w="1207" w:type="dxa"/>
            <w:shd w:val="clear" w:color="auto" w:fill="auto"/>
            <w:vAlign w:val="center"/>
          </w:tcPr>
          <w:p>
            <w:pPr>
              <w:jc w:val="center"/>
              <w:rPr>
                <w:rFonts w:eastAsia="Calibri" w:asciiTheme="majorHAnsi" w:hAnsiTheme="majorHAnsi" w:cstheme="majorHAnsi"/>
                <w:iCs/>
                <w:color w:val="000000"/>
                <w:lang w:eastAsia="zh-CN"/>
              </w:rPr>
            </w:pPr>
          </w:p>
        </w:tc>
        <w:tc>
          <w:tcPr>
            <w:tcW w:w="1149" w:type="dxa"/>
            <w:shd w:val="clear" w:color="auto" w:fill="auto"/>
            <w:vAlign w:val="center"/>
          </w:tcPr>
          <w:p>
            <w:pPr>
              <w:jc w:val="center"/>
              <w:rPr>
                <w:rFonts w:eastAsia="Calibri" w:asciiTheme="majorHAnsi" w:hAnsiTheme="majorHAnsi" w:cstheme="majorHAnsi"/>
                <w:iCs/>
                <w:color w:val="000000"/>
                <w:lang w:eastAsia="zh-CN"/>
              </w:rPr>
            </w:pPr>
          </w:p>
        </w:tc>
        <w:tc>
          <w:tcPr>
            <w:tcW w:w="1123" w:type="dxa"/>
            <w:shd w:val="clear" w:color="auto" w:fill="auto"/>
            <w:vAlign w:val="center"/>
          </w:tcPr>
          <w:p>
            <w:pPr>
              <w:jc w:val="center"/>
              <w:rPr>
                <w:rFonts w:eastAsia="Calibri" w:asciiTheme="majorHAnsi" w:hAnsiTheme="majorHAnsi" w:cstheme="majorHAnsi"/>
                <w:iCs/>
                <w:color w:val="000000"/>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rPr>
                <w:rFonts w:eastAsia="Calibri" w:asciiTheme="majorHAnsi" w:hAnsiTheme="majorHAnsi" w:cstheme="majorHAnsi"/>
                <w:b/>
                <w:iCs/>
              </w:rPr>
            </w:pPr>
          </w:p>
        </w:tc>
        <w:tc>
          <w:tcPr>
            <w:tcW w:w="2881" w:type="dxa"/>
            <w:shd w:val="clear" w:color="auto" w:fill="auto"/>
          </w:tcPr>
          <w:p>
            <w:pPr>
              <w:rPr>
                <w:rFonts w:asciiTheme="majorHAnsi" w:hAnsiTheme="majorHAnsi" w:cstheme="majorHAnsi"/>
              </w:rPr>
            </w:pPr>
          </w:p>
        </w:tc>
        <w:tc>
          <w:tcPr>
            <w:tcW w:w="1260" w:type="dxa"/>
            <w:shd w:val="clear" w:color="auto" w:fill="auto"/>
            <w:vAlign w:val="center"/>
          </w:tcPr>
          <w:p>
            <w:pPr>
              <w:jc w:val="center"/>
              <w:rPr>
                <w:rFonts w:eastAsia="Calibri" w:asciiTheme="majorHAnsi" w:hAnsiTheme="majorHAnsi" w:cstheme="majorHAnsi"/>
                <w:iCs/>
                <w:color w:val="000000"/>
                <w:lang w:eastAsia="zh-CN"/>
              </w:rPr>
            </w:pPr>
          </w:p>
        </w:tc>
        <w:tc>
          <w:tcPr>
            <w:tcW w:w="1201" w:type="dxa"/>
            <w:shd w:val="clear" w:color="auto" w:fill="auto"/>
            <w:vAlign w:val="center"/>
          </w:tcPr>
          <w:p>
            <w:pPr>
              <w:jc w:val="center"/>
              <w:rPr>
                <w:rFonts w:eastAsia="Calibri" w:asciiTheme="majorHAnsi" w:hAnsiTheme="majorHAnsi" w:cstheme="majorHAnsi"/>
                <w:iCs/>
                <w:color w:val="000000"/>
                <w:lang w:eastAsia="zh-CN"/>
              </w:rPr>
            </w:pPr>
          </w:p>
        </w:tc>
        <w:tc>
          <w:tcPr>
            <w:tcW w:w="1207" w:type="dxa"/>
            <w:shd w:val="clear" w:color="auto" w:fill="auto"/>
            <w:vAlign w:val="center"/>
          </w:tcPr>
          <w:p>
            <w:pPr>
              <w:jc w:val="center"/>
              <w:rPr>
                <w:rFonts w:eastAsia="Calibri" w:asciiTheme="majorHAnsi" w:hAnsiTheme="majorHAnsi" w:cstheme="majorHAnsi"/>
                <w:iCs/>
                <w:color w:val="000000"/>
                <w:lang w:eastAsia="zh-CN"/>
              </w:rPr>
            </w:pPr>
          </w:p>
        </w:tc>
        <w:tc>
          <w:tcPr>
            <w:tcW w:w="1149" w:type="dxa"/>
            <w:shd w:val="clear" w:color="auto" w:fill="auto"/>
            <w:vAlign w:val="center"/>
          </w:tcPr>
          <w:p>
            <w:pPr>
              <w:jc w:val="center"/>
              <w:rPr>
                <w:rFonts w:eastAsia="Calibri" w:asciiTheme="majorHAnsi" w:hAnsiTheme="majorHAnsi" w:cstheme="majorHAnsi"/>
                <w:iCs/>
                <w:color w:val="000000"/>
                <w:lang w:eastAsia="zh-CN"/>
              </w:rPr>
            </w:pPr>
          </w:p>
        </w:tc>
        <w:tc>
          <w:tcPr>
            <w:tcW w:w="1123" w:type="dxa"/>
            <w:shd w:val="clear" w:color="auto" w:fill="auto"/>
            <w:vAlign w:val="center"/>
          </w:tcPr>
          <w:p>
            <w:pPr>
              <w:jc w:val="center"/>
              <w:rPr>
                <w:rFonts w:eastAsia="Calibri" w:asciiTheme="majorHAnsi" w:hAnsiTheme="majorHAnsi" w:cstheme="majorHAnsi"/>
                <w:iCs/>
                <w:color w:val="000000"/>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E0E0E0" w:themeFill="accent2" w:themeFillTint="66"/>
            <w:vAlign w:val="center"/>
          </w:tcPr>
          <w:p>
            <w:pPr>
              <w:rPr>
                <w:rFonts w:eastAsia="Calibri" w:asciiTheme="majorHAnsi" w:hAnsiTheme="majorHAnsi" w:cstheme="majorHAnsi"/>
                <w:b/>
                <w:iCs/>
              </w:rPr>
            </w:pPr>
          </w:p>
        </w:tc>
        <w:tc>
          <w:tcPr>
            <w:tcW w:w="8821" w:type="dxa"/>
            <w:gridSpan w:val="6"/>
            <w:shd w:val="clear" w:color="auto" w:fill="E0E0E0" w:themeFill="accent2" w:themeFillTint="66"/>
          </w:tcPr>
          <w:p>
            <w:pPr>
              <w:rPr>
                <w:rFonts w:eastAsia="Calibri" w:asciiTheme="majorHAnsi" w:hAnsiTheme="majorHAnsi" w:cstheme="majorHAnsi"/>
                <w:iCs/>
                <w:color w:val="000000"/>
                <w:lang w:eastAsia="zh-CN"/>
              </w:rPr>
            </w:pPr>
            <w:r>
              <w:rPr>
                <w:rFonts w:eastAsia="Calibri" w:asciiTheme="majorHAnsi" w:hAnsiTheme="majorHAnsi" w:cstheme="majorHAnsi"/>
                <w:b/>
                <w:iCs/>
              </w:rPr>
              <w:t xml:space="preserve">Demographic Factors of the Respondents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4</w:t>
            </w:r>
          </w:p>
        </w:tc>
        <w:tc>
          <w:tcPr>
            <w:tcW w:w="288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Gender</w:t>
            </w:r>
          </w:p>
        </w:tc>
        <w:tc>
          <w:tcPr>
            <w:tcW w:w="1260"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 Male</w:t>
            </w:r>
          </w:p>
        </w:tc>
        <w:tc>
          <w:tcPr>
            <w:tcW w:w="120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 Female</w:t>
            </w:r>
          </w:p>
        </w:tc>
        <w:tc>
          <w:tcPr>
            <w:tcW w:w="1207" w:type="dxa"/>
            <w:shd w:val="clear" w:color="auto" w:fill="auto"/>
            <w:vAlign w:val="center"/>
          </w:tcPr>
          <w:p>
            <w:pPr>
              <w:jc w:val="center"/>
              <w:rPr>
                <w:rFonts w:eastAsia="Calibri" w:asciiTheme="majorHAnsi" w:hAnsiTheme="majorHAnsi" w:cstheme="majorHAnsi"/>
                <w:iCs/>
              </w:rPr>
            </w:pPr>
          </w:p>
        </w:tc>
        <w:tc>
          <w:tcPr>
            <w:tcW w:w="1149" w:type="dxa"/>
            <w:shd w:val="clear" w:color="auto" w:fill="auto"/>
            <w:vAlign w:val="center"/>
          </w:tcPr>
          <w:p>
            <w:pPr>
              <w:jc w:val="center"/>
              <w:rPr>
                <w:rFonts w:eastAsia="Calibri" w:asciiTheme="majorHAnsi" w:hAnsiTheme="majorHAnsi" w:cstheme="majorHAnsi"/>
                <w:iCs/>
              </w:rPr>
            </w:pPr>
          </w:p>
        </w:tc>
        <w:tc>
          <w:tcPr>
            <w:tcW w:w="1123" w:type="dxa"/>
            <w:shd w:val="clear" w:color="auto" w:fill="auto"/>
            <w:vAlign w:val="center"/>
          </w:tcPr>
          <w:p>
            <w:pPr>
              <w:jc w:val="center"/>
              <w:rPr>
                <w:rFonts w:eastAsia="Calibri" w:asciiTheme="majorHAnsi" w:hAnsiTheme="majorHAnsi" w:cstheme="majorHAnsi"/>
                <w:i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5</w:t>
            </w:r>
          </w:p>
        </w:tc>
        <w:tc>
          <w:tcPr>
            <w:tcW w:w="288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Age</w:t>
            </w:r>
          </w:p>
        </w:tc>
        <w:tc>
          <w:tcPr>
            <w:tcW w:w="1260"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 xml:space="preserve">□ Under 18 </w:t>
            </w:r>
            <w:r>
              <w:rPr>
                <w:rFonts w:eastAsia="Calibri" w:asciiTheme="majorHAnsi" w:hAnsiTheme="majorHAnsi" w:cstheme="majorHAnsi"/>
                <w:iCs/>
              </w:rPr>
              <w:t>years</w:t>
            </w:r>
          </w:p>
        </w:tc>
        <w:tc>
          <w:tcPr>
            <w:tcW w:w="120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 xml:space="preserve">□ </w:t>
            </w:r>
            <w:r>
              <w:rPr>
                <w:rFonts w:eastAsia="Calibri" w:asciiTheme="majorHAnsi" w:hAnsiTheme="majorHAnsi" w:cstheme="majorHAnsi"/>
                <w:iCs/>
              </w:rPr>
              <w:t>18 – 24 years</w:t>
            </w:r>
          </w:p>
        </w:tc>
        <w:tc>
          <w:tcPr>
            <w:tcW w:w="1207"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 xml:space="preserve">□ 25 – 34 </w:t>
            </w:r>
            <w:r>
              <w:rPr>
                <w:rFonts w:eastAsia="Calibri" w:asciiTheme="majorHAnsi" w:hAnsiTheme="majorHAnsi" w:cstheme="majorHAnsi"/>
                <w:iCs/>
              </w:rPr>
              <w:t>years</w:t>
            </w:r>
          </w:p>
        </w:tc>
        <w:tc>
          <w:tcPr>
            <w:tcW w:w="1149"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 xml:space="preserve">□ </w:t>
            </w:r>
            <w:r>
              <w:rPr>
                <w:rFonts w:eastAsia="Calibri" w:asciiTheme="majorHAnsi" w:hAnsiTheme="majorHAnsi" w:cstheme="majorHAnsi"/>
                <w:iCs/>
              </w:rPr>
              <w:t>35 – 44 years</w:t>
            </w:r>
          </w:p>
        </w:tc>
        <w:tc>
          <w:tcPr>
            <w:tcW w:w="1123"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 xml:space="preserve">□ </w:t>
            </w:r>
            <w:r>
              <w:rPr>
                <w:rFonts w:eastAsia="Calibri" w:asciiTheme="majorHAnsi" w:hAnsiTheme="majorHAnsi" w:cstheme="majorHAnsi"/>
                <w:iCs/>
              </w:rPr>
              <w:t>Above 45 years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6</w:t>
            </w:r>
          </w:p>
        </w:tc>
        <w:tc>
          <w:tcPr>
            <w:tcW w:w="288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 xml:space="preserve">Monthly Income </w:t>
            </w:r>
          </w:p>
          <w:p>
            <w:pPr>
              <w:ind w:firstLine="0"/>
              <w:rPr>
                <w:rFonts w:eastAsia="Calibri" w:asciiTheme="majorHAnsi" w:hAnsiTheme="majorHAnsi" w:cstheme="majorHAnsi"/>
                <w:iCs/>
              </w:rPr>
            </w:pPr>
            <w:r>
              <w:rPr>
                <w:rFonts w:eastAsia="Calibri" w:asciiTheme="majorHAnsi" w:hAnsiTheme="majorHAnsi" w:cstheme="majorHAnsi"/>
                <w:iCs/>
              </w:rPr>
              <w:t>(in thousands)</w:t>
            </w:r>
          </w:p>
        </w:tc>
        <w:tc>
          <w:tcPr>
            <w:tcW w:w="1260"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 Less than 40 USD</w:t>
            </w:r>
          </w:p>
        </w:tc>
        <w:tc>
          <w:tcPr>
            <w:tcW w:w="120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 41 – 50 USD</w:t>
            </w:r>
          </w:p>
        </w:tc>
        <w:tc>
          <w:tcPr>
            <w:tcW w:w="1207"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 51 – 60 USD</w:t>
            </w:r>
          </w:p>
        </w:tc>
        <w:tc>
          <w:tcPr>
            <w:tcW w:w="1149"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 61 – 70 USD</w:t>
            </w:r>
          </w:p>
        </w:tc>
        <w:tc>
          <w:tcPr>
            <w:tcW w:w="1123"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 xml:space="preserve">□ More than 71 USD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7</w:t>
            </w:r>
          </w:p>
        </w:tc>
        <w:tc>
          <w:tcPr>
            <w:tcW w:w="2881" w:type="dxa"/>
            <w:shd w:val="clear" w:color="auto" w:fill="auto"/>
          </w:tcPr>
          <w:p>
            <w:pPr>
              <w:ind w:firstLine="0"/>
              <w:rPr>
                <w:rFonts w:eastAsia="Calibri" w:asciiTheme="majorHAnsi" w:hAnsiTheme="majorHAnsi" w:cstheme="majorHAnsi"/>
                <w:iCs/>
              </w:rPr>
            </w:pPr>
            <w:r>
              <w:rPr>
                <w:rFonts w:eastAsia="Calibri" w:asciiTheme="majorHAnsi" w:hAnsiTheme="majorHAnsi" w:cstheme="majorHAnsi"/>
                <w:iCs/>
              </w:rPr>
              <w:t>In which country is your organisation based?</w:t>
            </w:r>
          </w:p>
        </w:tc>
        <w:tc>
          <w:tcPr>
            <w:tcW w:w="5940" w:type="dxa"/>
            <w:gridSpan w:val="5"/>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rPr>
              <w:t>□ ______________________________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rPr>
                <w:rFonts w:eastAsia="Calibri" w:asciiTheme="majorHAnsi" w:hAnsiTheme="majorHAnsi" w:cstheme="majorHAnsi"/>
                <w:b/>
                <w:iCs/>
              </w:rPr>
            </w:pPr>
          </w:p>
        </w:tc>
        <w:tc>
          <w:tcPr>
            <w:tcW w:w="2881" w:type="dxa"/>
            <w:shd w:val="clear" w:color="auto" w:fill="auto"/>
          </w:tcPr>
          <w:p>
            <w:pPr>
              <w:rPr>
                <w:rFonts w:eastAsia="Calibri" w:asciiTheme="majorHAnsi" w:hAnsiTheme="majorHAnsi" w:cstheme="majorHAnsi"/>
                <w:iCs/>
              </w:rPr>
            </w:pPr>
          </w:p>
        </w:tc>
        <w:tc>
          <w:tcPr>
            <w:tcW w:w="1260" w:type="dxa"/>
            <w:shd w:val="clear" w:color="auto" w:fill="auto"/>
            <w:vAlign w:val="center"/>
          </w:tcPr>
          <w:p>
            <w:pPr>
              <w:rPr>
                <w:rFonts w:eastAsia="Calibri" w:asciiTheme="majorHAnsi" w:hAnsiTheme="majorHAnsi" w:cstheme="majorHAnsi"/>
                <w:iCs/>
                <w:color w:val="000000"/>
                <w:lang w:eastAsia="zh-CN"/>
              </w:rPr>
            </w:pPr>
          </w:p>
        </w:tc>
        <w:tc>
          <w:tcPr>
            <w:tcW w:w="1201" w:type="dxa"/>
            <w:shd w:val="clear" w:color="auto" w:fill="auto"/>
            <w:vAlign w:val="center"/>
          </w:tcPr>
          <w:p>
            <w:pPr>
              <w:rPr>
                <w:rFonts w:eastAsia="Calibri" w:asciiTheme="majorHAnsi" w:hAnsiTheme="majorHAnsi" w:cstheme="majorHAnsi"/>
                <w:iCs/>
                <w:color w:val="000000"/>
                <w:lang w:eastAsia="zh-CN"/>
              </w:rPr>
            </w:pPr>
          </w:p>
        </w:tc>
        <w:tc>
          <w:tcPr>
            <w:tcW w:w="1207" w:type="dxa"/>
            <w:shd w:val="clear" w:color="auto" w:fill="auto"/>
            <w:vAlign w:val="center"/>
          </w:tcPr>
          <w:p>
            <w:pPr>
              <w:rPr>
                <w:rFonts w:eastAsia="Calibri" w:asciiTheme="majorHAnsi" w:hAnsiTheme="majorHAnsi" w:cstheme="majorHAnsi"/>
                <w:iCs/>
                <w:color w:val="000000"/>
                <w:lang w:eastAsia="zh-CN"/>
              </w:rPr>
            </w:pPr>
          </w:p>
        </w:tc>
        <w:tc>
          <w:tcPr>
            <w:tcW w:w="1149" w:type="dxa"/>
            <w:shd w:val="clear" w:color="auto" w:fill="auto"/>
            <w:vAlign w:val="center"/>
          </w:tcPr>
          <w:p>
            <w:pPr>
              <w:rPr>
                <w:rFonts w:eastAsia="Calibri" w:asciiTheme="majorHAnsi" w:hAnsiTheme="majorHAnsi" w:cstheme="majorHAnsi"/>
                <w:iCs/>
                <w:color w:val="000000"/>
                <w:lang w:eastAsia="zh-CN"/>
              </w:rPr>
            </w:pPr>
          </w:p>
        </w:tc>
        <w:tc>
          <w:tcPr>
            <w:tcW w:w="1123" w:type="dxa"/>
            <w:shd w:val="clear" w:color="auto" w:fill="auto"/>
            <w:vAlign w:val="center"/>
          </w:tcPr>
          <w:p>
            <w:pPr>
              <w:rPr>
                <w:rFonts w:eastAsia="Calibri" w:asciiTheme="majorHAnsi" w:hAnsiTheme="majorHAnsi" w:cstheme="majorHAnsi"/>
                <w:i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rPr>
                <w:rFonts w:eastAsia="Calibri" w:asciiTheme="majorHAnsi" w:hAnsiTheme="majorHAnsi" w:cstheme="majorHAnsi"/>
                <w:b/>
                <w:iCs/>
              </w:rPr>
            </w:pPr>
          </w:p>
        </w:tc>
        <w:tc>
          <w:tcPr>
            <w:tcW w:w="2881" w:type="dxa"/>
            <w:shd w:val="clear" w:color="auto" w:fill="auto"/>
          </w:tcPr>
          <w:p>
            <w:pPr>
              <w:rPr>
                <w:rFonts w:eastAsia="Calibri" w:asciiTheme="majorHAnsi" w:hAnsiTheme="majorHAnsi" w:cstheme="majorHAnsi"/>
                <w:iCs/>
              </w:rPr>
            </w:pPr>
          </w:p>
        </w:tc>
        <w:tc>
          <w:tcPr>
            <w:tcW w:w="1260" w:type="dxa"/>
            <w:shd w:val="clear" w:color="auto" w:fill="9E9E9E" w:themeFill="accent5" w:themeFillTint="99"/>
            <w:vAlign w:val="center"/>
          </w:tcPr>
          <w:p>
            <w:pPr>
              <w:ind w:firstLine="0"/>
              <w:rPr>
                <w:rFonts w:eastAsia="Calibri" w:asciiTheme="majorHAnsi" w:hAnsiTheme="majorHAnsi" w:cstheme="majorHAnsi"/>
                <w:b/>
                <w:iCs/>
              </w:rPr>
            </w:pPr>
            <w:r>
              <w:rPr>
                <w:rFonts w:eastAsia="Calibri" w:asciiTheme="majorHAnsi" w:hAnsiTheme="majorHAnsi" w:cstheme="majorHAnsi"/>
                <w:b/>
                <w:iCs/>
                <w:color w:val="000000"/>
                <w:lang w:eastAsia="zh-CN"/>
              </w:rPr>
              <w:t>Strongly Agree</w:t>
            </w:r>
          </w:p>
        </w:tc>
        <w:tc>
          <w:tcPr>
            <w:tcW w:w="1201" w:type="dxa"/>
            <w:shd w:val="clear" w:color="auto" w:fill="9E9E9E" w:themeFill="accent5" w:themeFillTint="99"/>
            <w:vAlign w:val="center"/>
          </w:tcPr>
          <w:p>
            <w:pPr>
              <w:ind w:firstLine="0"/>
              <w:rPr>
                <w:rFonts w:eastAsia="Calibri" w:asciiTheme="majorHAnsi" w:hAnsiTheme="majorHAnsi" w:cstheme="majorHAnsi"/>
                <w:b/>
                <w:iCs/>
              </w:rPr>
            </w:pPr>
            <w:r>
              <w:rPr>
                <w:rFonts w:eastAsia="Calibri" w:asciiTheme="majorHAnsi" w:hAnsiTheme="majorHAnsi" w:cstheme="majorHAnsi"/>
                <w:b/>
                <w:iCs/>
                <w:color w:val="000000"/>
                <w:lang w:eastAsia="zh-CN"/>
              </w:rPr>
              <w:t>Agree</w:t>
            </w:r>
          </w:p>
        </w:tc>
        <w:tc>
          <w:tcPr>
            <w:tcW w:w="1207" w:type="dxa"/>
            <w:shd w:val="clear" w:color="auto" w:fill="9E9E9E" w:themeFill="accent5" w:themeFillTint="99"/>
            <w:vAlign w:val="center"/>
          </w:tcPr>
          <w:p>
            <w:pPr>
              <w:ind w:firstLine="0"/>
              <w:rPr>
                <w:rFonts w:eastAsia="Calibri" w:asciiTheme="majorHAnsi" w:hAnsiTheme="majorHAnsi" w:cstheme="majorHAnsi"/>
                <w:b/>
                <w:iCs/>
              </w:rPr>
            </w:pPr>
            <w:r>
              <w:rPr>
                <w:rFonts w:eastAsia="Calibri" w:asciiTheme="majorHAnsi" w:hAnsiTheme="majorHAnsi" w:cstheme="majorHAnsi"/>
                <w:b/>
                <w:iCs/>
                <w:color w:val="000000"/>
                <w:lang w:eastAsia="zh-CN"/>
              </w:rPr>
              <w:t>Neutral</w:t>
            </w:r>
          </w:p>
        </w:tc>
        <w:tc>
          <w:tcPr>
            <w:tcW w:w="1149" w:type="dxa"/>
            <w:shd w:val="clear" w:color="auto" w:fill="9E9E9E" w:themeFill="accent5" w:themeFillTint="99"/>
            <w:vAlign w:val="center"/>
          </w:tcPr>
          <w:p>
            <w:pPr>
              <w:ind w:firstLine="0"/>
              <w:rPr>
                <w:rFonts w:eastAsia="Calibri" w:asciiTheme="majorHAnsi" w:hAnsiTheme="majorHAnsi" w:cstheme="majorHAnsi"/>
                <w:b/>
                <w:iCs/>
              </w:rPr>
            </w:pPr>
            <w:r>
              <w:rPr>
                <w:rFonts w:eastAsia="Calibri" w:asciiTheme="majorHAnsi" w:hAnsiTheme="majorHAnsi" w:cstheme="majorHAnsi"/>
                <w:b/>
                <w:iCs/>
                <w:color w:val="000000"/>
                <w:lang w:eastAsia="zh-CN"/>
              </w:rPr>
              <w:t>Disagree</w:t>
            </w:r>
          </w:p>
        </w:tc>
        <w:tc>
          <w:tcPr>
            <w:tcW w:w="1123" w:type="dxa"/>
            <w:shd w:val="clear" w:color="auto" w:fill="9E9E9E" w:themeFill="accent5" w:themeFillTint="99"/>
            <w:vAlign w:val="center"/>
          </w:tcPr>
          <w:p>
            <w:pPr>
              <w:ind w:firstLine="0"/>
              <w:rPr>
                <w:rFonts w:eastAsia="Calibri" w:asciiTheme="majorHAnsi" w:hAnsiTheme="majorHAnsi" w:cstheme="majorHAnsi"/>
                <w:b/>
                <w:iCs/>
              </w:rPr>
            </w:pPr>
            <w:r>
              <w:rPr>
                <w:rFonts w:eastAsia="Calibri" w:asciiTheme="majorHAnsi" w:hAnsiTheme="majorHAnsi" w:cstheme="majorHAnsi"/>
                <w:b/>
                <w:iCs/>
                <w:color w:val="000000"/>
                <w:lang w:eastAsia="zh-CN"/>
              </w:rPr>
              <w:t>Strongly Disagree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E0E0E0" w:themeFill="accent2" w:themeFillTint="66"/>
            <w:vAlign w:val="center"/>
          </w:tcPr>
          <w:p>
            <w:pPr>
              <w:rPr>
                <w:rFonts w:eastAsia="Calibri" w:asciiTheme="majorHAnsi" w:hAnsiTheme="majorHAnsi" w:cstheme="majorHAnsi"/>
                <w:b/>
                <w:iCs/>
              </w:rPr>
            </w:pPr>
          </w:p>
        </w:tc>
        <w:tc>
          <w:tcPr>
            <w:tcW w:w="8821" w:type="dxa"/>
            <w:gridSpan w:val="6"/>
            <w:shd w:val="clear" w:color="auto" w:fill="E0E0E0" w:themeFill="accent2" w:themeFillTint="66"/>
            <w:vAlign w:val="center"/>
          </w:tcPr>
          <w:p>
            <w:pPr>
              <w:ind w:firstLine="0"/>
              <w:rPr>
                <w:rFonts w:eastAsia="Calibri" w:asciiTheme="majorHAnsi" w:hAnsiTheme="majorHAnsi" w:cstheme="majorHAnsi"/>
                <w:b/>
                <w:iCs/>
                <w:color w:val="000000"/>
                <w:lang w:eastAsia="zh-CN"/>
              </w:rPr>
            </w:pPr>
            <w:r>
              <w:rPr>
                <w:rFonts w:eastAsia="Calibri" w:asciiTheme="majorHAnsi" w:hAnsiTheme="majorHAnsi" w:cstheme="majorHAnsi"/>
                <w:b/>
                <w:iCs/>
              </w:rPr>
              <w:t>Independent Variable</w:t>
            </w:r>
            <w:r>
              <w:rPr>
                <w:rFonts w:eastAsia="Times New Roman" w:asciiTheme="majorHAnsi" w:hAnsiTheme="majorHAnsi" w:cstheme="majorHAnsi"/>
                <w:b/>
                <w:iCs/>
              </w:rPr>
              <w:t xml:space="preserve"> – Transformational Leadership</w:t>
            </w:r>
            <w:r>
              <w:rPr>
                <w:rFonts w:eastAsia="Calibri" w:asciiTheme="majorHAnsi" w:hAnsiTheme="majorHAnsi" w:cstheme="majorHAnsi"/>
                <w:b/>
                <w:iC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8</w:t>
            </w:r>
          </w:p>
        </w:tc>
        <w:tc>
          <w:tcPr>
            <w:tcW w:w="2881" w:type="dxa"/>
            <w:shd w:val="clear" w:color="auto" w:fill="auto"/>
          </w:tcPr>
          <w:p>
            <w:pPr>
              <w:ind w:firstLine="0"/>
              <w:rPr>
                <w:rFonts w:eastAsia="Calibri" w:asciiTheme="majorHAnsi" w:hAnsiTheme="majorHAnsi" w:cstheme="majorHAnsi"/>
                <w:iCs/>
              </w:rPr>
            </w:pPr>
            <w:r>
              <w:rPr>
                <w:rFonts w:eastAsia="Calibri" w:asciiTheme="majorHAnsi" w:hAnsiTheme="majorHAnsi" w:cstheme="majorHAnsi"/>
                <w:iCs/>
              </w:rPr>
              <w:t xml:space="preserve">In your opinion, are </w:t>
            </w:r>
            <w:r>
              <w:t xml:space="preserve">you able to identify with </w:t>
            </w:r>
            <w:r>
              <w:rPr>
                <w:rFonts w:eastAsia="Calibri" w:asciiTheme="majorHAnsi" w:hAnsiTheme="majorHAnsi" w:cstheme="majorHAnsi"/>
                <w:iCs/>
              </w:rPr>
              <w:t>the leader in your organisation and are they effective in</w:t>
            </w:r>
            <w:r>
              <w:t xml:space="preserve"> arousing strong emotions from you and your co-workers?</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7"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49"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23"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9</w:t>
            </w:r>
          </w:p>
        </w:tc>
        <w:tc>
          <w:tcPr>
            <w:tcW w:w="2881" w:type="dxa"/>
            <w:shd w:val="clear" w:color="auto" w:fill="auto"/>
          </w:tcPr>
          <w:p>
            <w:pPr>
              <w:ind w:firstLine="0"/>
              <w:rPr>
                <w:rFonts w:eastAsia="Calibri" w:asciiTheme="majorHAnsi" w:hAnsiTheme="majorHAnsi" w:cstheme="majorHAnsi"/>
                <w:iCs/>
              </w:rPr>
            </w:pPr>
            <w:r>
              <w:rPr>
                <w:rFonts w:eastAsia="Calibri" w:asciiTheme="majorHAnsi" w:hAnsiTheme="majorHAnsi" w:cstheme="majorHAnsi"/>
                <w:iCs/>
              </w:rPr>
              <w:t xml:space="preserve">Do you think that the leader is effective in </w:t>
            </w:r>
            <w:r>
              <w:t>increasing awareness about problems and getting the workforce to solve those problems in new and innovative ways?</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7"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49"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23"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10</w:t>
            </w:r>
          </w:p>
        </w:tc>
        <w:tc>
          <w:tcPr>
            <w:tcW w:w="2881" w:type="dxa"/>
            <w:shd w:val="clear" w:color="auto" w:fill="auto"/>
          </w:tcPr>
          <w:p>
            <w:pPr>
              <w:ind w:firstLine="0"/>
              <w:rPr>
                <w:rFonts w:eastAsia="Calibri" w:asciiTheme="majorHAnsi" w:hAnsiTheme="majorHAnsi" w:cstheme="majorHAnsi"/>
                <w:iCs/>
              </w:rPr>
            </w:pPr>
            <w:r>
              <w:rPr>
                <w:rFonts w:eastAsia="Calibri" w:asciiTheme="majorHAnsi" w:hAnsiTheme="majorHAnsi" w:cstheme="majorHAnsi"/>
                <w:iCs/>
              </w:rPr>
              <w:t xml:space="preserve">Do you believe that the leader is effective in </w:t>
            </w:r>
            <w:r>
              <w:t>providing support, encouragement, and coach the employees at an individual level?</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7"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49"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23"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rPr>
                <w:rFonts w:eastAsia="Calibri" w:asciiTheme="majorHAnsi" w:hAnsiTheme="majorHAnsi" w:cstheme="majorHAnsi"/>
                <w:b/>
                <w:iCs/>
              </w:rPr>
            </w:pPr>
            <w:r>
              <w:rPr>
                <w:rFonts w:eastAsia="Calibri" w:asciiTheme="majorHAnsi" w:hAnsiTheme="majorHAnsi" w:cstheme="majorHAnsi"/>
                <w:b/>
                <w:iCs/>
              </w:rPr>
              <w:t>111</w:t>
            </w:r>
          </w:p>
        </w:tc>
        <w:tc>
          <w:tcPr>
            <w:tcW w:w="2881" w:type="dxa"/>
            <w:shd w:val="clear" w:color="auto" w:fill="auto"/>
          </w:tcPr>
          <w:p>
            <w:pPr>
              <w:ind w:firstLine="0"/>
              <w:rPr>
                <w:rFonts w:asciiTheme="majorHAnsi" w:hAnsiTheme="majorHAnsi" w:cstheme="majorHAnsi"/>
              </w:rPr>
            </w:pPr>
            <w:r>
              <w:t>In your opinion, is the leader efficient in communicating an appealing vision and using symbols to focus effort, and encourage appropriate behaviours among the employees?</w:t>
            </w:r>
          </w:p>
        </w:tc>
        <w:tc>
          <w:tcPr>
            <w:tcW w:w="1260"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20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207"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149"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123"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rPr>
                <w:rFonts w:eastAsia="Calibri" w:asciiTheme="majorHAnsi" w:hAnsiTheme="majorHAnsi" w:cstheme="majorHAnsi"/>
                <w:b/>
                <w:iCs/>
              </w:rPr>
            </w:pPr>
          </w:p>
        </w:tc>
        <w:tc>
          <w:tcPr>
            <w:tcW w:w="2881" w:type="dxa"/>
            <w:shd w:val="clear" w:color="auto" w:fill="auto"/>
          </w:tcPr>
          <w:p>
            <w:pPr>
              <w:rPr>
                <w:rFonts w:eastAsia="Calibri" w:asciiTheme="majorHAnsi" w:hAnsiTheme="majorHAnsi" w:cstheme="majorHAnsi"/>
                <w:iCs/>
              </w:rPr>
            </w:pPr>
          </w:p>
        </w:tc>
        <w:tc>
          <w:tcPr>
            <w:tcW w:w="1260" w:type="dxa"/>
            <w:shd w:val="clear" w:color="auto" w:fill="auto"/>
            <w:vAlign w:val="center"/>
          </w:tcPr>
          <w:p>
            <w:pPr>
              <w:jc w:val="center"/>
              <w:rPr>
                <w:rFonts w:eastAsia="Calibri" w:asciiTheme="majorHAnsi" w:hAnsiTheme="majorHAnsi" w:cstheme="majorHAnsi"/>
                <w:iCs/>
                <w:color w:val="000000"/>
                <w:lang w:eastAsia="zh-CN"/>
              </w:rPr>
            </w:pPr>
          </w:p>
        </w:tc>
        <w:tc>
          <w:tcPr>
            <w:tcW w:w="1201" w:type="dxa"/>
            <w:shd w:val="clear" w:color="auto" w:fill="auto"/>
            <w:vAlign w:val="center"/>
          </w:tcPr>
          <w:p>
            <w:pPr>
              <w:jc w:val="center"/>
              <w:rPr>
                <w:rFonts w:eastAsia="Calibri" w:asciiTheme="majorHAnsi" w:hAnsiTheme="majorHAnsi" w:cstheme="majorHAnsi"/>
                <w:iCs/>
                <w:color w:val="000000"/>
                <w:lang w:eastAsia="zh-CN"/>
              </w:rPr>
            </w:pPr>
          </w:p>
        </w:tc>
        <w:tc>
          <w:tcPr>
            <w:tcW w:w="1207" w:type="dxa"/>
            <w:shd w:val="clear" w:color="auto" w:fill="auto"/>
            <w:vAlign w:val="center"/>
          </w:tcPr>
          <w:p>
            <w:pPr>
              <w:jc w:val="center"/>
              <w:rPr>
                <w:rFonts w:eastAsia="Calibri" w:asciiTheme="majorHAnsi" w:hAnsiTheme="majorHAnsi" w:cstheme="majorHAnsi"/>
                <w:iCs/>
                <w:color w:val="000000"/>
                <w:lang w:eastAsia="zh-CN"/>
              </w:rPr>
            </w:pPr>
          </w:p>
        </w:tc>
        <w:tc>
          <w:tcPr>
            <w:tcW w:w="1149" w:type="dxa"/>
            <w:shd w:val="clear" w:color="auto" w:fill="auto"/>
            <w:vAlign w:val="center"/>
          </w:tcPr>
          <w:p>
            <w:pPr>
              <w:jc w:val="center"/>
              <w:rPr>
                <w:rFonts w:eastAsia="Calibri" w:asciiTheme="majorHAnsi" w:hAnsiTheme="majorHAnsi" w:cstheme="majorHAnsi"/>
                <w:iCs/>
                <w:color w:val="000000"/>
                <w:lang w:eastAsia="zh-CN"/>
              </w:rPr>
            </w:pPr>
          </w:p>
        </w:tc>
        <w:tc>
          <w:tcPr>
            <w:tcW w:w="1123" w:type="dxa"/>
            <w:shd w:val="clear" w:color="auto" w:fill="auto"/>
            <w:vAlign w:val="center"/>
          </w:tcPr>
          <w:p>
            <w:pPr>
              <w:jc w:val="center"/>
              <w:rPr>
                <w:rFonts w:eastAsia="Calibri" w:asciiTheme="majorHAnsi" w:hAnsiTheme="majorHAnsi" w:cstheme="majorHAnsi"/>
                <w:iCs/>
                <w:color w:val="000000"/>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E0E0E0" w:themeFill="accent2" w:themeFillTint="66"/>
            <w:vAlign w:val="center"/>
          </w:tcPr>
          <w:p>
            <w:pPr>
              <w:rPr>
                <w:rFonts w:eastAsia="Calibri" w:asciiTheme="majorHAnsi" w:hAnsiTheme="majorHAnsi" w:cstheme="majorHAnsi"/>
                <w:b/>
                <w:iCs/>
              </w:rPr>
            </w:pPr>
          </w:p>
        </w:tc>
        <w:tc>
          <w:tcPr>
            <w:tcW w:w="8821" w:type="dxa"/>
            <w:gridSpan w:val="6"/>
            <w:shd w:val="clear" w:color="auto" w:fill="E0E0E0" w:themeFill="accent2" w:themeFillTint="66"/>
          </w:tcPr>
          <w:p>
            <w:pPr>
              <w:ind w:firstLine="0"/>
              <w:rPr>
                <w:rFonts w:eastAsia="Calibri" w:asciiTheme="majorHAnsi" w:hAnsiTheme="majorHAnsi" w:cstheme="majorHAnsi"/>
                <w:iCs/>
              </w:rPr>
            </w:pPr>
            <w:r>
              <w:rPr>
                <w:rFonts w:eastAsia="Calibri" w:asciiTheme="majorHAnsi" w:hAnsiTheme="majorHAnsi" w:cstheme="majorHAnsi"/>
                <w:b/>
                <w:iCs/>
              </w:rPr>
              <w:t>Dependent Variable – Organisational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12</w:t>
            </w:r>
          </w:p>
        </w:tc>
        <w:tc>
          <w:tcPr>
            <w:tcW w:w="2881" w:type="dxa"/>
            <w:shd w:val="clear" w:color="auto" w:fill="auto"/>
          </w:tcPr>
          <w:p>
            <w:pPr>
              <w:ind w:firstLine="0"/>
              <w:rPr>
                <w:rFonts w:eastAsia="Calibri" w:asciiTheme="majorHAnsi" w:hAnsiTheme="majorHAnsi" w:cstheme="majorHAnsi"/>
                <w:iCs/>
              </w:rPr>
            </w:pPr>
            <w:r>
              <w:rPr>
                <w:rFonts w:eastAsia="Calibri" w:asciiTheme="majorHAnsi" w:hAnsiTheme="majorHAnsi" w:cstheme="majorHAnsi"/>
                <w:iCs/>
              </w:rPr>
              <w:t xml:space="preserve">Do you think that your organisation has a better financial performance, in terms of </w:t>
            </w:r>
            <w:r>
              <w:t>return on investments or profits, as compared to its competitors?</w:t>
            </w:r>
          </w:p>
        </w:tc>
        <w:tc>
          <w:tcPr>
            <w:tcW w:w="1260"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201"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207"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149"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c>
          <w:tcPr>
            <w:tcW w:w="1123" w:type="dxa"/>
            <w:shd w:val="clear" w:color="auto" w:fill="auto"/>
            <w:vAlign w:val="center"/>
          </w:tcPr>
          <w:p>
            <w:pPr>
              <w:ind w:firstLine="0"/>
              <w:rPr>
                <w:rFonts w:eastAsia="Calibri" w:asciiTheme="majorHAnsi" w:hAnsiTheme="majorHAnsi" w:cstheme="majorHAnsi"/>
                <w:iCs/>
              </w:rPr>
            </w:pPr>
            <w:r>
              <w:rPr>
                <w:rFonts w:eastAsia="Calibri" w:asciiTheme="majorHAnsi" w:hAnsiTheme="majorHAnsi" w:cstheme="majorHAnsi"/>
                <w:iCs/>
                <w:color w:val="00000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13</w:t>
            </w:r>
          </w:p>
        </w:tc>
        <w:tc>
          <w:tcPr>
            <w:tcW w:w="2881" w:type="dxa"/>
            <w:shd w:val="clear" w:color="auto" w:fill="auto"/>
          </w:tcPr>
          <w:p>
            <w:pPr>
              <w:ind w:firstLine="0"/>
            </w:pPr>
            <w:r>
              <w:rPr>
                <w:rFonts w:eastAsia="Calibri" w:asciiTheme="majorHAnsi" w:hAnsiTheme="majorHAnsi" w:cstheme="majorHAnsi"/>
                <w:iCs/>
              </w:rPr>
              <w:t xml:space="preserve">In terms of metrics for shareholder return, like </w:t>
            </w:r>
            <w:r>
              <w:t>economic value added and total shareholder, do you think that your organisation performs better than the rival companies?</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7"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49"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23"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ind w:firstLine="0"/>
              <w:rPr>
                <w:rFonts w:eastAsia="Calibri" w:asciiTheme="majorHAnsi" w:hAnsiTheme="majorHAnsi" w:cstheme="majorHAnsi"/>
                <w:b/>
                <w:iCs/>
              </w:rPr>
            </w:pPr>
            <w:r>
              <w:rPr>
                <w:rFonts w:eastAsia="Calibri" w:asciiTheme="majorHAnsi" w:hAnsiTheme="majorHAnsi" w:cstheme="majorHAnsi"/>
                <w:b/>
                <w:iCs/>
              </w:rPr>
              <w:t>14</w:t>
            </w:r>
          </w:p>
        </w:tc>
        <w:tc>
          <w:tcPr>
            <w:tcW w:w="2881" w:type="dxa"/>
            <w:shd w:val="clear" w:color="auto" w:fill="auto"/>
          </w:tcPr>
          <w:p>
            <w:pPr>
              <w:ind w:firstLine="0"/>
              <w:rPr>
                <w:rFonts w:eastAsia="Calibri" w:asciiTheme="majorHAnsi" w:hAnsiTheme="majorHAnsi" w:cstheme="majorHAnsi"/>
                <w:iCs/>
              </w:rPr>
            </w:pPr>
            <w:r>
              <w:t>As compared to the competitors, do you think that your organization have a better product or service market performance, in terms of sales volume or market share?</w:t>
            </w:r>
          </w:p>
        </w:tc>
        <w:tc>
          <w:tcPr>
            <w:tcW w:w="1260"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1"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207"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49"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c>
          <w:tcPr>
            <w:tcW w:w="1123" w:type="dxa"/>
            <w:shd w:val="clear" w:color="auto" w:fill="auto"/>
            <w:vAlign w:val="center"/>
          </w:tcPr>
          <w:p>
            <w:pPr>
              <w:ind w:firstLine="0"/>
              <w:rPr>
                <w:rFonts w:eastAsia="Calibri" w:asciiTheme="majorHAnsi" w:hAnsiTheme="majorHAnsi" w:cstheme="majorHAnsi"/>
                <w:iCs/>
                <w:color w:val="000000"/>
                <w:lang w:eastAsia="zh-CN"/>
              </w:rPr>
            </w:pPr>
            <w:r>
              <w:rPr>
                <w:rFonts w:eastAsia="Calibri" w:asciiTheme="majorHAnsi" w:hAnsiTheme="majorHAnsi" w:cstheme="majorHAnsi"/>
                <w:iCs/>
                <w:color w:val="00000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shd w:val="clear" w:color="auto" w:fill="auto"/>
            <w:vAlign w:val="center"/>
          </w:tcPr>
          <w:p>
            <w:pPr>
              <w:rPr>
                <w:rFonts w:eastAsia="Calibri" w:asciiTheme="majorHAnsi" w:hAnsiTheme="majorHAnsi" w:cstheme="majorHAnsi"/>
                <w:b/>
                <w:iCs/>
              </w:rPr>
            </w:pPr>
          </w:p>
        </w:tc>
        <w:tc>
          <w:tcPr>
            <w:tcW w:w="2881" w:type="dxa"/>
            <w:shd w:val="clear" w:color="auto" w:fill="auto"/>
          </w:tcPr>
          <w:p>
            <w:pPr>
              <w:rPr>
                <w:rFonts w:eastAsia="Calibri" w:asciiTheme="majorHAnsi" w:hAnsiTheme="majorHAnsi" w:cstheme="majorHAnsi"/>
                <w:iCs/>
              </w:rPr>
            </w:pPr>
          </w:p>
        </w:tc>
        <w:tc>
          <w:tcPr>
            <w:tcW w:w="1260" w:type="dxa"/>
            <w:shd w:val="clear" w:color="auto" w:fill="auto"/>
            <w:vAlign w:val="center"/>
          </w:tcPr>
          <w:p>
            <w:pPr>
              <w:jc w:val="center"/>
              <w:rPr>
                <w:rFonts w:eastAsia="Calibri" w:asciiTheme="majorHAnsi" w:hAnsiTheme="majorHAnsi" w:cstheme="majorHAnsi"/>
                <w:iCs/>
                <w:color w:val="000000"/>
                <w:lang w:eastAsia="zh-CN"/>
              </w:rPr>
            </w:pPr>
          </w:p>
        </w:tc>
        <w:tc>
          <w:tcPr>
            <w:tcW w:w="1201" w:type="dxa"/>
            <w:shd w:val="clear" w:color="auto" w:fill="auto"/>
            <w:vAlign w:val="center"/>
          </w:tcPr>
          <w:p>
            <w:pPr>
              <w:jc w:val="center"/>
              <w:rPr>
                <w:rFonts w:eastAsia="Calibri" w:asciiTheme="majorHAnsi" w:hAnsiTheme="majorHAnsi" w:cstheme="majorHAnsi"/>
                <w:iCs/>
                <w:color w:val="000000"/>
                <w:lang w:eastAsia="zh-CN"/>
              </w:rPr>
            </w:pPr>
          </w:p>
        </w:tc>
        <w:tc>
          <w:tcPr>
            <w:tcW w:w="1207" w:type="dxa"/>
            <w:shd w:val="clear" w:color="auto" w:fill="auto"/>
            <w:vAlign w:val="center"/>
          </w:tcPr>
          <w:p>
            <w:pPr>
              <w:jc w:val="center"/>
              <w:rPr>
                <w:rFonts w:eastAsia="Calibri" w:asciiTheme="majorHAnsi" w:hAnsiTheme="majorHAnsi" w:cstheme="majorHAnsi"/>
                <w:iCs/>
                <w:color w:val="000000"/>
                <w:lang w:eastAsia="zh-CN"/>
              </w:rPr>
            </w:pPr>
          </w:p>
        </w:tc>
        <w:tc>
          <w:tcPr>
            <w:tcW w:w="1149" w:type="dxa"/>
            <w:shd w:val="clear" w:color="auto" w:fill="auto"/>
            <w:vAlign w:val="center"/>
          </w:tcPr>
          <w:p>
            <w:pPr>
              <w:jc w:val="center"/>
              <w:rPr>
                <w:rFonts w:eastAsia="Calibri" w:asciiTheme="majorHAnsi" w:hAnsiTheme="majorHAnsi" w:cstheme="majorHAnsi"/>
                <w:iCs/>
                <w:color w:val="000000"/>
                <w:lang w:eastAsia="zh-CN"/>
              </w:rPr>
            </w:pPr>
          </w:p>
        </w:tc>
        <w:tc>
          <w:tcPr>
            <w:tcW w:w="1123" w:type="dxa"/>
            <w:shd w:val="clear" w:color="auto" w:fill="auto"/>
            <w:vAlign w:val="center"/>
          </w:tcPr>
          <w:p>
            <w:pPr>
              <w:jc w:val="center"/>
              <w:rPr>
                <w:rFonts w:eastAsia="Calibri" w:asciiTheme="majorHAnsi" w:hAnsiTheme="majorHAnsi" w:cstheme="majorHAnsi"/>
                <w:iCs/>
                <w:color w:val="000000"/>
                <w:lang w:eastAsia="zh-CN"/>
              </w:rPr>
            </w:pPr>
          </w:p>
        </w:tc>
      </w:tr>
    </w:tbl>
    <w:p/>
    <w:p>
      <w:pPr>
        <w:rPr>
          <w:rFonts w:asciiTheme="majorHAnsi" w:hAnsiTheme="majorHAnsi" w:eastAsiaTheme="majorEastAsia" w:cstheme="majorBidi"/>
          <w:b/>
          <w:bCs/>
        </w:rPr>
      </w:pPr>
      <w:r>
        <w:br w:type="page"/>
      </w:r>
    </w:p>
    <w:p>
      <w:pPr>
        <w:pStyle w:val="3"/>
      </w:pPr>
      <w:bookmarkStart w:id="76" w:name="_Toc41576901"/>
      <w:r>
        <w:t>B. Interview Questions</w:t>
      </w:r>
      <w:bookmarkEnd w:id="76"/>
      <w:r>
        <w:t xml:space="preserve"> </w:t>
      </w:r>
    </w:p>
    <w:p>
      <w:r>
        <w:t>The interview questions were targeted to the employees that have a managerial role within the SMEs across the Asian continent.</w:t>
      </w:r>
    </w:p>
    <w:p>
      <w:pPr>
        <w:pStyle w:val="131"/>
        <w:numPr>
          <w:ilvl w:val="0"/>
          <w:numId w:val="18"/>
        </w:numPr>
      </w:pPr>
      <w:r>
        <w:t>Do you work at a managerial position in an SME?</w:t>
      </w:r>
    </w:p>
    <w:p>
      <w:pPr>
        <w:pStyle w:val="131"/>
        <w:numPr>
          <w:ilvl w:val="0"/>
          <w:numId w:val="18"/>
        </w:numPr>
      </w:pPr>
      <w:r>
        <w:t>In which Asian country is your organisation based?</w:t>
      </w:r>
    </w:p>
    <w:p>
      <w:pPr>
        <w:pStyle w:val="131"/>
        <w:numPr>
          <w:ilvl w:val="0"/>
          <w:numId w:val="18"/>
        </w:numPr>
      </w:pPr>
      <w:r>
        <w:t>How long have you been working in the managerial position at your organisation?</w:t>
      </w:r>
    </w:p>
    <w:p>
      <w:pPr>
        <w:pStyle w:val="131"/>
        <w:numPr>
          <w:ilvl w:val="0"/>
          <w:numId w:val="18"/>
        </w:numPr>
      </w:pPr>
      <w:r>
        <w:t>What are some common traits of the transformational leader in your organisation?</w:t>
      </w:r>
    </w:p>
    <w:p>
      <w:pPr>
        <w:pStyle w:val="131"/>
        <w:numPr>
          <w:ilvl w:val="0"/>
          <w:numId w:val="18"/>
        </w:numPr>
      </w:pPr>
      <w:r>
        <w:t>Which dimension of transformation leadership styles do you think is most important for the success of your organisation? If yes, explain why.</w:t>
      </w:r>
    </w:p>
    <w:p>
      <w:pPr>
        <w:pStyle w:val="131"/>
        <w:numPr>
          <w:ilvl w:val="0"/>
          <w:numId w:val="18"/>
        </w:numPr>
      </w:pPr>
      <w:r>
        <w:t>Do you think that the leader in your organisation focused on individual, or organisation performance, or both? If yes, explain why.</w:t>
      </w:r>
    </w:p>
    <w:p>
      <w:pPr>
        <w:pStyle w:val="131"/>
        <w:numPr>
          <w:ilvl w:val="0"/>
          <w:numId w:val="18"/>
        </w:numPr>
      </w:pPr>
      <w:r>
        <w:t>Which indicators of organisational performance is used in your organisation?</w:t>
      </w:r>
    </w:p>
    <w:p>
      <w:pPr>
        <w:pStyle w:val="131"/>
        <w:numPr>
          <w:ilvl w:val="0"/>
          <w:numId w:val="18"/>
        </w:numPr>
      </w:pPr>
      <w:r>
        <w:t>In your opinion, do you think that organisational performance is an important metric for determining the success of SMEs?</w:t>
      </w:r>
    </w:p>
    <w:p>
      <w:pPr>
        <w:pStyle w:val="131"/>
        <w:numPr>
          <w:ilvl w:val="0"/>
          <w:numId w:val="18"/>
        </w:numPr>
      </w:pPr>
      <w:r>
        <w:t>Do you think that organisational performance is an indication of effective leadership?</w:t>
      </w:r>
    </w:p>
    <w:p>
      <w:pPr>
        <w:pStyle w:val="131"/>
        <w:numPr>
          <w:ilvl w:val="0"/>
          <w:numId w:val="18"/>
        </w:numPr>
      </w:pPr>
      <w:r>
        <w:t>Do you think motivating employees contributes to the enhancement of organisational performance? If yes, explain why.</w:t>
      </w:r>
    </w:p>
    <w:p>
      <w:pPr>
        <w:pStyle w:val="131"/>
        <w:numPr>
          <w:ilvl w:val="0"/>
          <w:numId w:val="18"/>
        </w:numPr>
      </w:pPr>
      <w:r>
        <w:t>What factors related to a transformational leadership, in your opinion, would contributed to enhancing the effectiveness of organisational performance?</w:t>
      </w:r>
    </w:p>
    <w:p>
      <w:pPr>
        <w:rPr>
          <w:rFonts w:asciiTheme="majorHAnsi" w:hAnsiTheme="majorHAnsi" w:eastAsiaTheme="majorEastAsia" w:cstheme="majorBidi"/>
          <w:b/>
          <w:bCs/>
        </w:rPr>
      </w:pPr>
      <w:r>
        <w:br w:type="page"/>
      </w:r>
    </w:p>
    <w:p>
      <w:pPr>
        <w:pStyle w:val="3"/>
      </w:pPr>
      <w:bookmarkStart w:id="77" w:name="_Toc41576902"/>
      <w:r>
        <w:t>C. Statistical Output</w:t>
      </w:r>
      <w:bookmarkEnd w:id="77"/>
    </w:p>
    <w:p>
      <w:pPr>
        <w:pStyle w:val="4"/>
      </w:pPr>
      <w:bookmarkStart w:id="78" w:name="_Toc41576903"/>
      <w:r>
        <w:t>1. Reliability Test Results</w:t>
      </w:r>
      <w:bookmarkEnd w:id="78"/>
    </w:p>
    <w:tbl>
      <w:tblPr>
        <w:tblStyle w:val="92"/>
        <w:tblW w:w="270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519"/>
        <w:gridCol w:w="11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704" w:type="dxa"/>
            <w:gridSpan w:val="2"/>
            <w:tcBorders>
              <w:top w:val="nil"/>
              <w:left w:val="nil"/>
              <w:bottom w:val="nil"/>
              <w:right w:val="nil"/>
            </w:tcBorders>
            <w:shd w:val="clear" w:color="auto" w:fill="FFFFFF"/>
            <w:vAlign w:val="center"/>
          </w:tcPr>
          <w:p>
            <w:pPr>
              <w:autoSpaceDE w:val="0"/>
              <w:autoSpaceDN w:val="0"/>
              <w:adjustRightInd w:val="0"/>
              <w:spacing w:line="320" w:lineRule="atLeast"/>
              <w:ind w:left="60" w:right="60" w:firstLine="0"/>
              <w:jc w:val="center"/>
              <w:rPr>
                <w:rFonts w:ascii="Arial" w:hAnsi="Arial" w:cs="Arial"/>
                <w:color w:val="010205"/>
                <w:kern w:val="0"/>
                <w:sz w:val="22"/>
                <w:szCs w:val="22"/>
              </w:rPr>
            </w:pPr>
            <w:r>
              <w:rPr>
                <w:rFonts w:ascii="Arial" w:hAnsi="Arial" w:cs="Arial"/>
                <w:b/>
                <w:bCs/>
                <w:color w:val="010205"/>
                <w:kern w:val="0"/>
                <w:sz w:val="22"/>
                <w:szCs w:val="22"/>
              </w:rPr>
              <w:t>Reliability Statistics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1518" w:type="dxa"/>
            <w:tcBorders>
              <w:top w:val="nil"/>
              <w:left w:val="nil"/>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Cronbach's Alpha</w:t>
            </w:r>
          </w:p>
        </w:tc>
        <w:tc>
          <w:tcPr>
            <w:tcW w:w="1186" w:type="dxa"/>
            <w:tcBorders>
              <w:top w:val="nil"/>
              <w:left w:val="single" w:color="E0E0E0" w:sz="8" w:space="0"/>
              <w:bottom w:val="single" w:color="152935" w:sz="8" w:space="0"/>
              <w:right w:val="nil"/>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N of Items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1518" w:type="dxa"/>
            <w:tcBorders>
              <w:top w:val="single" w:color="152935" w:sz="8" w:space="0"/>
              <w:left w:val="nil"/>
              <w:bottom w:val="single" w:color="152935" w:sz="8" w:space="0"/>
              <w:right w:val="single" w:color="E0E0E0" w:sz="8" w:space="0"/>
            </w:tcBorders>
            <w:shd w:val="clear" w:color="auto" w:fill="949494" w:themeFill="accent6" w:themeFillTint="99"/>
          </w:tcPr>
          <w:p>
            <w:pPr>
              <w:tabs>
                <w:tab w:val="center" w:pos="754"/>
                <w:tab w:val="right" w:pos="1449"/>
              </w:tabs>
              <w:autoSpaceDE w:val="0"/>
              <w:autoSpaceDN w:val="0"/>
              <w:adjustRightInd w:val="0"/>
              <w:spacing w:line="320" w:lineRule="atLeast"/>
              <w:ind w:left="60" w:right="60" w:firstLine="0"/>
              <w:rPr>
                <w:rFonts w:ascii="Arial" w:hAnsi="Arial" w:cs="Arial"/>
                <w:color w:val="010205"/>
                <w:kern w:val="0"/>
                <w:sz w:val="18"/>
                <w:szCs w:val="18"/>
              </w:rPr>
            </w:pPr>
            <w:r>
              <w:rPr>
                <w:rFonts w:ascii="Arial" w:hAnsi="Arial" w:cs="Arial"/>
                <w:color w:val="010205"/>
                <w:kern w:val="0"/>
                <w:sz w:val="18"/>
                <w:szCs w:val="18"/>
              </w:rPr>
              <w:tab/>
            </w:r>
            <w:r>
              <w:rPr>
                <w:rFonts w:ascii="Arial" w:hAnsi="Arial" w:cs="Arial"/>
                <w:color w:val="010205"/>
                <w:kern w:val="0"/>
                <w:sz w:val="18"/>
                <w:szCs w:val="18"/>
              </w:rPr>
              <w:tab/>
            </w:r>
            <w:r>
              <w:rPr>
                <w:rFonts w:ascii="Arial" w:hAnsi="Arial" w:cs="Arial"/>
                <w:color w:val="010205"/>
                <w:kern w:val="0"/>
                <w:sz w:val="18"/>
                <w:szCs w:val="18"/>
              </w:rPr>
              <w:t>.989</w:t>
            </w:r>
          </w:p>
        </w:tc>
        <w:tc>
          <w:tcPr>
            <w:tcW w:w="1186" w:type="dxa"/>
            <w:tcBorders>
              <w:top w:val="single" w:color="152935" w:sz="8" w:space="0"/>
              <w:left w:val="single" w:color="E0E0E0" w:sz="8" w:space="0"/>
              <w:bottom w:val="single" w:color="152935" w:sz="8" w:space="0"/>
              <w:right w:val="nil"/>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9</w:t>
            </w:r>
          </w:p>
        </w:tc>
      </w:tr>
    </w:tbl>
    <w:p/>
    <w:p>
      <w:pPr>
        <w:pStyle w:val="4"/>
        <w:spacing w:before="240"/>
      </w:pPr>
      <w:bookmarkStart w:id="79" w:name="_Toc41576904"/>
      <w:r>
        <w:t>2. Linear Regression Results</w:t>
      </w:r>
      <w:bookmarkEnd w:id="79"/>
    </w:p>
    <w:tbl>
      <w:tblPr>
        <w:tblStyle w:val="92"/>
        <w:tblW w:w="587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98"/>
        <w:gridCol w:w="1030"/>
        <w:gridCol w:w="1092"/>
        <w:gridCol w:w="1476"/>
        <w:gridCol w:w="147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5869" w:type="dxa"/>
            <w:gridSpan w:val="5"/>
            <w:tcBorders>
              <w:top w:val="nil"/>
              <w:left w:val="nil"/>
              <w:bottom w:val="nil"/>
              <w:right w:val="nil"/>
            </w:tcBorders>
            <w:shd w:val="clear" w:color="auto" w:fill="FFFFFF"/>
            <w:vAlign w:val="center"/>
          </w:tcPr>
          <w:p>
            <w:pPr>
              <w:autoSpaceDE w:val="0"/>
              <w:autoSpaceDN w:val="0"/>
              <w:adjustRightInd w:val="0"/>
              <w:spacing w:line="320" w:lineRule="atLeast"/>
              <w:ind w:left="60" w:right="60" w:firstLine="0"/>
              <w:jc w:val="center"/>
              <w:rPr>
                <w:rFonts w:ascii="Arial" w:hAnsi="Arial" w:cs="Arial"/>
                <w:color w:val="010205"/>
                <w:kern w:val="0"/>
                <w:sz w:val="22"/>
                <w:szCs w:val="22"/>
              </w:rPr>
            </w:pPr>
            <w:r>
              <w:rPr>
                <w:rFonts w:ascii="Arial" w:hAnsi="Arial" w:cs="Arial"/>
                <w:b/>
                <w:bCs/>
                <w:color w:val="010205"/>
                <w:kern w:val="0"/>
                <w:sz w:val="22"/>
                <w:szCs w:val="22"/>
              </w:rPr>
              <w:t>Model Summary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99" w:type="dxa"/>
            <w:tcBorders>
              <w:top w:val="nil"/>
              <w:left w:val="nil"/>
              <w:bottom w:val="single" w:color="152935" w:sz="8" w:space="0"/>
              <w:right w:val="nil"/>
            </w:tcBorders>
            <w:shd w:val="clear" w:color="auto" w:fill="FFFFFF"/>
            <w:vAlign w:val="bottom"/>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Model</w:t>
            </w:r>
          </w:p>
        </w:tc>
        <w:tc>
          <w:tcPr>
            <w:tcW w:w="1029" w:type="dxa"/>
            <w:tcBorders>
              <w:top w:val="nil"/>
              <w:left w:val="nil"/>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R</w:t>
            </w:r>
          </w:p>
        </w:tc>
        <w:tc>
          <w:tcPr>
            <w:tcW w:w="1091" w:type="dxa"/>
            <w:tcBorders>
              <w:top w:val="nil"/>
              <w:left w:val="single" w:color="E0E0E0" w:sz="8" w:space="0"/>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R Square</w:t>
            </w:r>
          </w:p>
        </w:tc>
        <w:tc>
          <w:tcPr>
            <w:tcW w:w="1475" w:type="dxa"/>
            <w:tcBorders>
              <w:top w:val="nil"/>
              <w:left w:val="single" w:color="E0E0E0" w:sz="8" w:space="0"/>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Adjusted R Square</w:t>
            </w:r>
          </w:p>
        </w:tc>
        <w:tc>
          <w:tcPr>
            <w:tcW w:w="1475" w:type="dxa"/>
            <w:tcBorders>
              <w:top w:val="nil"/>
              <w:left w:val="single" w:color="E0E0E0" w:sz="8" w:space="0"/>
              <w:bottom w:val="single" w:color="152935" w:sz="8" w:space="0"/>
              <w:right w:val="nil"/>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Std. Error of the Estimate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99" w:type="dxa"/>
            <w:tcBorders>
              <w:top w:val="single" w:color="152935" w:sz="8" w:space="0"/>
              <w:left w:val="nil"/>
              <w:bottom w:val="single" w:color="152935"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1</w:t>
            </w:r>
          </w:p>
        </w:tc>
        <w:tc>
          <w:tcPr>
            <w:tcW w:w="1029" w:type="dxa"/>
            <w:tcBorders>
              <w:top w:val="single" w:color="152935" w:sz="8" w:space="0"/>
              <w:left w:val="nil"/>
              <w:bottom w:val="single" w:color="152935"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.935</w:t>
            </w:r>
            <w:r>
              <w:rPr>
                <w:rFonts w:ascii="Arial" w:hAnsi="Arial" w:cs="Arial"/>
                <w:color w:val="010205"/>
                <w:kern w:val="0"/>
                <w:sz w:val="18"/>
                <w:szCs w:val="18"/>
                <w:vertAlign w:val="superscript"/>
              </w:rPr>
              <w:t>a</w:t>
            </w:r>
          </w:p>
        </w:tc>
        <w:tc>
          <w:tcPr>
            <w:tcW w:w="1091" w:type="dxa"/>
            <w:tcBorders>
              <w:top w:val="single" w:color="152935" w:sz="8" w:space="0"/>
              <w:left w:val="single" w:color="E0E0E0" w:sz="8" w:space="0"/>
              <w:bottom w:val="single" w:color="152935" w:sz="8" w:space="0"/>
              <w:right w:val="single" w:color="E0E0E0" w:sz="8" w:space="0"/>
            </w:tcBorders>
            <w:shd w:val="clear" w:color="auto" w:fill="949494" w:themeFill="accent6" w:themeFillTint="99"/>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.875</w:t>
            </w:r>
          </w:p>
        </w:tc>
        <w:tc>
          <w:tcPr>
            <w:tcW w:w="1475" w:type="dxa"/>
            <w:tcBorders>
              <w:top w:val="single" w:color="152935" w:sz="8" w:space="0"/>
              <w:left w:val="single" w:color="E0E0E0" w:sz="8" w:space="0"/>
              <w:bottom w:val="single" w:color="152935"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.872</w:t>
            </w:r>
          </w:p>
        </w:tc>
        <w:tc>
          <w:tcPr>
            <w:tcW w:w="1475" w:type="dxa"/>
            <w:tcBorders>
              <w:top w:val="single" w:color="152935" w:sz="8" w:space="0"/>
              <w:left w:val="single" w:color="E0E0E0" w:sz="8" w:space="0"/>
              <w:bottom w:val="single" w:color="152935" w:sz="8" w:space="0"/>
              <w:right w:val="nil"/>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.40152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5869" w:type="dxa"/>
            <w:gridSpan w:val="5"/>
            <w:tcBorders>
              <w:top w:val="nil"/>
              <w:left w:val="nil"/>
              <w:bottom w:val="nil"/>
              <w:right w:val="nil"/>
            </w:tcBorders>
            <w:shd w:val="clear" w:color="auto" w:fill="FFFFFF"/>
          </w:tcPr>
          <w:p>
            <w:pPr>
              <w:autoSpaceDE w:val="0"/>
              <w:autoSpaceDN w:val="0"/>
              <w:adjustRightInd w:val="0"/>
              <w:spacing w:line="320" w:lineRule="atLeast"/>
              <w:ind w:left="60" w:right="60" w:firstLine="0"/>
              <w:rPr>
                <w:rFonts w:ascii="Arial" w:hAnsi="Arial" w:cs="Arial"/>
                <w:color w:val="010205"/>
                <w:kern w:val="0"/>
                <w:sz w:val="18"/>
                <w:szCs w:val="18"/>
              </w:rPr>
            </w:pPr>
            <w:r>
              <w:rPr>
                <w:rFonts w:ascii="Arial" w:hAnsi="Arial" w:cs="Arial"/>
                <w:color w:val="010205"/>
                <w:kern w:val="0"/>
                <w:sz w:val="18"/>
                <w:szCs w:val="18"/>
              </w:rPr>
              <w:t>a. Predictors: (Constant), Transformational</w:t>
            </w:r>
          </w:p>
        </w:tc>
      </w:tr>
    </w:tbl>
    <w:p>
      <w:pPr>
        <w:autoSpaceDE w:val="0"/>
        <w:autoSpaceDN w:val="0"/>
        <w:adjustRightInd w:val="0"/>
        <w:spacing w:line="400" w:lineRule="atLeast"/>
        <w:ind w:firstLine="0"/>
        <w:rPr>
          <w:rFonts w:ascii="Times New Roman" w:hAnsi="Times New Roman" w:cs="Times New Roman"/>
          <w:kern w:val="0"/>
        </w:rPr>
      </w:pPr>
    </w:p>
    <w:p>
      <w:pPr>
        <w:autoSpaceDE w:val="0"/>
        <w:autoSpaceDN w:val="0"/>
        <w:adjustRightInd w:val="0"/>
        <w:spacing w:line="240" w:lineRule="auto"/>
        <w:ind w:firstLine="0"/>
        <w:rPr>
          <w:rFonts w:ascii="Times New Roman" w:hAnsi="Times New Roman" w:cs="Times New Roman"/>
          <w:kern w:val="0"/>
        </w:rPr>
      </w:pPr>
    </w:p>
    <w:tbl>
      <w:tblPr>
        <w:tblStyle w:val="92"/>
        <w:tblW w:w="800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6"/>
        <w:gridCol w:w="1292"/>
        <w:gridCol w:w="1476"/>
        <w:gridCol w:w="1030"/>
        <w:gridCol w:w="1415"/>
        <w:gridCol w:w="1030"/>
        <w:gridCol w:w="103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8004" w:type="dxa"/>
            <w:gridSpan w:val="7"/>
            <w:tcBorders>
              <w:top w:val="nil"/>
              <w:left w:val="nil"/>
              <w:bottom w:val="nil"/>
              <w:right w:val="nil"/>
            </w:tcBorders>
            <w:shd w:val="clear" w:color="auto" w:fill="FFFFFF"/>
            <w:vAlign w:val="center"/>
          </w:tcPr>
          <w:p>
            <w:pPr>
              <w:autoSpaceDE w:val="0"/>
              <w:autoSpaceDN w:val="0"/>
              <w:adjustRightInd w:val="0"/>
              <w:spacing w:line="320" w:lineRule="atLeast"/>
              <w:ind w:left="60" w:right="60" w:firstLine="0"/>
              <w:jc w:val="center"/>
              <w:rPr>
                <w:rFonts w:ascii="Arial" w:hAnsi="Arial" w:cs="Arial"/>
                <w:color w:val="010205"/>
                <w:kern w:val="0"/>
                <w:sz w:val="22"/>
                <w:szCs w:val="22"/>
              </w:rPr>
            </w:pPr>
            <w:r>
              <w:rPr>
                <w:rFonts w:ascii="Arial" w:hAnsi="Arial" w:cs="Arial"/>
                <w:b/>
                <w:bCs/>
                <w:color w:val="010205"/>
                <w:kern w:val="0"/>
                <w:sz w:val="22"/>
                <w:szCs w:val="22"/>
              </w:rPr>
              <w:t>ANOVA</w:t>
            </w:r>
            <w:r>
              <w:rPr>
                <w:rFonts w:ascii="Arial" w:hAnsi="Arial" w:cs="Arial"/>
                <w:b/>
                <w:bCs/>
                <w:color w:val="010205"/>
                <w:kern w:val="0"/>
                <w:sz w:val="22"/>
                <w:szCs w:val="22"/>
                <w:vertAlign w:val="superscript"/>
              </w:rPr>
              <w:t>a</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028" w:type="dxa"/>
            <w:gridSpan w:val="2"/>
            <w:tcBorders>
              <w:top w:val="nil"/>
              <w:left w:val="nil"/>
              <w:bottom w:val="single" w:color="152935" w:sz="8" w:space="0"/>
              <w:right w:val="nil"/>
            </w:tcBorders>
            <w:shd w:val="clear" w:color="auto" w:fill="FFFFFF"/>
            <w:vAlign w:val="bottom"/>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Model</w:t>
            </w:r>
          </w:p>
        </w:tc>
        <w:tc>
          <w:tcPr>
            <w:tcW w:w="1475" w:type="dxa"/>
            <w:tcBorders>
              <w:top w:val="nil"/>
              <w:left w:val="nil"/>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Sum of Squares</w:t>
            </w:r>
          </w:p>
        </w:tc>
        <w:tc>
          <w:tcPr>
            <w:tcW w:w="1029" w:type="dxa"/>
            <w:tcBorders>
              <w:top w:val="nil"/>
              <w:left w:val="single" w:color="E0E0E0" w:sz="8" w:space="0"/>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df</w:t>
            </w:r>
          </w:p>
        </w:tc>
        <w:tc>
          <w:tcPr>
            <w:tcW w:w="1414" w:type="dxa"/>
            <w:tcBorders>
              <w:top w:val="nil"/>
              <w:left w:val="single" w:color="E0E0E0" w:sz="8" w:space="0"/>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Mean Square</w:t>
            </w:r>
          </w:p>
        </w:tc>
        <w:tc>
          <w:tcPr>
            <w:tcW w:w="1029" w:type="dxa"/>
            <w:tcBorders>
              <w:top w:val="nil"/>
              <w:left w:val="single" w:color="E0E0E0" w:sz="8" w:space="0"/>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F</w:t>
            </w:r>
          </w:p>
        </w:tc>
        <w:tc>
          <w:tcPr>
            <w:tcW w:w="1029" w:type="dxa"/>
            <w:tcBorders>
              <w:top w:val="nil"/>
              <w:left w:val="single" w:color="E0E0E0" w:sz="8" w:space="0"/>
              <w:bottom w:val="single" w:color="152935" w:sz="8" w:space="0"/>
              <w:right w:val="nil"/>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Sig.</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37" w:type="dxa"/>
            <w:vMerge w:val="restart"/>
            <w:tcBorders>
              <w:top w:val="single" w:color="152935" w:sz="8" w:space="0"/>
              <w:left w:val="nil"/>
              <w:bottom w:val="single" w:color="152935"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1</w:t>
            </w:r>
          </w:p>
        </w:tc>
        <w:tc>
          <w:tcPr>
            <w:tcW w:w="1291" w:type="dxa"/>
            <w:tcBorders>
              <w:top w:val="single" w:color="152935" w:sz="8" w:space="0"/>
              <w:left w:val="nil"/>
              <w:bottom w:val="single" w:color="AEAEAE"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Regression</w:t>
            </w:r>
          </w:p>
        </w:tc>
        <w:tc>
          <w:tcPr>
            <w:tcW w:w="1475" w:type="dxa"/>
            <w:tcBorders>
              <w:top w:val="single" w:color="152935" w:sz="8" w:space="0"/>
              <w:left w:val="nil"/>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43.908</w:t>
            </w:r>
          </w:p>
        </w:tc>
        <w:tc>
          <w:tcPr>
            <w:tcW w:w="1029" w:type="dxa"/>
            <w:tcBorders>
              <w:top w:val="single" w:color="152935" w:sz="8" w:space="0"/>
              <w:left w:val="single" w:color="E0E0E0" w:sz="8" w:space="0"/>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1</w:t>
            </w:r>
          </w:p>
        </w:tc>
        <w:tc>
          <w:tcPr>
            <w:tcW w:w="1414" w:type="dxa"/>
            <w:tcBorders>
              <w:top w:val="single" w:color="152935" w:sz="8" w:space="0"/>
              <w:left w:val="single" w:color="E0E0E0" w:sz="8" w:space="0"/>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43.908</w:t>
            </w:r>
          </w:p>
        </w:tc>
        <w:tc>
          <w:tcPr>
            <w:tcW w:w="1029" w:type="dxa"/>
            <w:tcBorders>
              <w:top w:val="single" w:color="152935" w:sz="8" w:space="0"/>
              <w:left w:val="single" w:color="E0E0E0" w:sz="8" w:space="0"/>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272.354</w:t>
            </w:r>
          </w:p>
        </w:tc>
        <w:tc>
          <w:tcPr>
            <w:tcW w:w="1029" w:type="dxa"/>
            <w:tcBorders>
              <w:top w:val="single" w:color="152935" w:sz="8" w:space="0"/>
              <w:left w:val="single" w:color="E0E0E0" w:sz="8" w:space="0"/>
              <w:bottom w:val="single" w:color="AEAEAE" w:sz="8" w:space="0"/>
              <w:right w:val="nil"/>
            </w:tcBorders>
            <w:shd w:val="clear" w:color="auto" w:fill="949494" w:themeFill="accent6" w:themeFillTint="99"/>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.000</w:t>
            </w:r>
            <w:r>
              <w:rPr>
                <w:rFonts w:ascii="Arial" w:hAnsi="Arial" w:cs="Arial"/>
                <w:color w:val="010205"/>
                <w:kern w:val="0"/>
                <w:sz w:val="18"/>
                <w:szCs w:val="18"/>
                <w:vertAlign w:val="superscript"/>
              </w:rPr>
              <w:t>b</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37" w:type="dxa"/>
            <w:vMerge w:val="continue"/>
            <w:tcBorders>
              <w:top w:val="single" w:color="152935" w:sz="8" w:space="0"/>
              <w:left w:val="nil"/>
              <w:bottom w:val="single" w:color="152935" w:sz="8" w:space="0"/>
              <w:right w:val="nil"/>
            </w:tcBorders>
            <w:shd w:val="clear" w:color="auto" w:fill="E0E0E0"/>
          </w:tcPr>
          <w:p>
            <w:pPr>
              <w:autoSpaceDE w:val="0"/>
              <w:autoSpaceDN w:val="0"/>
              <w:adjustRightInd w:val="0"/>
              <w:spacing w:line="240" w:lineRule="auto"/>
              <w:ind w:firstLine="0"/>
              <w:rPr>
                <w:rFonts w:ascii="Arial" w:hAnsi="Arial" w:cs="Arial"/>
                <w:color w:val="010205"/>
                <w:kern w:val="0"/>
                <w:sz w:val="18"/>
                <w:szCs w:val="18"/>
              </w:rPr>
            </w:pPr>
          </w:p>
        </w:tc>
        <w:tc>
          <w:tcPr>
            <w:tcW w:w="1291" w:type="dxa"/>
            <w:tcBorders>
              <w:top w:val="single" w:color="AEAEAE" w:sz="8" w:space="0"/>
              <w:left w:val="nil"/>
              <w:bottom w:val="single" w:color="AEAEAE"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Residual</w:t>
            </w:r>
          </w:p>
        </w:tc>
        <w:tc>
          <w:tcPr>
            <w:tcW w:w="1475" w:type="dxa"/>
            <w:tcBorders>
              <w:top w:val="single" w:color="AEAEAE" w:sz="8" w:space="0"/>
              <w:left w:val="nil"/>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6.287</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39</w:t>
            </w:r>
          </w:p>
        </w:tc>
        <w:tc>
          <w:tcPr>
            <w:tcW w:w="1414" w:type="dxa"/>
            <w:tcBorders>
              <w:top w:val="single" w:color="AEAEAE" w:sz="8" w:space="0"/>
              <w:left w:val="single" w:color="E0E0E0" w:sz="8" w:space="0"/>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.161</w:t>
            </w:r>
          </w:p>
        </w:tc>
        <w:tc>
          <w:tcPr>
            <w:tcW w:w="1029" w:type="dxa"/>
            <w:tcBorders>
              <w:top w:val="single" w:color="AEAEAE" w:sz="8" w:space="0"/>
              <w:left w:val="single" w:color="E0E0E0" w:sz="8" w:space="0"/>
              <w:bottom w:val="single" w:color="AEAEAE" w:sz="8" w:space="0"/>
              <w:right w:val="single" w:color="E0E0E0" w:sz="8" w:space="0"/>
            </w:tcBorders>
            <w:shd w:val="clear" w:color="auto" w:fill="FFFFFF"/>
            <w:vAlign w:val="center"/>
          </w:tcPr>
          <w:p>
            <w:pPr>
              <w:autoSpaceDE w:val="0"/>
              <w:autoSpaceDN w:val="0"/>
              <w:adjustRightInd w:val="0"/>
              <w:spacing w:line="240" w:lineRule="auto"/>
              <w:ind w:firstLine="0"/>
              <w:rPr>
                <w:rFonts w:ascii="Times New Roman" w:hAnsi="Times New Roman" w:cs="Times New Roman"/>
                <w:kern w:val="0"/>
              </w:rPr>
            </w:pPr>
          </w:p>
        </w:tc>
        <w:tc>
          <w:tcPr>
            <w:tcW w:w="1029" w:type="dxa"/>
            <w:tcBorders>
              <w:top w:val="single" w:color="AEAEAE" w:sz="8" w:space="0"/>
              <w:left w:val="single" w:color="E0E0E0" w:sz="8" w:space="0"/>
              <w:bottom w:val="single" w:color="AEAEAE" w:sz="8" w:space="0"/>
              <w:right w:val="nil"/>
            </w:tcBorders>
            <w:shd w:val="clear" w:color="auto" w:fill="FFFFFF"/>
            <w:vAlign w:val="center"/>
          </w:tcPr>
          <w:p>
            <w:pPr>
              <w:autoSpaceDE w:val="0"/>
              <w:autoSpaceDN w:val="0"/>
              <w:adjustRightInd w:val="0"/>
              <w:spacing w:line="240" w:lineRule="auto"/>
              <w:ind w:firstLine="0"/>
              <w:rPr>
                <w:rFonts w:ascii="Times New Roman" w:hAnsi="Times New Roman" w:cs="Times New Roman"/>
                <w:kern w:val="0"/>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37" w:type="dxa"/>
            <w:vMerge w:val="continue"/>
            <w:tcBorders>
              <w:top w:val="single" w:color="152935" w:sz="8" w:space="0"/>
              <w:left w:val="nil"/>
              <w:bottom w:val="single" w:color="152935" w:sz="8" w:space="0"/>
              <w:right w:val="nil"/>
            </w:tcBorders>
            <w:shd w:val="clear" w:color="auto" w:fill="E0E0E0"/>
          </w:tcPr>
          <w:p>
            <w:pPr>
              <w:autoSpaceDE w:val="0"/>
              <w:autoSpaceDN w:val="0"/>
              <w:adjustRightInd w:val="0"/>
              <w:spacing w:line="240" w:lineRule="auto"/>
              <w:ind w:firstLine="0"/>
              <w:rPr>
                <w:rFonts w:ascii="Times New Roman" w:hAnsi="Times New Roman" w:cs="Times New Roman"/>
                <w:kern w:val="0"/>
              </w:rPr>
            </w:pPr>
          </w:p>
        </w:tc>
        <w:tc>
          <w:tcPr>
            <w:tcW w:w="1291" w:type="dxa"/>
            <w:tcBorders>
              <w:top w:val="single" w:color="AEAEAE" w:sz="8" w:space="0"/>
              <w:left w:val="nil"/>
              <w:bottom w:val="single" w:color="152935"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Total</w:t>
            </w:r>
          </w:p>
        </w:tc>
        <w:tc>
          <w:tcPr>
            <w:tcW w:w="1475" w:type="dxa"/>
            <w:tcBorders>
              <w:top w:val="single" w:color="AEAEAE" w:sz="8" w:space="0"/>
              <w:left w:val="nil"/>
              <w:bottom w:val="single" w:color="152935"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50.195</w:t>
            </w:r>
          </w:p>
        </w:tc>
        <w:tc>
          <w:tcPr>
            <w:tcW w:w="1029" w:type="dxa"/>
            <w:tcBorders>
              <w:top w:val="single" w:color="AEAEAE" w:sz="8" w:space="0"/>
              <w:left w:val="single" w:color="E0E0E0" w:sz="8" w:space="0"/>
              <w:bottom w:val="single" w:color="152935"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40</w:t>
            </w:r>
          </w:p>
        </w:tc>
        <w:tc>
          <w:tcPr>
            <w:tcW w:w="1414" w:type="dxa"/>
            <w:tcBorders>
              <w:top w:val="single" w:color="AEAEAE" w:sz="8" w:space="0"/>
              <w:left w:val="single" w:color="E0E0E0" w:sz="8" w:space="0"/>
              <w:bottom w:val="single" w:color="152935" w:sz="8" w:space="0"/>
              <w:right w:val="single" w:color="E0E0E0" w:sz="8" w:space="0"/>
            </w:tcBorders>
            <w:shd w:val="clear" w:color="auto" w:fill="FFFFFF"/>
            <w:vAlign w:val="center"/>
          </w:tcPr>
          <w:p>
            <w:pPr>
              <w:autoSpaceDE w:val="0"/>
              <w:autoSpaceDN w:val="0"/>
              <w:adjustRightInd w:val="0"/>
              <w:spacing w:line="240" w:lineRule="auto"/>
              <w:ind w:firstLine="0"/>
              <w:rPr>
                <w:rFonts w:ascii="Times New Roman" w:hAnsi="Times New Roman" w:cs="Times New Roman"/>
                <w:kern w:val="0"/>
              </w:rPr>
            </w:pPr>
          </w:p>
        </w:tc>
        <w:tc>
          <w:tcPr>
            <w:tcW w:w="1029" w:type="dxa"/>
            <w:tcBorders>
              <w:top w:val="single" w:color="AEAEAE" w:sz="8" w:space="0"/>
              <w:left w:val="single" w:color="E0E0E0" w:sz="8" w:space="0"/>
              <w:bottom w:val="single" w:color="152935" w:sz="8" w:space="0"/>
              <w:right w:val="single" w:color="E0E0E0" w:sz="8" w:space="0"/>
            </w:tcBorders>
            <w:shd w:val="clear" w:color="auto" w:fill="FFFFFF"/>
            <w:vAlign w:val="center"/>
          </w:tcPr>
          <w:p>
            <w:pPr>
              <w:autoSpaceDE w:val="0"/>
              <w:autoSpaceDN w:val="0"/>
              <w:adjustRightInd w:val="0"/>
              <w:spacing w:line="240" w:lineRule="auto"/>
              <w:ind w:firstLine="0"/>
              <w:rPr>
                <w:rFonts w:ascii="Times New Roman" w:hAnsi="Times New Roman" w:cs="Times New Roman"/>
                <w:kern w:val="0"/>
              </w:rPr>
            </w:pPr>
          </w:p>
        </w:tc>
        <w:tc>
          <w:tcPr>
            <w:tcW w:w="1029" w:type="dxa"/>
            <w:tcBorders>
              <w:top w:val="single" w:color="AEAEAE" w:sz="8" w:space="0"/>
              <w:left w:val="single" w:color="E0E0E0" w:sz="8" w:space="0"/>
              <w:bottom w:val="single" w:color="152935" w:sz="8" w:space="0"/>
              <w:right w:val="nil"/>
            </w:tcBorders>
            <w:shd w:val="clear" w:color="auto" w:fill="FFFFFF"/>
            <w:vAlign w:val="center"/>
          </w:tcPr>
          <w:p>
            <w:pPr>
              <w:autoSpaceDE w:val="0"/>
              <w:autoSpaceDN w:val="0"/>
              <w:adjustRightInd w:val="0"/>
              <w:spacing w:line="240" w:lineRule="auto"/>
              <w:ind w:firstLine="0"/>
              <w:rPr>
                <w:rFonts w:ascii="Times New Roman" w:hAnsi="Times New Roman" w:cs="Times New Roman"/>
                <w:kern w:val="0"/>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8004" w:type="dxa"/>
            <w:gridSpan w:val="7"/>
            <w:tcBorders>
              <w:top w:val="nil"/>
              <w:left w:val="nil"/>
              <w:bottom w:val="nil"/>
              <w:right w:val="nil"/>
            </w:tcBorders>
            <w:shd w:val="clear" w:color="auto" w:fill="FFFFFF"/>
          </w:tcPr>
          <w:p>
            <w:pPr>
              <w:autoSpaceDE w:val="0"/>
              <w:autoSpaceDN w:val="0"/>
              <w:adjustRightInd w:val="0"/>
              <w:spacing w:line="320" w:lineRule="atLeast"/>
              <w:ind w:left="60" w:right="60" w:firstLine="0"/>
              <w:rPr>
                <w:rFonts w:ascii="Arial" w:hAnsi="Arial" w:cs="Arial"/>
                <w:color w:val="010205"/>
                <w:kern w:val="0"/>
                <w:sz w:val="18"/>
                <w:szCs w:val="18"/>
              </w:rPr>
            </w:pPr>
            <w:r>
              <w:rPr>
                <w:rFonts w:ascii="Arial" w:hAnsi="Arial" w:cs="Arial"/>
                <w:color w:val="010205"/>
                <w:kern w:val="0"/>
                <w:sz w:val="18"/>
                <w:szCs w:val="18"/>
              </w:rPr>
              <w:t>a. Dependent Variable: OverallPerformance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8004" w:type="dxa"/>
            <w:gridSpan w:val="7"/>
            <w:tcBorders>
              <w:top w:val="nil"/>
              <w:left w:val="nil"/>
              <w:bottom w:val="nil"/>
              <w:right w:val="nil"/>
            </w:tcBorders>
            <w:shd w:val="clear" w:color="auto" w:fill="FFFFFF"/>
          </w:tcPr>
          <w:p>
            <w:pPr>
              <w:autoSpaceDE w:val="0"/>
              <w:autoSpaceDN w:val="0"/>
              <w:adjustRightInd w:val="0"/>
              <w:spacing w:line="320" w:lineRule="atLeast"/>
              <w:ind w:left="60" w:right="60" w:firstLine="0"/>
              <w:rPr>
                <w:rFonts w:ascii="Arial" w:hAnsi="Arial" w:cs="Arial"/>
                <w:color w:val="010205"/>
                <w:kern w:val="0"/>
                <w:sz w:val="18"/>
                <w:szCs w:val="18"/>
              </w:rPr>
            </w:pPr>
            <w:r>
              <w:rPr>
                <w:rFonts w:ascii="Arial" w:hAnsi="Arial" w:cs="Arial"/>
                <w:color w:val="010205"/>
                <w:kern w:val="0"/>
                <w:sz w:val="18"/>
                <w:szCs w:val="18"/>
              </w:rPr>
              <w:t>b. Predictors: (Constant), Transformational</w:t>
            </w:r>
          </w:p>
        </w:tc>
      </w:tr>
    </w:tbl>
    <w:p>
      <w:pPr>
        <w:autoSpaceDE w:val="0"/>
        <w:autoSpaceDN w:val="0"/>
        <w:adjustRightInd w:val="0"/>
        <w:spacing w:line="400" w:lineRule="atLeast"/>
        <w:ind w:firstLine="0"/>
        <w:rPr>
          <w:rFonts w:ascii="Times New Roman" w:hAnsi="Times New Roman" w:cs="Times New Roman"/>
          <w:kern w:val="0"/>
        </w:rPr>
      </w:pPr>
    </w:p>
    <w:p>
      <w:pPr>
        <w:autoSpaceDE w:val="0"/>
        <w:autoSpaceDN w:val="0"/>
        <w:adjustRightInd w:val="0"/>
        <w:spacing w:line="240" w:lineRule="auto"/>
        <w:ind w:firstLine="0"/>
        <w:rPr>
          <w:rFonts w:ascii="Times New Roman" w:hAnsi="Times New Roman" w:cs="Times New Roman"/>
          <w:kern w:val="0"/>
        </w:rPr>
      </w:pPr>
    </w:p>
    <w:tbl>
      <w:tblPr>
        <w:tblStyle w:val="92"/>
        <w:tblW w:w="868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7"/>
        <w:gridCol w:w="1738"/>
        <w:gridCol w:w="1338"/>
        <w:gridCol w:w="1338"/>
        <w:gridCol w:w="1476"/>
        <w:gridCol w:w="1029"/>
        <w:gridCol w:w="102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8681" w:type="dxa"/>
            <w:gridSpan w:val="7"/>
            <w:tcBorders>
              <w:top w:val="nil"/>
              <w:left w:val="nil"/>
              <w:bottom w:val="nil"/>
              <w:right w:val="nil"/>
            </w:tcBorders>
            <w:shd w:val="clear" w:color="auto" w:fill="FFFFFF"/>
            <w:vAlign w:val="center"/>
          </w:tcPr>
          <w:p>
            <w:pPr>
              <w:autoSpaceDE w:val="0"/>
              <w:autoSpaceDN w:val="0"/>
              <w:adjustRightInd w:val="0"/>
              <w:spacing w:line="320" w:lineRule="atLeast"/>
              <w:ind w:left="60" w:right="60" w:firstLine="0"/>
              <w:jc w:val="center"/>
              <w:rPr>
                <w:rFonts w:ascii="Arial" w:hAnsi="Arial" w:cs="Arial"/>
                <w:color w:val="010205"/>
                <w:kern w:val="0"/>
                <w:sz w:val="22"/>
                <w:szCs w:val="22"/>
              </w:rPr>
            </w:pPr>
            <w:r>
              <w:rPr>
                <w:rFonts w:ascii="Arial" w:hAnsi="Arial" w:cs="Arial"/>
                <w:b/>
                <w:bCs/>
                <w:color w:val="010205"/>
                <w:kern w:val="0"/>
                <w:sz w:val="22"/>
                <w:szCs w:val="22"/>
              </w:rPr>
              <w:t>Coefficients</w:t>
            </w:r>
            <w:r>
              <w:rPr>
                <w:rFonts w:ascii="Arial" w:hAnsi="Arial" w:cs="Arial"/>
                <w:b/>
                <w:bCs/>
                <w:color w:val="010205"/>
                <w:kern w:val="0"/>
                <w:sz w:val="22"/>
                <w:szCs w:val="22"/>
                <w:vertAlign w:val="superscript"/>
              </w:rPr>
              <w:t>a</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74" w:type="dxa"/>
            <w:gridSpan w:val="2"/>
            <w:vMerge w:val="restart"/>
            <w:tcBorders>
              <w:top w:val="nil"/>
              <w:left w:val="nil"/>
              <w:bottom w:val="nil"/>
              <w:right w:val="nil"/>
            </w:tcBorders>
            <w:shd w:val="clear" w:color="auto" w:fill="FFFFFF"/>
            <w:vAlign w:val="bottom"/>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Model</w:t>
            </w:r>
          </w:p>
        </w:tc>
        <w:tc>
          <w:tcPr>
            <w:tcW w:w="2674" w:type="dxa"/>
            <w:gridSpan w:val="2"/>
            <w:tcBorders>
              <w:top w:val="nil"/>
              <w:left w:val="nil"/>
              <w:bottom w:val="nil"/>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Unstandardized Coefficients</w:t>
            </w:r>
          </w:p>
        </w:tc>
        <w:tc>
          <w:tcPr>
            <w:tcW w:w="1475" w:type="dxa"/>
            <w:tcBorders>
              <w:top w:val="nil"/>
              <w:left w:val="single" w:color="E0E0E0" w:sz="8" w:space="0"/>
              <w:bottom w:val="nil"/>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Standardized Coefficients</w:t>
            </w:r>
          </w:p>
        </w:tc>
        <w:tc>
          <w:tcPr>
            <w:tcW w:w="1029" w:type="dxa"/>
            <w:vMerge w:val="restart"/>
            <w:tcBorders>
              <w:top w:val="nil"/>
              <w:left w:val="single" w:color="E0E0E0" w:sz="8" w:space="0"/>
              <w:bottom w:val="nil"/>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t</w:t>
            </w:r>
          </w:p>
        </w:tc>
        <w:tc>
          <w:tcPr>
            <w:tcW w:w="1029" w:type="dxa"/>
            <w:vMerge w:val="restart"/>
            <w:tcBorders>
              <w:top w:val="nil"/>
              <w:left w:val="single" w:color="E0E0E0" w:sz="8" w:space="0"/>
              <w:bottom w:val="nil"/>
              <w:right w:val="nil"/>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Sig.</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474" w:type="dxa"/>
            <w:gridSpan w:val="2"/>
            <w:vMerge w:val="continue"/>
            <w:tcBorders>
              <w:top w:val="nil"/>
              <w:left w:val="nil"/>
              <w:bottom w:val="nil"/>
              <w:right w:val="nil"/>
            </w:tcBorders>
            <w:shd w:val="clear" w:color="auto" w:fill="FFFFFF"/>
            <w:vAlign w:val="bottom"/>
          </w:tcPr>
          <w:p>
            <w:pPr>
              <w:autoSpaceDE w:val="0"/>
              <w:autoSpaceDN w:val="0"/>
              <w:adjustRightInd w:val="0"/>
              <w:spacing w:line="240" w:lineRule="auto"/>
              <w:ind w:firstLine="0"/>
              <w:rPr>
                <w:rFonts w:ascii="Arial" w:hAnsi="Arial" w:cs="Arial"/>
                <w:color w:val="264A60"/>
                <w:kern w:val="0"/>
                <w:sz w:val="18"/>
                <w:szCs w:val="18"/>
              </w:rPr>
            </w:pPr>
          </w:p>
        </w:tc>
        <w:tc>
          <w:tcPr>
            <w:tcW w:w="1337" w:type="dxa"/>
            <w:tcBorders>
              <w:top w:val="nil"/>
              <w:left w:val="nil"/>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B</w:t>
            </w:r>
          </w:p>
        </w:tc>
        <w:tc>
          <w:tcPr>
            <w:tcW w:w="1337" w:type="dxa"/>
            <w:tcBorders>
              <w:top w:val="nil"/>
              <w:left w:val="single" w:color="E0E0E0" w:sz="8" w:space="0"/>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Std. Error</w:t>
            </w:r>
          </w:p>
        </w:tc>
        <w:tc>
          <w:tcPr>
            <w:tcW w:w="1475" w:type="dxa"/>
            <w:tcBorders>
              <w:top w:val="nil"/>
              <w:left w:val="single" w:color="E0E0E0" w:sz="8" w:space="0"/>
              <w:bottom w:val="single" w:color="152935" w:sz="8" w:space="0"/>
              <w:right w:val="single" w:color="E0E0E0" w:sz="8" w:space="0"/>
            </w:tcBorders>
            <w:shd w:val="clear" w:color="auto" w:fill="FFFFFF"/>
            <w:vAlign w:val="bottom"/>
          </w:tcPr>
          <w:p>
            <w:pPr>
              <w:autoSpaceDE w:val="0"/>
              <w:autoSpaceDN w:val="0"/>
              <w:adjustRightInd w:val="0"/>
              <w:spacing w:line="320" w:lineRule="atLeast"/>
              <w:ind w:left="60" w:right="60" w:firstLine="0"/>
              <w:jc w:val="center"/>
              <w:rPr>
                <w:rFonts w:ascii="Arial" w:hAnsi="Arial" w:cs="Arial"/>
                <w:color w:val="264A60"/>
                <w:kern w:val="0"/>
                <w:sz w:val="18"/>
                <w:szCs w:val="18"/>
              </w:rPr>
            </w:pPr>
            <w:r>
              <w:rPr>
                <w:rFonts w:ascii="Arial" w:hAnsi="Arial" w:cs="Arial"/>
                <w:color w:val="264A60"/>
                <w:kern w:val="0"/>
                <w:sz w:val="18"/>
                <w:szCs w:val="18"/>
              </w:rPr>
              <w:t>Beta</w:t>
            </w:r>
          </w:p>
        </w:tc>
        <w:tc>
          <w:tcPr>
            <w:tcW w:w="1029" w:type="dxa"/>
            <w:vMerge w:val="continue"/>
            <w:tcBorders>
              <w:top w:val="nil"/>
              <w:left w:val="single" w:color="E0E0E0" w:sz="8" w:space="0"/>
              <w:bottom w:val="nil"/>
              <w:right w:val="single" w:color="E0E0E0" w:sz="8" w:space="0"/>
            </w:tcBorders>
            <w:shd w:val="clear" w:color="auto" w:fill="FFFFFF"/>
            <w:vAlign w:val="bottom"/>
          </w:tcPr>
          <w:p>
            <w:pPr>
              <w:autoSpaceDE w:val="0"/>
              <w:autoSpaceDN w:val="0"/>
              <w:adjustRightInd w:val="0"/>
              <w:spacing w:line="240" w:lineRule="auto"/>
              <w:ind w:firstLine="0"/>
              <w:rPr>
                <w:rFonts w:ascii="Arial" w:hAnsi="Arial" w:cs="Arial"/>
                <w:color w:val="264A60"/>
                <w:kern w:val="0"/>
                <w:sz w:val="18"/>
                <w:szCs w:val="18"/>
              </w:rPr>
            </w:pPr>
          </w:p>
        </w:tc>
        <w:tc>
          <w:tcPr>
            <w:tcW w:w="1029" w:type="dxa"/>
            <w:vMerge w:val="continue"/>
            <w:tcBorders>
              <w:top w:val="nil"/>
              <w:left w:val="single" w:color="E0E0E0" w:sz="8" w:space="0"/>
              <w:bottom w:val="nil"/>
              <w:right w:val="nil"/>
            </w:tcBorders>
            <w:shd w:val="clear" w:color="auto" w:fill="FFFFFF"/>
            <w:vAlign w:val="bottom"/>
          </w:tcPr>
          <w:p>
            <w:pPr>
              <w:autoSpaceDE w:val="0"/>
              <w:autoSpaceDN w:val="0"/>
              <w:adjustRightInd w:val="0"/>
              <w:spacing w:line="240" w:lineRule="auto"/>
              <w:ind w:firstLine="0"/>
              <w:rPr>
                <w:rFonts w:ascii="Arial" w:hAnsi="Arial" w:cs="Arial"/>
                <w:color w:val="264A60"/>
                <w:kern w:val="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37" w:type="dxa"/>
            <w:vMerge w:val="restart"/>
            <w:tcBorders>
              <w:top w:val="single" w:color="152935" w:sz="8" w:space="0"/>
              <w:left w:val="nil"/>
              <w:bottom w:val="single" w:color="152935"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1</w:t>
            </w:r>
          </w:p>
        </w:tc>
        <w:tc>
          <w:tcPr>
            <w:tcW w:w="1737" w:type="dxa"/>
            <w:tcBorders>
              <w:top w:val="single" w:color="152935" w:sz="8" w:space="0"/>
              <w:left w:val="nil"/>
              <w:bottom w:val="single" w:color="AEAEAE"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(Constant)</w:t>
            </w:r>
          </w:p>
        </w:tc>
        <w:tc>
          <w:tcPr>
            <w:tcW w:w="1337" w:type="dxa"/>
            <w:tcBorders>
              <w:top w:val="single" w:color="152935" w:sz="8" w:space="0"/>
              <w:left w:val="nil"/>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.325</w:t>
            </w:r>
          </w:p>
        </w:tc>
        <w:tc>
          <w:tcPr>
            <w:tcW w:w="1337" w:type="dxa"/>
            <w:tcBorders>
              <w:top w:val="single" w:color="152935" w:sz="8" w:space="0"/>
              <w:left w:val="single" w:color="E0E0E0" w:sz="8" w:space="0"/>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.148</w:t>
            </w:r>
          </w:p>
        </w:tc>
        <w:tc>
          <w:tcPr>
            <w:tcW w:w="1475" w:type="dxa"/>
            <w:tcBorders>
              <w:top w:val="single" w:color="152935" w:sz="8" w:space="0"/>
              <w:left w:val="single" w:color="E0E0E0" w:sz="8" w:space="0"/>
              <w:bottom w:val="single" w:color="AEAEAE" w:sz="8" w:space="0"/>
              <w:right w:val="single" w:color="E0E0E0" w:sz="8" w:space="0"/>
            </w:tcBorders>
            <w:shd w:val="clear" w:color="auto" w:fill="FFFFFF"/>
            <w:vAlign w:val="center"/>
          </w:tcPr>
          <w:p>
            <w:pPr>
              <w:autoSpaceDE w:val="0"/>
              <w:autoSpaceDN w:val="0"/>
              <w:adjustRightInd w:val="0"/>
              <w:spacing w:line="240" w:lineRule="auto"/>
              <w:ind w:firstLine="0"/>
              <w:rPr>
                <w:rFonts w:ascii="Times New Roman" w:hAnsi="Times New Roman" w:cs="Times New Roman"/>
                <w:kern w:val="0"/>
              </w:rPr>
            </w:pPr>
          </w:p>
        </w:tc>
        <w:tc>
          <w:tcPr>
            <w:tcW w:w="1029" w:type="dxa"/>
            <w:tcBorders>
              <w:top w:val="single" w:color="152935" w:sz="8" w:space="0"/>
              <w:left w:val="single" w:color="E0E0E0" w:sz="8" w:space="0"/>
              <w:bottom w:val="single" w:color="AEAEAE"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2.197</w:t>
            </w:r>
          </w:p>
        </w:tc>
        <w:tc>
          <w:tcPr>
            <w:tcW w:w="1029" w:type="dxa"/>
            <w:tcBorders>
              <w:top w:val="single" w:color="152935" w:sz="8" w:space="0"/>
              <w:left w:val="single" w:color="E0E0E0" w:sz="8" w:space="0"/>
              <w:bottom w:val="single" w:color="AEAEAE" w:sz="8" w:space="0"/>
              <w:right w:val="nil"/>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.034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37" w:type="dxa"/>
            <w:vMerge w:val="continue"/>
            <w:tcBorders>
              <w:top w:val="single" w:color="152935" w:sz="8" w:space="0"/>
              <w:left w:val="nil"/>
              <w:bottom w:val="single" w:color="152935" w:sz="8" w:space="0"/>
              <w:right w:val="nil"/>
            </w:tcBorders>
            <w:shd w:val="clear" w:color="auto" w:fill="E0E0E0"/>
          </w:tcPr>
          <w:p>
            <w:pPr>
              <w:autoSpaceDE w:val="0"/>
              <w:autoSpaceDN w:val="0"/>
              <w:adjustRightInd w:val="0"/>
              <w:spacing w:line="240" w:lineRule="auto"/>
              <w:ind w:firstLine="0"/>
              <w:rPr>
                <w:rFonts w:ascii="Arial" w:hAnsi="Arial" w:cs="Arial"/>
                <w:color w:val="010205"/>
                <w:kern w:val="0"/>
                <w:sz w:val="18"/>
                <w:szCs w:val="18"/>
              </w:rPr>
            </w:pPr>
          </w:p>
        </w:tc>
        <w:tc>
          <w:tcPr>
            <w:tcW w:w="1737" w:type="dxa"/>
            <w:tcBorders>
              <w:top w:val="single" w:color="AEAEAE" w:sz="8" w:space="0"/>
              <w:left w:val="nil"/>
              <w:bottom w:val="single" w:color="152935" w:sz="8" w:space="0"/>
              <w:right w:val="nil"/>
            </w:tcBorders>
            <w:shd w:val="clear" w:color="auto" w:fill="E0E0E0"/>
          </w:tcPr>
          <w:p>
            <w:pPr>
              <w:autoSpaceDE w:val="0"/>
              <w:autoSpaceDN w:val="0"/>
              <w:adjustRightInd w:val="0"/>
              <w:spacing w:line="320" w:lineRule="atLeast"/>
              <w:ind w:left="60" w:right="60" w:firstLine="0"/>
              <w:rPr>
                <w:rFonts w:ascii="Arial" w:hAnsi="Arial" w:cs="Arial"/>
                <w:color w:val="264A60"/>
                <w:kern w:val="0"/>
                <w:sz w:val="18"/>
                <w:szCs w:val="18"/>
              </w:rPr>
            </w:pPr>
            <w:r>
              <w:rPr>
                <w:rFonts w:ascii="Arial" w:hAnsi="Arial" w:cs="Arial"/>
                <w:color w:val="264A60"/>
                <w:kern w:val="0"/>
                <w:sz w:val="18"/>
                <w:szCs w:val="18"/>
              </w:rPr>
              <w:t>Transformational</w:t>
            </w:r>
          </w:p>
        </w:tc>
        <w:tc>
          <w:tcPr>
            <w:tcW w:w="1337" w:type="dxa"/>
            <w:tcBorders>
              <w:top w:val="single" w:color="AEAEAE" w:sz="8" w:space="0"/>
              <w:left w:val="nil"/>
              <w:bottom w:val="single" w:color="152935" w:sz="8" w:space="0"/>
              <w:right w:val="single" w:color="E0E0E0" w:sz="8" w:space="0"/>
            </w:tcBorders>
            <w:shd w:val="clear" w:color="auto" w:fill="949494" w:themeFill="accent6" w:themeFillTint="99"/>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.944</w:t>
            </w:r>
          </w:p>
        </w:tc>
        <w:tc>
          <w:tcPr>
            <w:tcW w:w="1337" w:type="dxa"/>
            <w:tcBorders>
              <w:top w:val="single" w:color="AEAEAE" w:sz="8" w:space="0"/>
              <w:left w:val="single" w:color="E0E0E0" w:sz="8" w:space="0"/>
              <w:bottom w:val="single" w:color="152935"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.057</w:t>
            </w:r>
          </w:p>
        </w:tc>
        <w:tc>
          <w:tcPr>
            <w:tcW w:w="1475" w:type="dxa"/>
            <w:tcBorders>
              <w:top w:val="single" w:color="AEAEAE" w:sz="8" w:space="0"/>
              <w:left w:val="single" w:color="E0E0E0" w:sz="8" w:space="0"/>
              <w:bottom w:val="single" w:color="152935"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.935</w:t>
            </w:r>
          </w:p>
        </w:tc>
        <w:tc>
          <w:tcPr>
            <w:tcW w:w="1029" w:type="dxa"/>
            <w:tcBorders>
              <w:top w:val="single" w:color="AEAEAE" w:sz="8" w:space="0"/>
              <w:left w:val="single" w:color="E0E0E0" w:sz="8" w:space="0"/>
              <w:bottom w:val="single" w:color="152935" w:sz="8" w:space="0"/>
              <w:right w:val="single" w:color="E0E0E0" w:sz="8" w:space="0"/>
            </w:tcBorders>
            <w:shd w:val="clear" w:color="auto" w:fill="FFFFFF"/>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16.503</w:t>
            </w:r>
          </w:p>
        </w:tc>
        <w:tc>
          <w:tcPr>
            <w:tcW w:w="1029" w:type="dxa"/>
            <w:tcBorders>
              <w:top w:val="single" w:color="AEAEAE" w:sz="8" w:space="0"/>
              <w:left w:val="single" w:color="E0E0E0" w:sz="8" w:space="0"/>
              <w:bottom w:val="single" w:color="152935" w:sz="8" w:space="0"/>
              <w:right w:val="nil"/>
            </w:tcBorders>
            <w:shd w:val="clear" w:color="auto" w:fill="949494" w:themeFill="accent6" w:themeFillTint="99"/>
          </w:tcPr>
          <w:p>
            <w:pPr>
              <w:autoSpaceDE w:val="0"/>
              <w:autoSpaceDN w:val="0"/>
              <w:adjustRightInd w:val="0"/>
              <w:spacing w:line="320" w:lineRule="atLeast"/>
              <w:ind w:left="60" w:right="60" w:firstLine="0"/>
              <w:jc w:val="right"/>
              <w:rPr>
                <w:rFonts w:ascii="Arial" w:hAnsi="Arial" w:cs="Arial"/>
                <w:color w:val="010205"/>
                <w:kern w:val="0"/>
                <w:sz w:val="18"/>
                <w:szCs w:val="18"/>
              </w:rPr>
            </w:pPr>
            <w:r>
              <w:rPr>
                <w:rFonts w:ascii="Arial" w:hAnsi="Arial" w:cs="Arial"/>
                <w:color w:val="010205"/>
                <w:kern w:val="0"/>
                <w:sz w:val="18"/>
                <w:szCs w:val="18"/>
              </w:rPr>
              <w:t>.000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8681" w:type="dxa"/>
            <w:gridSpan w:val="7"/>
            <w:tcBorders>
              <w:top w:val="nil"/>
              <w:left w:val="nil"/>
              <w:bottom w:val="nil"/>
              <w:right w:val="nil"/>
            </w:tcBorders>
            <w:shd w:val="clear" w:color="auto" w:fill="FFFFFF"/>
          </w:tcPr>
          <w:p>
            <w:pPr>
              <w:autoSpaceDE w:val="0"/>
              <w:autoSpaceDN w:val="0"/>
              <w:adjustRightInd w:val="0"/>
              <w:spacing w:line="320" w:lineRule="atLeast"/>
              <w:ind w:left="60" w:right="60" w:firstLine="0"/>
              <w:rPr>
                <w:rFonts w:ascii="Arial" w:hAnsi="Arial" w:cs="Arial"/>
                <w:color w:val="010205"/>
                <w:kern w:val="0"/>
                <w:sz w:val="18"/>
                <w:szCs w:val="18"/>
              </w:rPr>
            </w:pPr>
            <w:r>
              <w:rPr>
                <w:rFonts w:ascii="Arial" w:hAnsi="Arial" w:cs="Arial"/>
                <w:color w:val="010205"/>
                <w:kern w:val="0"/>
                <w:sz w:val="18"/>
                <w:szCs w:val="18"/>
              </w:rPr>
              <w:t>a. Dependent Variable: OverallPerformance</w:t>
            </w:r>
          </w:p>
        </w:tc>
      </w:tr>
    </w:tbl>
    <w:p>
      <w:pPr>
        <w:autoSpaceDE w:val="0"/>
        <w:autoSpaceDN w:val="0"/>
        <w:adjustRightInd w:val="0"/>
        <w:spacing w:line="400" w:lineRule="atLeast"/>
        <w:ind w:firstLine="0"/>
        <w:rPr>
          <w:rFonts w:ascii="Times New Roman" w:hAnsi="Times New Roman" w:cs="Times New Roman"/>
          <w:kern w:val="0"/>
        </w:rPr>
      </w:pPr>
    </w:p>
    <w:p/>
    <w:p/>
    <w:sectPr>
      <w:headerReference r:id="rId4" w:type="first"/>
      <w:headerReference r:id="rId3" w:type="default"/>
      <w:footnotePr>
        <w:pos w:val="beneathText"/>
      </w:footnotePr>
      <w:pgSz w:w="11906" w:h="16838"/>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onsolas">
    <w:panose1 w:val="020B0609020204030204"/>
    <w:charset w:val="00"/>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黑体">
    <w:altName w:val="SimSun"/>
    <w:panose1 w:val="00000000000000000000"/>
    <w:charset w:val="00"/>
    <w:family w:val="auto"/>
    <w:pitch w:val="default"/>
    <w:sig w:usb0="00000000" w:usb1="00000000" w:usb2="00000000" w:usb3="00000000" w:csb0="00000000" w:csb1="00000000"/>
  </w:font>
  <w:font w:name="BIZ UDPGothic">
    <w:panose1 w:val="020B0400000000000000"/>
    <w:charset w:val="80"/>
    <w:family w:val="auto"/>
    <w:pitch w:val="default"/>
    <w:sig w:usb0="E00002F7" w:usb1="2AC7EDF8" w:usb2="00000012" w:usb3="00000000" w:csb0="2002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rPr>
        <w:rStyle w:val="91"/>
        <w:lang w:bidi="en-GB"/>
      </w:rPr>
      <w:ptab w:relativeTo="margin" w:alignment="right" w:leader="none"/>
    </w:r>
    <w:r>
      <w:rPr>
        <w:rStyle w:val="91"/>
        <w:lang w:bidi="en-GB"/>
      </w:rPr>
      <w:fldChar w:fldCharType="begin"/>
    </w:r>
    <w:r>
      <w:rPr>
        <w:rStyle w:val="91"/>
        <w:lang w:bidi="en-GB"/>
      </w:rPr>
      <w:instrText xml:space="preserve"> PAGE   \* MERGEFORMAT </w:instrText>
    </w:r>
    <w:r>
      <w:rPr>
        <w:rStyle w:val="91"/>
        <w:lang w:bidi="en-GB"/>
      </w:rPr>
      <w:fldChar w:fldCharType="separate"/>
    </w:r>
    <w:r>
      <w:rPr>
        <w:rStyle w:val="91"/>
        <w:lang w:bidi="en-GB"/>
      </w:rPr>
      <w:t>58</w:t>
    </w:r>
    <w:r>
      <w:rPr>
        <w:rStyle w:val="91"/>
        <w:lang w:bidi="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rPr>
        <w:rStyle w:val="91"/>
      </w:rPr>
    </w:pPr>
    <w:r>
      <w:rPr>
        <w:rStyle w:val="91"/>
        <w:lang w:bidi="en-GB"/>
      </w:rPr>
      <w:ptab w:relativeTo="margin" w:alignment="right" w:leader="none"/>
    </w:r>
    <w:r>
      <w:rPr>
        <w:rStyle w:val="91"/>
        <w:lang w:bidi="en-GB"/>
      </w:rPr>
      <w:fldChar w:fldCharType="begin"/>
    </w:r>
    <w:r>
      <w:rPr>
        <w:rStyle w:val="91"/>
        <w:lang w:bidi="en-GB"/>
      </w:rPr>
      <w:instrText xml:space="preserve"> PAGE   \* MERGEFORMAT </w:instrText>
    </w:r>
    <w:r>
      <w:rPr>
        <w:rStyle w:val="91"/>
        <w:lang w:bidi="en-GB"/>
      </w:rPr>
      <w:fldChar w:fldCharType="separate"/>
    </w:r>
    <w:r>
      <w:rPr>
        <w:rStyle w:val="91"/>
        <w:lang w:bidi="en-GB"/>
      </w:rPr>
      <w:t>1</w:t>
    </w:r>
    <w:r>
      <w:rPr>
        <w:rStyle w:val="91"/>
        <w:lang w:bidi="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64"/>
      <w:lvlText w:val="%1."/>
      <w:lvlJc w:val="left"/>
      <w:pPr>
        <w:tabs>
          <w:tab w:val="left" w:pos="1800"/>
        </w:tabs>
        <w:ind w:left="1800" w:hanging="360"/>
      </w:pPr>
    </w:lvl>
  </w:abstractNum>
  <w:abstractNum w:abstractNumId="1">
    <w:nsid w:val="FFFFFF7D"/>
    <w:multiLevelType w:val="singleLevel"/>
    <w:tmpl w:val="FFFFFF7D"/>
    <w:lvl w:ilvl="0" w:tentative="0">
      <w:start w:val="1"/>
      <w:numFmt w:val="decimal"/>
      <w:pStyle w:val="63"/>
      <w:lvlText w:val="%1."/>
      <w:lvlJc w:val="left"/>
      <w:pPr>
        <w:tabs>
          <w:tab w:val="left" w:pos="1440"/>
        </w:tabs>
        <w:ind w:left="1440" w:hanging="360"/>
      </w:pPr>
    </w:lvl>
  </w:abstractNum>
  <w:abstractNum w:abstractNumId="2">
    <w:nsid w:val="FFFFFF7E"/>
    <w:multiLevelType w:val="singleLevel"/>
    <w:tmpl w:val="FFFFFF7E"/>
    <w:lvl w:ilvl="0" w:tentative="0">
      <w:start w:val="1"/>
      <w:numFmt w:val="decimal"/>
      <w:pStyle w:val="62"/>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61"/>
      <w:lvlText w:val="%1."/>
      <w:lvlJc w:val="left"/>
      <w:pPr>
        <w:tabs>
          <w:tab w:val="left" w:pos="720"/>
        </w:tabs>
        <w:ind w:left="720" w:hanging="360"/>
      </w:pPr>
    </w:lvl>
  </w:abstractNum>
  <w:abstractNum w:abstractNumId="4">
    <w:nsid w:val="FFFFFF80"/>
    <w:multiLevelType w:val="singleLevel"/>
    <w:tmpl w:val="FFFFFF80"/>
    <w:lvl w:ilvl="0" w:tentative="0">
      <w:start w:val="1"/>
      <w:numFmt w:val="bullet"/>
      <w:pStyle w:val="54"/>
      <w:lvlText w:val=""/>
      <w:lvlJc w:val="left"/>
      <w:pPr>
        <w:tabs>
          <w:tab w:val="left" w:pos="1800"/>
        </w:tabs>
        <w:ind w:left="1800" w:hanging="360"/>
      </w:pPr>
      <w:rPr>
        <w:rFonts w:hint="default" w:ascii="Symbol" w:hAnsi="Symbol"/>
      </w:rPr>
    </w:lvl>
  </w:abstractNum>
  <w:abstractNum w:abstractNumId="5">
    <w:nsid w:val="FFFFFF81"/>
    <w:multiLevelType w:val="singleLevel"/>
    <w:tmpl w:val="FFFFFF81"/>
    <w:lvl w:ilvl="0" w:tentative="0">
      <w:start w:val="1"/>
      <w:numFmt w:val="bullet"/>
      <w:pStyle w:val="53"/>
      <w:lvlText w:val=""/>
      <w:lvlJc w:val="left"/>
      <w:pPr>
        <w:tabs>
          <w:tab w:val="left" w:pos="1440"/>
        </w:tabs>
        <w:ind w:left="1440" w:hanging="360"/>
      </w:pPr>
      <w:rPr>
        <w:rFonts w:hint="default" w:ascii="Symbol" w:hAnsi="Symbol"/>
      </w:rPr>
    </w:lvl>
  </w:abstractNum>
  <w:abstractNum w:abstractNumId="6">
    <w:nsid w:val="FFFFFF82"/>
    <w:multiLevelType w:val="singleLevel"/>
    <w:tmpl w:val="FFFFFF82"/>
    <w:lvl w:ilvl="0" w:tentative="0">
      <w:start w:val="1"/>
      <w:numFmt w:val="bullet"/>
      <w:pStyle w:val="52"/>
      <w:lvlText w:val=""/>
      <w:lvlJc w:val="left"/>
      <w:pPr>
        <w:tabs>
          <w:tab w:val="left" w:pos="1080"/>
        </w:tabs>
        <w:ind w:left="1080" w:hanging="360"/>
      </w:pPr>
      <w:rPr>
        <w:rFonts w:hint="default" w:ascii="Symbol" w:hAnsi="Symbol"/>
      </w:rPr>
    </w:lvl>
  </w:abstractNum>
  <w:abstractNum w:abstractNumId="7">
    <w:nsid w:val="FFFFFF83"/>
    <w:multiLevelType w:val="singleLevel"/>
    <w:tmpl w:val="FFFFFF83"/>
    <w:lvl w:ilvl="0" w:tentative="0">
      <w:start w:val="1"/>
      <w:numFmt w:val="bullet"/>
      <w:pStyle w:val="51"/>
      <w:lvlText w:val=""/>
      <w:lvlJc w:val="left"/>
      <w:pPr>
        <w:tabs>
          <w:tab w:val="left" w:pos="720"/>
        </w:tabs>
        <w:ind w:left="720" w:hanging="360"/>
      </w:pPr>
      <w:rPr>
        <w:rFonts w:hint="default" w:ascii="Symbol" w:hAnsi="Symbol"/>
      </w:rPr>
    </w:lvl>
  </w:abstractNum>
  <w:abstractNum w:abstractNumId="8">
    <w:nsid w:val="FFFFFF88"/>
    <w:multiLevelType w:val="singleLevel"/>
    <w:tmpl w:val="FFFFFF88"/>
    <w:lvl w:ilvl="0" w:tentative="0">
      <w:start w:val="1"/>
      <w:numFmt w:val="decimal"/>
      <w:pStyle w:val="60"/>
      <w:lvlText w:val="%1."/>
      <w:lvlJc w:val="left"/>
      <w:pPr>
        <w:tabs>
          <w:tab w:val="left" w:pos="1080"/>
        </w:tabs>
        <w:ind w:left="1080" w:hanging="360"/>
      </w:pPr>
      <w:rPr>
        <w:rFonts w:hint="default"/>
      </w:rPr>
    </w:lvl>
  </w:abstractNum>
  <w:abstractNum w:abstractNumId="9">
    <w:nsid w:val="FFFFFF89"/>
    <w:multiLevelType w:val="singleLevel"/>
    <w:tmpl w:val="FFFFFF89"/>
    <w:lvl w:ilvl="0" w:tentative="0">
      <w:start w:val="1"/>
      <w:numFmt w:val="bullet"/>
      <w:pStyle w:val="50"/>
      <w:lvlText w:val=""/>
      <w:lvlJc w:val="left"/>
      <w:pPr>
        <w:tabs>
          <w:tab w:val="left" w:pos="1080"/>
        </w:tabs>
        <w:ind w:left="1080" w:hanging="360"/>
      </w:pPr>
      <w:rPr>
        <w:rFonts w:hint="default" w:ascii="Symbol" w:hAnsi="Symbol"/>
      </w:rPr>
    </w:lvl>
  </w:abstractNum>
  <w:abstractNum w:abstractNumId="10">
    <w:nsid w:val="106F2850"/>
    <w:multiLevelType w:val="multilevel"/>
    <w:tmpl w:val="106F2850"/>
    <w:lvl w:ilvl="0" w:tentative="0">
      <w:start w:val="1"/>
      <w:numFmt w:val="decimal"/>
      <w:lvlText w:val="%1."/>
      <w:lvlJc w:val="left"/>
      <w:pPr>
        <w:ind w:left="1080" w:hanging="360"/>
      </w:pPr>
      <w:rPr>
        <w:rFonts w:hint="default"/>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1">
    <w:nsid w:val="3F346B0E"/>
    <w:multiLevelType w:val="multilevel"/>
    <w:tmpl w:val="3F346B0E"/>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2">
    <w:nsid w:val="4433125B"/>
    <w:multiLevelType w:val="multilevel"/>
    <w:tmpl w:val="4433125B"/>
    <w:lvl w:ilvl="0" w:tentative="0">
      <w:start w:val="1"/>
      <w:numFmt w:val="decimal"/>
      <w:lvlText w:val="%1."/>
      <w:lvlJc w:val="left"/>
      <w:pPr>
        <w:ind w:left="1080" w:hanging="360"/>
      </w:pPr>
      <w:rPr>
        <w:rFonts w:hint="default"/>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3">
    <w:nsid w:val="478737B9"/>
    <w:multiLevelType w:val="multilevel"/>
    <w:tmpl w:val="478737B9"/>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4">
    <w:nsid w:val="48232C68"/>
    <w:multiLevelType w:val="multilevel"/>
    <w:tmpl w:val="48232C68"/>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5">
    <w:nsid w:val="6A743646"/>
    <w:multiLevelType w:val="multilevel"/>
    <w:tmpl w:val="6A743646"/>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6">
    <w:nsid w:val="73A3015D"/>
    <w:multiLevelType w:val="multilevel"/>
    <w:tmpl w:val="73A3015D"/>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7">
    <w:nsid w:val="7E6D776B"/>
    <w:multiLevelType w:val="multilevel"/>
    <w:tmpl w:val="7E6D776B"/>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3"/>
  </w:num>
  <w:num w:numId="13">
    <w:abstractNumId w:val="10"/>
  </w:num>
  <w:num w:numId="14">
    <w:abstractNumId w:val="17"/>
  </w:num>
  <w:num w:numId="15">
    <w:abstractNumId w:val="11"/>
  </w:num>
  <w:num w:numId="16">
    <w:abstractNumId w:val="16"/>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nforcement="0"/>
  <w:defaultTabStop w:val="720"/>
  <w:displayHorizontalDrawingGridEvery w:val="1"/>
  <w:displayVerticalDrawingGridEvery w:val="1"/>
  <w:noPunctuationKerning w:val="1"/>
  <w:characterSpacingControl w:val="doNotCompress"/>
  <w:footnotePr>
    <w:pos w:val="beneathText"/>
  </w:foot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F0F"/>
    <w:rsid w:val="00005FED"/>
    <w:rsid w:val="000063DE"/>
    <w:rsid w:val="000101FD"/>
    <w:rsid w:val="000114C3"/>
    <w:rsid w:val="00012DE0"/>
    <w:rsid w:val="00014575"/>
    <w:rsid w:val="000147A7"/>
    <w:rsid w:val="00015B71"/>
    <w:rsid w:val="000160AB"/>
    <w:rsid w:val="00023AE7"/>
    <w:rsid w:val="00023C57"/>
    <w:rsid w:val="00023CA1"/>
    <w:rsid w:val="00024E6D"/>
    <w:rsid w:val="00025A2D"/>
    <w:rsid w:val="0002740A"/>
    <w:rsid w:val="00030C7E"/>
    <w:rsid w:val="00031B79"/>
    <w:rsid w:val="00032966"/>
    <w:rsid w:val="00040C4E"/>
    <w:rsid w:val="000419E1"/>
    <w:rsid w:val="00042ACB"/>
    <w:rsid w:val="00044399"/>
    <w:rsid w:val="000445F5"/>
    <w:rsid w:val="00044D70"/>
    <w:rsid w:val="00045083"/>
    <w:rsid w:val="00046350"/>
    <w:rsid w:val="00047C24"/>
    <w:rsid w:val="00050026"/>
    <w:rsid w:val="0005196F"/>
    <w:rsid w:val="000524EF"/>
    <w:rsid w:val="00053FD0"/>
    <w:rsid w:val="00056775"/>
    <w:rsid w:val="00056B43"/>
    <w:rsid w:val="00056EB4"/>
    <w:rsid w:val="0006196C"/>
    <w:rsid w:val="00061987"/>
    <w:rsid w:val="00063D62"/>
    <w:rsid w:val="0006594D"/>
    <w:rsid w:val="00066B36"/>
    <w:rsid w:val="00066C86"/>
    <w:rsid w:val="000671B6"/>
    <w:rsid w:val="0007183A"/>
    <w:rsid w:val="00071E3C"/>
    <w:rsid w:val="00072AE5"/>
    <w:rsid w:val="00072C25"/>
    <w:rsid w:val="00074BDD"/>
    <w:rsid w:val="000750F5"/>
    <w:rsid w:val="00081E13"/>
    <w:rsid w:val="00082506"/>
    <w:rsid w:val="0008365B"/>
    <w:rsid w:val="00083925"/>
    <w:rsid w:val="00084227"/>
    <w:rsid w:val="00084D3E"/>
    <w:rsid w:val="000854D7"/>
    <w:rsid w:val="00091FBA"/>
    <w:rsid w:val="00093BEB"/>
    <w:rsid w:val="00094E69"/>
    <w:rsid w:val="000959FA"/>
    <w:rsid w:val="000A0C84"/>
    <w:rsid w:val="000A1673"/>
    <w:rsid w:val="000A1ECC"/>
    <w:rsid w:val="000A2B90"/>
    <w:rsid w:val="000A422C"/>
    <w:rsid w:val="000A57B1"/>
    <w:rsid w:val="000B0AE4"/>
    <w:rsid w:val="000B137F"/>
    <w:rsid w:val="000B15B8"/>
    <w:rsid w:val="000B3223"/>
    <w:rsid w:val="000C0CCF"/>
    <w:rsid w:val="000C12FD"/>
    <w:rsid w:val="000C3DFA"/>
    <w:rsid w:val="000C7D1C"/>
    <w:rsid w:val="000D0021"/>
    <w:rsid w:val="000D0711"/>
    <w:rsid w:val="000D1B44"/>
    <w:rsid w:val="000D2ED5"/>
    <w:rsid w:val="000D4630"/>
    <w:rsid w:val="000D723A"/>
    <w:rsid w:val="000D7A44"/>
    <w:rsid w:val="000E03FC"/>
    <w:rsid w:val="000E15C3"/>
    <w:rsid w:val="000E29B7"/>
    <w:rsid w:val="000E476D"/>
    <w:rsid w:val="000E4974"/>
    <w:rsid w:val="000E4A0A"/>
    <w:rsid w:val="000E5EFA"/>
    <w:rsid w:val="000E7E21"/>
    <w:rsid w:val="000F0185"/>
    <w:rsid w:val="000F1BDF"/>
    <w:rsid w:val="000F219C"/>
    <w:rsid w:val="000F21ED"/>
    <w:rsid w:val="000F2D09"/>
    <w:rsid w:val="000F70ED"/>
    <w:rsid w:val="00100193"/>
    <w:rsid w:val="00100806"/>
    <w:rsid w:val="0010191C"/>
    <w:rsid w:val="001026A6"/>
    <w:rsid w:val="00104083"/>
    <w:rsid w:val="00105E04"/>
    <w:rsid w:val="001145A4"/>
    <w:rsid w:val="00115144"/>
    <w:rsid w:val="00115231"/>
    <w:rsid w:val="00115A8A"/>
    <w:rsid w:val="001161DB"/>
    <w:rsid w:val="00116CF2"/>
    <w:rsid w:val="00121C8C"/>
    <w:rsid w:val="0012214A"/>
    <w:rsid w:val="001222E1"/>
    <w:rsid w:val="00122341"/>
    <w:rsid w:val="001230C9"/>
    <w:rsid w:val="00123464"/>
    <w:rsid w:val="00123C20"/>
    <w:rsid w:val="0013442E"/>
    <w:rsid w:val="00134E66"/>
    <w:rsid w:val="00137A9E"/>
    <w:rsid w:val="00142AC7"/>
    <w:rsid w:val="00144B11"/>
    <w:rsid w:val="00145C3A"/>
    <w:rsid w:val="00147563"/>
    <w:rsid w:val="0014763A"/>
    <w:rsid w:val="00147EE3"/>
    <w:rsid w:val="00155053"/>
    <w:rsid w:val="00161E34"/>
    <w:rsid w:val="00162AA2"/>
    <w:rsid w:val="001643D8"/>
    <w:rsid w:val="001701A3"/>
    <w:rsid w:val="0017105D"/>
    <w:rsid w:val="0017713E"/>
    <w:rsid w:val="00177482"/>
    <w:rsid w:val="0017768E"/>
    <w:rsid w:val="001837BF"/>
    <w:rsid w:val="00185135"/>
    <w:rsid w:val="00185EEE"/>
    <w:rsid w:val="00186066"/>
    <w:rsid w:val="00186E64"/>
    <w:rsid w:val="001905E9"/>
    <w:rsid w:val="00191C04"/>
    <w:rsid w:val="0019205B"/>
    <w:rsid w:val="00192B8C"/>
    <w:rsid w:val="00195D97"/>
    <w:rsid w:val="0019774C"/>
    <w:rsid w:val="00197EF9"/>
    <w:rsid w:val="001A1E7F"/>
    <w:rsid w:val="001A251A"/>
    <w:rsid w:val="001A2A55"/>
    <w:rsid w:val="001A3744"/>
    <w:rsid w:val="001A3B96"/>
    <w:rsid w:val="001A685B"/>
    <w:rsid w:val="001A6B15"/>
    <w:rsid w:val="001A6C9B"/>
    <w:rsid w:val="001A7060"/>
    <w:rsid w:val="001A7378"/>
    <w:rsid w:val="001B0654"/>
    <w:rsid w:val="001B2144"/>
    <w:rsid w:val="001B37FB"/>
    <w:rsid w:val="001B4E74"/>
    <w:rsid w:val="001B567E"/>
    <w:rsid w:val="001B79B0"/>
    <w:rsid w:val="001C0ED0"/>
    <w:rsid w:val="001C1478"/>
    <w:rsid w:val="001C2EAD"/>
    <w:rsid w:val="001C3992"/>
    <w:rsid w:val="001C3CA8"/>
    <w:rsid w:val="001C59DF"/>
    <w:rsid w:val="001C612A"/>
    <w:rsid w:val="001C6629"/>
    <w:rsid w:val="001C6AAE"/>
    <w:rsid w:val="001D23CE"/>
    <w:rsid w:val="001D2F40"/>
    <w:rsid w:val="001D3165"/>
    <w:rsid w:val="001D5ACF"/>
    <w:rsid w:val="001D5FC2"/>
    <w:rsid w:val="001E0895"/>
    <w:rsid w:val="001E0A05"/>
    <w:rsid w:val="001E123D"/>
    <w:rsid w:val="001E3029"/>
    <w:rsid w:val="001E426D"/>
    <w:rsid w:val="001E4510"/>
    <w:rsid w:val="001F2704"/>
    <w:rsid w:val="001F2E69"/>
    <w:rsid w:val="001F3DEF"/>
    <w:rsid w:val="001F7BA7"/>
    <w:rsid w:val="00202E62"/>
    <w:rsid w:val="00203593"/>
    <w:rsid w:val="00203661"/>
    <w:rsid w:val="00206238"/>
    <w:rsid w:val="0020792E"/>
    <w:rsid w:val="00211276"/>
    <w:rsid w:val="002152E4"/>
    <w:rsid w:val="00215374"/>
    <w:rsid w:val="002176B4"/>
    <w:rsid w:val="00217D6A"/>
    <w:rsid w:val="0022090A"/>
    <w:rsid w:val="002209EF"/>
    <w:rsid w:val="002232C9"/>
    <w:rsid w:val="0022333D"/>
    <w:rsid w:val="002233C1"/>
    <w:rsid w:val="00224091"/>
    <w:rsid w:val="00226C32"/>
    <w:rsid w:val="00227A95"/>
    <w:rsid w:val="002318AA"/>
    <w:rsid w:val="00233BEF"/>
    <w:rsid w:val="0023479F"/>
    <w:rsid w:val="002348ED"/>
    <w:rsid w:val="00236688"/>
    <w:rsid w:val="00236B3E"/>
    <w:rsid w:val="002379E4"/>
    <w:rsid w:val="00237E76"/>
    <w:rsid w:val="00240683"/>
    <w:rsid w:val="0024097F"/>
    <w:rsid w:val="00241FB5"/>
    <w:rsid w:val="00243B45"/>
    <w:rsid w:val="00252C38"/>
    <w:rsid w:val="00253369"/>
    <w:rsid w:val="002551C4"/>
    <w:rsid w:val="00255350"/>
    <w:rsid w:val="00256937"/>
    <w:rsid w:val="00260856"/>
    <w:rsid w:val="00262A55"/>
    <w:rsid w:val="002708F7"/>
    <w:rsid w:val="002735D7"/>
    <w:rsid w:val="002739F2"/>
    <w:rsid w:val="0027485A"/>
    <w:rsid w:val="00275406"/>
    <w:rsid w:val="002771C3"/>
    <w:rsid w:val="00281396"/>
    <w:rsid w:val="002821D8"/>
    <w:rsid w:val="00282CA7"/>
    <w:rsid w:val="00282E9C"/>
    <w:rsid w:val="002845A7"/>
    <w:rsid w:val="00287304"/>
    <w:rsid w:val="0028769A"/>
    <w:rsid w:val="00290B4E"/>
    <w:rsid w:val="00291D07"/>
    <w:rsid w:val="002937B9"/>
    <w:rsid w:val="00293FD2"/>
    <w:rsid w:val="00297E62"/>
    <w:rsid w:val="002A31F2"/>
    <w:rsid w:val="002A3875"/>
    <w:rsid w:val="002A39F1"/>
    <w:rsid w:val="002A3BF3"/>
    <w:rsid w:val="002A466B"/>
    <w:rsid w:val="002A496D"/>
    <w:rsid w:val="002A5D49"/>
    <w:rsid w:val="002B048F"/>
    <w:rsid w:val="002B0849"/>
    <w:rsid w:val="002B09CF"/>
    <w:rsid w:val="002B4509"/>
    <w:rsid w:val="002C059D"/>
    <w:rsid w:val="002C5681"/>
    <w:rsid w:val="002C6BEC"/>
    <w:rsid w:val="002C7D4B"/>
    <w:rsid w:val="002D2C99"/>
    <w:rsid w:val="002D391A"/>
    <w:rsid w:val="002D46B3"/>
    <w:rsid w:val="002D4B00"/>
    <w:rsid w:val="002D67B5"/>
    <w:rsid w:val="002D7FFC"/>
    <w:rsid w:val="002E0D40"/>
    <w:rsid w:val="002E1489"/>
    <w:rsid w:val="002E2282"/>
    <w:rsid w:val="002E46E3"/>
    <w:rsid w:val="002E5C67"/>
    <w:rsid w:val="002E5FCC"/>
    <w:rsid w:val="002E7436"/>
    <w:rsid w:val="002F1232"/>
    <w:rsid w:val="002F2FEB"/>
    <w:rsid w:val="002F4A9B"/>
    <w:rsid w:val="002F6908"/>
    <w:rsid w:val="002F70A9"/>
    <w:rsid w:val="002F77EB"/>
    <w:rsid w:val="00301A87"/>
    <w:rsid w:val="00301BBC"/>
    <w:rsid w:val="00303461"/>
    <w:rsid w:val="003045A6"/>
    <w:rsid w:val="003059F1"/>
    <w:rsid w:val="00312F3F"/>
    <w:rsid w:val="003150A5"/>
    <w:rsid w:val="003153E5"/>
    <w:rsid w:val="0031797C"/>
    <w:rsid w:val="003223C9"/>
    <w:rsid w:val="003235AB"/>
    <w:rsid w:val="00324E47"/>
    <w:rsid w:val="00325F0F"/>
    <w:rsid w:val="003326FE"/>
    <w:rsid w:val="0033564D"/>
    <w:rsid w:val="00335E60"/>
    <w:rsid w:val="00336688"/>
    <w:rsid w:val="00336CC7"/>
    <w:rsid w:val="00341C39"/>
    <w:rsid w:val="003461C7"/>
    <w:rsid w:val="00346CE5"/>
    <w:rsid w:val="0035246E"/>
    <w:rsid w:val="00352584"/>
    <w:rsid w:val="00352FCA"/>
    <w:rsid w:val="00356779"/>
    <w:rsid w:val="00356FDA"/>
    <w:rsid w:val="003612F5"/>
    <w:rsid w:val="003637BB"/>
    <w:rsid w:val="00363AAE"/>
    <w:rsid w:val="00364811"/>
    <w:rsid w:val="003662EC"/>
    <w:rsid w:val="00371A33"/>
    <w:rsid w:val="00371E59"/>
    <w:rsid w:val="00373481"/>
    <w:rsid w:val="00373F53"/>
    <w:rsid w:val="00376E0F"/>
    <w:rsid w:val="00377ABF"/>
    <w:rsid w:val="00380E05"/>
    <w:rsid w:val="00382179"/>
    <w:rsid w:val="00382333"/>
    <w:rsid w:val="0038381A"/>
    <w:rsid w:val="003839FD"/>
    <w:rsid w:val="00385D08"/>
    <w:rsid w:val="0038607F"/>
    <w:rsid w:val="00386B78"/>
    <w:rsid w:val="00387AA0"/>
    <w:rsid w:val="003927ED"/>
    <w:rsid w:val="0039633B"/>
    <w:rsid w:val="003965E8"/>
    <w:rsid w:val="0039673A"/>
    <w:rsid w:val="0039785C"/>
    <w:rsid w:val="003A0DBB"/>
    <w:rsid w:val="003A0F2F"/>
    <w:rsid w:val="003A1A14"/>
    <w:rsid w:val="003A4E6A"/>
    <w:rsid w:val="003A76DE"/>
    <w:rsid w:val="003A799F"/>
    <w:rsid w:val="003B0065"/>
    <w:rsid w:val="003B07F6"/>
    <w:rsid w:val="003B5CE4"/>
    <w:rsid w:val="003B6154"/>
    <w:rsid w:val="003B7DE2"/>
    <w:rsid w:val="003C171E"/>
    <w:rsid w:val="003C1953"/>
    <w:rsid w:val="003C1A83"/>
    <w:rsid w:val="003C1B2B"/>
    <w:rsid w:val="003C2736"/>
    <w:rsid w:val="003C46EA"/>
    <w:rsid w:val="003C5717"/>
    <w:rsid w:val="003C5E4B"/>
    <w:rsid w:val="003C6B2B"/>
    <w:rsid w:val="003C6FCC"/>
    <w:rsid w:val="003C763C"/>
    <w:rsid w:val="003C7C6B"/>
    <w:rsid w:val="003D03CB"/>
    <w:rsid w:val="003D1CF5"/>
    <w:rsid w:val="003D27AC"/>
    <w:rsid w:val="003D306A"/>
    <w:rsid w:val="003D31DA"/>
    <w:rsid w:val="003D4F92"/>
    <w:rsid w:val="003D5887"/>
    <w:rsid w:val="003D69BE"/>
    <w:rsid w:val="003D6D53"/>
    <w:rsid w:val="003E535E"/>
    <w:rsid w:val="003E6559"/>
    <w:rsid w:val="003E7C49"/>
    <w:rsid w:val="003F0C4E"/>
    <w:rsid w:val="003F191E"/>
    <w:rsid w:val="003F69B3"/>
    <w:rsid w:val="003F69FE"/>
    <w:rsid w:val="004010D1"/>
    <w:rsid w:val="00402E9B"/>
    <w:rsid w:val="00403454"/>
    <w:rsid w:val="004046DB"/>
    <w:rsid w:val="004102E2"/>
    <w:rsid w:val="0041068C"/>
    <w:rsid w:val="00411733"/>
    <w:rsid w:val="00420805"/>
    <w:rsid w:val="00421152"/>
    <w:rsid w:val="0042278B"/>
    <w:rsid w:val="00424278"/>
    <w:rsid w:val="00427A7C"/>
    <w:rsid w:val="00430AEE"/>
    <w:rsid w:val="00431204"/>
    <w:rsid w:val="00432657"/>
    <w:rsid w:val="004341ED"/>
    <w:rsid w:val="00434D03"/>
    <w:rsid w:val="004352EA"/>
    <w:rsid w:val="004362FE"/>
    <w:rsid w:val="00436998"/>
    <w:rsid w:val="00437417"/>
    <w:rsid w:val="0044237B"/>
    <w:rsid w:val="004431CA"/>
    <w:rsid w:val="00443533"/>
    <w:rsid w:val="00445D1B"/>
    <w:rsid w:val="004514E7"/>
    <w:rsid w:val="00452CBB"/>
    <w:rsid w:val="00452CEE"/>
    <w:rsid w:val="00454FCE"/>
    <w:rsid w:val="004604CA"/>
    <w:rsid w:val="00460814"/>
    <w:rsid w:val="0046087F"/>
    <w:rsid w:val="00460D26"/>
    <w:rsid w:val="00463169"/>
    <w:rsid w:val="0046404F"/>
    <w:rsid w:val="0046665D"/>
    <w:rsid w:val="00466C83"/>
    <w:rsid w:val="0047038F"/>
    <w:rsid w:val="00470EB1"/>
    <w:rsid w:val="00471541"/>
    <w:rsid w:val="00472C07"/>
    <w:rsid w:val="00475604"/>
    <w:rsid w:val="00475891"/>
    <w:rsid w:val="0047594D"/>
    <w:rsid w:val="00477A4C"/>
    <w:rsid w:val="00477B66"/>
    <w:rsid w:val="00480CD9"/>
    <w:rsid w:val="004841EF"/>
    <w:rsid w:val="0048604E"/>
    <w:rsid w:val="00486EE9"/>
    <w:rsid w:val="004902A1"/>
    <w:rsid w:val="004913D9"/>
    <w:rsid w:val="00492C31"/>
    <w:rsid w:val="004A152D"/>
    <w:rsid w:val="004A1615"/>
    <w:rsid w:val="004A19AD"/>
    <w:rsid w:val="004A26A8"/>
    <w:rsid w:val="004A2763"/>
    <w:rsid w:val="004A3EEC"/>
    <w:rsid w:val="004A606D"/>
    <w:rsid w:val="004A7501"/>
    <w:rsid w:val="004A7CFE"/>
    <w:rsid w:val="004B19D1"/>
    <w:rsid w:val="004B624D"/>
    <w:rsid w:val="004B7070"/>
    <w:rsid w:val="004B72A6"/>
    <w:rsid w:val="004C1B2D"/>
    <w:rsid w:val="004C25FC"/>
    <w:rsid w:val="004C34C6"/>
    <w:rsid w:val="004C402C"/>
    <w:rsid w:val="004C41EB"/>
    <w:rsid w:val="004C429D"/>
    <w:rsid w:val="004C45C8"/>
    <w:rsid w:val="004D10A2"/>
    <w:rsid w:val="004D43EC"/>
    <w:rsid w:val="004D600F"/>
    <w:rsid w:val="004D638F"/>
    <w:rsid w:val="004E00B5"/>
    <w:rsid w:val="004E0DF1"/>
    <w:rsid w:val="004E1ADC"/>
    <w:rsid w:val="004E2CEB"/>
    <w:rsid w:val="004E4BD1"/>
    <w:rsid w:val="004E6C03"/>
    <w:rsid w:val="004E6E2A"/>
    <w:rsid w:val="004E6EBF"/>
    <w:rsid w:val="004F16C2"/>
    <w:rsid w:val="004F1AA2"/>
    <w:rsid w:val="004F2DAD"/>
    <w:rsid w:val="004F2FCF"/>
    <w:rsid w:val="004F3945"/>
    <w:rsid w:val="004F4F7A"/>
    <w:rsid w:val="004F71C5"/>
    <w:rsid w:val="004F754B"/>
    <w:rsid w:val="00502A45"/>
    <w:rsid w:val="00502C21"/>
    <w:rsid w:val="005039E7"/>
    <w:rsid w:val="00503F44"/>
    <w:rsid w:val="005060CB"/>
    <w:rsid w:val="00510930"/>
    <w:rsid w:val="00514605"/>
    <w:rsid w:val="00514D39"/>
    <w:rsid w:val="005224D9"/>
    <w:rsid w:val="005237A2"/>
    <w:rsid w:val="00524F77"/>
    <w:rsid w:val="005261E7"/>
    <w:rsid w:val="00526E44"/>
    <w:rsid w:val="00530198"/>
    <w:rsid w:val="0053089C"/>
    <w:rsid w:val="00531876"/>
    <w:rsid w:val="0053435B"/>
    <w:rsid w:val="00534CB8"/>
    <w:rsid w:val="00541C57"/>
    <w:rsid w:val="00541EB5"/>
    <w:rsid w:val="005420DC"/>
    <w:rsid w:val="00542C1F"/>
    <w:rsid w:val="00542D69"/>
    <w:rsid w:val="0054663E"/>
    <w:rsid w:val="00550083"/>
    <w:rsid w:val="00550F80"/>
    <w:rsid w:val="0055205F"/>
    <w:rsid w:val="00554618"/>
    <w:rsid w:val="005553A8"/>
    <w:rsid w:val="005618B2"/>
    <w:rsid w:val="005622A4"/>
    <w:rsid w:val="005638D2"/>
    <w:rsid w:val="00564048"/>
    <w:rsid w:val="00565B50"/>
    <w:rsid w:val="005664D5"/>
    <w:rsid w:val="00566535"/>
    <w:rsid w:val="00566BC9"/>
    <w:rsid w:val="00567E5D"/>
    <w:rsid w:val="00572B43"/>
    <w:rsid w:val="0057377C"/>
    <w:rsid w:val="00573862"/>
    <w:rsid w:val="00577F78"/>
    <w:rsid w:val="005811D2"/>
    <w:rsid w:val="00582BDA"/>
    <w:rsid w:val="00583C1B"/>
    <w:rsid w:val="00584537"/>
    <w:rsid w:val="00584961"/>
    <w:rsid w:val="005858B6"/>
    <w:rsid w:val="00591253"/>
    <w:rsid w:val="00591381"/>
    <w:rsid w:val="00592FE3"/>
    <w:rsid w:val="00597658"/>
    <w:rsid w:val="005A0848"/>
    <w:rsid w:val="005A21AE"/>
    <w:rsid w:val="005A447E"/>
    <w:rsid w:val="005A4F7F"/>
    <w:rsid w:val="005A75CB"/>
    <w:rsid w:val="005B0B51"/>
    <w:rsid w:val="005B2654"/>
    <w:rsid w:val="005B3889"/>
    <w:rsid w:val="005B4739"/>
    <w:rsid w:val="005B48EF"/>
    <w:rsid w:val="005B5E57"/>
    <w:rsid w:val="005B6369"/>
    <w:rsid w:val="005B6FF9"/>
    <w:rsid w:val="005C1658"/>
    <w:rsid w:val="005C1666"/>
    <w:rsid w:val="005C3DA9"/>
    <w:rsid w:val="005C5E83"/>
    <w:rsid w:val="005C6B74"/>
    <w:rsid w:val="005C74C9"/>
    <w:rsid w:val="005D25D3"/>
    <w:rsid w:val="005D2B23"/>
    <w:rsid w:val="005D32F0"/>
    <w:rsid w:val="005D3386"/>
    <w:rsid w:val="005D3A2C"/>
    <w:rsid w:val="005D4D09"/>
    <w:rsid w:val="005D5EDB"/>
    <w:rsid w:val="005D7AEA"/>
    <w:rsid w:val="005E3770"/>
    <w:rsid w:val="005E3B2D"/>
    <w:rsid w:val="005E4998"/>
    <w:rsid w:val="005E4AAF"/>
    <w:rsid w:val="005E6C05"/>
    <w:rsid w:val="005F23B5"/>
    <w:rsid w:val="005F2501"/>
    <w:rsid w:val="005F27FE"/>
    <w:rsid w:val="005F28DD"/>
    <w:rsid w:val="005F576E"/>
    <w:rsid w:val="005F5F50"/>
    <w:rsid w:val="005F6521"/>
    <w:rsid w:val="005F69BE"/>
    <w:rsid w:val="005F7A1C"/>
    <w:rsid w:val="006006D6"/>
    <w:rsid w:val="0060340E"/>
    <w:rsid w:val="00603C98"/>
    <w:rsid w:val="0060425C"/>
    <w:rsid w:val="006056D2"/>
    <w:rsid w:val="00606966"/>
    <w:rsid w:val="00606E08"/>
    <w:rsid w:val="0061185D"/>
    <w:rsid w:val="006134E2"/>
    <w:rsid w:val="0061392A"/>
    <w:rsid w:val="006141D3"/>
    <w:rsid w:val="006154C2"/>
    <w:rsid w:val="0061652D"/>
    <w:rsid w:val="00616D90"/>
    <w:rsid w:val="0062090E"/>
    <w:rsid w:val="00621A5B"/>
    <w:rsid w:val="00621CB1"/>
    <w:rsid w:val="00622FFD"/>
    <w:rsid w:val="00623429"/>
    <w:rsid w:val="00624190"/>
    <w:rsid w:val="00624FEB"/>
    <w:rsid w:val="00625C4F"/>
    <w:rsid w:val="00625CF8"/>
    <w:rsid w:val="006270FE"/>
    <w:rsid w:val="00627C0A"/>
    <w:rsid w:val="0063154E"/>
    <w:rsid w:val="00632359"/>
    <w:rsid w:val="00632E5F"/>
    <w:rsid w:val="00633140"/>
    <w:rsid w:val="006379B1"/>
    <w:rsid w:val="0064125D"/>
    <w:rsid w:val="00641F8B"/>
    <w:rsid w:val="0064347C"/>
    <w:rsid w:val="0064695E"/>
    <w:rsid w:val="00647C51"/>
    <w:rsid w:val="00651076"/>
    <w:rsid w:val="00651296"/>
    <w:rsid w:val="00652026"/>
    <w:rsid w:val="00654439"/>
    <w:rsid w:val="006554A9"/>
    <w:rsid w:val="00655BD3"/>
    <w:rsid w:val="00660BF0"/>
    <w:rsid w:val="00664510"/>
    <w:rsid w:val="00665584"/>
    <w:rsid w:val="00666051"/>
    <w:rsid w:val="006670E5"/>
    <w:rsid w:val="00667DFA"/>
    <w:rsid w:val="006718E3"/>
    <w:rsid w:val="0067225B"/>
    <w:rsid w:val="00672AE4"/>
    <w:rsid w:val="006730C7"/>
    <w:rsid w:val="00673F78"/>
    <w:rsid w:val="006747E2"/>
    <w:rsid w:val="00675FD2"/>
    <w:rsid w:val="00676B6E"/>
    <w:rsid w:val="0067739D"/>
    <w:rsid w:val="00680114"/>
    <w:rsid w:val="0068188E"/>
    <w:rsid w:val="006840FE"/>
    <w:rsid w:val="0068565C"/>
    <w:rsid w:val="00685926"/>
    <w:rsid w:val="00685C3D"/>
    <w:rsid w:val="00686C18"/>
    <w:rsid w:val="00686F0C"/>
    <w:rsid w:val="0068758E"/>
    <w:rsid w:val="0068772D"/>
    <w:rsid w:val="0068793D"/>
    <w:rsid w:val="00690E25"/>
    <w:rsid w:val="0069492F"/>
    <w:rsid w:val="00697BBB"/>
    <w:rsid w:val="00697DAA"/>
    <w:rsid w:val="00697E84"/>
    <w:rsid w:val="006A00E4"/>
    <w:rsid w:val="006A0807"/>
    <w:rsid w:val="006A1C86"/>
    <w:rsid w:val="006A4B36"/>
    <w:rsid w:val="006A759D"/>
    <w:rsid w:val="006B3989"/>
    <w:rsid w:val="006B7133"/>
    <w:rsid w:val="006B7485"/>
    <w:rsid w:val="006B7774"/>
    <w:rsid w:val="006C004D"/>
    <w:rsid w:val="006C078B"/>
    <w:rsid w:val="006C09CE"/>
    <w:rsid w:val="006C210A"/>
    <w:rsid w:val="006C4197"/>
    <w:rsid w:val="006C5403"/>
    <w:rsid w:val="006C760A"/>
    <w:rsid w:val="006C7962"/>
    <w:rsid w:val="006C7D9B"/>
    <w:rsid w:val="006D03F8"/>
    <w:rsid w:val="006D05E0"/>
    <w:rsid w:val="006D10A7"/>
    <w:rsid w:val="006D3128"/>
    <w:rsid w:val="006D4337"/>
    <w:rsid w:val="006D48A6"/>
    <w:rsid w:val="006D7207"/>
    <w:rsid w:val="006E0C38"/>
    <w:rsid w:val="006E18D5"/>
    <w:rsid w:val="006E1F1D"/>
    <w:rsid w:val="006E4FA3"/>
    <w:rsid w:val="006E5F75"/>
    <w:rsid w:val="006E71B4"/>
    <w:rsid w:val="006E738E"/>
    <w:rsid w:val="006F262F"/>
    <w:rsid w:val="006F33BF"/>
    <w:rsid w:val="006F38B8"/>
    <w:rsid w:val="006F3A96"/>
    <w:rsid w:val="006F4F82"/>
    <w:rsid w:val="006F7080"/>
    <w:rsid w:val="006F77D3"/>
    <w:rsid w:val="006F7BB3"/>
    <w:rsid w:val="00702B80"/>
    <w:rsid w:val="00702DE6"/>
    <w:rsid w:val="00705399"/>
    <w:rsid w:val="00705E85"/>
    <w:rsid w:val="00706245"/>
    <w:rsid w:val="00706475"/>
    <w:rsid w:val="0070678A"/>
    <w:rsid w:val="00707E90"/>
    <w:rsid w:val="00707FD7"/>
    <w:rsid w:val="00713701"/>
    <w:rsid w:val="00713731"/>
    <w:rsid w:val="00715E2B"/>
    <w:rsid w:val="00717906"/>
    <w:rsid w:val="00722020"/>
    <w:rsid w:val="00723DB3"/>
    <w:rsid w:val="0072516F"/>
    <w:rsid w:val="00725F16"/>
    <w:rsid w:val="00726674"/>
    <w:rsid w:val="0072757F"/>
    <w:rsid w:val="00727B27"/>
    <w:rsid w:val="0073016C"/>
    <w:rsid w:val="00731B89"/>
    <w:rsid w:val="0073305D"/>
    <w:rsid w:val="007374B2"/>
    <w:rsid w:val="007377B0"/>
    <w:rsid w:val="00737971"/>
    <w:rsid w:val="00740BF1"/>
    <w:rsid w:val="007417B5"/>
    <w:rsid w:val="00742E2A"/>
    <w:rsid w:val="00743074"/>
    <w:rsid w:val="007431F1"/>
    <w:rsid w:val="00745245"/>
    <w:rsid w:val="00745B28"/>
    <w:rsid w:val="00747033"/>
    <w:rsid w:val="007471CF"/>
    <w:rsid w:val="00750E88"/>
    <w:rsid w:val="00751EEC"/>
    <w:rsid w:val="00753F3D"/>
    <w:rsid w:val="00755094"/>
    <w:rsid w:val="0075587F"/>
    <w:rsid w:val="007565D0"/>
    <w:rsid w:val="00756880"/>
    <w:rsid w:val="00756981"/>
    <w:rsid w:val="00756FB7"/>
    <w:rsid w:val="00761F98"/>
    <w:rsid w:val="00764368"/>
    <w:rsid w:val="00764C32"/>
    <w:rsid w:val="00764C97"/>
    <w:rsid w:val="0076526B"/>
    <w:rsid w:val="00766016"/>
    <w:rsid w:val="00766765"/>
    <w:rsid w:val="007679C1"/>
    <w:rsid w:val="0077019F"/>
    <w:rsid w:val="007718C1"/>
    <w:rsid w:val="007723DB"/>
    <w:rsid w:val="00772CFD"/>
    <w:rsid w:val="00774346"/>
    <w:rsid w:val="00774E9D"/>
    <w:rsid w:val="0077592F"/>
    <w:rsid w:val="00777F76"/>
    <w:rsid w:val="00780F10"/>
    <w:rsid w:val="007855C1"/>
    <w:rsid w:val="00795222"/>
    <w:rsid w:val="00795ACA"/>
    <w:rsid w:val="00796DA3"/>
    <w:rsid w:val="00797E04"/>
    <w:rsid w:val="007A0037"/>
    <w:rsid w:val="007A1317"/>
    <w:rsid w:val="007A171C"/>
    <w:rsid w:val="007A1895"/>
    <w:rsid w:val="007A1AA1"/>
    <w:rsid w:val="007A296F"/>
    <w:rsid w:val="007A3BE9"/>
    <w:rsid w:val="007A4412"/>
    <w:rsid w:val="007A59DC"/>
    <w:rsid w:val="007A6023"/>
    <w:rsid w:val="007B011F"/>
    <w:rsid w:val="007B0CF2"/>
    <w:rsid w:val="007B10AA"/>
    <w:rsid w:val="007B12A5"/>
    <w:rsid w:val="007B12BE"/>
    <w:rsid w:val="007B2B2B"/>
    <w:rsid w:val="007B5D41"/>
    <w:rsid w:val="007B62B2"/>
    <w:rsid w:val="007C2D56"/>
    <w:rsid w:val="007C3187"/>
    <w:rsid w:val="007C350B"/>
    <w:rsid w:val="007C4093"/>
    <w:rsid w:val="007C4A9A"/>
    <w:rsid w:val="007C5707"/>
    <w:rsid w:val="007C7721"/>
    <w:rsid w:val="007C7F78"/>
    <w:rsid w:val="007D164F"/>
    <w:rsid w:val="007D2AFE"/>
    <w:rsid w:val="007D2E34"/>
    <w:rsid w:val="007D5F94"/>
    <w:rsid w:val="007D6251"/>
    <w:rsid w:val="007D68DC"/>
    <w:rsid w:val="007D73E9"/>
    <w:rsid w:val="007D7B1C"/>
    <w:rsid w:val="007E5999"/>
    <w:rsid w:val="007E6D42"/>
    <w:rsid w:val="007F05E8"/>
    <w:rsid w:val="007F2667"/>
    <w:rsid w:val="007F3012"/>
    <w:rsid w:val="007F348C"/>
    <w:rsid w:val="007F3FE9"/>
    <w:rsid w:val="007F63C9"/>
    <w:rsid w:val="007F762A"/>
    <w:rsid w:val="008022DF"/>
    <w:rsid w:val="00803185"/>
    <w:rsid w:val="00805888"/>
    <w:rsid w:val="00806089"/>
    <w:rsid w:val="008060F4"/>
    <w:rsid w:val="0081190F"/>
    <w:rsid w:val="00811C80"/>
    <w:rsid w:val="00814A01"/>
    <w:rsid w:val="0081771D"/>
    <w:rsid w:val="00820D50"/>
    <w:rsid w:val="00822D04"/>
    <w:rsid w:val="00822E29"/>
    <w:rsid w:val="00826322"/>
    <w:rsid w:val="00826763"/>
    <w:rsid w:val="0083131F"/>
    <w:rsid w:val="008349AF"/>
    <w:rsid w:val="00836E98"/>
    <w:rsid w:val="00837B22"/>
    <w:rsid w:val="00840030"/>
    <w:rsid w:val="00840065"/>
    <w:rsid w:val="00841C89"/>
    <w:rsid w:val="00842067"/>
    <w:rsid w:val="00843AF0"/>
    <w:rsid w:val="00843FE0"/>
    <w:rsid w:val="008474CB"/>
    <w:rsid w:val="00850243"/>
    <w:rsid w:val="008505CA"/>
    <w:rsid w:val="008506ED"/>
    <w:rsid w:val="00851861"/>
    <w:rsid w:val="008541FE"/>
    <w:rsid w:val="0085454A"/>
    <w:rsid w:val="008577A2"/>
    <w:rsid w:val="008605FF"/>
    <w:rsid w:val="00860654"/>
    <w:rsid w:val="00860F38"/>
    <w:rsid w:val="00861576"/>
    <w:rsid w:val="00863C38"/>
    <w:rsid w:val="008720DD"/>
    <w:rsid w:val="00873292"/>
    <w:rsid w:val="00876216"/>
    <w:rsid w:val="0087756B"/>
    <w:rsid w:val="008831D1"/>
    <w:rsid w:val="00884333"/>
    <w:rsid w:val="008846AE"/>
    <w:rsid w:val="00884A55"/>
    <w:rsid w:val="00885B61"/>
    <w:rsid w:val="008869EA"/>
    <w:rsid w:val="008928A1"/>
    <w:rsid w:val="0089527B"/>
    <w:rsid w:val="008A075E"/>
    <w:rsid w:val="008A169E"/>
    <w:rsid w:val="008A378F"/>
    <w:rsid w:val="008A6E30"/>
    <w:rsid w:val="008B0923"/>
    <w:rsid w:val="008B1428"/>
    <w:rsid w:val="008B3825"/>
    <w:rsid w:val="008B4117"/>
    <w:rsid w:val="008B577E"/>
    <w:rsid w:val="008B6250"/>
    <w:rsid w:val="008B6D07"/>
    <w:rsid w:val="008C1C75"/>
    <w:rsid w:val="008C20FC"/>
    <w:rsid w:val="008C2FE3"/>
    <w:rsid w:val="008C34A7"/>
    <w:rsid w:val="008C695B"/>
    <w:rsid w:val="008D0669"/>
    <w:rsid w:val="008D23E6"/>
    <w:rsid w:val="008D78A5"/>
    <w:rsid w:val="008E0662"/>
    <w:rsid w:val="008E06BE"/>
    <w:rsid w:val="008E167D"/>
    <w:rsid w:val="008E2605"/>
    <w:rsid w:val="008E29AA"/>
    <w:rsid w:val="008E3B04"/>
    <w:rsid w:val="008E49B4"/>
    <w:rsid w:val="008E5BE4"/>
    <w:rsid w:val="008E73E7"/>
    <w:rsid w:val="008F4BCB"/>
    <w:rsid w:val="008F5B6D"/>
    <w:rsid w:val="008F6806"/>
    <w:rsid w:val="00900F67"/>
    <w:rsid w:val="0090222B"/>
    <w:rsid w:val="00904DA8"/>
    <w:rsid w:val="00910426"/>
    <w:rsid w:val="00911B8E"/>
    <w:rsid w:val="0091347E"/>
    <w:rsid w:val="00913C51"/>
    <w:rsid w:val="00914BE3"/>
    <w:rsid w:val="0091573B"/>
    <w:rsid w:val="00915BC4"/>
    <w:rsid w:val="009167B4"/>
    <w:rsid w:val="00922D9D"/>
    <w:rsid w:val="00923273"/>
    <w:rsid w:val="00924147"/>
    <w:rsid w:val="009275CB"/>
    <w:rsid w:val="009312F3"/>
    <w:rsid w:val="0093296D"/>
    <w:rsid w:val="00935329"/>
    <w:rsid w:val="009369A3"/>
    <w:rsid w:val="0093724B"/>
    <w:rsid w:val="00940974"/>
    <w:rsid w:val="0094130E"/>
    <w:rsid w:val="009433D8"/>
    <w:rsid w:val="00944D22"/>
    <w:rsid w:val="009462F6"/>
    <w:rsid w:val="00946984"/>
    <w:rsid w:val="00946C07"/>
    <w:rsid w:val="0094799D"/>
    <w:rsid w:val="009501BF"/>
    <w:rsid w:val="00950FFF"/>
    <w:rsid w:val="009530A5"/>
    <w:rsid w:val="0095336D"/>
    <w:rsid w:val="009544E3"/>
    <w:rsid w:val="00955868"/>
    <w:rsid w:val="00955E74"/>
    <w:rsid w:val="00956646"/>
    <w:rsid w:val="009569D6"/>
    <w:rsid w:val="00957E24"/>
    <w:rsid w:val="009600F0"/>
    <w:rsid w:val="00961C75"/>
    <w:rsid w:val="00964344"/>
    <w:rsid w:val="00966B3D"/>
    <w:rsid w:val="00967681"/>
    <w:rsid w:val="00967A85"/>
    <w:rsid w:val="00970147"/>
    <w:rsid w:val="00971DE4"/>
    <w:rsid w:val="009738D4"/>
    <w:rsid w:val="00973A9F"/>
    <w:rsid w:val="00973AC8"/>
    <w:rsid w:val="00974A25"/>
    <w:rsid w:val="00980CC4"/>
    <w:rsid w:val="00983093"/>
    <w:rsid w:val="009842AF"/>
    <w:rsid w:val="00986571"/>
    <w:rsid w:val="009912CB"/>
    <w:rsid w:val="00991499"/>
    <w:rsid w:val="00993256"/>
    <w:rsid w:val="00994E49"/>
    <w:rsid w:val="00995324"/>
    <w:rsid w:val="009A3135"/>
    <w:rsid w:val="009A322E"/>
    <w:rsid w:val="009A49E8"/>
    <w:rsid w:val="009A6E18"/>
    <w:rsid w:val="009A7820"/>
    <w:rsid w:val="009B05EF"/>
    <w:rsid w:val="009B4A39"/>
    <w:rsid w:val="009B5243"/>
    <w:rsid w:val="009B5767"/>
    <w:rsid w:val="009B6B70"/>
    <w:rsid w:val="009B7019"/>
    <w:rsid w:val="009B7698"/>
    <w:rsid w:val="009C3FDA"/>
    <w:rsid w:val="009C4447"/>
    <w:rsid w:val="009C44BD"/>
    <w:rsid w:val="009C48E6"/>
    <w:rsid w:val="009C4B12"/>
    <w:rsid w:val="009C5D47"/>
    <w:rsid w:val="009D21A8"/>
    <w:rsid w:val="009D6A12"/>
    <w:rsid w:val="009D6B59"/>
    <w:rsid w:val="009D6C06"/>
    <w:rsid w:val="009D7635"/>
    <w:rsid w:val="009D788A"/>
    <w:rsid w:val="009E0CA0"/>
    <w:rsid w:val="009E1123"/>
    <w:rsid w:val="009E466E"/>
    <w:rsid w:val="009E5891"/>
    <w:rsid w:val="009E7AF0"/>
    <w:rsid w:val="009F1D4C"/>
    <w:rsid w:val="009F395E"/>
    <w:rsid w:val="009F3BC8"/>
    <w:rsid w:val="009F69E4"/>
    <w:rsid w:val="00A0124C"/>
    <w:rsid w:val="00A0297C"/>
    <w:rsid w:val="00A02AA7"/>
    <w:rsid w:val="00A0399E"/>
    <w:rsid w:val="00A03EEE"/>
    <w:rsid w:val="00A04672"/>
    <w:rsid w:val="00A064C9"/>
    <w:rsid w:val="00A06525"/>
    <w:rsid w:val="00A065D9"/>
    <w:rsid w:val="00A07812"/>
    <w:rsid w:val="00A07B1D"/>
    <w:rsid w:val="00A07BF6"/>
    <w:rsid w:val="00A116B8"/>
    <w:rsid w:val="00A1449D"/>
    <w:rsid w:val="00A158D6"/>
    <w:rsid w:val="00A16A06"/>
    <w:rsid w:val="00A17635"/>
    <w:rsid w:val="00A21682"/>
    <w:rsid w:val="00A21C9B"/>
    <w:rsid w:val="00A27D03"/>
    <w:rsid w:val="00A30E69"/>
    <w:rsid w:val="00A30ECC"/>
    <w:rsid w:val="00A3229D"/>
    <w:rsid w:val="00A33B42"/>
    <w:rsid w:val="00A3428E"/>
    <w:rsid w:val="00A34E90"/>
    <w:rsid w:val="00A36F0D"/>
    <w:rsid w:val="00A37B0C"/>
    <w:rsid w:val="00A40422"/>
    <w:rsid w:val="00A406CB"/>
    <w:rsid w:val="00A41E69"/>
    <w:rsid w:val="00A421A3"/>
    <w:rsid w:val="00A42C6B"/>
    <w:rsid w:val="00A44FE5"/>
    <w:rsid w:val="00A47BEF"/>
    <w:rsid w:val="00A52C7C"/>
    <w:rsid w:val="00A556B9"/>
    <w:rsid w:val="00A60D31"/>
    <w:rsid w:val="00A615B2"/>
    <w:rsid w:val="00A61E54"/>
    <w:rsid w:val="00A62344"/>
    <w:rsid w:val="00A626DB"/>
    <w:rsid w:val="00A62CD1"/>
    <w:rsid w:val="00A6320E"/>
    <w:rsid w:val="00A63A36"/>
    <w:rsid w:val="00A63D88"/>
    <w:rsid w:val="00A63F8C"/>
    <w:rsid w:val="00A64AB3"/>
    <w:rsid w:val="00A65402"/>
    <w:rsid w:val="00A65AA7"/>
    <w:rsid w:val="00A70FDB"/>
    <w:rsid w:val="00A73520"/>
    <w:rsid w:val="00A7531A"/>
    <w:rsid w:val="00A757CC"/>
    <w:rsid w:val="00A75FA4"/>
    <w:rsid w:val="00A766E6"/>
    <w:rsid w:val="00A80CC5"/>
    <w:rsid w:val="00A80D45"/>
    <w:rsid w:val="00A80DD3"/>
    <w:rsid w:val="00A82EF2"/>
    <w:rsid w:val="00A8359D"/>
    <w:rsid w:val="00A86632"/>
    <w:rsid w:val="00A90064"/>
    <w:rsid w:val="00A913B7"/>
    <w:rsid w:val="00A92B47"/>
    <w:rsid w:val="00A96F1C"/>
    <w:rsid w:val="00AA0238"/>
    <w:rsid w:val="00AA3D91"/>
    <w:rsid w:val="00AA5422"/>
    <w:rsid w:val="00AA5FB0"/>
    <w:rsid w:val="00AA74EC"/>
    <w:rsid w:val="00AA7568"/>
    <w:rsid w:val="00AB0879"/>
    <w:rsid w:val="00AB0FF6"/>
    <w:rsid w:val="00AB3B2A"/>
    <w:rsid w:val="00AB507A"/>
    <w:rsid w:val="00AC23F5"/>
    <w:rsid w:val="00AC2BDD"/>
    <w:rsid w:val="00AC41F1"/>
    <w:rsid w:val="00AC7233"/>
    <w:rsid w:val="00AD237D"/>
    <w:rsid w:val="00AD5D6D"/>
    <w:rsid w:val="00AD6262"/>
    <w:rsid w:val="00AE24B8"/>
    <w:rsid w:val="00AE49B7"/>
    <w:rsid w:val="00AE5C40"/>
    <w:rsid w:val="00AE6C6D"/>
    <w:rsid w:val="00AE7261"/>
    <w:rsid w:val="00AE73CC"/>
    <w:rsid w:val="00AE7871"/>
    <w:rsid w:val="00AE7FA7"/>
    <w:rsid w:val="00AF62E8"/>
    <w:rsid w:val="00B02CDE"/>
    <w:rsid w:val="00B038E0"/>
    <w:rsid w:val="00B06124"/>
    <w:rsid w:val="00B0693B"/>
    <w:rsid w:val="00B074B1"/>
    <w:rsid w:val="00B07811"/>
    <w:rsid w:val="00B07A70"/>
    <w:rsid w:val="00B1048A"/>
    <w:rsid w:val="00B10D1A"/>
    <w:rsid w:val="00B113B2"/>
    <w:rsid w:val="00B113E5"/>
    <w:rsid w:val="00B12ECE"/>
    <w:rsid w:val="00B15884"/>
    <w:rsid w:val="00B173C9"/>
    <w:rsid w:val="00B229A3"/>
    <w:rsid w:val="00B23D73"/>
    <w:rsid w:val="00B24BD3"/>
    <w:rsid w:val="00B24D68"/>
    <w:rsid w:val="00B25830"/>
    <w:rsid w:val="00B26061"/>
    <w:rsid w:val="00B2653F"/>
    <w:rsid w:val="00B31463"/>
    <w:rsid w:val="00B31AA0"/>
    <w:rsid w:val="00B34106"/>
    <w:rsid w:val="00B3486E"/>
    <w:rsid w:val="00B349AC"/>
    <w:rsid w:val="00B36BFA"/>
    <w:rsid w:val="00B36D51"/>
    <w:rsid w:val="00B37389"/>
    <w:rsid w:val="00B37C9B"/>
    <w:rsid w:val="00B41FF5"/>
    <w:rsid w:val="00B421B3"/>
    <w:rsid w:val="00B43C93"/>
    <w:rsid w:val="00B4502F"/>
    <w:rsid w:val="00B50368"/>
    <w:rsid w:val="00B506DA"/>
    <w:rsid w:val="00B53C19"/>
    <w:rsid w:val="00B53FAF"/>
    <w:rsid w:val="00B5470C"/>
    <w:rsid w:val="00B55131"/>
    <w:rsid w:val="00B55515"/>
    <w:rsid w:val="00B6181F"/>
    <w:rsid w:val="00B63A5E"/>
    <w:rsid w:val="00B63E37"/>
    <w:rsid w:val="00B64237"/>
    <w:rsid w:val="00B66800"/>
    <w:rsid w:val="00B702AD"/>
    <w:rsid w:val="00B71612"/>
    <w:rsid w:val="00B72A35"/>
    <w:rsid w:val="00B75C39"/>
    <w:rsid w:val="00B7631E"/>
    <w:rsid w:val="00B8474F"/>
    <w:rsid w:val="00B84C19"/>
    <w:rsid w:val="00B85915"/>
    <w:rsid w:val="00B86354"/>
    <w:rsid w:val="00B87D67"/>
    <w:rsid w:val="00B900A6"/>
    <w:rsid w:val="00B92A95"/>
    <w:rsid w:val="00B936DA"/>
    <w:rsid w:val="00B93A27"/>
    <w:rsid w:val="00B94217"/>
    <w:rsid w:val="00B96FC6"/>
    <w:rsid w:val="00B97BE7"/>
    <w:rsid w:val="00BA0336"/>
    <w:rsid w:val="00BA0838"/>
    <w:rsid w:val="00BA266D"/>
    <w:rsid w:val="00BA2A8D"/>
    <w:rsid w:val="00BA3806"/>
    <w:rsid w:val="00BA4290"/>
    <w:rsid w:val="00BA5AB0"/>
    <w:rsid w:val="00BA67CB"/>
    <w:rsid w:val="00BA6A13"/>
    <w:rsid w:val="00BA7BD7"/>
    <w:rsid w:val="00BB28DD"/>
    <w:rsid w:val="00BB3E5A"/>
    <w:rsid w:val="00BB48FB"/>
    <w:rsid w:val="00BB4CFB"/>
    <w:rsid w:val="00BB4F17"/>
    <w:rsid w:val="00BB626E"/>
    <w:rsid w:val="00BB64BA"/>
    <w:rsid w:val="00BC0627"/>
    <w:rsid w:val="00BC0C8F"/>
    <w:rsid w:val="00BC1B79"/>
    <w:rsid w:val="00BC1E7F"/>
    <w:rsid w:val="00BC2470"/>
    <w:rsid w:val="00BC2892"/>
    <w:rsid w:val="00BC2AC2"/>
    <w:rsid w:val="00BC3779"/>
    <w:rsid w:val="00BC509D"/>
    <w:rsid w:val="00BC67EE"/>
    <w:rsid w:val="00BD042B"/>
    <w:rsid w:val="00BD1DE8"/>
    <w:rsid w:val="00BD2498"/>
    <w:rsid w:val="00BD29FE"/>
    <w:rsid w:val="00BD320B"/>
    <w:rsid w:val="00BD4F91"/>
    <w:rsid w:val="00BD7245"/>
    <w:rsid w:val="00BE0848"/>
    <w:rsid w:val="00BE18EC"/>
    <w:rsid w:val="00BE252A"/>
    <w:rsid w:val="00BE2D13"/>
    <w:rsid w:val="00BE372F"/>
    <w:rsid w:val="00BE3C4F"/>
    <w:rsid w:val="00BE5094"/>
    <w:rsid w:val="00BE5C57"/>
    <w:rsid w:val="00BE64AD"/>
    <w:rsid w:val="00BF03EB"/>
    <w:rsid w:val="00BF06DA"/>
    <w:rsid w:val="00BF0C2F"/>
    <w:rsid w:val="00BF117C"/>
    <w:rsid w:val="00BF19A4"/>
    <w:rsid w:val="00BF3A0A"/>
    <w:rsid w:val="00BF4C5C"/>
    <w:rsid w:val="00BF5E5C"/>
    <w:rsid w:val="00BF69D3"/>
    <w:rsid w:val="00BF74BB"/>
    <w:rsid w:val="00C00DE0"/>
    <w:rsid w:val="00C04320"/>
    <w:rsid w:val="00C0557F"/>
    <w:rsid w:val="00C0665E"/>
    <w:rsid w:val="00C0682A"/>
    <w:rsid w:val="00C07527"/>
    <w:rsid w:val="00C10743"/>
    <w:rsid w:val="00C1167B"/>
    <w:rsid w:val="00C162DE"/>
    <w:rsid w:val="00C17F5E"/>
    <w:rsid w:val="00C21083"/>
    <w:rsid w:val="00C2188F"/>
    <w:rsid w:val="00C24C54"/>
    <w:rsid w:val="00C254DE"/>
    <w:rsid w:val="00C26DEC"/>
    <w:rsid w:val="00C30772"/>
    <w:rsid w:val="00C30906"/>
    <w:rsid w:val="00C3190D"/>
    <w:rsid w:val="00C33BDD"/>
    <w:rsid w:val="00C3543F"/>
    <w:rsid w:val="00C36167"/>
    <w:rsid w:val="00C37BD6"/>
    <w:rsid w:val="00C4113E"/>
    <w:rsid w:val="00C41288"/>
    <w:rsid w:val="00C43F7D"/>
    <w:rsid w:val="00C44CBF"/>
    <w:rsid w:val="00C47146"/>
    <w:rsid w:val="00C47649"/>
    <w:rsid w:val="00C47815"/>
    <w:rsid w:val="00C510DE"/>
    <w:rsid w:val="00C52786"/>
    <w:rsid w:val="00C52BBF"/>
    <w:rsid w:val="00C562B3"/>
    <w:rsid w:val="00C5681F"/>
    <w:rsid w:val="00C5788B"/>
    <w:rsid w:val="00C578C8"/>
    <w:rsid w:val="00C603B3"/>
    <w:rsid w:val="00C63444"/>
    <w:rsid w:val="00C63F1F"/>
    <w:rsid w:val="00C6407A"/>
    <w:rsid w:val="00C65F25"/>
    <w:rsid w:val="00C67B49"/>
    <w:rsid w:val="00C67CCC"/>
    <w:rsid w:val="00C71A70"/>
    <w:rsid w:val="00C71AFC"/>
    <w:rsid w:val="00C71DD0"/>
    <w:rsid w:val="00C73375"/>
    <w:rsid w:val="00C741A7"/>
    <w:rsid w:val="00C75953"/>
    <w:rsid w:val="00C75DF1"/>
    <w:rsid w:val="00C80573"/>
    <w:rsid w:val="00C81124"/>
    <w:rsid w:val="00C8241E"/>
    <w:rsid w:val="00C8332F"/>
    <w:rsid w:val="00C83424"/>
    <w:rsid w:val="00C83484"/>
    <w:rsid w:val="00C83B32"/>
    <w:rsid w:val="00C84836"/>
    <w:rsid w:val="00C86E97"/>
    <w:rsid w:val="00C87153"/>
    <w:rsid w:val="00C91539"/>
    <w:rsid w:val="00C916CF"/>
    <w:rsid w:val="00C937F1"/>
    <w:rsid w:val="00C97378"/>
    <w:rsid w:val="00CA1A8D"/>
    <w:rsid w:val="00CA3D6B"/>
    <w:rsid w:val="00CA47D5"/>
    <w:rsid w:val="00CA5E17"/>
    <w:rsid w:val="00CA5E4B"/>
    <w:rsid w:val="00CA5F5F"/>
    <w:rsid w:val="00CA68A8"/>
    <w:rsid w:val="00CA7C7A"/>
    <w:rsid w:val="00CA7D6B"/>
    <w:rsid w:val="00CB470D"/>
    <w:rsid w:val="00CB6496"/>
    <w:rsid w:val="00CB6B36"/>
    <w:rsid w:val="00CC62DF"/>
    <w:rsid w:val="00CC6BAB"/>
    <w:rsid w:val="00CD0925"/>
    <w:rsid w:val="00CD1A8A"/>
    <w:rsid w:val="00CD2169"/>
    <w:rsid w:val="00CD5C8F"/>
    <w:rsid w:val="00CE54F8"/>
    <w:rsid w:val="00CE59D0"/>
    <w:rsid w:val="00CE7D65"/>
    <w:rsid w:val="00CF221C"/>
    <w:rsid w:val="00CF22AE"/>
    <w:rsid w:val="00CF3B8C"/>
    <w:rsid w:val="00CF4880"/>
    <w:rsid w:val="00CF56CC"/>
    <w:rsid w:val="00CF6D1F"/>
    <w:rsid w:val="00D01D2D"/>
    <w:rsid w:val="00D063CD"/>
    <w:rsid w:val="00D06803"/>
    <w:rsid w:val="00D108AE"/>
    <w:rsid w:val="00D12989"/>
    <w:rsid w:val="00D132A5"/>
    <w:rsid w:val="00D141B3"/>
    <w:rsid w:val="00D14267"/>
    <w:rsid w:val="00D1438F"/>
    <w:rsid w:val="00D14454"/>
    <w:rsid w:val="00D16326"/>
    <w:rsid w:val="00D20BE3"/>
    <w:rsid w:val="00D214CC"/>
    <w:rsid w:val="00D23E65"/>
    <w:rsid w:val="00D269B8"/>
    <w:rsid w:val="00D26B3D"/>
    <w:rsid w:val="00D26DD0"/>
    <w:rsid w:val="00D27152"/>
    <w:rsid w:val="00D272EC"/>
    <w:rsid w:val="00D30A94"/>
    <w:rsid w:val="00D37E83"/>
    <w:rsid w:val="00D40DB2"/>
    <w:rsid w:val="00D41AD0"/>
    <w:rsid w:val="00D42794"/>
    <w:rsid w:val="00D44F13"/>
    <w:rsid w:val="00D5097E"/>
    <w:rsid w:val="00D5129D"/>
    <w:rsid w:val="00D52383"/>
    <w:rsid w:val="00D533B1"/>
    <w:rsid w:val="00D54266"/>
    <w:rsid w:val="00D57F97"/>
    <w:rsid w:val="00D602FB"/>
    <w:rsid w:val="00D6092D"/>
    <w:rsid w:val="00D61867"/>
    <w:rsid w:val="00D6398B"/>
    <w:rsid w:val="00D6452C"/>
    <w:rsid w:val="00D64778"/>
    <w:rsid w:val="00D64AC1"/>
    <w:rsid w:val="00D651FC"/>
    <w:rsid w:val="00D65BAF"/>
    <w:rsid w:val="00D6602F"/>
    <w:rsid w:val="00D673D6"/>
    <w:rsid w:val="00D75285"/>
    <w:rsid w:val="00D77DB4"/>
    <w:rsid w:val="00D824D0"/>
    <w:rsid w:val="00D82D87"/>
    <w:rsid w:val="00D8382B"/>
    <w:rsid w:val="00D865CC"/>
    <w:rsid w:val="00D86938"/>
    <w:rsid w:val="00D87191"/>
    <w:rsid w:val="00D87C03"/>
    <w:rsid w:val="00D913D1"/>
    <w:rsid w:val="00D9555F"/>
    <w:rsid w:val="00D95F02"/>
    <w:rsid w:val="00D96EBA"/>
    <w:rsid w:val="00DA03B0"/>
    <w:rsid w:val="00DA2BE5"/>
    <w:rsid w:val="00DA3BED"/>
    <w:rsid w:val="00DA3BF1"/>
    <w:rsid w:val="00DA4120"/>
    <w:rsid w:val="00DA4567"/>
    <w:rsid w:val="00DA552A"/>
    <w:rsid w:val="00DA5FF6"/>
    <w:rsid w:val="00DA6DCD"/>
    <w:rsid w:val="00DB0C29"/>
    <w:rsid w:val="00DB336F"/>
    <w:rsid w:val="00DB38C9"/>
    <w:rsid w:val="00DB415B"/>
    <w:rsid w:val="00DB4EA5"/>
    <w:rsid w:val="00DB5CE9"/>
    <w:rsid w:val="00DB6F1D"/>
    <w:rsid w:val="00DC03A9"/>
    <w:rsid w:val="00DC0427"/>
    <w:rsid w:val="00DC0ED0"/>
    <w:rsid w:val="00DC29BA"/>
    <w:rsid w:val="00DC47BF"/>
    <w:rsid w:val="00DC49E4"/>
    <w:rsid w:val="00DC5C8D"/>
    <w:rsid w:val="00DC72E6"/>
    <w:rsid w:val="00DD1570"/>
    <w:rsid w:val="00DD41C5"/>
    <w:rsid w:val="00DD6566"/>
    <w:rsid w:val="00DD669F"/>
    <w:rsid w:val="00DD7717"/>
    <w:rsid w:val="00DE11C5"/>
    <w:rsid w:val="00DE28B2"/>
    <w:rsid w:val="00DE336F"/>
    <w:rsid w:val="00DE3AFA"/>
    <w:rsid w:val="00DF0E7F"/>
    <w:rsid w:val="00DF2C9C"/>
    <w:rsid w:val="00DF3490"/>
    <w:rsid w:val="00DF41D8"/>
    <w:rsid w:val="00DF4391"/>
    <w:rsid w:val="00DF516C"/>
    <w:rsid w:val="00E017F4"/>
    <w:rsid w:val="00E03DCF"/>
    <w:rsid w:val="00E05C77"/>
    <w:rsid w:val="00E05EEF"/>
    <w:rsid w:val="00E07656"/>
    <w:rsid w:val="00E108EC"/>
    <w:rsid w:val="00E10961"/>
    <w:rsid w:val="00E116E0"/>
    <w:rsid w:val="00E13AA6"/>
    <w:rsid w:val="00E23F09"/>
    <w:rsid w:val="00E24820"/>
    <w:rsid w:val="00E300B5"/>
    <w:rsid w:val="00E34503"/>
    <w:rsid w:val="00E36CC0"/>
    <w:rsid w:val="00E36DDA"/>
    <w:rsid w:val="00E40148"/>
    <w:rsid w:val="00E403B3"/>
    <w:rsid w:val="00E40546"/>
    <w:rsid w:val="00E41C84"/>
    <w:rsid w:val="00E44A89"/>
    <w:rsid w:val="00E4646F"/>
    <w:rsid w:val="00E47DD8"/>
    <w:rsid w:val="00E52436"/>
    <w:rsid w:val="00E547BC"/>
    <w:rsid w:val="00E55C74"/>
    <w:rsid w:val="00E57BE4"/>
    <w:rsid w:val="00E57DC5"/>
    <w:rsid w:val="00E6122F"/>
    <w:rsid w:val="00E6124C"/>
    <w:rsid w:val="00E63580"/>
    <w:rsid w:val="00E663C1"/>
    <w:rsid w:val="00E66582"/>
    <w:rsid w:val="00E6692A"/>
    <w:rsid w:val="00E66C85"/>
    <w:rsid w:val="00E70432"/>
    <w:rsid w:val="00E710A2"/>
    <w:rsid w:val="00E72C6C"/>
    <w:rsid w:val="00E73318"/>
    <w:rsid w:val="00E73BDF"/>
    <w:rsid w:val="00E74084"/>
    <w:rsid w:val="00E805FD"/>
    <w:rsid w:val="00E80F74"/>
    <w:rsid w:val="00E82CA1"/>
    <w:rsid w:val="00E830D3"/>
    <w:rsid w:val="00E83864"/>
    <w:rsid w:val="00E83E5D"/>
    <w:rsid w:val="00E83FEE"/>
    <w:rsid w:val="00E8601A"/>
    <w:rsid w:val="00E87234"/>
    <w:rsid w:val="00E90179"/>
    <w:rsid w:val="00E91F52"/>
    <w:rsid w:val="00E93E4D"/>
    <w:rsid w:val="00E94B42"/>
    <w:rsid w:val="00E94F13"/>
    <w:rsid w:val="00E958B1"/>
    <w:rsid w:val="00E96C58"/>
    <w:rsid w:val="00E974C8"/>
    <w:rsid w:val="00EA2416"/>
    <w:rsid w:val="00EA2886"/>
    <w:rsid w:val="00EA289B"/>
    <w:rsid w:val="00EA2CBB"/>
    <w:rsid w:val="00EA4C05"/>
    <w:rsid w:val="00EA57B3"/>
    <w:rsid w:val="00EB0710"/>
    <w:rsid w:val="00EB0789"/>
    <w:rsid w:val="00EB0AE9"/>
    <w:rsid w:val="00EB3582"/>
    <w:rsid w:val="00EC1434"/>
    <w:rsid w:val="00EC22CF"/>
    <w:rsid w:val="00EC24AF"/>
    <w:rsid w:val="00EC33EA"/>
    <w:rsid w:val="00EC360C"/>
    <w:rsid w:val="00EC36CB"/>
    <w:rsid w:val="00EC38B1"/>
    <w:rsid w:val="00EC48BF"/>
    <w:rsid w:val="00EC48CC"/>
    <w:rsid w:val="00EC51D7"/>
    <w:rsid w:val="00EC56AD"/>
    <w:rsid w:val="00EC60BA"/>
    <w:rsid w:val="00ED1FBE"/>
    <w:rsid w:val="00ED4DBB"/>
    <w:rsid w:val="00ED59E2"/>
    <w:rsid w:val="00ED5E32"/>
    <w:rsid w:val="00ED63CE"/>
    <w:rsid w:val="00EE3BAB"/>
    <w:rsid w:val="00EE4CB6"/>
    <w:rsid w:val="00EE556A"/>
    <w:rsid w:val="00EE6C18"/>
    <w:rsid w:val="00EE6DED"/>
    <w:rsid w:val="00EF36AA"/>
    <w:rsid w:val="00EF3C61"/>
    <w:rsid w:val="00EF4F33"/>
    <w:rsid w:val="00EF773E"/>
    <w:rsid w:val="00F0035A"/>
    <w:rsid w:val="00F00EFE"/>
    <w:rsid w:val="00F021AB"/>
    <w:rsid w:val="00F05B19"/>
    <w:rsid w:val="00F063EF"/>
    <w:rsid w:val="00F0677E"/>
    <w:rsid w:val="00F101C0"/>
    <w:rsid w:val="00F12052"/>
    <w:rsid w:val="00F1272D"/>
    <w:rsid w:val="00F128A9"/>
    <w:rsid w:val="00F138C9"/>
    <w:rsid w:val="00F14060"/>
    <w:rsid w:val="00F144C1"/>
    <w:rsid w:val="00F14F29"/>
    <w:rsid w:val="00F15336"/>
    <w:rsid w:val="00F1611F"/>
    <w:rsid w:val="00F17FC9"/>
    <w:rsid w:val="00F23D5C"/>
    <w:rsid w:val="00F26A6F"/>
    <w:rsid w:val="00F26F13"/>
    <w:rsid w:val="00F26FDA"/>
    <w:rsid w:val="00F27617"/>
    <w:rsid w:val="00F31CF5"/>
    <w:rsid w:val="00F35DF7"/>
    <w:rsid w:val="00F36348"/>
    <w:rsid w:val="00F3661C"/>
    <w:rsid w:val="00F36AA1"/>
    <w:rsid w:val="00F401F1"/>
    <w:rsid w:val="00F41154"/>
    <w:rsid w:val="00F41B8E"/>
    <w:rsid w:val="00F42BF8"/>
    <w:rsid w:val="00F42D13"/>
    <w:rsid w:val="00F43EE7"/>
    <w:rsid w:val="00F46CE4"/>
    <w:rsid w:val="00F50F8D"/>
    <w:rsid w:val="00F52E8C"/>
    <w:rsid w:val="00F54360"/>
    <w:rsid w:val="00F55598"/>
    <w:rsid w:val="00F56027"/>
    <w:rsid w:val="00F56500"/>
    <w:rsid w:val="00F5718B"/>
    <w:rsid w:val="00F62253"/>
    <w:rsid w:val="00F63996"/>
    <w:rsid w:val="00F6510B"/>
    <w:rsid w:val="00F66134"/>
    <w:rsid w:val="00F6790D"/>
    <w:rsid w:val="00F73B51"/>
    <w:rsid w:val="00F75DA4"/>
    <w:rsid w:val="00F81EEA"/>
    <w:rsid w:val="00F82071"/>
    <w:rsid w:val="00F828C4"/>
    <w:rsid w:val="00F828EE"/>
    <w:rsid w:val="00F82EDC"/>
    <w:rsid w:val="00F84243"/>
    <w:rsid w:val="00F84D95"/>
    <w:rsid w:val="00F85179"/>
    <w:rsid w:val="00F85CAA"/>
    <w:rsid w:val="00F86896"/>
    <w:rsid w:val="00F8765B"/>
    <w:rsid w:val="00F90E30"/>
    <w:rsid w:val="00F91954"/>
    <w:rsid w:val="00F96390"/>
    <w:rsid w:val="00FA2946"/>
    <w:rsid w:val="00FA4C77"/>
    <w:rsid w:val="00FA5C6D"/>
    <w:rsid w:val="00FA5D40"/>
    <w:rsid w:val="00FA7549"/>
    <w:rsid w:val="00FB130B"/>
    <w:rsid w:val="00FB256F"/>
    <w:rsid w:val="00FB2782"/>
    <w:rsid w:val="00FB4122"/>
    <w:rsid w:val="00FB55D8"/>
    <w:rsid w:val="00FB5F5C"/>
    <w:rsid w:val="00FB7434"/>
    <w:rsid w:val="00FB767E"/>
    <w:rsid w:val="00FC00FC"/>
    <w:rsid w:val="00FC614A"/>
    <w:rsid w:val="00FC61AB"/>
    <w:rsid w:val="00FD02A4"/>
    <w:rsid w:val="00FD2379"/>
    <w:rsid w:val="00FD2625"/>
    <w:rsid w:val="00FD3DE5"/>
    <w:rsid w:val="00FD6038"/>
    <w:rsid w:val="00FD66AF"/>
    <w:rsid w:val="00FE192F"/>
    <w:rsid w:val="00FE2437"/>
    <w:rsid w:val="00FE326F"/>
    <w:rsid w:val="00FE5327"/>
    <w:rsid w:val="00FE58C9"/>
    <w:rsid w:val="00FE6F48"/>
    <w:rsid w:val="00FE7EC9"/>
    <w:rsid w:val="00FF0B79"/>
    <w:rsid w:val="00FF15F6"/>
    <w:rsid w:val="00FF1C70"/>
    <w:rsid w:val="00FF2DDE"/>
    <w:rsid w:val="00FF3D03"/>
    <w:rsid w:val="00FF3EA9"/>
    <w:rsid w:val="00FF587F"/>
    <w:rsid w:val="03757257"/>
    <w:rsid w:val="275B72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4" w:semiHidden="0" w:name="heading 1"/>
    <w:lsdException w:qFormat="1" w:uiPriority="4" w:semiHidden="0" w:name="heading 2"/>
    <w:lsdException w:qFormat="1" w:uiPriority="4" w:semiHidden="0" w:name="heading 3"/>
    <w:lsdException w:qFormat="1" w:uiPriority="4" w:semiHidden="0" w:name="heading 4"/>
    <w:lsdException w:qFormat="1" w:uiPriority="4" w:semiHidden="0" w:name="heading 5"/>
    <w:lsdException w:qFormat="1" w:unhideWhenUsed="0" w:uiPriority="9" w:name="heading 6"/>
    <w:lsdException w:qFormat="1" w:unhideWhenUsed="0" w:uiPriority="9" w:name="heading 7"/>
    <w:lsdException w:qFormat="1" w:unhideWhenUsed="0" w:uiPriority="9" w:name="heading 8"/>
    <w:lsdException w:qFormat="1" w:unhideWhenUsed="0"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 w:semiHidden="0" w:name="List Bullet"/>
    <w:lsdException w:qFormat="1" w:uiPriority="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iPriority="18" w:name="Subtitle"/>
    <w:lsdException w:uiPriority="99" w:name="Salutation"/>
    <w:lsdException w:uiPriority="99" w:name="Date"/>
    <w:lsdException w:uiPriority="99" w:name="Body Text First Indent"/>
    <w:lsdException w:uiPriority="99" w:name="Body Text First Indent 2"/>
    <w:lsdException w:qFormat="1" w:uiPriority="99" w:name="Note Heading"/>
    <w:lsdException w:uiPriority="99" w:name="Body Text 2"/>
    <w:lsdException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uiPriority="99" w:name="FollowedHyperlink"/>
    <w:lsdException w:qFormat="1" w:uiPriority="22" w:semiHidden="0" w:name="Strong"/>
    <w:lsdException w:qFormat="1"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3"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iPriority="29" w:name="Quote"/>
    <w:lsdException w:qFormat="1"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ind w:firstLine="720"/>
    </w:pPr>
    <w:rPr>
      <w:rFonts w:asciiTheme="minorHAnsi" w:hAnsiTheme="minorHAnsi" w:eastAsiaTheme="minorEastAsia" w:cstheme="minorBidi"/>
      <w:kern w:val="24"/>
      <w:sz w:val="24"/>
      <w:szCs w:val="24"/>
      <w:lang w:val="en-GB" w:eastAsia="ja-JP" w:bidi="ar-SA"/>
    </w:rPr>
  </w:style>
  <w:style w:type="paragraph" w:styleId="2">
    <w:name w:val="heading 1"/>
    <w:basedOn w:val="1"/>
    <w:next w:val="1"/>
    <w:link w:val="98"/>
    <w:qFormat/>
    <w:uiPriority w:val="4"/>
    <w:pPr>
      <w:keepNext/>
      <w:keepLines/>
      <w:ind w:firstLine="0"/>
      <w:jc w:val="center"/>
      <w:outlineLvl w:val="0"/>
    </w:pPr>
    <w:rPr>
      <w:rFonts w:asciiTheme="majorHAnsi" w:hAnsiTheme="majorHAnsi" w:eastAsiaTheme="majorEastAsia" w:cstheme="majorBidi"/>
      <w:b/>
      <w:bCs/>
    </w:rPr>
  </w:style>
  <w:style w:type="paragraph" w:styleId="3">
    <w:name w:val="heading 2"/>
    <w:basedOn w:val="1"/>
    <w:next w:val="1"/>
    <w:link w:val="99"/>
    <w:unhideWhenUsed/>
    <w:qFormat/>
    <w:uiPriority w:val="4"/>
    <w:pPr>
      <w:keepNext/>
      <w:keepLines/>
      <w:ind w:firstLine="0"/>
      <w:outlineLvl w:val="1"/>
    </w:pPr>
    <w:rPr>
      <w:rFonts w:asciiTheme="majorHAnsi" w:hAnsiTheme="majorHAnsi" w:eastAsiaTheme="majorEastAsia" w:cstheme="majorBidi"/>
      <w:b/>
      <w:bCs/>
    </w:rPr>
  </w:style>
  <w:style w:type="paragraph" w:styleId="4">
    <w:name w:val="heading 3"/>
    <w:basedOn w:val="1"/>
    <w:next w:val="1"/>
    <w:link w:val="101"/>
    <w:unhideWhenUsed/>
    <w:qFormat/>
    <w:uiPriority w:val="4"/>
    <w:pPr>
      <w:keepNext/>
      <w:keepLines/>
      <w:ind w:firstLine="0"/>
      <w:outlineLvl w:val="2"/>
    </w:pPr>
    <w:rPr>
      <w:rFonts w:asciiTheme="majorHAnsi" w:hAnsiTheme="majorHAnsi" w:eastAsiaTheme="majorEastAsia" w:cstheme="majorBidi"/>
      <w:b/>
      <w:bCs/>
      <w:i/>
    </w:rPr>
  </w:style>
  <w:style w:type="paragraph" w:styleId="5">
    <w:name w:val="heading 4"/>
    <w:basedOn w:val="1"/>
    <w:next w:val="1"/>
    <w:link w:val="102"/>
    <w:unhideWhenUsed/>
    <w:qFormat/>
    <w:uiPriority w:val="4"/>
    <w:pPr>
      <w:keepNext/>
      <w:keepLines/>
      <w:outlineLvl w:val="3"/>
    </w:pPr>
    <w:rPr>
      <w:rFonts w:asciiTheme="majorHAnsi" w:hAnsiTheme="majorHAnsi" w:eastAsiaTheme="majorEastAsia" w:cstheme="majorBidi"/>
      <w:b/>
      <w:bCs/>
      <w:iCs/>
    </w:rPr>
  </w:style>
  <w:style w:type="paragraph" w:styleId="6">
    <w:name w:val="heading 5"/>
    <w:basedOn w:val="1"/>
    <w:next w:val="1"/>
    <w:link w:val="103"/>
    <w:unhideWhenUsed/>
    <w:qFormat/>
    <w:uiPriority w:val="4"/>
    <w:pPr>
      <w:keepNext/>
      <w:keepLines/>
      <w:outlineLvl w:val="4"/>
    </w:pPr>
    <w:rPr>
      <w:rFonts w:asciiTheme="majorHAnsi" w:hAnsiTheme="majorHAnsi" w:eastAsiaTheme="majorEastAsia" w:cstheme="majorBidi"/>
      <w:b/>
      <w:i/>
      <w:iCs/>
    </w:rPr>
  </w:style>
  <w:style w:type="paragraph" w:styleId="7">
    <w:name w:val="heading 6"/>
    <w:basedOn w:val="1"/>
    <w:next w:val="1"/>
    <w:link w:val="123"/>
    <w:semiHidden/>
    <w:qFormat/>
    <w:uiPriority w:val="9"/>
    <w:pPr>
      <w:keepNext/>
      <w:keepLines/>
      <w:spacing w:before="40"/>
      <w:ind w:firstLine="0"/>
      <w:outlineLvl w:val="5"/>
    </w:pPr>
    <w:rPr>
      <w:rFonts w:asciiTheme="majorHAnsi" w:hAnsiTheme="majorHAnsi" w:eastAsiaTheme="majorEastAsia" w:cstheme="majorBidi"/>
      <w:color w:val="6F6F6F" w:themeColor="accent1" w:themeShade="80"/>
    </w:rPr>
  </w:style>
  <w:style w:type="paragraph" w:styleId="8">
    <w:name w:val="heading 7"/>
    <w:basedOn w:val="1"/>
    <w:next w:val="1"/>
    <w:link w:val="124"/>
    <w:semiHidden/>
    <w:qFormat/>
    <w:uiPriority w:val="9"/>
    <w:pPr>
      <w:keepNext/>
      <w:keepLines/>
      <w:spacing w:before="40"/>
      <w:ind w:firstLine="0"/>
      <w:outlineLvl w:val="6"/>
    </w:pPr>
    <w:rPr>
      <w:rFonts w:asciiTheme="majorHAnsi" w:hAnsiTheme="majorHAnsi" w:eastAsiaTheme="majorEastAsia" w:cstheme="majorBidi"/>
      <w:i/>
      <w:iCs/>
      <w:color w:val="6F6F6F" w:themeColor="accent1" w:themeShade="80"/>
    </w:rPr>
  </w:style>
  <w:style w:type="paragraph" w:styleId="9">
    <w:name w:val="heading 8"/>
    <w:basedOn w:val="1"/>
    <w:next w:val="1"/>
    <w:link w:val="125"/>
    <w:semiHidden/>
    <w:qFormat/>
    <w:uiPriority w:val="9"/>
    <w:pPr>
      <w:keepNext/>
      <w:keepLines/>
      <w:spacing w:before="40"/>
      <w:ind w:firstLine="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126"/>
    <w:semiHidden/>
    <w:qFormat/>
    <w:uiPriority w:val="9"/>
    <w:pPr>
      <w:keepNext/>
      <w:keepLines/>
      <w:spacing w:before="40"/>
      <w:ind w:firstLine="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86">
    <w:name w:val="Default Paragraph Font"/>
    <w:semiHidden/>
    <w:unhideWhenUsed/>
    <w:qFormat/>
    <w:uiPriority w:val="1"/>
  </w:style>
  <w:style w:type="table" w:default="1" w:styleId="92">
    <w:name w:val="Normal Table"/>
    <w:semiHidden/>
    <w:unhideWhenUsed/>
    <w:uiPriority w:val="99"/>
    <w:tblPr>
      <w:tblCellMar>
        <w:top w:w="0" w:type="dxa"/>
        <w:left w:w="108" w:type="dxa"/>
        <w:bottom w:w="0" w:type="dxa"/>
        <w:right w:w="108" w:type="dxa"/>
      </w:tblCellMar>
    </w:tblPr>
  </w:style>
  <w:style w:type="paragraph" w:styleId="11">
    <w:name w:val="Balloon Text"/>
    <w:basedOn w:val="1"/>
    <w:link w:val="104"/>
    <w:semiHidden/>
    <w:unhideWhenUsed/>
    <w:qFormat/>
    <w:uiPriority w:val="99"/>
    <w:pPr>
      <w:spacing w:line="240" w:lineRule="auto"/>
      <w:ind w:firstLine="0"/>
    </w:pPr>
    <w:rPr>
      <w:rFonts w:ascii="Segoe UI" w:hAnsi="Segoe UI" w:cs="Segoe UI"/>
      <w:sz w:val="18"/>
      <w:szCs w:val="18"/>
    </w:rPr>
  </w:style>
  <w:style w:type="paragraph" w:styleId="12">
    <w:name w:val="Block Text"/>
    <w:basedOn w:val="1"/>
    <w:semiHidden/>
    <w:unhideWhenUsed/>
    <w:uiPriority w:val="99"/>
    <w:pPr>
      <w:pBdr>
        <w:top w:val="single" w:color="DDDDDD" w:themeColor="accent1" w:sz="2" w:space="10"/>
        <w:left w:val="single" w:color="DDDDDD" w:themeColor="accent1" w:sz="2" w:space="10"/>
        <w:bottom w:val="single" w:color="DDDDDD" w:themeColor="accent1" w:sz="2" w:space="10"/>
        <w:right w:val="single" w:color="DDDDDD" w:themeColor="accent1" w:sz="2" w:space="10"/>
      </w:pBdr>
      <w:ind w:left="1152" w:right="1152" w:firstLine="0"/>
    </w:pPr>
    <w:rPr>
      <w:i/>
      <w:iCs/>
      <w:color w:val="DDDDDD" w:themeColor="accent1"/>
      <w14:textFill>
        <w14:solidFill>
          <w14:schemeClr w14:val="accent1"/>
        </w14:solidFill>
      </w14:textFill>
    </w:rPr>
  </w:style>
  <w:style w:type="paragraph" w:styleId="13">
    <w:name w:val="Body Text"/>
    <w:basedOn w:val="1"/>
    <w:link w:val="106"/>
    <w:semiHidden/>
    <w:unhideWhenUsed/>
    <w:qFormat/>
    <w:uiPriority w:val="99"/>
    <w:pPr>
      <w:spacing w:after="120"/>
      <w:ind w:firstLine="0"/>
    </w:pPr>
  </w:style>
  <w:style w:type="paragraph" w:styleId="14">
    <w:name w:val="Body Text 2"/>
    <w:basedOn w:val="1"/>
    <w:link w:val="107"/>
    <w:semiHidden/>
    <w:unhideWhenUsed/>
    <w:uiPriority w:val="99"/>
    <w:pPr>
      <w:spacing w:after="120"/>
      <w:ind w:firstLine="0"/>
    </w:pPr>
  </w:style>
  <w:style w:type="paragraph" w:styleId="15">
    <w:name w:val="Body Text 3"/>
    <w:basedOn w:val="1"/>
    <w:link w:val="108"/>
    <w:semiHidden/>
    <w:unhideWhenUsed/>
    <w:uiPriority w:val="99"/>
    <w:pPr>
      <w:spacing w:after="120"/>
      <w:ind w:firstLine="0"/>
    </w:pPr>
    <w:rPr>
      <w:sz w:val="16"/>
      <w:szCs w:val="16"/>
    </w:rPr>
  </w:style>
  <w:style w:type="paragraph" w:styleId="16">
    <w:name w:val="Body Text First Indent"/>
    <w:basedOn w:val="13"/>
    <w:link w:val="109"/>
    <w:semiHidden/>
    <w:unhideWhenUsed/>
    <w:uiPriority w:val="99"/>
    <w:pPr>
      <w:spacing w:after="0"/>
    </w:pPr>
  </w:style>
  <w:style w:type="paragraph" w:styleId="17">
    <w:name w:val="Body Text Indent"/>
    <w:basedOn w:val="1"/>
    <w:link w:val="110"/>
    <w:semiHidden/>
    <w:unhideWhenUsed/>
    <w:uiPriority w:val="99"/>
    <w:pPr>
      <w:spacing w:after="120"/>
      <w:ind w:left="360" w:firstLine="0"/>
    </w:pPr>
  </w:style>
  <w:style w:type="paragraph" w:styleId="18">
    <w:name w:val="Body Text First Indent 2"/>
    <w:basedOn w:val="17"/>
    <w:link w:val="111"/>
    <w:semiHidden/>
    <w:unhideWhenUsed/>
    <w:uiPriority w:val="99"/>
    <w:pPr>
      <w:spacing w:after="0"/>
    </w:pPr>
  </w:style>
  <w:style w:type="paragraph" w:styleId="19">
    <w:name w:val="Body Text Indent 2"/>
    <w:basedOn w:val="1"/>
    <w:link w:val="112"/>
    <w:semiHidden/>
    <w:unhideWhenUsed/>
    <w:qFormat/>
    <w:uiPriority w:val="99"/>
    <w:pPr>
      <w:spacing w:after="120"/>
      <w:ind w:left="360" w:firstLine="0"/>
    </w:pPr>
  </w:style>
  <w:style w:type="paragraph" w:styleId="20">
    <w:name w:val="Body Text Indent 3"/>
    <w:basedOn w:val="1"/>
    <w:link w:val="113"/>
    <w:semiHidden/>
    <w:unhideWhenUsed/>
    <w:qFormat/>
    <w:uiPriority w:val="99"/>
    <w:pPr>
      <w:spacing w:after="120"/>
      <w:ind w:left="360" w:firstLine="0"/>
    </w:pPr>
    <w:rPr>
      <w:sz w:val="16"/>
      <w:szCs w:val="16"/>
    </w:rPr>
  </w:style>
  <w:style w:type="paragraph" w:styleId="21">
    <w:name w:val="caption"/>
    <w:basedOn w:val="1"/>
    <w:next w:val="1"/>
    <w:unhideWhenUsed/>
    <w:qFormat/>
    <w:uiPriority w:val="35"/>
    <w:pPr>
      <w:spacing w:after="200" w:line="240" w:lineRule="auto"/>
      <w:ind w:firstLine="0"/>
    </w:pPr>
    <w:rPr>
      <w:i/>
      <w:iCs/>
      <w:color w:val="000000" w:themeColor="text2"/>
      <w:sz w:val="18"/>
      <w:szCs w:val="18"/>
      <w14:textFill>
        <w14:solidFill>
          <w14:schemeClr w14:val="tx2"/>
        </w14:solidFill>
      </w14:textFill>
    </w:rPr>
  </w:style>
  <w:style w:type="paragraph" w:styleId="22">
    <w:name w:val="Closing"/>
    <w:basedOn w:val="1"/>
    <w:link w:val="114"/>
    <w:semiHidden/>
    <w:unhideWhenUsed/>
    <w:uiPriority w:val="99"/>
    <w:pPr>
      <w:spacing w:line="240" w:lineRule="auto"/>
      <w:ind w:left="4320" w:firstLine="0"/>
    </w:pPr>
  </w:style>
  <w:style w:type="paragraph" w:styleId="23">
    <w:name w:val="annotation text"/>
    <w:basedOn w:val="1"/>
    <w:link w:val="115"/>
    <w:semiHidden/>
    <w:unhideWhenUsed/>
    <w:uiPriority w:val="99"/>
    <w:pPr>
      <w:spacing w:line="240" w:lineRule="auto"/>
      <w:ind w:firstLine="0"/>
    </w:pPr>
    <w:rPr>
      <w:sz w:val="20"/>
      <w:szCs w:val="20"/>
    </w:rPr>
  </w:style>
  <w:style w:type="paragraph" w:styleId="24">
    <w:name w:val="annotation subject"/>
    <w:basedOn w:val="23"/>
    <w:next w:val="23"/>
    <w:link w:val="116"/>
    <w:semiHidden/>
    <w:unhideWhenUsed/>
    <w:uiPriority w:val="99"/>
    <w:rPr>
      <w:b/>
      <w:bCs/>
    </w:rPr>
  </w:style>
  <w:style w:type="paragraph" w:styleId="25">
    <w:name w:val="Date"/>
    <w:basedOn w:val="1"/>
    <w:next w:val="1"/>
    <w:link w:val="117"/>
    <w:semiHidden/>
    <w:unhideWhenUsed/>
    <w:uiPriority w:val="99"/>
    <w:pPr>
      <w:ind w:firstLine="0"/>
    </w:pPr>
  </w:style>
  <w:style w:type="paragraph" w:styleId="26">
    <w:name w:val="Document Map"/>
    <w:basedOn w:val="1"/>
    <w:link w:val="118"/>
    <w:semiHidden/>
    <w:unhideWhenUsed/>
    <w:uiPriority w:val="99"/>
    <w:pPr>
      <w:spacing w:line="240" w:lineRule="auto"/>
      <w:ind w:firstLine="0"/>
    </w:pPr>
    <w:rPr>
      <w:rFonts w:ascii="Segoe UI" w:hAnsi="Segoe UI" w:cs="Segoe UI"/>
      <w:sz w:val="16"/>
      <w:szCs w:val="16"/>
    </w:rPr>
  </w:style>
  <w:style w:type="paragraph" w:styleId="27">
    <w:name w:val="E-mail Signature"/>
    <w:basedOn w:val="1"/>
    <w:link w:val="119"/>
    <w:semiHidden/>
    <w:unhideWhenUsed/>
    <w:uiPriority w:val="99"/>
    <w:pPr>
      <w:spacing w:line="240" w:lineRule="auto"/>
      <w:ind w:firstLine="0"/>
    </w:pPr>
  </w:style>
  <w:style w:type="paragraph" w:styleId="28">
    <w:name w:val="envelope address"/>
    <w:basedOn w:val="1"/>
    <w:semiHidden/>
    <w:unhideWhenUsed/>
    <w:uiPriority w:val="99"/>
    <w:pPr>
      <w:framePr w:w="7920" w:h="1980" w:hRule="exact" w:hSpace="180" w:wrap="around" w:vAnchor="margin" w:hAnchor="page" w:xAlign="center" w:yAlign="bottom"/>
      <w:spacing w:line="240" w:lineRule="auto"/>
      <w:ind w:left="2880" w:firstLine="0"/>
    </w:pPr>
    <w:rPr>
      <w:rFonts w:asciiTheme="majorHAnsi" w:hAnsiTheme="majorHAnsi" w:eastAsiaTheme="majorEastAsia" w:cstheme="majorBidi"/>
    </w:rPr>
  </w:style>
  <w:style w:type="paragraph" w:styleId="29">
    <w:name w:val="envelope return"/>
    <w:basedOn w:val="1"/>
    <w:semiHidden/>
    <w:unhideWhenUsed/>
    <w:uiPriority w:val="99"/>
    <w:pPr>
      <w:spacing w:line="240" w:lineRule="auto"/>
      <w:ind w:firstLine="0"/>
    </w:pPr>
    <w:rPr>
      <w:rFonts w:asciiTheme="majorHAnsi" w:hAnsiTheme="majorHAnsi" w:eastAsiaTheme="majorEastAsia" w:cstheme="majorBidi"/>
      <w:sz w:val="20"/>
      <w:szCs w:val="20"/>
    </w:rPr>
  </w:style>
  <w:style w:type="paragraph" w:styleId="30">
    <w:name w:val="footer"/>
    <w:basedOn w:val="1"/>
    <w:link w:val="121"/>
    <w:unhideWhenUsed/>
    <w:uiPriority w:val="99"/>
    <w:pPr>
      <w:tabs>
        <w:tab w:val="center" w:pos="4680"/>
        <w:tab w:val="right" w:pos="9360"/>
      </w:tabs>
      <w:spacing w:line="240" w:lineRule="auto"/>
      <w:ind w:firstLine="0"/>
    </w:pPr>
  </w:style>
  <w:style w:type="paragraph" w:styleId="31">
    <w:name w:val="footnote text"/>
    <w:basedOn w:val="1"/>
    <w:link w:val="120"/>
    <w:semiHidden/>
    <w:unhideWhenUsed/>
    <w:uiPriority w:val="99"/>
    <w:pPr>
      <w:spacing w:line="240" w:lineRule="auto"/>
    </w:pPr>
    <w:rPr>
      <w:sz w:val="20"/>
      <w:szCs w:val="20"/>
    </w:rPr>
  </w:style>
  <w:style w:type="paragraph" w:styleId="32">
    <w:name w:val="header"/>
    <w:basedOn w:val="1"/>
    <w:link w:val="95"/>
    <w:unhideWhenUsed/>
    <w:qFormat/>
    <w:uiPriority w:val="99"/>
    <w:pPr>
      <w:spacing w:line="240" w:lineRule="auto"/>
      <w:ind w:firstLine="0"/>
    </w:pPr>
  </w:style>
  <w:style w:type="paragraph" w:styleId="33">
    <w:name w:val="HTML Address"/>
    <w:basedOn w:val="1"/>
    <w:link w:val="127"/>
    <w:semiHidden/>
    <w:unhideWhenUsed/>
    <w:uiPriority w:val="99"/>
    <w:pPr>
      <w:spacing w:line="240" w:lineRule="auto"/>
      <w:ind w:firstLine="0"/>
    </w:pPr>
    <w:rPr>
      <w:i/>
      <w:iCs/>
    </w:rPr>
  </w:style>
  <w:style w:type="paragraph" w:styleId="34">
    <w:name w:val="HTML Preformatted"/>
    <w:basedOn w:val="1"/>
    <w:link w:val="128"/>
    <w:semiHidden/>
    <w:unhideWhenUsed/>
    <w:uiPriority w:val="99"/>
    <w:pPr>
      <w:spacing w:line="240" w:lineRule="auto"/>
      <w:ind w:firstLine="0"/>
    </w:pPr>
    <w:rPr>
      <w:rFonts w:ascii="Consolas" w:hAnsi="Consolas" w:cs="Consolas"/>
      <w:sz w:val="20"/>
      <w:szCs w:val="20"/>
    </w:rPr>
  </w:style>
  <w:style w:type="paragraph" w:styleId="35">
    <w:name w:val="index 1"/>
    <w:basedOn w:val="1"/>
    <w:next w:val="1"/>
    <w:semiHidden/>
    <w:unhideWhenUsed/>
    <w:uiPriority w:val="99"/>
    <w:pPr>
      <w:spacing w:line="240" w:lineRule="auto"/>
      <w:ind w:left="240" w:firstLine="0"/>
    </w:pPr>
  </w:style>
  <w:style w:type="paragraph" w:styleId="36">
    <w:name w:val="index 2"/>
    <w:basedOn w:val="1"/>
    <w:next w:val="1"/>
    <w:semiHidden/>
    <w:unhideWhenUsed/>
    <w:uiPriority w:val="99"/>
    <w:pPr>
      <w:spacing w:line="240" w:lineRule="auto"/>
      <w:ind w:left="480" w:firstLine="0"/>
    </w:pPr>
  </w:style>
  <w:style w:type="paragraph" w:styleId="37">
    <w:name w:val="index 3"/>
    <w:basedOn w:val="1"/>
    <w:next w:val="1"/>
    <w:semiHidden/>
    <w:unhideWhenUsed/>
    <w:uiPriority w:val="99"/>
    <w:pPr>
      <w:spacing w:line="240" w:lineRule="auto"/>
      <w:ind w:left="720" w:firstLine="0"/>
    </w:pPr>
  </w:style>
  <w:style w:type="paragraph" w:styleId="38">
    <w:name w:val="index 4"/>
    <w:basedOn w:val="1"/>
    <w:next w:val="1"/>
    <w:semiHidden/>
    <w:unhideWhenUsed/>
    <w:uiPriority w:val="99"/>
    <w:pPr>
      <w:spacing w:line="240" w:lineRule="auto"/>
      <w:ind w:left="960" w:firstLine="0"/>
    </w:pPr>
  </w:style>
  <w:style w:type="paragraph" w:styleId="39">
    <w:name w:val="index 5"/>
    <w:basedOn w:val="1"/>
    <w:next w:val="1"/>
    <w:semiHidden/>
    <w:unhideWhenUsed/>
    <w:uiPriority w:val="99"/>
    <w:pPr>
      <w:spacing w:line="240" w:lineRule="auto"/>
      <w:ind w:left="1200" w:firstLine="0"/>
    </w:pPr>
  </w:style>
  <w:style w:type="paragraph" w:styleId="40">
    <w:name w:val="index 6"/>
    <w:basedOn w:val="1"/>
    <w:next w:val="1"/>
    <w:semiHidden/>
    <w:unhideWhenUsed/>
    <w:uiPriority w:val="99"/>
    <w:pPr>
      <w:spacing w:line="240" w:lineRule="auto"/>
      <w:ind w:left="1440" w:firstLine="0"/>
    </w:pPr>
  </w:style>
  <w:style w:type="paragraph" w:styleId="41">
    <w:name w:val="index 7"/>
    <w:basedOn w:val="1"/>
    <w:next w:val="1"/>
    <w:semiHidden/>
    <w:unhideWhenUsed/>
    <w:uiPriority w:val="99"/>
    <w:pPr>
      <w:spacing w:line="240" w:lineRule="auto"/>
      <w:ind w:left="1680" w:firstLine="0"/>
    </w:pPr>
  </w:style>
  <w:style w:type="paragraph" w:styleId="42">
    <w:name w:val="index 8"/>
    <w:basedOn w:val="1"/>
    <w:next w:val="1"/>
    <w:semiHidden/>
    <w:unhideWhenUsed/>
    <w:uiPriority w:val="99"/>
    <w:pPr>
      <w:spacing w:line="240" w:lineRule="auto"/>
      <w:ind w:left="1920" w:firstLine="0"/>
    </w:pPr>
  </w:style>
  <w:style w:type="paragraph" w:styleId="43">
    <w:name w:val="index 9"/>
    <w:basedOn w:val="1"/>
    <w:next w:val="1"/>
    <w:semiHidden/>
    <w:unhideWhenUsed/>
    <w:uiPriority w:val="99"/>
    <w:pPr>
      <w:spacing w:line="240" w:lineRule="auto"/>
      <w:ind w:left="2160" w:firstLine="0"/>
    </w:pPr>
  </w:style>
  <w:style w:type="paragraph" w:styleId="44">
    <w:name w:val="index heading"/>
    <w:basedOn w:val="1"/>
    <w:next w:val="35"/>
    <w:semiHidden/>
    <w:unhideWhenUsed/>
    <w:uiPriority w:val="99"/>
    <w:pPr>
      <w:ind w:firstLine="0"/>
    </w:pPr>
    <w:rPr>
      <w:rFonts w:asciiTheme="majorHAnsi" w:hAnsiTheme="majorHAnsi" w:eastAsiaTheme="majorEastAsia" w:cstheme="majorBidi"/>
      <w:b/>
      <w:bCs/>
    </w:rPr>
  </w:style>
  <w:style w:type="paragraph" w:styleId="45">
    <w:name w:val="List"/>
    <w:basedOn w:val="1"/>
    <w:semiHidden/>
    <w:unhideWhenUsed/>
    <w:uiPriority w:val="99"/>
    <w:pPr>
      <w:ind w:left="360" w:firstLine="0"/>
      <w:contextualSpacing/>
    </w:pPr>
  </w:style>
  <w:style w:type="paragraph" w:styleId="46">
    <w:name w:val="List 2"/>
    <w:basedOn w:val="1"/>
    <w:semiHidden/>
    <w:unhideWhenUsed/>
    <w:uiPriority w:val="99"/>
    <w:pPr>
      <w:ind w:left="720" w:firstLine="0"/>
      <w:contextualSpacing/>
    </w:pPr>
  </w:style>
  <w:style w:type="paragraph" w:styleId="47">
    <w:name w:val="List 3"/>
    <w:basedOn w:val="1"/>
    <w:semiHidden/>
    <w:unhideWhenUsed/>
    <w:uiPriority w:val="99"/>
    <w:pPr>
      <w:ind w:left="1080" w:firstLine="0"/>
      <w:contextualSpacing/>
    </w:pPr>
  </w:style>
  <w:style w:type="paragraph" w:styleId="48">
    <w:name w:val="List 4"/>
    <w:basedOn w:val="1"/>
    <w:semiHidden/>
    <w:unhideWhenUsed/>
    <w:uiPriority w:val="99"/>
    <w:pPr>
      <w:ind w:left="1440" w:firstLine="0"/>
      <w:contextualSpacing/>
    </w:pPr>
  </w:style>
  <w:style w:type="paragraph" w:styleId="49">
    <w:name w:val="List 5"/>
    <w:basedOn w:val="1"/>
    <w:semiHidden/>
    <w:unhideWhenUsed/>
    <w:uiPriority w:val="99"/>
    <w:pPr>
      <w:ind w:left="1800" w:firstLine="0"/>
      <w:contextualSpacing/>
    </w:pPr>
  </w:style>
  <w:style w:type="paragraph" w:styleId="50">
    <w:name w:val="List Bullet"/>
    <w:basedOn w:val="1"/>
    <w:unhideWhenUsed/>
    <w:qFormat/>
    <w:uiPriority w:val="9"/>
    <w:pPr>
      <w:numPr>
        <w:ilvl w:val="0"/>
        <w:numId w:val="1"/>
      </w:numPr>
      <w:contextualSpacing/>
    </w:pPr>
  </w:style>
  <w:style w:type="paragraph" w:styleId="51">
    <w:name w:val="List Bullet 2"/>
    <w:basedOn w:val="1"/>
    <w:semiHidden/>
    <w:unhideWhenUsed/>
    <w:uiPriority w:val="99"/>
    <w:pPr>
      <w:numPr>
        <w:ilvl w:val="0"/>
        <w:numId w:val="2"/>
      </w:numPr>
      <w:ind w:firstLine="0"/>
      <w:contextualSpacing/>
    </w:pPr>
  </w:style>
  <w:style w:type="paragraph" w:styleId="52">
    <w:name w:val="List Bullet 3"/>
    <w:basedOn w:val="1"/>
    <w:semiHidden/>
    <w:unhideWhenUsed/>
    <w:uiPriority w:val="99"/>
    <w:pPr>
      <w:numPr>
        <w:ilvl w:val="0"/>
        <w:numId w:val="3"/>
      </w:numPr>
      <w:ind w:firstLine="0"/>
      <w:contextualSpacing/>
    </w:pPr>
  </w:style>
  <w:style w:type="paragraph" w:styleId="53">
    <w:name w:val="List Bullet 4"/>
    <w:basedOn w:val="1"/>
    <w:semiHidden/>
    <w:unhideWhenUsed/>
    <w:uiPriority w:val="99"/>
    <w:pPr>
      <w:numPr>
        <w:ilvl w:val="0"/>
        <w:numId w:val="4"/>
      </w:numPr>
      <w:ind w:firstLine="0"/>
      <w:contextualSpacing/>
    </w:pPr>
  </w:style>
  <w:style w:type="paragraph" w:styleId="54">
    <w:name w:val="List Bullet 5"/>
    <w:basedOn w:val="1"/>
    <w:semiHidden/>
    <w:unhideWhenUsed/>
    <w:uiPriority w:val="99"/>
    <w:pPr>
      <w:numPr>
        <w:ilvl w:val="0"/>
        <w:numId w:val="5"/>
      </w:numPr>
      <w:ind w:firstLine="0"/>
      <w:contextualSpacing/>
    </w:pPr>
  </w:style>
  <w:style w:type="paragraph" w:styleId="55">
    <w:name w:val="List Continue"/>
    <w:basedOn w:val="1"/>
    <w:semiHidden/>
    <w:unhideWhenUsed/>
    <w:uiPriority w:val="99"/>
    <w:pPr>
      <w:spacing w:after="120"/>
      <w:ind w:left="360" w:firstLine="0"/>
      <w:contextualSpacing/>
    </w:pPr>
  </w:style>
  <w:style w:type="paragraph" w:styleId="56">
    <w:name w:val="List Continue 2"/>
    <w:basedOn w:val="1"/>
    <w:semiHidden/>
    <w:unhideWhenUsed/>
    <w:uiPriority w:val="99"/>
    <w:pPr>
      <w:spacing w:after="120"/>
      <w:ind w:left="720" w:firstLine="0"/>
      <w:contextualSpacing/>
    </w:pPr>
  </w:style>
  <w:style w:type="paragraph" w:styleId="57">
    <w:name w:val="List Continue 3"/>
    <w:basedOn w:val="1"/>
    <w:semiHidden/>
    <w:unhideWhenUsed/>
    <w:uiPriority w:val="99"/>
    <w:pPr>
      <w:spacing w:after="120"/>
      <w:ind w:left="1080" w:firstLine="0"/>
      <w:contextualSpacing/>
    </w:pPr>
  </w:style>
  <w:style w:type="paragraph" w:styleId="58">
    <w:name w:val="List Continue 4"/>
    <w:basedOn w:val="1"/>
    <w:semiHidden/>
    <w:unhideWhenUsed/>
    <w:uiPriority w:val="99"/>
    <w:pPr>
      <w:spacing w:after="120"/>
      <w:ind w:left="1440" w:firstLine="0"/>
      <w:contextualSpacing/>
    </w:pPr>
  </w:style>
  <w:style w:type="paragraph" w:styleId="59">
    <w:name w:val="List Continue 5"/>
    <w:basedOn w:val="1"/>
    <w:semiHidden/>
    <w:unhideWhenUsed/>
    <w:uiPriority w:val="99"/>
    <w:pPr>
      <w:spacing w:after="120"/>
      <w:ind w:left="1800" w:firstLine="0"/>
      <w:contextualSpacing/>
    </w:pPr>
  </w:style>
  <w:style w:type="paragraph" w:styleId="60">
    <w:name w:val="List Number"/>
    <w:basedOn w:val="1"/>
    <w:unhideWhenUsed/>
    <w:qFormat/>
    <w:uiPriority w:val="9"/>
    <w:pPr>
      <w:numPr>
        <w:ilvl w:val="0"/>
        <w:numId w:val="6"/>
      </w:numPr>
      <w:contextualSpacing/>
    </w:pPr>
  </w:style>
  <w:style w:type="paragraph" w:styleId="61">
    <w:name w:val="List Number 2"/>
    <w:basedOn w:val="1"/>
    <w:semiHidden/>
    <w:unhideWhenUsed/>
    <w:uiPriority w:val="99"/>
    <w:pPr>
      <w:numPr>
        <w:ilvl w:val="0"/>
        <w:numId w:val="7"/>
      </w:numPr>
      <w:ind w:firstLine="0"/>
      <w:contextualSpacing/>
    </w:pPr>
  </w:style>
  <w:style w:type="paragraph" w:styleId="62">
    <w:name w:val="List Number 3"/>
    <w:basedOn w:val="1"/>
    <w:semiHidden/>
    <w:unhideWhenUsed/>
    <w:uiPriority w:val="99"/>
    <w:pPr>
      <w:numPr>
        <w:ilvl w:val="0"/>
        <w:numId w:val="8"/>
      </w:numPr>
      <w:ind w:firstLine="0"/>
      <w:contextualSpacing/>
    </w:pPr>
  </w:style>
  <w:style w:type="paragraph" w:styleId="63">
    <w:name w:val="List Number 4"/>
    <w:basedOn w:val="1"/>
    <w:semiHidden/>
    <w:unhideWhenUsed/>
    <w:uiPriority w:val="99"/>
    <w:pPr>
      <w:numPr>
        <w:ilvl w:val="0"/>
        <w:numId w:val="9"/>
      </w:numPr>
      <w:ind w:firstLine="0"/>
      <w:contextualSpacing/>
    </w:pPr>
  </w:style>
  <w:style w:type="paragraph" w:styleId="64">
    <w:name w:val="List Number 5"/>
    <w:basedOn w:val="1"/>
    <w:semiHidden/>
    <w:unhideWhenUsed/>
    <w:uiPriority w:val="99"/>
    <w:pPr>
      <w:numPr>
        <w:ilvl w:val="0"/>
        <w:numId w:val="10"/>
      </w:numPr>
      <w:ind w:firstLine="0"/>
      <w:contextualSpacing/>
    </w:pPr>
  </w:style>
  <w:style w:type="paragraph" w:styleId="65">
    <w:name w:val="macro"/>
    <w:link w:val="132"/>
    <w:semiHidden/>
    <w:unhideWhenUsed/>
    <w:uiPriority w:val="99"/>
    <w:pPr>
      <w:tabs>
        <w:tab w:val="left" w:pos="480"/>
        <w:tab w:val="left" w:pos="960"/>
        <w:tab w:val="left" w:pos="1440"/>
        <w:tab w:val="left" w:pos="1920"/>
        <w:tab w:val="left" w:pos="2400"/>
        <w:tab w:val="left" w:pos="2880"/>
        <w:tab w:val="left" w:pos="3360"/>
        <w:tab w:val="left" w:pos="3840"/>
        <w:tab w:val="left" w:pos="4320"/>
      </w:tabs>
      <w:spacing w:line="480" w:lineRule="auto"/>
      <w:ind w:firstLine="0"/>
    </w:pPr>
    <w:rPr>
      <w:rFonts w:ascii="Consolas" w:hAnsi="Consolas" w:cs="Consolas" w:eastAsiaTheme="minorEastAsia"/>
      <w:kern w:val="24"/>
      <w:sz w:val="20"/>
      <w:szCs w:val="20"/>
      <w:lang w:val="en-US" w:eastAsia="ja-JP" w:bidi="ar-SA"/>
    </w:rPr>
  </w:style>
  <w:style w:type="paragraph" w:styleId="66">
    <w:name w:val="Message Header"/>
    <w:basedOn w:val="1"/>
    <w:link w:val="133"/>
    <w:semiHidden/>
    <w:unhideWhenUsed/>
    <w:uiPriority w:val="99"/>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paragraph" w:styleId="67">
    <w:name w:val="Normal (Web)"/>
    <w:basedOn w:val="1"/>
    <w:semiHidden/>
    <w:unhideWhenUsed/>
    <w:uiPriority w:val="99"/>
    <w:pPr>
      <w:ind w:firstLine="0"/>
    </w:pPr>
    <w:rPr>
      <w:rFonts w:ascii="Times New Roman" w:hAnsi="Times New Roman" w:cs="Times New Roman"/>
    </w:rPr>
  </w:style>
  <w:style w:type="paragraph" w:styleId="68">
    <w:name w:val="Normal Indent"/>
    <w:basedOn w:val="1"/>
    <w:semiHidden/>
    <w:unhideWhenUsed/>
    <w:uiPriority w:val="99"/>
    <w:pPr>
      <w:ind w:left="720" w:firstLine="0"/>
    </w:pPr>
  </w:style>
  <w:style w:type="paragraph" w:styleId="69">
    <w:name w:val="Note Heading"/>
    <w:basedOn w:val="1"/>
    <w:next w:val="1"/>
    <w:link w:val="134"/>
    <w:semiHidden/>
    <w:unhideWhenUsed/>
    <w:qFormat/>
    <w:uiPriority w:val="99"/>
    <w:pPr>
      <w:spacing w:line="240" w:lineRule="auto"/>
      <w:ind w:firstLine="0"/>
    </w:pPr>
  </w:style>
  <w:style w:type="paragraph" w:styleId="70">
    <w:name w:val="Plain Text"/>
    <w:basedOn w:val="1"/>
    <w:link w:val="135"/>
    <w:semiHidden/>
    <w:unhideWhenUsed/>
    <w:uiPriority w:val="99"/>
    <w:pPr>
      <w:spacing w:line="240" w:lineRule="auto"/>
      <w:ind w:firstLine="0"/>
    </w:pPr>
    <w:rPr>
      <w:rFonts w:ascii="Consolas" w:hAnsi="Consolas" w:cs="Consolas"/>
      <w:sz w:val="21"/>
      <w:szCs w:val="21"/>
    </w:rPr>
  </w:style>
  <w:style w:type="paragraph" w:styleId="71">
    <w:name w:val="Salutation"/>
    <w:basedOn w:val="1"/>
    <w:next w:val="1"/>
    <w:link w:val="138"/>
    <w:semiHidden/>
    <w:unhideWhenUsed/>
    <w:uiPriority w:val="99"/>
    <w:pPr>
      <w:ind w:firstLine="0"/>
    </w:pPr>
  </w:style>
  <w:style w:type="paragraph" w:styleId="72">
    <w:name w:val="Signature"/>
    <w:basedOn w:val="1"/>
    <w:link w:val="139"/>
    <w:semiHidden/>
    <w:unhideWhenUsed/>
    <w:uiPriority w:val="99"/>
    <w:pPr>
      <w:spacing w:line="240" w:lineRule="auto"/>
      <w:ind w:left="4320" w:firstLine="0"/>
    </w:pPr>
  </w:style>
  <w:style w:type="paragraph" w:styleId="73">
    <w:name w:val="table of authorities"/>
    <w:basedOn w:val="1"/>
    <w:next w:val="1"/>
    <w:semiHidden/>
    <w:unhideWhenUsed/>
    <w:uiPriority w:val="99"/>
    <w:pPr>
      <w:ind w:left="240" w:firstLine="0"/>
    </w:pPr>
  </w:style>
  <w:style w:type="paragraph" w:styleId="74">
    <w:name w:val="table of figures"/>
    <w:basedOn w:val="1"/>
    <w:next w:val="1"/>
    <w:unhideWhenUsed/>
    <w:uiPriority w:val="99"/>
    <w:pPr>
      <w:ind w:firstLine="0"/>
    </w:pPr>
  </w:style>
  <w:style w:type="paragraph" w:styleId="75">
    <w:name w:val="Title"/>
    <w:basedOn w:val="1"/>
    <w:next w:val="1"/>
    <w:link w:val="100"/>
    <w:qFormat/>
    <w:uiPriority w:val="1"/>
    <w:pPr>
      <w:spacing w:before="2400"/>
      <w:ind w:firstLine="0"/>
      <w:contextualSpacing/>
      <w:jc w:val="center"/>
    </w:pPr>
    <w:rPr>
      <w:rFonts w:asciiTheme="majorHAnsi" w:hAnsiTheme="majorHAnsi" w:eastAsiaTheme="majorEastAsia" w:cstheme="majorBidi"/>
    </w:rPr>
  </w:style>
  <w:style w:type="paragraph" w:styleId="76">
    <w:name w:val="toa heading"/>
    <w:basedOn w:val="1"/>
    <w:next w:val="1"/>
    <w:semiHidden/>
    <w:unhideWhenUsed/>
    <w:uiPriority w:val="99"/>
    <w:pPr>
      <w:spacing w:before="120"/>
      <w:ind w:firstLine="0"/>
    </w:pPr>
    <w:rPr>
      <w:rFonts w:asciiTheme="majorHAnsi" w:hAnsiTheme="majorHAnsi" w:eastAsiaTheme="majorEastAsia" w:cstheme="majorBidi"/>
      <w:b/>
      <w:bCs/>
    </w:rPr>
  </w:style>
  <w:style w:type="paragraph" w:styleId="77">
    <w:name w:val="toc 1"/>
    <w:basedOn w:val="1"/>
    <w:next w:val="1"/>
    <w:unhideWhenUsed/>
    <w:uiPriority w:val="39"/>
    <w:pPr>
      <w:spacing w:after="100"/>
    </w:pPr>
  </w:style>
  <w:style w:type="paragraph" w:styleId="78">
    <w:name w:val="toc 2"/>
    <w:basedOn w:val="1"/>
    <w:next w:val="1"/>
    <w:unhideWhenUsed/>
    <w:uiPriority w:val="39"/>
    <w:pPr>
      <w:spacing w:after="100"/>
      <w:ind w:left="240"/>
    </w:pPr>
  </w:style>
  <w:style w:type="paragraph" w:styleId="79">
    <w:name w:val="toc 3"/>
    <w:basedOn w:val="1"/>
    <w:next w:val="1"/>
    <w:unhideWhenUsed/>
    <w:uiPriority w:val="39"/>
    <w:pPr>
      <w:spacing w:after="100"/>
      <w:ind w:left="480"/>
    </w:pPr>
  </w:style>
  <w:style w:type="paragraph" w:styleId="80">
    <w:name w:val="toc 4"/>
    <w:basedOn w:val="1"/>
    <w:next w:val="1"/>
    <w:semiHidden/>
    <w:unhideWhenUsed/>
    <w:uiPriority w:val="39"/>
    <w:pPr>
      <w:spacing w:after="100"/>
      <w:ind w:left="720" w:firstLine="0"/>
    </w:pPr>
  </w:style>
  <w:style w:type="paragraph" w:styleId="81">
    <w:name w:val="toc 5"/>
    <w:basedOn w:val="1"/>
    <w:next w:val="1"/>
    <w:semiHidden/>
    <w:unhideWhenUsed/>
    <w:uiPriority w:val="39"/>
    <w:pPr>
      <w:spacing w:after="100"/>
      <w:ind w:left="960" w:firstLine="0"/>
    </w:pPr>
  </w:style>
  <w:style w:type="paragraph" w:styleId="82">
    <w:name w:val="toc 6"/>
    <w:basedOn w:val="1"/>
    <w:next w:val="1"/>
    <w:semiHidden/>
    <w:unhideWhenUsed/>
    <w:uiPriority w:val="39"/>
    <w:pPr>
      <w:spacing w:after="100"/>
      <w:ind w:left="1200" w:firstLine="0"/>
    </w:pPr>
  </w:style>
  <w:style w:type="paragraph" w:styleId="83">
    <w:name w:val="toc 7"/>
    <w:basedOn w:val="1"/>
    <w:next w:val="1"/>
    <w:semiHidden/>
    <w:unhideWhenUsed/>
    <w:uiPriority w:val="39"/>
    <w:pPr>
      <w:spacing w:after="100"/>
      <w:ind w:left="1440" w:firstLine="0"/>
    </w:pPr>
  </w:style>
  <w:style w:type="paragraph" w:styleId="84">
    <w:name w:val="toc 8"/>
    <w:basedOn w:val="1"/>
    <w:next w:val="1"/>
    <w:semiHidden/>
    <w:unhideWhenUsed/>
    <w:uiPriority w:val="39"/>
    <w:pPr>
      <w:spacing w:after="100"/>
      <w:ind w:left="1680" w:firstLine="0"/>
    </w:pPr>
  </w:style>
  <w:style w:type="paragraph" w:styleId="85">
    <w:name w:val="toc 9"/>
    <w:basedOn w:val="1"/>
    <w:next w:val="1"/>
    <w:semiHidden/>
    <w:unhideWhenUsed/>
    <w:uiPriority w:val="39"/>
    <w:pPr>
      <w:spacing w:after="100"/>
      <w:ind w:left="1920" w:firstLine="0"/>
    </w:pPr>
  </w:style>
  <w:style w:type="character" w:styleId="87">
    <w:name w:val="Emphasis"/>
    <w:basedOn w:val="86"/>
    <w:unhideWhenUsed/>
    <w:qFormat/>
    <w:uiPriority w:val="20"/>
    <w:rPr>
      <w:i/>
      <w:iCs/>
    </w:rPr>
  </w:style>
  <w:style w:type="character" w:styleId="88">
    <w:name w:val="endnote reference"/>
    <w:basedOn w:val="86"/>
    <w:semiHidden/>
    <w:unhideWhenUsed/>
    <w:uiPriority w:val="99"/>
    <w:rPr>
      <w:vertAlign w:val="superscript"/>
    </w:rPr>
  </w:style>
  <w:style w:type="character" w:styleId="89">
    <w:name w:val="footnote reference"/>
    <w:basedOn w:val="86"/>
    <w:unhideWhenUsed/>
    <w:qFormat/>
    <w:uiPriority w:val="99"/>
    <w:rPr>
      <w:vertAlign w:val="superscript"/>
    </w:rPr>
  </w:style>
  <w:style w:type="character" w:styleId="90">
    <w:name w:val="Hyperlink"/>
    <w:basedOn w:val="86"/>
    <w:unhideWhenUsed/>
    <w:qFormat/>
    <w:uiPriority w:val="99"/>
    <w:rPr>
      <w:color w:val="5F5F5F" w:themeColor="hyperlink"/>
      <w:u w:val="single"/>
      <w14:textFill>
        <w14:solidFill>
          <w14:schemeClr w14:val="hlink"/>
        </w14:solidFill>
      </w14:textFill>
    </w:rPr>
  </w:style>
  <w:style w:type="character" w:styleId="91">
    <w:name w:val="Strong"/>
    <w:basedOn w:val="86"/>
    <w:unhideWhenUsed/>
    <w:qFormat/>
    <w:uiPriority w:val="22"/>
    <w:rPr>
      <w:caps/>
    </w:rPr>
  </w:style>
  <w:style w:type="table" w:styleId="93">
    <w:name w:val="Table Grid"/>
    <w:basedOn w:val="92"/>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4">
    <w:name w:val="Section Title"/>
    <w:basedOn w:val="1"/>
    <w:next w:val="1"/>
    <w:qFormat/>
    <w:uiPriority w:val="2"/>
    <w:pPr>
      <w:pageBreakBefore/>
      <w:ind w:firstLine="0"/>
      <w:jc w:val="center"/>
      <w:outlineLvl w:val="0"/>
    </w:pPr>
    <w:rPr>
      <w:rFonts w:asciiTheme="majorHAnsi" w:hAnsiTheme="majorHAnsi" w:eastAsiaTheme="majorEastAsia" w:cstheme="majorBidi"/>
    </w:rPr>
  </w:style>
  <w:style w:type="character" w:customStyle="1" w:styleId="95">
    <w:name w:val="Header Char"/>
    <w:basedOn w:val="86"/>
    <w:link w:val="32"/>
    <w:qFormat/>
    <w:uiPriority w:val="99"/>
    <w:rPr>
      <w:kern w:val="24"/>
    </w:rPr>
  </w:style>
  <w:style w:type="character" w:styleId="96">
    <w:name w:val="Placeholder Text"/>
    <w:basedOn w:val="86"/>
    <w:semiHidden/>
    <w:qFormat/>
    <w:uiPriority w:val="99"/>
    <w:rPr>
      <w:color w:val="808080"/>
    </w:rPr>
  </w:style>
  <w:style w:type="paragraph" w:styleId="97">
    <w:name w:val="No Spacing"/>
    <w:qFormat/>
    <w:uiPriority w:val="3"/>
    <w:pPr>
      <w:spacing w:line="480" w:lineRule="auto"/>
      <w:ind w:firstLine="0"/>
    </w:pPr>
    <w:rPr>
      <w:rFonts w:asciiTheme="minorHAnsi" w:hAnsiTheme="minorHAnsi" w:eastAsiaTheme="minorEastAsia" w:cstheme="minorBidi"/>
      <w:sz w:val="24"/>
      <w:szCs w:val="24"/>
      <w:lang w:val="en-US" w:eastAsia="ja-JP" w:bidi="ar-SA"/>
    </w:rPr>
  </w:style>
  <w:style w:type="character" w:customStyle="1" w:styleId="98">
    <w:name w:val="Heading 1 Char"/>
    <w:basedOn w:val="86"/>
    <w:link w:val="2"/>
    <w:uiPriority w:val="4"/>
    <w:rPr>
      <w:rFonts w:asciiTheme="majorHAnsi" w:hAnsiTheme="majorHAnsi" w:eastAsiaTheme="majorEastAsia" w:cstheme="majorBidi"/>
      <w:b/>
      <w:bCs/>
      <w:kern w:val="24"/>
    </w:rPr>
  </w:style>
  <w:style w:type="character" w:customStyle="1" w:styleId="99">
    <w:name w:val="Heading 2 Char"/>
    <w:basedOn w:val="86"/>
    <w:link w:val="3"/>
    <w:qFormat/>
    <w:uiPriority w:val="4"/>
    <w:rPr>
      <w:rFonts w:asciiTheme="majorHAnsi" w:hAnsiTheme="majorHAnsi" w:eastAsiaTheme="majorEastAsia" w:cstheme="majorBidi"/>
      <w:b/>
      <w:bCs/>
      <w:kern w:val="24"/>
    </w:rPr>
  </w:style>
  <w:style w:type="character" w:customStyle="1" w:styleId="100">
    <w:name w:val="Title Char"/>
    <w:basedOn w:val="86"/>
    <w:link w:val="75"/>
    <w:qFormat/>
    <w:uiPriority w:val="1"/>
    <w:rPr>
      <w:rFonts w:asciiTheme="majorHAnsi" w:hAnsiTheme="majorHAnsi" w:eastAsiaTheme="majorEastAsia" w:cstheme="majorBidi"/>
      <w:kern w:val="24"/>
    </w:rPr>
  </w:style>
  <w:style w:type="character" w:customStyle="1" w:styleId="101">
    <w:name w:val="Heading 3 Char"/>
    <w:basedOn w:val="86"/>
    <w:link w:val="4"/>
    <w:qFormat/>
    <w:uiPriority w:val="4"/>
    <w:rPr>
      <w:rFonts w:asciiTheme="majorHAnsi" w:hAnsiTheme="majorHAnsi" w:eastAsiaTheme="majorEastAsia" w:cstheme="majorBidi"/>
      <w:b/>
      <w:bCs/>
      <w:i/>
      <w:kern w:val="24"/>
    </w:rPr>
  </w:style>
  <w:style w:type="character" w:customStyle="1" w:styleId="102">
    <w:name w:val="Heading 4 Char"/>
    <w:basedOn w:val="86"/>
    <w:link w:val="5"/>
    <w:qFormat/>
    <w:uiPriority w:val="4"/>
    <w:rPr>
      <w:rFonts w:asciiTheme="majorHAnsi" w:hAnsiTheme="majorHAnsi" w:eastAsiaTheme="majorEastAsia" w:cstheme="majorBidi"/>
      <w:b/>
      <w:bCs/>
      <w:iCs/>
      <w:kern w:val="24"/>
    </w:rPr>
  </w:style>
  <w:style w:type="character" w:customStyle="1" w:styleId="103">
    <w:name w:val="Heading 5 Char"/>
    <w:basedOn w:val="86"/>
    <w:link w:val="6"/>
    <w:qFormat/>
    <w:uiPriority w:val="4"/>
    <w:rPr>
      <w:rFonts w:asciiTheme="majorHAnsi" w:hAnsiTheme="majorHAnsi" w:eastAsiaTheme="majorEastAsia" w:cstheme="majorBidi"/>
      <w:b/>
      <w:i/>
      <w:iCs/>
      <w:kern w:val="24"/>
    </w:rPr>
  </w:style>
  <w:style w:type="character" w:customStyle="1" w:styleId="104">
    <w:name w:val="Balloon Text Char"/>
    <w:basedOn w:val="86"/>
    <w:link w:val="11"/>
    <w:semiHidden/>
    <w:qFormat/>
    <w:uiPriority w:val="99"/>
    <w:rPr>
      <w:rFonts w:ascii="Segoe UI" w:hAnsi="Segoe UI" w:cs="Segoe UI"/>
      <w:kern w:val="24"/>
      <w:sz w:val="18"/>
      <w:szCs w:val="18"/>
    </w:rPr>
  </w:style>
  <w:style w:type="paragraph" w:customStyle="1" w:styleId="105">
    <w:name w:val="Bibliography"/>
    <w:basedOn w:val="1"/>
    <w:next w:val="1"/>
    <w:unhideWhenUsed/>
    <w:qFormat/>
    <w:uiPriority w:val="37"/>
    <w:pPr>
      <w:ind w:left="720" w:hanging="720"/>
    </w:pPr>
  </w:style>
  <w:style w:type="character" w:customStyle="1" w:styleId="106">
    <w:name w:val="Body Text Char"/>
    <w:basedOn w:val="86"/>
    <w:link w:val="13"/>
    <w:semiHidden/>
    <w:uiPriority w:val="99"/>
    <w:rPr>
      <w:kern w:val="24"/>
    </w:rPr>
  </w:style>
  <w:style w:type="character" w:customStyle="1" w:styleId="107">
    <w:name w:val="Body Text 2 Char"/>
    <w:basedOn w:val="86"/>
    <w:link w:val="14"/>
    <w:semiHidden/>
    <w:uiPriority w:val="99"/>
    <w:rPr>
      <w:kern w:val="24"/>
    </w:rPr>
  </w:style>
  <w:style w:type="character" w:customStyle="1" w:styleId="108">
    <w:name w:val="Body Text 3 Char"/>
    <w:basedOn w:val="86"/>
    <w:link w:val="15"/>
    <w:semiHidden/>
    <w:uiPriority w:val="99"/>
    <w:rPr>
      <w:kern w:val="24"/>
      <w:sz w:val="16"/>
      <w:szCs w:val="16"/>
    </w:rPr>
  </w:style>
  <w:style w:type="character" w:customStyle="1" w:styleId="109">
    <w:name w:val="Body Text First Indent Char"/>
    <w:basedOn w:val="106"/>
    <w:link w:val="16"/>
    <w:semiHidden/>
    <w:uiPriority w:val="99"/>
    <w:rPr>
      <w:kern w:val="24"/>
    </w:rPr>
  </w:style>
  <w:style w:type="character" w:customStyle="1" w:styleId="110">
    <w:name w:val="Body Text Indent Char"/>
    <w:basedOn w:val="86"/>
    <w:link w:val="17"/>
    <w:semiHidden/>
    <w:uiPriority w:val="99"/>
    <w:rPr>
      <w:kern w:val="24"/>
    </w:rPr>
  </w:style>
  <w:style w:type="character" w:customStyle="1" w:styleId="111">
    <w:name w:val="Body Text First Indent 2 Char"/>
    <w:basedOn w:val="110"/>
    <w:link w:val="18"/>
    <w:semiHidden/>
    <w:uiPriority w:val="99"/>
    <w:rPr>
      <w:kern w:val="24"/>
    </w:rPr>
  </w:style>
  <w:style w:type="character" w:customStyle="1" w:styleId="112">
    <w:name w:val="Body Text Indent 2 Char"/>
    <w:basedOn w:val="86"/>
    <w:link w:val="19"/>
    <w:semiHidden/>
    <w:uiPriority w:val="99"/>
    <w:rPr>
      <w:kern w:val="24"/>
    </w:rPr>
  </w:style>
  <w:style w:type="character" w:customStyle="1" w:styleId="113">
    <w:name w:val="Body Text Indent 3 Char"/>
    <w:basedOn w:val="86"/>
    <w:link w:val="20"/>
    <w:semiHidden/>
    <w:uiPriority w:val="99"/>
    <w:rPr>
      <w:kern w:val="24"/>
      <w:sz w:val="16"/>
      <w:szCs w:val="16"/>
    </w:rPr>
  </w:style>
  <w:style w:type="character" w:customStyle="1" w:styleId="114">
    <w:name w:val="Closing Char"/>
    <w:basedOn w:val="86"/>
    <w:link w:val="22"/>
    <w:semiHidden/>
    <w:uiPriority w:val="99"/>
    <w:rPr>
      <w:kern w:val="24"/>
    </w:rPr>
  </w:style>
  <w:style w:type="character" w:customStyle="1" w:styleId="115">
    <w:name w:val="Comment Text Char"/>
    <w:basedOn w:val="86"/>
    <w:link w:val="23"/>
    <w:semiHidden/>
    <w:uiPriority w:val="99"/>
    <w:rPr>
      <w:kern w:val="24"/>
      <w:sz w:val="20"/>
      <w:szCs w:val="20"/>
    </w:rPr>
  </w:style>
  <w:style w:type="character" w:customStyle="1" w:styleId="116">
    <w:name w:val="Comment Subject Char"/>
    <w:basedOn w:val="115"/>
    <w:link w:val="24"/>
    <w:semiHidden/>
    <w:uiPriority w:val="99"/>
    <w:rPr>
      <w:b/>
      <w:bCs/>
      <w:kern w:val="24"/>
      <w:sz w:val="20"/>
      <w:szCs w:val="20"/>
    </w:rPr>
  </w:style>
  <w:style w:type="character" w:customStyle="1" w:styleId="117">
    <w:name w:val="Date Char"/>
    <w:basedOn w:val="86"/>
    <w:link w:val="25"/>
    <w:semiHidden/>
    <w:uiPriority w:val="99"/>
    <w:rPr>
      <w:kern w:val="24"/>
    </w:rPr>
  </w:style>
  <w:style w:type="character" w:customStyle="1" w:styleId="118">
    <w:name w:val="Document Map Char"/>
    <w:basedOn w:val="86"/>
    <w:link w:val="26"/>
    <w:semiHidden/>
    <w:uiPriority w:val="99"/>
    <w:rPr>
      <w:rFonts w:ascii="Segoe UI" w:hAnsi="Segoe UI" w:cs="Segoe UI"/>
      <w:kern w:val="24"/>
      <w:sz w:val="16"/>
      <w:szCs w:val="16"/>
    </w:rPr>
  </w:style>
  <w:style w:type="character" w:customStyle="1" w:styleId="119">
    <w:name w:val="E-mail Signature Char"/>
    <w:basedOn w:val="86"/>
    <w:link w:val="27"/>
    <w:semiHidden/>
    <w:qFormat/>
    <w:uiPriority w:val="99"/>
    <w:rPr>
      <w:kern w:val="24"/>
    </w:rPr>
  </w:style>
  <w:style w:type="character" w:customStyle="1" w:styleId="120">
    <w:name w:val="Footnote Text Char"/>
    <w:basedOn w:val="86"/>
    <w:link w:val="31"/>
    <w:semiHidden/>
    <w:uiPriority w:val="99"/>
    <w:rPr>
      <w:kern w:val="24"/>
      <w:sz w:val="20"/>
      <w:szCs w:val="20"/>
    </w:rPr>
  </w:style>
  <w:style w:type="character" w:customStyle="1" w:styleId="121">
    <w:name w:val="Footer Char"/>
    <w:basedOn w:val="86"/>
    <w:link w:val="30"/>
    <w:uiPriority w:val="99"/>
    <w:rPr>
      <w:kern w:val="24"/>
    </w:rPr>
  </w:style>
  <w:style w:type="table" w:customStyle="1" w:styleId="122">
    <w:name w:val="Grid Table Light"/>
    <w:basedOn w:val="92"/>
    <w:uiPriority w:val="40"/>
    <w:pPr>
      <w:spacing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character" w:customStyle="1" w:styleId="123">
    <w:name w:val="Heading 6 Char"/>
    <w:basedOn w:val="86"/>
    <w:link w:val="7"/>
    <w:semiHidden/>
    <w:uiPriority w:val="9"/>
    <w:rPr>
      <w:rFonts w:asciiTheme="majorHAnsi" w:hAnsiTheme="majorHAnsi" w:eastAsiaTheme="majorEastAsia" w:cstheme="majorBidi"/>
      <w:color w:val="6F6F6F" w:themeColor="accent1" w:themeShade="80"/>
      <w:kern w:val="24"/>
    </w:rPr>
  </w:style>
  <w:style w:type="character" w:customStyle="1" w:styleId="124">
    <w:name w:val="Heading 7 Char"/>
    <w:basedOn w:val="86"/>
    <w:link w:val="8"/>
    <w:semiHidden/>
    <w:uiPriority w:val="9"/>
    <w:rPr>
      <w:rFonts w:asciiTheme="majorHAnsi" w:hAnsiTheme="majorHAnsi" w:eastAsiaTheme="majorEastAsia" w:cstheme="majorBidi"/>
      <w:i/>
      <w:iCs/>
      <w:color w:val="6F6F6F" w:themeColor="accent1" w:themeShade="80"/>
      <w:kern w:val="24"/>
    </w:rPr>
  </w:style>
  <w:style w:type="character" w:customStyle="1" w:styleId="125">
    <w:name w:val="Heading 8 Char"/>
    <w:basedOn w:val="86"/>
    <w:link w:val="9"/>
    <w:semiHidden/>
    <w:uiPriority w:val="9"/>
    <w:rPr>
      <w:rFonts w:asciiTheme="majorHAnsi" w:hAnsiTheme="majorHAnsi" w:eastAsiaTheme="majorEastAsia" w:cstheme="majorBidi"/>
      <w:color w:val="262626" w:themeColor="text1" w:themeTint="D9"/>
      <w:kern w:val="24"/>
      <w:sz w:val="21"/>
      <w:szCs w:val="21"/>
      <w14:textFill>
        <w14:solidFill>
          <w14:schemeClr w14:val="tx1">
            <w14:lumMod w14:val="85000"/>
            <w14:lumOff w14:val="15000"/>
          </w14:schemeClr>
        </w14:solidFill>
      </w14:textFill>
    </w:rPr>
  </w:style>
  <w:style w:type="character" w:customStyle="1" w:styleId="126">
    <w:name w:val="Heading 9 Char"/>
    <w:basedOn w:val="86"/>
    <w:link w:val="10"/>
    <w:semiHidden/>
    <w:uiPriority w:val="9"/>
    <w:rPr>
      <w:rFonts w:asciiTheme="majorHAnsi" w:hAnsiTheme="majorHAnsi" w:eastAsiaTheme="majorEastAsia" w:cstheme="majorBidi"/>
      <w:i/>
      <w:iCs/>
      <w:color w:val="262626" w:themeColor="text1" w:themeTint="D9"/>
      <w:kern w:val="24"/>
      <w:sz w:val="21"/>
      <w:szCs w:val="21"/>
      <w14:textFill>
        <w14:solidFill>
          <w14:schemeClr w14:val="tx1">
            <w14:lumMod w14:val="85000"/>
            <w14:lumOff w14:val="15000"/>
          </w14:schemeClr>
        </w14:solidFill>
      </w14:textFill>
    </w:rPr>
  </w:style>
  <w:style w:type="character" w:customStyle="1" w:styleId="127">
    <w:name w:val="HTML Address Char"/>
    <w:basedOn w:val="86"/>
    <w:link w:val="33"/>
    <w:semiHidden/>
    <w:uiPriority w:val="99"/>
    <w:rPr>
      <w:i/>
      <w:iCs/>
      <w:kern w:val="24"/>
    </w:rPr>
  </w:style>
  <w:style w:type="character" w:customStyle="1" w:styleId="128">
    <w:name w:val="HTML Preformatted Char"/>
    <w:basedOn w:val="86"/>
    <w:link w:val="34"/>
    <w:semiHidden/>
    <w:uiPriority w:val="99"/>
    <w:rPr>
      <w:rFonts w:ascii="Consolas" w:hAnsi="Consolas" w:cs="Consolas"/>
      <w:kern w:val="24"/>
      <w:sz w:val="20"/>
      <w:szCs w:val="20"/>
    </w:rPr>
  </w:style>
  <w:style w:type="paragraph" w:styleId="129">
    <w:name w:val="Intense Quote"/>
    <w:basedOn w:val="1"/>
    <w:next w:val="1"/>
    <w:link w:val="130"/>
    <w:semiHidden/>
    <w:unhideWhenUsed/>
    <w:qFormat/>
    <w:uiPriority w:val="30"/>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14:textFill>
        <w14:solidFill>
          <w14:schemeClr w14:val="accent1"/>
        </w14:solidFill>
      </w14:textFill>
    </w:rPr>
  </w:style>
  <w:style w:type="character" w:customStyle="1" w:styleId="130">
    <w:name w:val="Intense Quote Char"/>
    <w:basedOn w:val="86"/>
    <w:link w:val="129"/>
    <w:semiHidden/>
    <w:uiPriority w:val="30"/>
    <w:rPr>
      <w:i/>
      <w:iCs/>
      <w:color w:val="DDDDDD" w:themeColor="accent1"/>
      <w:kern w:val="24"/>
      <w14:textFill>
        <w14:solidFill>
          <w14:schemeClr w14:val="accent1"/>
        </w14:solidFill>
      </w14:textFill>
    </w:rPr>
  </w:style>
  <w:style w:type="paragraph" w:styleId="131">
    <w:name w:val="List Paragraph"/>
    <w:basedOn w:val="1"/>
    <w:unhideWhenUsed/>
    <w:qFormat/>
    <w:uiPriority w:val="34"/>
    <w:pPr>
      <w:ind w:left="720" w:firstLine="0"/>
      <w:contextualSpacing/>
    </w:pPr>
  </w:style>
  <w:style w:type="character" w:customStyle="1" w:styleId="132">
    <w:name w:val="Macro Text Char"/>
    <w:basedOn w:val="86"/>
    <w:link w:val="65"/>
    <w:semiHidden/>
    <w:uiPriority w:val="99"/>
    <w:rPr>
      <w:rFonts w:ascii="Consolas" w:hAnsi="Consolas" w:cs="Consolas"/>
      <w:kern w:val="24"/>
      <w:sz w:val="20"/>
      <w:szCs w:val="20"/>
    </w:rPr>
  </w:style>
  <w:style w:type="character" w:customStyle="1" w:styleId="133">
    <w:name w:val="Message Header Char"/>
    <w:basedOn w:val="86"/>
    <w:link w:val="66"/>
    <w:semiHidden/>
    <w:uiPriority w:val="99"/>
    <w:rPr>
      <w:rFonts w:asciiTheme="majorHAnsi" w:hAnsiTheme="majorHAnsi" w:eastAsiaTheme="majorEastAsia" w:cstheme="majorBidi"/>
      <w:kern w:val="24"/>
      <w:shd w:val="pct20" w:color="auto" w:fill="auto"/>
    </w:rPr>
  </w:style>
  <w:style w:type="character" w:customStyle="1" w:styleId="134">
    <w:name w:val="Note Heading Char"/>
    <w:basedOn w:val="86"/>
    <w:link w:val="69"/>
    <w:semiHidden/>
    <w:uiPriority w:val="99"/>
    <w:rPr>
      <w:kern w:val="24"/>
    </w:rPr>
  </w:style>
  <w:style w:type="character" w:customStyle="1" w:styleId="135">
    <w:name w:val="Plain Text Char"/>
    <w:basedOn w:val="86"/>
    <w:link w:val="70"/>
    <w:semiHidden/>
    <w:uiPriority w:val="99"/>
    <w:rPr>
      <w:rFonts w:ascii="Consolas" w:hAnsi="Consolas" w:cs="Consolas"/>
      <w:kern w:val="24"/>
      <w:sz w:val="21"/>
      <w:szCs w:val="21"/>
    </w:rPr>
  </w:style>
  <w:style w:type="paragraph" w:styleId="136">
    <w:name w:val="Quote"/>
    <w:basedOn w:val="1"/>
    <w:next w:val="1"/>
    <w:link w:val="137"/>
    <w:semiHidden/>
    <w:unhideWhenUsed/>
    <w:qFormat/>
    <w:uiPriority w:val="29"/>
    <w:pPr>
      <w:spacing w:before="200" w:after="160"/>
      <w:ind w:left="864" w:right="864" w:firstLine="0"/>
      <w:jc w:val="center"/>
    </w:pPr>
    <w:rPr>
      <w:i/>
      <w:iCs/>
      <w:color w:val="404040" w:themeColor="text1" w:themeTint="BF"/>
      <w14:textFill>
        <w14:solidFill>
          <w14:schemeClr w14:val="tx1">
            <w14:lumMod w14:val="75000"/>
            <w14:lumOff w14:val="25000"/>
          </w14:schemeClr>
        </w14:solidFill>
      </w14:textFill>
    </w:rPr>
  </w:style>
  <w:style w:type="character" w:customStyle="1" w:styleId="137">
    <w:name w:val="Quote Char"/>
    <w:basedOn w:val="86"/>
    <w:link w:val="136"/>
    <w:semiHidden/>
    <w:uiPriority w:val="29"/>
    <w:rPr>
      <w:i/>
      <w:iCs/>
      <w:color w:val="404040" w:themeColor="text1" w:themeTint="BF"/>
      <w:kern w:val="24"/>
      <w14:textFill>
        <w14:solidFill>
          <w14:schemeClr w14:val="tx1">
            <w14:lumMod w14:val="75000"/>
            <w14:lumOff w14:val="25000"/>
          </w14:schemeClr>
        </w14:solidFill>
      </w14:textFill>
    </w:rPr>
  </w:style>
  <w:style w:type="character" w:customStyle="1" w:styleId="138">
    <w:name w:val="Salutation Char"/>
    <w:basedOn w:val="86"/>
    <w:link w:val="71"/>
    <w:semiHidden/>
    <w:uiPriority w:val="99"/>
    <w:rPr>
      <w:kern w:val="24"/>
    </w:rPr>
  </w:style>
  <w:style w:type="character" w:customStyle="1" w:styleId="139">
    <w:name w:val="Signature Char"/>
    <w:basedOn w:val="86"/>
    <w:link w:val="72"/>
    <w:semiHidden/>
    <w:uiPriority w:val="99"/>
    <w:rPr>
      <w:kern w:val="24"/>
    </w:rPr>
  </w:style>
  <w:style w:type="paragraph" w:customStyle="1" w:styleId="140">
    <w:name w:val="Title 2"/>
    <w:basedOn w:val="1"/>
    <w:qFormat/>
    <w:uiPriority w:val="1"/>
    <w:pPr>
      <w:ind w:firstLine="0"/>
      <w:jc w:val="center"/>
    </w:pPr>
  </w:style>
  <w:style w:type="table" w:customStyle="1" w:styleId="141">
    <w:name w:val="APA Report"/>
    <w:basedOn w:val="92"/>
    <w:uiPriority w:val="99"/>
    <w:pPr>
      <w:spacing w:line="240" w:lineRule="auto"/>
      <w:ind w:firstLine="0"/>
    </w:pPr>
    <w:tblPr>
      <w:tblBorders>
        <w:top w:val="single" w:color="auto" w:sz="12" w:space="0"/>
        <w:bottom w:val="single" w:color="auto" w:sz="12" w:space="0"/>
      </w:tblBorders>
      <w:tblCellMar>
        <w:top w:w="0" w:type="dxa"/>
        <w:left w:w="108" w:type="dxa"/>
        <w:bottom w:w="0" w:type="dxa"/>
        <w:right w:w="108" w:type="dxa"/>
      </w:tblCellMar>
    </w:tblPr>
    <w:tblStylePr w:type="firstRow">
      <w:tcPr>
        <w:tcBorders>
          <w:top w:val="single" w:color="auto" w:sz="12" w:space="0"/>
          <w:left w:val="nil"/>
          <w:bottom w:val="single" w:color="auto" w:sz="12" w:space="0"/>
          <w:right w:val="nil"/>
          <w:insideH w:val="nil"/>
          <w:insideV w:val="nil"/>
          <w:tl2br w:val="nil"/>
          <w:tr2bl w:val="nil"/>
        </w:tcBorders>
      </w:tcPr>
    </w:tblStylePr>
  </w:style>
  <w:style w:type="paragraph" w:customStyle="1" w:styleId="142">
    <w:name w:val="Table/Figure"/>
    <w:basedOn w:val="1"/>
    <w:qFormat/>
    <w:uiPriority w:val="4"/>
    <w:pPr>
      <w:spacing w:before="240"/>
      <w:ind w:firstLine="0"/>
      <w:contextualSpacing/>
    </w:pPr>
  </w:style>
  <w:style w:type="paragraph" w:customStyle="1" w:styleId="143">
    <w:name w:val="TOC Heading"/>
    <w:basedOn w:val="2"/>
    <w:next w:val="1"/>
    <w:unhideWhenUsed/>
    <w:qFormat/>
    <w:uiPriority w:val="38"/>
    <w:pPr>
      <w:keepNext w:val="0"/>
      <w:keepLines w:val="0"/>
      <w:pageBreakBefore/>
      <w:outlineLvl w:val="9"/>
    </w:pPr>
    <w:rPr>
      <w:b w:val="0"/>
      <w:bCs w:val="0"/>
      <w:kern w:val="0"/>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8" Type="http://schemas.openxmlformats.org/officeDocument/2006/relationships/diagramLayout" Target="diagrams/layout1.xml"/><Relationship Id="rId7" Type="http://schemas.openxmlformats.org/officeDocument/2006/relationships/diagramData" Target="diagrams/data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diagramColors" Target="diagrams/colors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5C335B12-9578-4224-9051-09F5D18C54BD}" type="doc">
      <dgm:prSet loTypeId="urn:microsoft.com/office/officeart/2005/8/layout/process3" loCatId="process" qsTypeId="urn:microsoft.com/office/officeart/2005/8/quickstyle/simple1" qsCatId="simple" csTypeId="urn:microsoft.com/office/officeart/2005/8/colors/colorful5" csCatId="colorful" phldr="1"/>
      <dgm:spPr/>
    </dgm:pt>
    <dgm:pt modelId="{1AA52EF2-7D92-4502-9A88-A36BC769268E}">
      <dgm:prSet phldrT="[Text]" custT="1"/>
      <dgm:spPr/>
      <dgm:t>
        <a:bodyPr/>
        <a:p>
          <a:pPr algn="ctr"/>
          <a:r>
            <a:rPr lang="en-GB" sz="1400" b="1"/>
            <a:t>Transformational Leadership</a:t>
          </a:r>
        </a:p>
        <a:p>
          <a:pPr algn="ctr"/>
          <a:r>
            <a:rPr lang="en-GB" sz="1100"/>
            <a:t>(Independent Variable)</a:t>
          </a:r>
        </a:p>
      </dgm:t>
    </dgm:pt>
    <dgm:pt modelId="{4A690390-0E7F-4CC2-ACD6-BD8F42D363D5}" cxnId="{2D53F493-DDDB-48AF-92E2-C888030E59F9}" type="parTrans">
      <dgm:prSet/>
      <dgm:spPr/>
      <dgm:t>
        <a:bodyPr/>
        <a:p>
          <a:pPr algn="ctr"/>
          <a:endParaRPr lang="en-GB"/>
        </a:p>
      </dgm:t>
    </dgm:pt>
    <dgm:pt modelId="{1D71C730-E128-45EF-9DB0-A89A6CC8D847}" cxnId="{2D53F493-DDDB-48AF-92E2-C888030E59F9}" type="sibTrans">
      <dgm:prSet/>
      <dgm:spPr/>
      <dgm:t>
        <a:bodyPr/>
        <a:p>
          <a:pPr algn="ctr"/>
          <a:endParaRPr lang="en-GB"/>
        </a:p>
      </dgm:t>
    </dgm:pt>
    <dgm:pt modelId="{3CF4E94C-652F-4B44-96E1-497822FA3359}">
      <dgm:prSet phldrT="[Text]" custT="1"/>
      <dgm:spPr/>
      <dgm:t>
        <a:bodyPr/>
        <a:p>
          <a:pPr algn="ctr"/>
          <a:r>
            <a:rPr lang="en-GB" sz="1400" b="1"/>
            <a:t>Organisational Performance</a:t>
          </a:r>
        </a:p>
        <a:p>
          <a:pPr algn="ctr"/>
          <a:r>
            <a:rPr lang="en-GB" sz="1100"/>
            <a:t>(Dependent Variable)</a:t>
          </a:r>
        </a:p>
      </dgm:t>
    </dgm:pt>
    <dgm:pt modelId="{7D001DF6-4D86-4BD8-B660-55DE0F42BE50}" cxnId="{1BD264B4-FF16-4E42-BE26-F18FEEB77590}" type="parTrans">
      <dgm:prSet/>
      <dgm:spPr/>
      <dgm:t>
        <a:bodyPr/>
        <a:p>
          <a:pPr algn="ctr"/>
          <a:endParaRPr lang="en-GB"/>
        </a:p>
      </dgm:t>
    </dgm:pt>
    <dgm:pt modelId="{27BF68D9-2DDD-4C78-BB8F-AD80B77BD6D5}" cxnId="{1BD264B4-FF16-4E42-BE26-F18FEEB77590}" type="sibTrans">
      <dgm:prSet/>
      <dgm:spPr/>
      <dgm:t>
        <a:bodyPr/>
        <a:p>
          <a:pPr algn="ctr"/>
          <a:endParaRPr lang="en-GB"/>
        </a:p>
      </dgm:t>
    </dgm:pt>
    <dgm:pt modelId="{6097681C-2FD2-4202-89FF-86DDE77254D1}">
      <dgm:prSet custT="1"/>
      <dgm:spPr/>
      <dgm:t>
        <a:bodyPr/>
        <a:p>
          <a:r>
            <a:rPr lang="en-GB" sz="1200"/>
            <a:t>Financial Performance</a:t>
          </a:r>
        </a:p>
      </dgm:t>
    </dgm:pt>
    <dgm:pt modelId="{EEC67854-7957-4435-B8E5-24393198940F}" cxnId="{FEFAFB56-EE89-4BDF-9AC2-9AB679E80AA0}" type="parTrans">
      <dgm:prSet/>
      <dgm:spPr/>
      <dgm:t>
        <a:bodyPr/>
        <a:p>
          <a:endParaRPr lang="en-GB"/>
        </a:p>
      </dgm:t>
    </dgm:pt>
    <dgm:pt modelId="{6B2399AD-E36A-4D98-A188-81852B7CC1EC}" cxnId="{FEFAFB56-EE89-4BDF-9AC2-9AB679E80AA0}" type="sibTrans">
      <dgm:prSet/>
      <dgm:spPr/>
      <dgm:t>
        <a:bodyPr/>
        <a:p>
          <a:endParaRPr lang="en-GB"/>
        </a:p>
      </dgm:t>
    </dgm:pt>
    <dgm:pt modelId="{793D1F8F-D663-4D59-A07A-5B60E7580BBE}">
      <dgm:prSet custT="1"/>
      <dgm:spPr/>
      <dgm:t>
        <a:bodyPr/>
        <a:p>
          <a:r>
            <a:rPr lang="en-GB" sz="1200"/>
            <a:t>Shareholder Return</a:t>
          </a:r>
        </a:p>
      </dgm:t>
    </dgm:pt>
    <dgm:pt modelId="{2BB065CF-FABB-48B9-A951-F5E8E0B1FD30}" cxnId="{02A45A8B-6A10-4F2E-8AE4-4265F1A52A6E}" type="parTrans">
      <dgm:prSet/>
      <dgm:spPr/>
      <dgm:t>
        <a:bodyPr/>
        <a:p>
          <a:endParaRPr lang="en-GB"/>
        </a:p>
      </dgm:t>
    </dgm:pt>
    <dgm:pt modelId="{CA514ABE-9185-4CB0-AA49-68A30975C7BA}" cxnId="{02A45A8B-6A10-4F2E-8AE4-4265F1A52A6E}" type="sibTrans">
      <dgm:prSet/>
      <dgm:spPr/>
      <dgm:t>
        <a:bodyPr/>
        <a:p>
          <a:endParaRPr lang="en-GB"/>
        </a:p>
      </dgm:t>
    </dgm:pt>
    <dgm:pt modelId="{B86497A1-1753-4C72-9937-A4FE27572693}">
      <dgm:prSet custT="1"/>
      <dgm:spPr/>
      <dgm:t>
        <a:bodyPr/>
        <a:p>
          <a:r>
            <a:rPr lang="en-GB" sz="1200"/>
            <a:t>Product or Service Market Performance</a:t>
          </a:r>
        </a:p>
      </dgm:t>
    </dgm:pt>
    <dgm:pt modelId="{EFAE0EFF-63F7-4A28-9DE0-BB07F62F1BCD}" cxnId="{971FF6A8-BA4F-4C78-B9B5-0433174C918B}" type="parTrans">
      <dgm:prSet/>
      <dgm:spPr/>
      <dgm:t>
        <a:bodyPr/>
        <a:p>
          <a:endParaRPr lang="en-GB"/>
        </a:p>
      </dgm:t>
    </dgm:pt>
    <dgm:pt modelId="{AA2CA0DC-C3C3-4F9D-BB8C-24EC28DB03AE}" cxnId="{971FF6A8-BA4F-4C78-B9B5-0433174C918B}" type="sibTrans">
      <dgm:prSet/>
      <dgm:spPr/>
      <dgm:t>
        <a:bodyPr/>
        <a:p>
          <a:endParaRPr lang="en-GB"/>
        </a:p>
      </dgm:t>
    </dgm:pt>
    <dgm:pt modelId="{DBDB7715-1545-48BA-9CBF-E6AF1AB6EC82}">
      <dgm:prSet custT="1"/>
      <dgm:spPr/>
      <dgm:t>
        <a:bodyPr/>
        <a:p>
          <a:r>
            <a:rPr lang="en-GB" sz="1200" b="0" i="0"/>
            <a:t>Idealised Influence</a:t>
          </a:r>
          <a:endParaRPr lang="en-GB" sz="1200" b="0"/>
        </a:p>
      </dgm:t>
    </dgm:pt>
    <dgm:pt modelId="{BF53EC8D-B975-4CE0-B44E-F89DA62722C9}" cxnId="{B1C5C826-C394-4833-A738-918CB7A8FB24}" type="sibTrans">
      <dgm:prSet/>
      <dgm:spPr/>
      <dgm:t>
        <a:bodyPr/>
        <a:p>
          <a:endParaRPr lang="en-GB"/>
        </a:p>
      </dgm:t>
    </dgm:pt>
    <dgm:pt modelId="{91EFCDAA-0E68-46E6-953B-599E58041D06}" cxnId="{B1C5C826-C394-4833-A738-918CB7A8FB24}" type="parTrans">
      <dgm:prSet/>
      <dgm:spPr/>
      <dgm:t>
        <a:bodyPr/>
        <a:p>
          <a:endParaRPr lang="en-GB"/>
        </a:p>
      </dgm:t>
    </dgm:pt>
    <dgm:pt modelId="{8E0329C6-E3EA-4016-8AA2-C7B5ADC7B860}">
      <dgm:prSet custT="1"/>
      <dgm:spPr/>
      <dgm:t>
        <a:bodyPr/>
        <a:p>
          <a:r>
            <a:rPr lang="en-GB" sz="1200" b="0" i="0"/>
            <a:t>Intellectual Stimulation</a:t>
          </a:r>
          <a:endParaRPr lang="en-GB" sz="1200" b="0"/>
        </a:p>
      </dgm:t>
    </dgm:pt>
    <dgm:pt modelId="{60780316-C327-4795-B575-426B42892059}" cxnId="{5730045D-2C33-48E2-9049-527F40F86C56}" type="parTrans">
      <dgm:prSet/>
      <dgm:spPr/>
      <dgm:t>
        <a:bodyPr/>
        <a:p>
          <a:endParaRPr lang="en-GB"/>
        </a:p>
      </dgm:t>
    </dgm:pt>
    <dgm:pt modelId="{56807CE8-48BC-433D-9C49-85E1203BD0FC}" cxnId="{5730045D-2C33-48E2-9049-527F40F86C56}" type="sibTrans">
      <dgm:prSet/>
      <dgm:spPr/>
      <dgm:t>
        <a:bodyPr/>
        <a:p>
          <a:endParaRPr lang="en-GB"/>
        </a:p>
      </dgm:t>
    </dgm:pt>
    <dgm:pt modelId="{1BA39903-4992-425E-A1F8-57D95444B474}">
      <dgm:prSet custT="1"/>
      <dgm:spPr/>
      <dgm:t>
        <a:bodyPr/>
        <a:p>
          <a:r>
            <a:rPr lang="en-GB" sz="1200" b="0" i="0"/>
            <a:t>Individualised Consideration </a:t>
          </a:r>
          <a:endParaRPr lang="en-GB" sz="1200" b="0"/>
        </a:p>
      </dgm:t>
    </dgm:pt>
    <dgm:pt modelId="{B15E3A4C-0580-4B2D-A0F9-14F2D0EC723A}" cxnId="{4F5D19C1-C96A-4800-B805-6D4E6E98CCD7}" type="parTrans">
      <dgm:prSet/>
      <dgm:spPr/>
      <dgm:t>
        <a:bodyPr/>
        <a:p>
          <a:endParaRPr lang="en-GB"/>
        </a:p>
      </dgm:t>
    </dgm:pt>
    <dgm:pt modelId="{E9603003-FB6B-4144-8D6C-D8E853DF92B6}" cxnId="{4F5D19C1-C96A-4800-B805-6D4E6E98CCD7}" type="sibTrans">
      <dgm:prSet/>
      <dgm:spPr/>
      <dgm:t>
        <a:bodyPr/>
        <a:p>
          <a:endParaRPr lang="en-GB"/>
        </a:p>
      </dgm:t>
    </dgm:pt>
    <dgm:pt modelId="{F6ACE7AA-EB01-4A52-8F23-33F707D21774}">
      <dgm:prSet custT="1"/>
      <dgm:spPr/>
      <dgm:t>
        <a:bodyPr/>
        <a:p>
          <a:r>
            <a:rPr lang="en-GB" sz="1200" b="0" i="0"/>
            <a:t>Inspirational Motivation </a:t>
          </a:r>
          <a:endParaRPr lang="en-GB" sz="1200"/>
        </a:p>
      </dgm:t>
    </dgm:pt>
    <dgm:pt modelId="{0608C991-8348-4101-85FB-D053E5F690AF}" cxnId="{382C5C76-ABA3-471E-8BEA-259040253975}" type="parTrans">
      <dgm:prSet/>
      <dgm:spPr/>
      <dgm:t>
        <a:bodyPr/>
        <a:p>
          <a:endParaRPr lang="en-GB"/>
        </a:p>
      </dgm:t>
    </dgm:pt>
    <dgm:pt modelId="{AF815C7B-0CD5-408F-9E99-BFF1E789B113}" cxnId="{382C5C76-ABA3-471E-8BEA-259040253975}" type="sibTrans">
      <dgm:prSet/>
      <dgm:spPr/>
      <dgm:t>
        <a:bodyPr/>
        <a:p>
          <a:endParaRPr lang="en-GB"/>
        </a:p>
      </dgm:t>
    </dgm:pt>
    <dgm:pt modelId="{D69E62C5-8484-417C-90A1-5C433532EE3C}" type="pres">
      <dgm:prSet presAssocID="{5C335B12-9578-4224-9051-09F5D18C54BD}" presName="linearFlow" presStyleCnt="0">
        <dgm:presLayoutVars>
          <dgm:dir/>
          <dgm:animLvl val="lvl"/>
          <dgm:resizeHandles val="exact"/>
        </dgm:presLayoutVars>
      </dgm:prSet>
      <dgm:spPr/>
    </dgm:pt>
    <dgm:pt modelId="{7621B315-D414-4A3D-A7DD-B94CA3B043B0}" type="pres">
      <dgm:prSet presAssocID="{1AA52EF2-7D92-4502-9A88-A36BC769268E}" presName="composite" presStyleCnt="0"/>
      <dgm:spPr/>
    </dgm:pt>
    <dgm:pt modelId="{F0EE6E58-AB72-450C-9C7A-F9DAEDA145B5}" type="pres">
      <dgm:prSet presAssocID="{1AA52EF2-7D92-4502-9A88-A36BC769268E}" presName="parTx" presStyleLbl="node1" presStyleIdx="0" presStyleCnt="2">
        <dgm:presLayoutVars>
          <dgm:chMax val="0"/>
          <dgm:chPref val="0"/>
          <dgm:bulletEnabled val="1"/>
        </dgm:presLayoutVars>
      </dgm:prSet>
      <dgm:spPr/>
      <dgm:t>
        <a:bodyPr/>
        <a:p>
          <a:endParaRPr lang="en-GB"/>
        </a:p>
      </dgm:t>
    </dgm:pt>
    <dgm:pt modelId="{F1906104-B159-4460-8047-E49B6FDB5BF5}" type="pres">
      <dgm:prSet presAssocID="{1AA52EF2-7D92-4502-9A88-A36BC769268E}" presName="parSh" presStyleLbl="node1" presStyleIdx="0" presStyleCnt="2" custScaleY="95659" custLinFactY="-30128" custLinFactNeighborX="3028" custLinFactNeighborY="-100000"/>
      <dgm:spPr/>
      <dgm:t>
        <a:bodyPr/>
        <a:p>
          <a:endParaRPr lang="en-GB"/>
        </a:p>
      </dgm:t>
    </dgm:pt>
    <dgm:pt modelId="{7D8ADBCD-DDA2-4EC5-9925-C98A23F172AC}" type="pres">
      <dgm:prSet presAssocID="{1AA52EF2-7D92-4502-9A88-A36BC769268E}" presName="desTx" presStyleLbl="fgAcc1" presStyleIdx="0" presStyleCnt="2" custAng="10800000" custFlipVert="1" custFlipHor="0" custScaleX="95665" custScaleY="86694" custLinFactNeighborX="3141" custLinFactNeighborY="4413">
        <dgm:presLayoutVars>
          <dgm:bulletEnabled val="1"/>
        </dgm:presLayoutVars>
      </dgm:prSet>
      <dgm:spPr/>
      <dgm:t>
        <a:bodyPr/>
        <a:p>
          <a:endParaRPr lang="en-GB"/>
        </a:p>
      </dgm:t>
    </dgm:pt>
    <dgm:pt modelId="{41B0EC68-B3CC-4566-ADED-490B70B7ED65}" type="pres">
      <dgm:prSet presAssocID="{1D71C730-E128-45EF-9DB0-A89A6CC8D847}" presName="sibTrans" presStyleLbl="sibTrans2D1" presStyleIdx="0" presStyleCnt="1" custAng="21578774" custLinFactNeighborX="2026" custLinFactNeighborY="45172"/>
      <dgm:spPr/>
      <dgm:t>
        <a:bodyPr/>
        <a:p>
          <a:endParaRPr lang="en-GB"/>
        </a:p>
      </dgm:t>
    </dgm:pt>
    <dgm:pt modelId="{2A72D3D5-61C0-4E11-A492-17A8ADC29AF0}" type="pres">
      <dgm:prSet presAssocID="{1D71C730-E128-45EF-9DB0-A89A6CC8D847}" presName="connTx" presStyleLbl="sibTrans2D1" presStyleIdx="0" presStyleCnt="1"/>
      <dgm:spPr/>
      <dgm:t>
        <a:bodyPr/>
        <a:p>
          <a:endParaRPr lang="en-GB"/>
        </a:p>
      </dgm:t>
    </dgm:pt>
    <dgm:pt modelId="{53C27AE9-0C70-4383-A8D1-22650E30EE05}" type="pres">
      <dgm:prSet presAssocID="{3CF4E94C-652F-4B44-96E1-497822FA3359}" presName="composite" presStyleCnt="0"/>
      <dgm:spPr/>
    </dgm:pt>
    <dgm:pt modelId="{E74F234E-B3F1-45DE-BEC4-80AB200F064B}" type="pres">
      <dgm:prSet presAssocID="{3CF4E94C-652F-4B44-96E1-497822FA3359}" presName="parTx" presStyleLbl="node1" presStyleIdx="0" presStyleCnt="2">
        <dgm:presLayoutVars>
          <dgm:chMax val="0"/>
          <dgm:chPref val="0"/>
          <dgm:bulletEnabled val="1"/>
        </dgm:presLayoutVars>
      </dgm:prSet>
      <dgm:spPr/>
      <dgm:t>
        <a:bodyPr/>
        <a:p>
          <a:endParaRPr lang="en-GB"/>
        </a:p>
      </dgm:t>
    </dgm:pt>
    <dgm:pt modelId="{76C1DE74-1DB4-4524-BC48-AA605E1C1115}" type="pres">
      <dgm:prSet presAssocID="{3CF4E94C-652F-4B44-96E1-497822FA3359}" presName="parSh" presStyleLbl="node1" presStyleIdx="1" presStyleCnt="2" custScaleY="100000"/>
      <dgm:spPr/>
      <dgm:t>
        <a:bodyPr/>
        <a:p>
          <a:endParaRPr lang="en-GB"/>
        </a:p>
      </dgm:t>
    </dgm:pt>
    <dgm:pt modelId="{AE0BEAFB-DFA6-44E3-8C8D-6238665A2931}" type="pres">
      <dgm:prSet presAssocID="{3CF4E94C-652F-4B44-96E1-497822FA3359}" presName="desTx" presStyleLbl="fgAcc1" presStyleIdx="1" presStyleCnt="2" custScaleX="99489" custScaleY="92386" custLinFactNeighborX="-433" custLinFactNeighborY="15548">
        <dgm:presLayoutVars>
          <dgm:bulletEnabled val="1"/>
        </dgm:presLayoutVars>
      </dgm:prSet>
      <dgm:spPr/>
      <dgm:t>
        <a:bodyPr/>
        <a:p>
          <a:endParaRPr lang="en-GB"/>
        </a:p>
      </dgm:t>
    </dgm:pt>
  </dgm:ptLst>
  <dgm:cxnLst>
    <dgm:cxn modelId="{1BD264B4-FF16-4E42-BE26-F18FEEB77590}" srcId="{5C335B12-9578-4224-9051-09F5D18C54BD}" destId="{3CF4E94C-652F-4B44-96E1-497822FA3359}" srcOrd="1" destOrd="0" parTransId="{7D001DF6-4D86-4BD8-B660-55DE0F42BE50}" sibTransId="{27BF68D9-2DDD-4C78-BB8F-AD80B77BD6D5}"/>
    <dgm:cxn modelId="{382C5C76-ABA3-471E-8BEA-259040253975}" srcId="{1AA52EF2-7D92-4502-9A88-A36BC769268E}" destId="{F6ACE7AA-EB01-4A52-8F23-33F707D21774}" srcOrd="3" destOrd="0" parTransId="{0608C991-8348-4101-85FB-D053E5F690AF}" sibTransId="{AF815C7B-0CD5-408F-9E99-BFF1E789B113}"/>
    <dgm:cxn modelId="{CE51EF5A-881F-4A12-AAE3-092F30C26643}" type="presOf" srcId="{8E0329C6-E3EA-4016-8AA2-C7B5ADC7B860}" destId="{7D8ADBCD-DDA2-4EC5-9925-C98A23F172AC}" srcOrd="0" destOrd="1" presId="urn:microsoft.com/office/officeart/2005/8/layout/process3"/>
    <dgm:cxn modelId="{839BBBA5-CB19-496B-A1B2-39543F587613}" type="presOf" srcId="{3CF4E94C-652F-4B44-96E1-497822FA3359}" destId="{E74F234E-B3F1-45DE-BEC4-80AB200F064B}" srcOrd="0" destOrd="0" presId="urn:microsoft.com/office/officeart/2005/8/layout/process3"/>
    <dgm:cxn modelId="{5C417448-B3E1-47B6-A7CF-CF432CB0E072}" type="presOf" srcId="{1D71C730-E128-45EF-9DB0-A89A6CC8D847}" destId="{2A72D3D5-61C0-4E11-A492-17A8ADC29AF0}" srcOrd="1" destOrd="0" presId="urn:microsoft.com/office/officeart/2005/8/layout/process3"/>
    <dgm:cxn modelId="{971FF6A8-BA4F-4C78-B9B5-0433174C918B}" srcId="{3CF4E94C-652F-4B44-96E1-497822FA3359}" destId="{B86497A1-1753-4C72-9937-A4FE27572693}" srcOrd="2" destOrd="0" parTransId="{EFAE0EFF-63F7-4A28-9DE0-BB07F62F1BCD}" sibTransId="{AA2CA0DC-C3C3-4F9D-BB8C-24EC28DB03AE}"/>
    <dgm:cxn modelId="{5730045D-2C33-48E2-9049-527F40F86C56}" srcId="{1AA52EF2-7D92-4502-9A88-A36BC769268E}" destId="{8E0329C6-E3EA-4016-8AA2-C7B5ADC7B860}" srcOrd="1" destOrd="0" parTransId="{60780316-C327-4795-B575-426B42892059}" sibTransId="{56807CE8-48BC-433D-9C49-85E1203BD0FC}"/>
    <dgm:cxn modelId="{4F5D19C1-C96A-4800-B805-6D4E6E98CCD7}" srcId="{1AA52EF2-7D92-4502-9A88-A36BC769268E}" destId="{1BA39903-4992-425E-A1F8-57D95444B474}" srcOrd="2" destOrd="0" parTransId="{B15E3A4C-0580-4B2D-A0F9-14F2D0EC723A}" sibTransId="{E9603003-FB6B-4144-8D6C-D8E853DF92B6}"/>
    <dgm:cxn modelId="{4301E60F-2038-43AE-B966-4F99889EDB69}" type="presOf" srcId="{3CF4E94C-652F-4B44-96E1-497822FA3359}" destId="{76C1DE74-1DB4-4524-BC48-AA605E1C1115}" srcOrd="1" destOrd="0" presId="urn:microsoft.com/office/officeart/2005/8/layout/process3"/>
    <dgm:cxn modelId="{FEFAFB56-EE89-4BDF-9AC2-9AB679E80AA0}" srcId="{3CF4E94C-652F-4B44-96E1-497822FA3359}" destId="{6097681C-2FD2-4202-89FF-86DDE77254D1}" srcOrd="0" destOrd="0" parTransId="{EEC67854-7957-4435-B8E5-24393198940F}" sibTransId="{6B2399AD-E36A-4D98-A188-81852B7CC1EC}"/>
    <dgm:cxn modelId="{3D541F65-3480-49F2-AFBB-5054E8D1F0A2}" type="presOf" srcId="{1D71C730-E128-45EF-9DB0-A89A6CC8D847}" destId="{41B0EC68-B3CC-4566-ADED-490B70B7ED65}" srcOrd="0" destOrd="0" presId="urn:microsoft.com/office/officeart/2005/8/layout/process3"/>
    <dgm:cxn modelId="{2D53F493-DDDB-48AF-92E2-C888030E59F9}" srcId="{5C335B12-9578-4224-9051-09F5D18C54BD}" destId="{1AA52EF2-7D92-4502-9A88-A36BC769268E}" srcOrd="0" destOrd="0" parTransId="{4A690390-0E7F-4CC2-ACD6-BD8F42D363D5}" sibTransId="{1D71C730-E128-45EF-9DB0-A89A6CC8D847}"/>
    <dgm:cxn modelId="{215AB46E-BC47-47AD-BDD1-0D096DEF7E6D}" type="presOf" srcId="{F6ACE7AA-EB01-4A52-8F23-33F707D21774}" destId="{7D8ADBCD-DDA2-4EC5-9925-C98A23F172AC}" srcOrd="0" destOrd="3" presId="urn:microsoft.com/office/officeart/2005/8/layout/process3"/>
    <dgm:cxn modelId="{FE7D4C1B-F9E1-4441-9C22-6C75DABD5756}" type="presOf" srcId="{793D1F8F-D663-4D59-A07A-5B60E7580BBE}" destId="{AE0BEAFB-DFA6-44E3-8C8D-6238665A2931}" srcOrd="0" destOrd="1" presId="urn:microsoft.com/office/officeart/2005/8/layout/process3"/>
    <dgm:cxn modelId="{C87C4EFB-BFD5-4BE1-B220-F78F1EBA7525}" type="presOf" srcId="{5C335B12-9578-4224-9051-09F5D18C54BD}" destId="{D69E62C5-8484-417C-90A1-5C433532EE3C}" srcOrd="0" destOrd="0" presId="urn:microsoft.com/office/officeart/2005/8/layout/process3"/>
    <dgm:cxn modelId="{DA4F14A0-CC64-4342-8D9A-90A382D8D1F9}" type="presOf" srcId="{DBDB7715-1545-48BA-9CBF-E6AF1AB6EC82}" destId="{7D8ADBCD-DDA2-4EC5-9925-C98A23F172AC}" srcOrd="0" destOrd="0" presId="urn:microsoft.com/office/officeart/2005/8/layout/process3"/>
    <dgm:cxn modelId="{8A514E44-7162-48DA-BC7C-A156B2A5D9AA}" type="presOf" srcId="{1AA52EF2-7D92-4502-9A88-A36BC769268E}" destId="{F1906104-B159-4460-8047-E49B6FDB5BF5}" srcOrd="1" destOrd="0" presId="urn:microsoft.com/office/officeart/2005/8/layout/process3"/>
    <dgm:cxn modelId="{93EE4E20-A3B1-4756-989B-4C1C38EB11FB}" type="presOf" srcId="{B86497A1-1753-4C72-9937-A4FE27572693}" destId="{AE0BEAFB-DFA6-44E3-8C8D-6238665A2931}" srcOrd="0" destOrd="2" presId="urn:microsoft.com/office/officeart/2005/8/layout/process3"/>
    <dgm:cxn modelId="{02A45A8B-6A10-4F2E-8AE4-4265F1A52A6E}" srcId="{3CF4E94C-652F-4B44-96E1-497822FA3359}" destId="{793D1F8F-D663-4D59-A07A-5B60E7580BBE}" srcOrd="1" destOrd="0" parTransId="{2BB065CF-FABB-48B9-A951-F5E8E0B1FD30}" sibTransId="{CA514ABE-9185-4CB0-AA49-68A30975C7BA}"/>
    <dgm:cxn modelId="{AF305FEA-E94B-4051-81EF-7BE013320D5A}" type="presOf" srcId="{6097681C-2FD2-4202-89FF-86DDE77254D1}" destId="{AE0BEAFB-DFA6-44E3-8C8D-6238665A2931}" srcOrd="0" destOrd="0" presId="urn:microsoft.com/office/officeart/2005/8/layout/process3"/>
    <dgm:cxn modelId="{6818E244-AC0B-47E7-9047-EDB5ADEDBF1F}" type="presOf" srcId="{1BA39903-4992-425E-A1F8-57D95444B474}" destId="{7D8ADBCD-DDA2-4EC5-9925-C98A23F172AC}" srcOrd="0" destOrd="2" presId="urn:microsoft.com/office/officeart/2005/8/layout/process3"/>
    <dgm:cxn modelId="{39B8C26B-9304-4983-BE0F-93DBA92A7BA2}" type="presOf" srcId="{1AA52EF2-7D92-4502-9A88-A36BC769268E}" destId="{F0EE6E58-AB72-450C-9C7A-F9DAEDA145B5}" srcOrd="0" destOrd="0" presId="urn:microsoft.com/office/officeart/2005/8/layout/process3"/>
    <dgm:cxn modelId="{B1C5C826-C394-4833-A738-918CB7A8FB24}" srcId="{1AA52EF2-7D92-4502-9A88-A36BC769268E}" destId="{DBDB7715-1545-48BA-9CBF-E6AF1AB6EC82}" srcOrd="0" destOrd="0" parTransId="{91EFCDAA-0E68-46E6-953B-599E58041D06}" sibTransId="{BF53EC8D-B975-4CE0-B44E-F89DA62722C9}"/>
    <dgm:cxn modelId="{386D43C3-1D12-453C-A259-C76D5CA52FC7}" type="presParOf" srcId="{D69E62C5-8484-417C-90A1-5C433532EE3C}" destId="{7621B315-D414-4A3D-A7DD-B94CA3B043B0}" srcOrd="0" destOrd="0" presId="urn:microsoft.com/office/officeart/2005/8/layout/process3"/>
    <dgm:cxn modelId="{A166095A-5C32-450D-98B4-C3358DB7528F}" type="presParOf" srcId="{7621B315-D414-4A3D-A7DD-B94CA3B043B0}" destId="{F0EE6E58-AB72-450C-9C7A-F9DAEDA145B5}" srcOrd="0" destOrd="0" presId="urn:microsoft.com/office/officeart/2005/8/layout/process3"/>
    <dgm:cxn modelId="{4CA47EF3-8C2D-464E-A494-6F8A42DDEE07}" type="presParOf" srcId="{7621B315-D414-4A3D-A7DD-B94CA3B043B0}" destId="{F1906104-B159-4460-8047-E49B6FDB5BF5}" srcOrd="1" destOrd="0" presId="urn:microsoft.com/office/officeart/2005/8/layout/process3"/>
    <dgm:cxn modelId="{1AA72549-D059-435E-B939-8782018A89E4}" type="presParOf" srcId="{7621B315-D414-4A3D-A7DD-B94CA3B043B0}" destId="{7D8ADBCD-DDA2-4EC5-9925-C98A23F172AC}" srcOrd="2" destOrd="0" presId="urn:microsoft.com/office/officeart/2005/8/layout/process3"/>
    <dgm:cxn modelId="{2F3F4136-FAFD-4868-BC8A-BACDB66C792D}" type="presParOf" srcId="{D69E62C5-8484-417C-90A1-5C433532EE3C}" destId="{41B0EC68-B3CC-4566-ADED-490B70B7ED65}" srcOrd="1" destOrd="0" presId="urn:microsoft.com/office/officeart/2005/8/layout/process3"/>
    <dgm:cxn modelId="{75F0D534-95ED-45E5-BC01-DA6E6B0D3729}" type="presParOf" srcId="{41B0EC68-B3CC-4566-ADED-490B70B7ED65}" destId="{2A72D3D5-61C0-4E11-A492-17A8ADC29AF0}" srcOrd="0" destOrd="0" presId="urn:microsoft.com/office/officeart/2005/8/layout/process3"/>
    <dgm:cxn modelId="{C651B887-CFA2-4BA0-B6C8-3E05891AAD0E}" type="presParOf" srcId="{D69E62C5-8484-417C-90A1-5C433532EE3C}" destId="{53C27AE9-0C70-4383-A8D1-22650E30EE05}" srcOrd="2" destOrd="0" presId="urn:microsoft.com/office/officeart/2005/8/layout/process3"/>
    <dgm:cxn modelId="{D128A4F2-C886-406A-BECC-6C2026FCF8E1}" type="presParOf" srcId="{53C27AE9-0C70-4383-A8D1-22650E30EE05}" destId="{E74F234E-B3F1-45DE-BEC4-80AB200F064B}" srcOrd="0" destOrd="0" presId="urn:microsoft.com/office/officeart/2005/8/layout/process3"/>
    <dgm:cxn modelId="{5AC3DA82-7EC6-4D3B-B71C-1D84F2C2AC4F}" type="presParOf" srcId="{53C27AE9-0C70-4383-A8D1-22650E30EE05}" destId="{76C1DE74-1DB4-4524-BC48-AA605E1C1115}" srcOrd="1" destOrd="0" presId="urn:microsoft.com/office/officeart/2005/8/layout/process3"/>
    <dgm:cxn modelId="{54B6A9B7-3136-4A63-AF94-9714C5289F65}" type="presParOf" srcId="{53C27AE9-0C70-4383-A8D1-22650E30EE05}" destId="{AE0BEAFB-DFA6-44E3-8C8D-6238665A2931}" srcOrd="2" destOrd="0" presId="urn:microsoft.com/office/officeart/2005/8/layout/process3"/>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906104-B159-4460-8047-E49B6FDB5BF5}">
      <dsp:nvSpPr>
        <dsp:cNvPr id="0" name=""/>
        <dsp:cNvSpPr/>
      </dsp:nvSpPr>
      <dsp:spPr>
        <a:xfrm>
          <a:off x="62906" y="0"/>
          <a:ext cx="2039532" cy="106158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en-GB" sz="1400" b="1" kern="1200"/>
            <a:t>Transformational Leadership</a:t>
          </a:r>
        </a:p>
        <a:p>
          <a:pPr lvl="0" algn="ctr" defTabSz="622300">
            <a:lnSpc>
              <a:spcPct val="90000"/>
            </a:lnSpc>
            <a:spcBef>
              <a:spcPct val="0"/>
            </a:spcBef>
            <a:spcAft>
              <a:spcPct val="35000"/>
            </a:spcAft>
          </a:pPr>
          <a:r>
            <a:rPr lang="en-GB" sz="1100" kern="1200"/>
            <a:t>(Independent Variable)</a:t>
          </a:r>
        </a:p>
      </dsp:txBody>
      <dsp:txXfrm>
        <a:off x="62906" y="0"/>
        <a:ext cx="2039532" cy="707720"/>
      </dsp:txXfrm>
    </dsp:sp>
    <dsp:sp modelId="{7D8ADBCD-DDA2-4EC5-9925-C98A23F172AC}">
      <dsp:nvSpPr>
        <dsp:cNvPr id="0" name=""/>
        <dsp:cNvSpPr/>
      </dsp:nvSpPr>
      <dsp:spPr>
        <a:xfrm rot="10800000" flipV="1">
          <a:off x="527153" y="880302"/>
          <a:ext cx="1951119" cy="1148522"/>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b="0" i="0" kern="1200"/>
            <a:t>Idealised Influence</a:t>
          </a:r>
          <a:endParaRPr lang="en-GB" sz="1200" b="0" kern="1200"/>
        </a:p>
        <a:p>
          <a:pPr marL="114300" lvl="1" indent="-114300" algn="l" defTabSz="533400">
            <a:lnSpc>
              <a:spcPct val="90000"/>
            </a:lnSpc>
            <a:spcBef>
              <a:spcPct val="0"/>
            </a:spcBef>
            <a:spcAft>
              <a:spcPct val="15000"/>
            </a:spcAft>
            <a:buChar char="••"/>
          </a:pPr>
          <a:r>
            <a:rPr lang="en-GB" sz="1200" b="0" i="0" kern="1200"/>
            <a:t>Intellectual Stimulation</a:t>
          </a:r>
          <a:endParaRPr lang="en-GB" sz="1200" b="0" kern="1200"/>
        </a:p>
        <a:p>
          <a:pPr marL="114300" lvl="1" indent="-114300" algn="l" defTabSz="533400">
            <a:lnSpc>
              <a:spcPct val="90000"/>
            </a:lnSpc>
            <a:spcBef>
              <a:spcPct val="0"/>
            </a:spcBef>
            <a:spcAft>
              <a:spcPct val="15000"/>
            </a:spcAft>
            <a:buChar char="••"/>
          </a:pPr>
          <a:r>
            <a:rPr lang="en-GB" sz="1200" b="0" i="0" kern="1200"/>
            <a:t>Individualised Consideration </a:t>
          </a:r>
          <a:endParaRPr lang="en-GB" sz="1200" b="0" kern="1200"/>
        </a:p>
        <a:p>
          <a:pPr marL="114300" lvl="1" indent="-114300" algn="l" defTabSz="533400">
            <a:lnSpc>
              <a:spcPct val="90000"/>
            </a:lnSpc>
            <a:spcBef>
              <a:spcPct val="0"/>
            </a:spcBef>
            <a:spcAft>
              <a:spcPct val="15000"/>
            </a:spcAft>
            <a:buChar char="••"/>
          </a:pPr>
          <a:r>
            <a:rPr lang="en-GB" sz="1200" b="0" i="0" kern="1200"/>
            <a:t>Inspirational Motivation </a:t>
          </a:r>
          <a:endParaRPr lang="en-GB" sz="1200" kern="1200"/>
        </a:p>
      </dsp:txBody>
      <dsp:txXfrm rot="-10800000">
        <a:off x="560792" y="913941"/>
        <a:ext cx="1883841" cy="1081244"/>
      </dsp:txXfrm>
    </dsp:sp>
    <dsp:sp modelId="{41B0EC68-B3CC-4566-ADED-490B70B7ED65}">
      <dsp:nvSpPr>
        <dsp:cNvPr id="0" name=""/>
        <dsp:cNvSpPr/>
      </dsp:nvSpPr>
      <dsp:spPr>
        <a:xfrm rot="4115">
          <a:off x="2397268" y="341154"/>
          <a:ext cx="599329" cy="50778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GB" sz="1800" kern="1200"/>
        </a:p>
      </dsp:txBody>
      <dsp:txXfrm>
        <a:off x="2397268" y="442620"/>
        <a:ext cx="446994" cy="304670"/>
      </dsp:txXfrm>
    </dsp:sp>
    <dsp:sp modelId="{76C1DE74-1DB4-4524-BC48-AA605E1C1115}">
      <dsp:nvSpPr>
        <dsp:cNvPr id="0" name=""/>
        <dsp:cNvSpPr/>
      </dsp:nvSpPr>
      <dsp:spPr>
        <a:xfrm>
          <a:off x="3233218" y="7311"/>
          <a:ext cx="2039532" cy="1109755"/>
        </a:xfrm>
        <a:prstGeom prst="roundRect">
          <a:avLst>
            <a:gd name="adj" fmla="val 10000"/>
          </a:avLst>
        </a:prstGeom>
        <a:solidFill>
          <a:schemeClr val="accent5">
            <a:hueOff val="0"/>
            <a:satOff val="0"/>
            <a:lumOff val="-70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lvl="0" algn="ctr" defTabSz="622300">
            <a:lnSpc>
              <a:spcPct val="90000"/>
            </a:lnSpc>
            <a:spcBef>
              <a:spcPct val="0"/>
            </a:spcBef>
            <a:spcAft>
              <a:spcPct val="35000"/>
            </a:spcAft>
          </a:pPr>
          <a:r>
            <a:rPr lang="en-GB" sz="1400" b="1" kern="1200"/>
            <a:t>Organisational Performance</a:t>
          </a:r>
        </a:p>
        <a:p>
          <a:pPr lvl="0" algn="ctr" defTabSz="622300">
            <a:lnSpc>
              <a:spcPct val="90000"/>
            </a:lnSpc>
            <a:spcBef>
              <a:spcPct val="0"/>
            </a:spcBef>
            <a:spcAft>
              <a:spcPct val="35000"/>
            </a:spcAft>
          </a:pPr>
          <a:r>
            <a:rPr lang="en-GB" sz="1100" kern="1200"/>
            <a:t>(Dependent Variable)</a:t>
          </a:r>
        </a:p>
      </dsp:txBody>
      <dsp:txXfrm>
        <a:off x="3233218" y="7311"/>
        <a:ext cx="2039532" cy="739836"/>
      </dsp:txXfrm>
    </dsp:sp>
    <dsp:sp modelId="{AE0BEAFB-DFA6-44E3-8C8D-6238665A2931}">
      <dsp:nvSpPr>
        <dsp:cNvPr id="0" name=""/>
        <dsp:cNvSpPr/>
      </dsp:nvSpPr>
      <dsp:spPr>
        <a:xfrm>
          <a:off x="3647333" y="804895"/>
          <a:ext cx="2029110" cy="1223929"/>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70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t>Financial Performance</a:t>
          </a:r>
        </a:p>
        <a:p>
          <a:pPr marL="114300" lvl="1" indent="-114300" algn="l" defTabSz="533400">
            <a:lnSpc>
              <a:spcPct val="90000"/>
            </a:lnSpc>
            <a:spcBef>
              <a:spcPct val="0"/>
            </a:spcBef>
            <a:spcAft>
              <a:spcPct val="15000"/>
            </a:spcAft>
            <a:buChar char="••"/>
          </a:pPr>
          <a:r>
            <a:rPr lang="en-GB" sz="1200" kern="1200"/>
            <a:t>Shareholder Return</a:t>
          </a:r>
        </a:p>
        <a:p>
          <a:pPr marL="114300" lvl="1" indent="-114300" algn="l" defTabSz="533400">
            <a:lnSpc>
              <a:spcPct val="90000"/>
            </a:lnSpc>
            <a:spcBef>
              <a:spcPct val="0"/>
            </a:spcBef>
            <a:spcAft>
              <a:spcPct val="15000"/>
            </a:spcAft>
            <a:buChar char="••"/>
          </a:pPr>
          <a:r>
            <a:rPr lang="en-GB" sz="1200" kern="1200"/>
            <a:t>Product or Service Market Performance</a:t>
          </a:r>
        </a:p>
      </dsp:txBody>
      <dsp:txXfrm>
        <a:off x="3683181" y="840743"/>
        <a:ext cx="1957414" cy="115223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srcNode" val="parTx"/>
            <dgm:param type="dstNode" val="parTx"/>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05EEF462-E9B1-41A4-9C1F-166F8FBC5225}">
  <ds:schemaRefs/>
</ds:datastoreItem>
</file>

<file path=docProps/app.xml><?xml version="1.0" encoding="utf-8"?>
<Properties xmlns="http://schemas.openxmlformats.org/officeDocument/2006/extended-properties" xmlns:vt="http://schemas.openxmlformats.org/officeDocument/2006/docPropsVTypes">
  <Template>Normal</Template>
  <Pages>64</Pages>
  <Words>16036</Words>
  <Characters>91407</Characters>
  <Lines>761</Lines>
  <Paragraphs>214</Paragraphs>
  <TotalTime>10</TotalTime>
  <ScaleCrop>false</ScaleCrop>
  <LinksUpToDate>false</LinksUpToDate>
  <CharactersWithSpaces>107229</CharactersWithSpaces>
  <Application>WPS Office_11.2.0.9363_F1E327BC-269C-435d-A152-05C5408002CA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2020-05-28T14:24:00Z</dcterms:created>
  <dc:creator>User</dc:creator>
  <cp:lastModifiedBy>google1589194773</cp:lastModifiedBy>
  <dcterms:modified xsi:type="dcterms:W3CDTF">2020-06-03T01:06:40Z</dcterms:modified>
  <dc:title>The Impact of Transformational Leadership on Organisational Performance</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y fmtid="{D5CDD505-2E9C-101B-9397-08002B2CF9AE}" pid="3" name="KSOProductBuildVer">
    <vt:lpwstr>1033-11.2.0.9363</vt:lpwstr>
  </property>
</Properties>
</file>