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AEEF53" w14:textId="7765C1D8" w:rsidR="001B222F" w:rsidRPr="00173E16" w:rsidRDefault="00173E16" w:rsidP="009E046F">
      <w:pPr>
        <w:rPr>
          <w:b/>
          <w:bCs/>
          <w:sz w:val="40"/>
          <w:szCs w:val="40"/>
          <w:u w:val="single"/>
        </w:rPr>
      </w:pPr>
      <w:r w:rsidRPr="00173E16">
        <w:rPr>
          <w:b/>
          <w:bCs/>
          <w:sz w:val="40"/>
          <w:szCs w:val="40"/>
          <w:u w:val="single"/>
        </w:rPr>
        <w:t>Essay</w:t>
      </w:r>
      <w:r>
        <w:rPr>
          <w:b/>
          <w:bCs/>
          <w:sz w:val="40"/>
          <w:szCs w:val="40"/>
          <w:u w:val="single"/>
        </w:rPr>
        <w:t>:</w:t>
      </w:r>
    </w:p>
    <w:p w14:paraId="3A16CF2F" w14:textId="77777777" w:rsidR="00173E16" w:rsidRDefault="00173E16" w:rsidP="009E046F">
      <w:pPr>
        <w:rPr>
          <w:b/>
          <w:bCs/>
          <w:sz w:val="40"/>
          <w:szCs w:val="40"/>
        </w:rPr>
      </w:pPr>
    </w:p>
    <w:p w14:paraId="47BB4C2A" w14:textId="77777777" w:rsidR="00173E16" w:rsidRDefault="00173E16" w:rsidP="009E046F">
      <w:pPr>
        <w:rPr>
          <w:b/>
          <w:bCs/>
          <w:sz w:val="40"/>
          <w:szCs w:val="40"/>
        </w:rPr>
      </w:pPr>
    </w:p>
    <w:p w14:paraId="1C413F33" w14:textId="26062278" w:rsidR="009E046F" w:rsidRPr="00173E16" w:rsidRDefault="009E046F" w:rsidP="009E046F">
      <w:pPr>
        <w:rPr>
          <w:b/>
          <w:bCs/>
          <w:sz w:val="32"/>
          <w:szCs w:val="32"/>
        </w:rPr>
      </w:pPr>
      <w:r w:rsidRPr="00173E16">
        <w:rPr>
          <w:b/>
          <w:bCs/>
          <w:sz w:val="32"/>
          <w:szCs w:val="32"/>
        </w:rPr>
        <w:t>Title: Assessing the Impact of the Well-being of Future Generations Act on Health, Well-being, and Sustainable Development in Wales</w:t>
      </w:r>
    </w:p>
    <w:p w14:paraId="1D9D0473" w14:textId="77777777" w:rsidR="00D273F8" w:rsidRPr="00173E16" w:rsidRDefault="00D273F8">
      <w:pPr>
        <w:rPr>
          <w:sz w:val="32"/>
          <w:szCs w:val="32"/>
        </w:rPr>
      </w:pPr>
    </w:p>
    <w:p w14:paraId="7A0E7DA0" w14:textId="77777777" w:rsidR="009E046F" w:rsidRPr="00173E16" w:rsidRDefault="009E046F">
      <w:pPr>
        <w:rPr>
          <w:sz w:val="32"/>
          <w:szCs w:val="32"/>
        </w:rPr>
      </w:pPr>
    </w:p>
    <w:p w14:paraId="3B8619A5" w14:textId="71D76233" w:rsidR="009E046F" w:rsidRPr="00173E16" w:rsidRDefault="009E046F">
      <w:pPr>
        <w:rPr>
          <w:b/>
          <w:bCs/>
          <w:sz w:val="32"/>
          <w:szCs w:val="32"/>
        </w:rPr>
      </w:pPr>
      <w:r w:rsidRPr="00173E16">
        <w:rPr>
          <w:b/>
          <w:bCs/>
          <w:sz w:val="32"/>
          <w:szCs w:val="32"/>
        </w:rPr>
        <w:t xml:space="preserve">Introduction </w:t>
      </w:r>
    </w:p>
    <w:p w14:paraId="033A5758" w14:textId="77777777" w:rsidR="00C6496C" w:rsidRPr="00173E16" w:rsidRDefault="00C6496C">
      <w:pPr>
        <w:rPr>
          <w:b/>
          <w:bCs/>
          <w:sz w:val="32"/>
          <w:szCs w:val="32"/>
        </w:rPr>
      </w:pPr>
    </w:p>
    <w:p w14:paraId="1E64BAD8" w14:textId="11755A7F" w:rsidR="00E35DA3" w:rsidRDefault="009E046F" w:rsidP="00E35DA3">
      <w:pPr>
        <w:rPr>
          <w:sz w:val="20"/>
          <w:szCs w:val="20"/>
        </w:rPr>
      </w:pPr>
      <w:r w:rsidRPr="009E046F">
        <w:rPr>
          <w:sz w:val="20"/>
          <w:szCs w:val="20"/>
        </w:rPr>
        <w:t xml:space="preserve">Since the adoption of the United Nations Sustainable Development Goals (SDGs), the United Kingdom, including Wales, has committed to promoting health, well-being, and sustainable development to meet the targets set by 2030. Central to this commitment is the Well-being of Future Generations (WFG) Act, enacted in Wales in 2015. </w:t>
      </w:r>
      <w:r w:rsidR="00C838F6">
        <w:rPr>
          <w:sz w:val="20"/>
          <w:szCs w:val="20"/>
        </w:rPr>
        <w:t xml:space="preserve">This essay will critically evaluate the progress of the WFG Act, </w:t>
      </w:r>
      <w:r w:rsidR="00C52DDC">
        <w:rPr>
          <w:sz w:val="20"/>
          <w:szCs w:val="20"/>
        </w:rPr>
        <w:t>enacted</w:t>
      </w:r>
      <w:r w:rsidR="00C838F6">
        <w:rPr>
          <w:sz w:val="20"/>
          <w:szCs w:val="20"/>
        </w:rPr>
        <w:t xml:space="preserve"> in Wales in 2015. </w:t>
      </w:r>
      <w:r w:rsidRPr="009E046F">
        <w:rPr>
          <w:sz w:val="20"/>
          <w:szCs w:val="20"/>
        </w:rPr>
        <w:t>It focuses on A Prosperous Wales" and A Healthier Wales" national indicators to assess the Act's impact on people's health, well-being, and sustainable development within Wales. Additionally, it examines the roles of Public Service Boards (PSBs), local authorities (LAs), and initiatives in supporting the development of health, well-being, and sustainable development.</w:t>
      </w:r>
      <w:r w:rsidR="00E35DA3">
        <w:rPr>
          <w:sz w:val="20"/>
          <w:szCs w:val="20"/>
        </w:rPr>
        <w:t xml:space="preserve"> </w:t>
      </w:r>
      <w:r w:rsidR="00E35DA3" w:rsidRPr="00E35DA3">
        <w:rPr>
          <w:sz w:val="20"/>
          <w:szCs w:val="20"/>
        </w:rPr>
        <w:t>The WFG Act represents a groundbreaking shift in governance, emphasizing the importance of considering the long-term impacts of decisions on the well-being of current and future generations. It sets out seven well-being goals, including A Prosperous Wales" and A Healthier Wales," with corresponding national indicators to measure progress towards these objectives.</w:t>
      </w:r>
      <w:r w:rsidR="00C838F6">
        <w:rPr>
          <w:sz w:val="20"/>
          <w:szCs w:val="20"/>
        </w:rPr>
        <w:t xml:space="preserve"> </w:t>
      </w:r>
      <w:r w:rsidR="00E35DA3" w:rsidRPr="00E35DA3">
        <w:rPr>
          <w:sz w:val="20"/>
          <w:szCs w:val="20"/>
        </w:rPr>
        <w:t>This essay aims to critically assess the implementation of the WFG Act, focusing on its impact on health, well-being, and sustainable development in Wales. It examines the extent to which the Act has succeeded in promoting a prosperous and healthier Wales, as well as the roles played by Public Service Boards (PSBs), local authorities (LAs), and various initiatives in supporting its objectives.</w:t>
      </w:r>
      <w:r w:rsidR="00C838F6">
        <w:rPr>
          <w:sz w:val="20"/>
          <w:szCs w:val="20"/>
        </w:rPr>
        <w:t xml:space="preserve"> </w:t>
      </w:r>
    </w:p>
    <w:p w14:paraId="055425CB" w14:textId="77777777" w:rsidR="00C838F6" w:rsidRPr="00C838F6" w:rsidRDefault="00C838F6" w:rsidP="00C838F6">
      <w:pPr>
        <w:rPr>
          <w:sz w:val="20"/>
          <w:szCs w:val="20"/>
        </w:rPr>
      </w:pPr>
      <w:r w:rsidRPr="00C838F6">
        <w:rPr>
          <w:sz w:val="20"/>
          <w:szCs w:val="20"/>
        </w:rPr>
        <w:t>To evaluate the effectiveness of the WFG Act, this essay will focus on the following key areas:</w:t>
      </w:r>
    </w:p>
    <w:p w14:paraId="36614F06" w14:textId="77777777" w:rsidR="00C838F6" w:rsidRPr="00E35DA3" w:rsidRDefault="00C838F6" w:rsidP="00E35DA3">
      <w:pPr>
        <w:rPr>
          <w:sz w:val="20"/>
          <w:szCs w:val="20"/>
        </w:rPr>
      </w:pPr>
    </w:p>
    <w:p w14:paraId="4EB66EF6" w14:textId="1E91CC43" w:rsidR="009E046F" w:rsidRDefault="009E046F" w:rsidP="009E046F">
      <w:pPr>
        <w:rPr>
          <w:sz w:val="20"/>
          <w:szCs w:val="20"/>
        </w:rPr>
      </w:pPr>
    </w:p>
    <w:p w14:paraId="0956A5E4" w14:textId="77777777" w:rsidR="009E046F" w:rsidRPr="009E046F" w:rsidRDefault="009E046F" w:rsidP="009E046F">
      <w:pPr>
        <w:rPr>
          <w:sz w:val="20"/>
          <w:szCs w:val="20"/>
        </w:rPr>
      </w:pPr>
    </w:p>
    <w:p w14:paraId="220CEB6F" w14:textId="77777777" w:rsidR="009E046F" w:rsidRPr="00173E16" w:rsidRDefault="009E046F" w:rsidP="009E046F">
      <w:pPr>
        <w:rPr>
          <w:b/>
          <w:bCs/>
          <w:sz w:val="32"/>
          <w:szCs w:val="32"/>
        </w:rPr>
      </w:pPr>
      <w:r w:rsidRPr="00173E16">
        <w:rPr>
          <w:b/>
          <w:bCs/>
          <w:sz w:val="32"/>
          <w:szCs w:val="32"/>
        </w:rPr>
        <w:t>The Well-being of Future Generations Act: Overview and Critique</w:t>
      </w:r>
    </w:p>
    <w:p w14:paraId="0F63809E" w14:textId="4C5A3D74" w:rsidR="009E046F" w:rsidRDefault="009E046F" w:rsidP="009E046F">
      <w:pPr>
        <w:rPr>
          <w:sz w:val="20"/>
          <w:szCs w:val="20"/>
        </w:rPr>
      </w:pPr>
      <w:r w:rsidRPr="009E046F">
        <w:rPr>
          <w:sz w:val="20"/>
          <w:szCs w:val="20"/>
        </w:rPr>
        <w:t xml:space="preserve">The Well-being of Future Generations Act in Wales was groundbreaking legislation aimed at ensuring that the government and public sector in Wales consider the long-term impact of their decisions on the well-being of current and future generations. The Act introduced seven well-being goals, including a prosperous Wales and a healthier Wales, along with a set of national indicators to measure progress </w:t>
      </w:r>
      <w:r w:rsidRPr="009E046F">
        <w:rPr>
          <w:sz w:val="20"/>
          <w:szCs w:val="20"/>
        </w:rPr>
        <w:lastRenderedPageBreak/>
        <w:t>towards these goals.</w:t>
      </w:r>
      <w:r>
        <w:rPr>
          <w:sz w:val="20"/>
          <w:szCs w:val="20"/>
        </w:rPr>
        <w:t xml:space="preserve"> </w:t>
      </w:r>
      <w:r w:rsidRPr="009E046F">
        <w:rPr>
          <w:sz w:val="20"/>
          <w:szCs w:val="20"/>
        </w:rPr>
        <w:t>However, despite its ambitious aims, the Act has faced several challenges in implementation. One major critique is the lack of clarity and specificity in defining and measuring well-being, which has made it difficult to assess the Act's impact accurately. Additionally, there have been concerns about the limited enforcement mechanisms and accountability measures within the Act, leading to questions about its effectiveness in driving meaningful change.</w:t>
      </w:r>
    </w:p>
    <w:p w14:paraId="577E79EC" w14:textId="77777777" w:rsidR="009E046F" w:rsidRPr="009E046F" w:rsidRDefault="009E046F" w:rsidP="009E046F">
      <w:pPr>
        <w:rPr>
          <w:sz w:val="20"/>
          <w:szCs w:val="20"/>
        </w:rPr>
      </w:pPr>
    </w:p>
    <w:p w14:paraId="48BBC3B7" w14:textId="77777777" w:rsidR="009E046F" w:rsidRPr="009E046F" w:rsidRDefault="009E046F" w:rsidP="009E046F">
      <w:pPr>
        <w:rPr>
          <w:b/>
          <w:bCs/>
          <w:sz w:val="28"/>
          <w:szCs w:val="28"/>
        </w:rPr>
      </w:pPr>
      <w:r w:rsidRPr="009E046F">
        <w:rPr>
          <w:b/>
          <w:bCs/>
          <w:sz w:val="28"/>
          <w:szCs w:val="28"/>
        </w:rPr>
        <w:t>Overview of the Well-being of Future Generations Act</w:t>
      </w:r>
    </w:p>
    <w:p w14:paraId="2BB08163" w14:textId="77777777" w:rsidR="009E046F" w:rsidRDefault="009E046F" w:rsidP="009E046F">
      <w:pPr>
        <w:rPr>
          <w:sz w:val="20"/>
          <w:szCs w:val="20"/>
        </w:rPr>
      </w:pPr>
      <w:r w:rsidRPr="009E046F">
        <w:rPr>
          <w:sz w:val="20"/>
          <w:szCs w:val="20"/>
        </w:rPr>
        <w:t>The WFG Act was introduced in response to the growing recognition of the need for a more holistic approach to governance that considers not only short-term priorities but also the long-term implications of policy decisions. The Act outlines seven well-being goals, namely prosperity, resilience, health, equality, cohesive communities, vibrant culture, and global responsibility. These goals are interconnected and aim to address the economic, social, environmental, and cultural dimensions of sustainable development.</w:t>
      </w:r>
    </w:p>
    <w:p w14:paraId="3580D429" w14:textId="77777777" w:rsidR="009E046F" w:rsidRDefault="009E046F" w:rsidP="009E046F">
      <w:pPr>
        <w:rPr>
          <w:rFonts w:ascii="Segoe UI" w:eastAsia="Times New Roman" w:hAnsi="Segoe UI" w:cs="Segoe UI"/>
          <w:b/>
          <w:bCs/>
          <w:color w:val="ECECEC"/>
          <w:sz w:val="24"/>
          <w:szCs w:val="24"/>
          <w:bdr w:val="single" w:sz="2" w:space="0" w:color="E3E3E3" w:frame="1"/>
          <w:lang w:eastAsia="en-GB"/>
        </w:rPr>
      </w:pPr>
      <w:r w:rsidRPr="009E046F">
        <w:rPr>
          <w:sz w:val="20"/>
          <w:szCs w:val="20"/>
        </w:rPr>
        <w:t>One of the defining features of the WFG Act is its emphasis on long-term thinking and prevention, requiring public bodies in Wales to consider the impact of their decisions on the well-being of future generations. This involves conducting well-being assessments, setting objectives to maximize well-being, and collaborating with other organizations to achieve common goals.</w:t>
      </w:r>
      <w:r w:rsidRPr="009E046F">
        <w:rPr>
          <w:rFonts w:ascii="Segoe UI" w:eastAsia="Times New Roman" w:hAnsi="Segoe UI" w:cs="Segoe UI"/>
          <w:b/>
          <w:bCs/>
          <w:color w:val="ECECEC"/>
          <w:sz w:val="24"/>
          <w:szCs w:val="24"/>
          <w:bdr w:val="single" w:sz="2" w:space="0" w:color="E3E3E3" w:frame="1"/>
          <w:lang w:eastAsia="en-GB"/>
        </w:rPr>
        <w:t xml:space="preserve"> </w:t>
      </w:r>
    </w:p>
    <w:p w14:paraId="637AAA41" w14:textId="77777777" w:rsidR="0085507B" w:rsidRPr="0085507B" w:rsidRDefault="0085507B" w:rsidP="0085507B">
      <w:pPr>
        <w:spacing w:after="200" w:line="276" w:lineRule="auto"/>
        <w:jc w:val="both"/>
        <w:rPr>
          <w:rFonts w:ascii="Calibri" w:eastAsia="Times New Roman" w:hAnsi="Calibri" w:cs="Times New Roman"/>
          <w:b/>
          <w:bCs/>
          <w:sz w:val="20"/>
          <w:szCs w:val="20"/>
        </w:rPr>
      </w:pPr>
      <w:r w:rsidRPr="0085507B">
        <w:rPr>
          <w:rFonts w:ascii="Calibri" w:eastAsia="Times New Roman" w:hAnsi="Calibri" w:cs="Times New Roman"/>
          <w:b/>
          <w:bCs/>
          <w:sz w:val="20"/>
          <w:szCs w:val="20"/>
        </w:rPr>
        <w:t>Wales shortcomings</w:t>
      </w:r>
    </w:p>
    <w:p w14:paraId="73E270AD" w14:textId="77777777" w:rsidR="0085507B" w:rsidRPr="0085507B" w:rsidRDefault="0085507B" w:rsidP="0085507B">
      <w:pPr>
        <w:spacing w:after="200" w:line="276" w:lineRule="auto"/>
        <w:jc w:val="both"/>
        <w:rPr>
          <w:rFonts w:ascii="Calibri" w:eastAsia="Times New Roman" w:hAnsi="Calibri" w:cs="Times New Roman"/>
          <w:sz w:val="20"/>
          <w:szCs w:val="20"/>
        </w:rPr>
      </w:pPr>
      <w:r w:rsidRPr="0085507B">
        <w:rPr>
          <w:rFonts w:ascii="Calibri" w:eastAsia="Times New Roman" w:hAnsi="Calibri" w:cs="Times New Roman"/>
          <w:sz w:val="20"/>
          <w:szCs w:val="20"/>
        </w:rPr>
        <w:t>Despite economic growth, challenges persist in addressing income inequality comprehensively. Some segments of the population may not be experiencing the benefits of prosperity equally. While progress has been made, further efforts are needed to achieve ambitious environmental sustainability goals. The transition to renewable energy sources requires accelerated action to meet targets. Disparities in health outcomes based on socioeconomic factors persist. Challenges in addressing lifestyle-related health issues and ensuring equitable access to health care remain. Through initiatives pockets of high poverty rates and persistent educational gaps indicate that additional measures are required to achieve a more equal society OBR, 2021</w:t>
      </w:r>
    </w:p>
    <w:p w14:paraId="5C4BFEA0" w14:textId="5109A0B9" w:rsidR="0085507B" w:rsidRDefault="0085507B" w:rsidP="0085507B">
      <w:pPr>
        <w:rPr>
          <w:rFonts w:ascii="Segoe UI" w:eastAsia="Times New Roman" w:hAnsi="Segoe UI" w:cs="Segoe UI"/>
          <w:b/>
          <w:bCs/>
          <w:color w:val="ECECEC"/>
          <w:sz w:val="24"/>
          <w:szCs w:val="24"/>
          <w:bdr w:val="single" w:sz="2" w:space="0" w:color="E3E3E3" w:frame="1"/>
          <w:lang w:eastAsia="en-GB"/>
        </w:rPr>
      </w:pPr>
      <w:r w:rsidRPr="0085507B">
        <w:rPr>
          <w:rFonts w:ascii="Calibri" w:eastAsia="Times New Roman" w:hAnsi="Calibri" w:cs="Times New Roman"/>
          <w:sz w:val="20"/>
          <w:szCs w:val="20"/>
        </w:rPr>
        <w:t>Certain communities may still experience challenges in terms of engagement, and the community cohesion index may not fully capture nuances in societal dynamics. While there have been positive developments, sustaining vibrant and, cultures and languages requires ongoing efforts to address potential declines and changes in societal preferences. Achieving further reductions in the carbon footprint demands more robust</w:t>
      </w:r>
    </w:p>
    <w:p w14:paraId="4FE2283A" w14:textId="77777777" w:rsidR="009E046F" w:rsidRPr="00282B37" w:rsidRDefault="009E046F" w:rsidP="00282B37">
      <w:pPr>
        <w:rPr>
          <w:rFonts w:ascii="Segoe UI" w:eastAsia="Times New Roman" w:hAnsi="Segoe UI" w:cs="Segoe UI"/>
          <w:color w:val="ECECEC"/>
          <w:sz w:val="24"/>
          <w:szCs w:val="24"/>
          <w:lang w:eastAsia="en-GB"/>
        </w:rPr>
      </w:pPr>
      <w:r w:rsidRPr="00282B37">
        <w:rPr>
          <w:b/>
          <w:bCs/>
          <w:sz w:val="20"/>
          <w:szCs w:val="20"/>
        </w:rPr>
        <w:t>Critique of the Well-being of Future Generations Act</w:t>
      </w:r>
      <w:r w:rsidRPr="00282B37">
        <w:rPr>
          <w:rFonts w:ascii="Segoe UI" w:eastAsia="Times New Roman" w:hAnsi="Segoe UI" w:cs="Segoe UI"/>
          <w:color w:val="ECECEC"/>
          <w:sz w:val="24"/>
          <w:szCs w:val="24"/>
          <w:lang w:eastAsia="en-GB"/>
        </w:rPr>
        <w:t xml:space="preserve"> </w:t>
      </w:r>
    </w:p>
    <w:p w14:paraId="4B167127" w14:textId="5066B179" w:rsidR="009E046F" w:rsidRPr="009E046F" w:rsidRDefault="009E046F" w:rsidP="009E046F">
      <w:pPr>
        <w:rPr>
          <w:sz w:val="20"/>
          <w:szCs w:val="20"/>
        </w:rPr>
      </w:pPr>
      <w:r w:rsidRPr="00282B37">
        <w:rPr>
          <w:sz w:val="20"/>
          <w:szCs w:val="20"/>
        </w:rPr>
        <w:t>While the WFG Act represents a significant advancement in governance and sustainable development, it has faced several challenges in implementation, which have hindered its effectiveness in achieving its objectives.</w:t>
      </w:r>
    </w:p>
    <w:p w14:paraId="711FD6D2" w14:textId="211C293C" w:rsidR="00282B37" w:rsidRPr="00282B37" w:rsidRDefault="00282B37" w:rsidP="00282B37">
      <w:pPr>
        <w:rPr>
          <w:b/>
          <w:bCs/>
          <w:sz w:val="20"/>
          <w:szCs w:val="20"/>
        </w:rPr>
      </w:pPr>
      <w:r w:rsidRPr="00282B37">
        <w:rPr>
          <w:b/>
          <w:bCs/>
          <w:sz w:val="20"/>
          <w:szCs w:val="20"/>
        </w:rPr>
        <w:t xml:space="preserve"> Lack of Clarity and Specificity</w:t>
      </w:r>
    </w:p>
    <w:p w14:paraId="1747C1D0" w14:textId="77777777" w:rsidR="00282B37" w:rsidRPr="00282B37" w:rsidRDefault="00282B37" w:rsidP="00282B37">
      <w:pPr>
        <w:rPr>
          <w:sz w:val="20"/>
          <w:szCs w:val="20"/>
        </w:rPr>
      </w:pPr>
      <w:r w:rsidRPr="00282B37">
        <w:rPr>
          <w:sz w:val="20"/>
          <w:szCs w:val="20"/>
        </w:rPr>
        <w:t>One of the primary criticisms of the WFG Act is the lack of clarity and specificity in defining and measuring well-being. The Act provides a broad framework for promoting well-being but does not offer clear guidance on how to operationalize and measure well-being indicators. This ambiguity makes it difficult for public bodies to assess their performance and track progress towards the well-being goals.</w:t>
      </w:r>
    </w:p>
    <w:p w14:paraId="4A8CB885" w14:textId="11DE4140" w:rsidR="00282B37" w:rsidRPr="00282B37" w:rsidRDefault="00282B37" w:rsidP="00282B37">
      <w:pPr>
        <w:rPr>
          <w:b/>
          <w:bCs/>
          <w:sz w:val="20"/>
          <w:szCs w:val="20"/>
        </w:rPr>
      </w:pPr>
      <w:r w:rsidRPr="00282B37">
        <w:rPr>
          <w:b/>
          <w:bCs/>
          <w:sz w:val="20"/>
          <w:szCs w:val="20"/>
        </w:rPr>
        <w:t xml:space="preserve"> Limited Enforcement Mechanisms</w:t>
      </w:r>
    </w:p>
    <w:p w14:paraId="3635B584" w14:textId="77777777" w:rsidR="00282B37" w:rsidRPr="00282B37" w:rsidRDefault="00282B37" w:rsidP="00282B37">
      <w:pPr>
        <w:rPr>
          <w:sz w:val="20"/>
          <w:szCs w:val="20"/>
        </w:rPr>
      </w:pPr>
      <w:r w:rsidRPr="00282B37">
        <w:rPr>
          <w:sz w:val="20"/>
          <w:szCs w:val="20"/>
        </w:rPr>
        <w:t>Another challenge is the limited enforcement mechanisms and accountability measures within the Act. While public bodies are required to report on their well-being objectives and outcomes, there are no penalties for non-compliance or failure to achieve targets. This lack of accountability reduces the incentive for public bodies to prioritize well-being considerations in their decision-making processes.</w:t>
      </w:r>
    </w:p>
    <w:p w14:paraId="77051548" w14:textId="7A9A7097" w:rsidR="00282B37" w:rsidRPr="00282B37" w:rsidRDefault="00282B37" w:rsidP="00282B37">
      <w:pPr>
        <w:rPr>
          <w:b/>
          <w:bCs/>
          <w:sz w:val="20"/>
          <w:szCs w:val="20"/>
        </w:rPr>
      </w:pPr>
      <w:r w:rsidRPr="00282B37">
        <w:rPr>
          <w:b/>
          <w:bCs/>
          <w:sz w:val="20"/>
          <w:szCs w:val="20"/>
        </w:rPr>
        <w:lastRenderedPageBreak/>
        <w:t>Resource Constraints and Competing Priorities</w:t>
      </w:r>
    </w:p>
    <w:p w14:paraId="2166B039" w14:textId="77777777" w:rsidR="00282B37" w:rsidRPr="00282B37" w:rsidRDefault="00282B37" w:rsidP="00282B37">
      <w:r w:rsidRPr="00282B37">
        <w:t>Implementing the WFG Act requires significant resources and commitment from public bodies, which may face competing priorities and resource constraints. Many public bodies in Wales are already stretched thin, and prioritizing well-being initiatives may require reallocating resources from other essential services. This trade-off can create tensions and resistance to change within public organizations.</w:t>
      </w:r>
    </w:p>
    <w:p w14:paraId="14D979B4" w14:textId="77777777" w:rsidR="00282B37" w:rsidRDefault="00282B37" w:rsidP="00282B37">
      <w:pPr>
        <w:rPr>
          <w:b/>
          <w:bCs/>
        </w:rPr>
      </w:pPr>
      <w:r w:rsidRPr="00282B37">
        <w:rPr>
          <w:b/>
          <w:bCs/>
        </w:rPr>
        <w:t xml:space="preserve"> Complex Governance Structures</w:t>
      </w:r>
    </w:p>
    <w:p w14:paraId="458B3D0E" w14:textId="2D54E80A" w:rsidR="00282B37" w:rsidRPr="00282B37" w:rsidRDefault="00282B37" w:rsidP="00282B37">
      <w:r w:rsidRPr="00282B37">
        <w:rPr>
          <w:rFonts w:ascii="Segoe UI" w:eastAsia="Times New Roman" w:hAnsi="Segoe UI" w:cs="Segoe UI"/>
          <w:color w:val="ECECEC"/>
          <w:sz w:val="24"/>
          <w:szCs w:val="24"/>
          <w:lang w:eastAsia="en-GB"/>
        </w:rPr>
        <w:t xml:space="preserve"> </w:t>
      </w:r>
      <w:r w:rsidRPr="00282B37">
        <w:t>The Act's implementation is further complicated by the complex governance structures in Wales, involving multiple tiers of government, public bodies, and stakeholders. Coordination and collaboration among these diverse entities are essential for effectively implementing the Act, but it can be challenging to align interests and priorities across different sectors and levels of government.</w:t>
      </w:r>
    </w:p>
    <w:p w14:paraId="0933F88C" w14:textId="67E1C99A" w:rsidR="00282B37" w:rsidRPr="00282B37" w:rsidRDefault="00282B37" w:rsidP="00282B37">
      <w:pPr>
        <w:rPr>
          <w:b/>
          <w:bCs/>
        </w:rPr>
      </w:pPr>
      <w:r w:rsidRPr="00282B37">
        <w:rPr>
          <w:b/>
          <w:bCs/>
        </w:rPr>
        <w:t xml:space="preserve"> Limited Community Engagement</w:t>
      </w:r>
    </w:p>
    <w:p w14:paraId="6124D441" w14:textId="4C6C9CB4" w:rsidR="00282B37" w:rsidRPr="00282B37" w:rsidRDefault="00282B37" w:rsidP="00282B37">
      <w:pPr>
        <w:rPr>
          <w:sz w:val="20"/>
          <w:szCs w:val="20"/>
        </w:rPr>
      </w:pPr>
      <w:r w:rsidRPr="00282B37">
        <w:rPr>
          <w:sz w:val="20"/>
          <w:szCs w:val="20"/>
        </w:rPr>
        <w:t>Community engagement is a crucial aspect of the WFG Act, as it aims to empower communities to participate in decision-making processes and shape their own futures. However, there have been criticisms that community engagement efforts have been limited and tokenistic, with insufficient opportunities for meaningful participation and input from marginalized groups.</w:t>
      </w:r>
    </w:p>
    <w:p w14:paraId="54E738B2" w14:textId="3C70BF6D" w:rsidR="00282B37" w:rsidRPr="00282B37" w:rsidRDefault="00282B37" w:rsidP="00282B37">
      <w:pPr>
        <w:rPr>
          <w:sz w:val="20"/>
          <w:szCs w:val="20"/>
        </w:rPr>
      </w:pPr>
      <w:r>
        <w:rPr>
          <w:sz w:val="20"/>
          <w:szCs w:val="20"/>
        </w:rPr>
        <w:t>W</w:t>
      </w:r>
      <w:r w:rsidRPr="00282B37">
        <w:rPr>
          <w:sz w:val="20"/>
          <w:szCs w:val="20"/>
        </w:rPr>
        <w:t>hile the Well-being of Future Generations Act represents a significant step towards promoting sustainable development and enhancing the well-being of current and future generations in Wales, it faces several challenges in implementation. These include a lack of clarity and specificity, limited enforcement mechanisms, resource constraints, complex governance structures, and limited community engagement. Addressing these challenges will be crucial for realizing the full potential of the Act and achieving its objectives of creating a prosperous, resilient, and equitable society for all citizens of Wales.</w:t>
      </w:r>
    </w:p>
    <w:p w14:paraId="270B791F" w14:textId="77777777" w:rsidR="00282B37" w:rsidRPr="00282B37" w:rsidRDefault="00282B37" w:rsidP="00282B37">
      <w:pPr>
        <w:rPr>
          <w:b/>
          <w:bCs/>
          <w:sz w:val="28"/>
          <w:szCs w:val="28"/>
        </w:rPr>
      </w:pPr>
      <w:r w:rsidRPr="00282B37">
        <w:rPr>
          <w:b/>
          <w:bCs/>
          <w:sz w:val="28"/>
          <w:szCs w:val="28"/>
        </w:rPr>
        <w:t>A Prosperous Wales: Assessing Economic and Social Development</w:t>
      </w:r>
    </w:p>
    <w:p w14:paraId="746EE1D4" w14:textId="56810FB1" w:rsidR="00282B37" w:rsidRPr="00282B37" w:rsidRDefault="00282B37" w:rsidP="00282B37">
      <w:pPr>
        <w:rPr>
          <w:sz w:val="20"/>
          <w:szCs w:val="20"/>
        </w:rPr>
      </w:pPr>
      <w:r w:rsidRPr="00282B37">
        <w:rPr>
          <w:sz w:val="20"/>
          <w:szCs w:val="20"/>
        </w:rPr>
        <w:t>The pursuit of prosperity is central to the Well-being of Future Generations Act (WFG Act) in Wales, which aims to foster economic and social development that benefits all citizens. This essay critically examines the progress of Wales towards achieving prosperity, focusing on economic and social indicators. It analyses the effectiveness of policies and initiatives in promoting economic growth, reducing inequality, and enhancing the well-being of communities.</w:t>
      </w:r>
    </w:p>
    <w:p w14:paraId="37F8FBDE" w14:textId="033CC606" w:rsidR="00282B37" w:rsidRPr="00282B37" w:rsidRDefault="00282B37" w:rsidP="00282B37">
      <w:pPr>
        <w:rPr>
          <w:b/>
          <w:bCs/>
          <w:sz w:val="20"/>
          <w:szCs w:val="20"/>
        </w:rPr>
      </w:pPr>
      <w:r w:rsidRPr="00282B37">
        <w:rPr>
          <w:b/>
          <w:bCs/>
          <w:sz w:val="20"/>
          <w:szCs w:val="20"/>
        </w:rPr>
        <w:t>Economic Growth and Development:</w:t>
      </w:r>
    </w:p>
    <w:p w14:paraId="73191F5D" w14:textId="1F7A9721" w:rsidR="00B2356F" w:rsidRPr="00B2356F" w:rsidRDefault="00B2356F" w:rsidP="00B2356F">
      <w:pPr>
        <w:rPr>
          <w:sz w:val="20"/>
          <w:szCs w:val="20"/>
        </w:rPr>
      </w:pPr>
      <w:r w:rsidRPr="00B2356F">
        <w:rPr>
          <w:sz w:val="20"/>
          <w:szCs w:val="20"/>
        </w:rPr>
        <w:t>Wales has experienced moderate economic growth in recent years, with gross domestic product (GDP) increasing steadily. However, this growth has been unevenly distributed across regions, with disparities persisting between urban and rural areas. While cities like Cardiff have thrived, rural communities have faced economic challenges, including job losses and limited access to services.</w:t>
      </w:r>
      <w:r w:rsidRPr="00B2356F">
        <w:rPr>
          <w:rFonts w:ascii="Segoe UI" w:eastAsia="Times New Roman" w:hAnsi="Segoe UI" w:cs="Segoe UI"/>
          <w:color w:val="ECECEC"/>
          <w:sz w:val="24"/>
          <w:szCs w:val="24"/>
          <w:lang w:eastAsia="en-GB"/>
        </w:rPr>
        <w:t xml:space="preserve"> </w:t>
      </w:r>
      <w:r w:rsidRPr="00B2356F">
        <w:rPr>
          <w:sz w:val="20"/>
          <w:szCs w:val="20"/>
        </w:rPr>
        <w:t>The Welsh Government has implemented various strategies to stimulate economic growth, including investment in infrastructure, support for small and medium-sized enterprises (SMEs), and initiatives to attract foreign investment. For example, the Development Bank of Wales provides funding and support to businesses, while the Wales Infrastructure Investment Plan aims to improve transportation and connectivity.</w:t>
      </w:r>
    </w:p>
    <w:p w14:paraId="2B6D5290" w14:textId="25D536E3" w:rsidR="00B2356F" w:rsidRDefault="00B2356F" w:rsidP="00B2356F">
      <w:pPr>
        <w:rPr>
          <w:sz w:val="20"/>
          <w:szCs w:val="20"/>
        </w:rPr>
      </w:pPr>
    </w:p>
    <w:p w14:paraId="17C8DD2A" w14:textId="77777777" w:rsidR="00B2356F" w:rsidRPr="00B2356F" w:rsidRDefault="00B2356F" w:rsidP="00B2356F">
      <w:pPr>
        <w:rPr>
          <w:sz w:val="20"/>
          <w:szCs w:val="20"/>
        </w:rPr>
      </w:pPr>
    </w:p>
    <w:p w14:paraId="1698649B" w14:textId="77777777" w:rsidR="00B2356F" w:rsidRPr="00B2356F" w:rsidRDefault="00B2356F" w:rsidP="00B2356F">
      <w:pPr>
        <w:rPr>
          <w:sz w:val="20"/>
          <w:szCs w:val="20"/>
        </w:rPr>
      </w:pPr>
      <w:r w:rsidRPr="00B2356F">
        <w:rPr>
          <w:sz w:val="20"/>
          <w:szCs w:val="20"/>
        </w:rPr>
        <w:t xml:space="preserve">Despite these efforts, Wales continues to grapple with structural issues such as low productivity, skills shortages, and reliance on low-wage sectors. The COVID-19 pandemic has exacerbated these </w:t>
      </w:r>
      <w:r w:rsidRPr="00B2356F">
        <w:rPr>
          <w:sz w:val="20"/>
          <w:szCs w:val="20"/>
        </w:rPr>
        <w:lastRenderedPageBreak/>
        <w:t>challenges, leading to job losses and economic uncertainty. The Welsh Government's response has included financial assistance schemes for businesses and efforts to create new job opportunities in emerging industries such as renewable energy and digital technology.</w:t>
      </w:r>
    </w:p>
    <w:p w14:paraId="5C24C39C" w14:textId="77777777" w:rsidR="00B2356F" w:rsidRPr="00B2356F" w:rsidRDefault="00B2356F" w:rsidP="00B2356F">
      <w:pPr>
        <w:rPr>
          <w:b/>
          <w:bCs/>
          <w:sz w:val="20"/>
          <w:szCs w:val="20"/>
        </w:rPr>
      </w:pPr>
      <w:r w:rsidRPr="00B2356F">
        <w:rPr>
          <w:b/>
          <w:bCs/>
          <w:sz w:val="20"/>
          <w:szCs w:val="20"/>
        </w:rPr>
        <w:t>Income Inequality and Poverty:</w:t>
      </w:r>
    </w:p>
    <w:p w14:paraId="16AAA58F" w14:textId="6A99F4EE" w:rsidR="00B2356F" w:rsidRPr="00B2356F" w:rsidRDefault="00B2356F" w:rsidP="00B2356F">
      <w:pPr>
        <w:rPr>
          <w:sz w:val="20"/>
          <w:szCs w:val="20"/>
        </w:rPr>
      </w:pPr>
      <w:r w:rsidRPr="00B2356F">
        <w:rPr>
          <w:sz w:val="20"/>
          <w:szCs w:val="20"/>
        </w:rPr>
        <w:t>While Wales has made progress in reducing income inequality, it remains one of the poorest regions in the United Kingdom. Income disparities persist between different demographic groups, with certain communities disproportionately affected by poverty and deprivation. Child poverty rates are alarmingly high, with implications for long-term social and economic outcomes.</w:t>
      </w:r>
      <w:r w:rsidRPr="00B2356F">
        <w:rPr>
          <w:rFonts w:ascii="Segoe UI" w:eastAsia="Times New Roman" w:hAnsi="Segoe UI" w:cs="Segoe UI"/>
          <w:color w:val="ECECEC"/>
          <w:sz w:val="24"/>
          <w:szCs w:val="24"/>
          <w:lang w:eastAsia="en-GB"/>
        </w:rPr>
        <w:t xml:space="preserve"> </w:t>
      </w:r>
      <w:r w:rsidRPr="00B2356F">
        <w:rPr>
          <w:sz w:val="20"/>
          <w:szCs w:val="20"/>
        </w:rPr>
        <w:t>The WFG Act recognizes the importance of addressing inequality and promoting inclusive growth. However, critics argue that existing policies have not been effective in tackling the root causes of poverty. Initiatives such as the Fair Work Commission and the Social Partnership Council aim to improve working conditions and promote fair wages, but implementation challenges and resistance from employers have hindered progress.</w:t>
      </w:r>
    </w:p>
    <w:p w14:paraId="38731A14" w14:textId="77777777" w:rsidR="00B2356F" w:rsidRDefault="00B2356F" w:rsidP="00B2356F">
      <w:pPr>
        <w:rPr>
          <w:rFonts w:ascii="Segoe UI" w:eastAsia="Times New Roman" w:hAnsi="Segoe UI" w:cs="Segoe UI"/>
          <w:b/>
          <w:bCs/>
          <w:color w:val="ECECEC"/>
          <w:sz w:val="24"/>
          <w:szCs w:val="24"/>
          <w:bdr w:val="single" w:sz="2" w:space="0" w:color="E3E3E3" w:frame="1"/>
          <w:lang w:eastAsia="en-GB"/>
        </w:rPr>
      </w:pPr>
      <w:r w:rsidRPr="00B2356F">
        <w:rPr>
          <w:sz w:val="20"/>
          <w:szCs w:val="20"/>
        </w:rPr>
        <w:t>Moreover, the pandemic has highlighted the precariousness of many low-income jobs, particularly in sectors such as hospitality and retail. The Welsh Government's efforts to support vulnerable households through income assistance programs and social welfare schemes have been crucial in mitigating the impact of the crisis. However, long-term solutions require a comprehensive approach that addresses systemic barriers to economic opportunity and social mobility.</w:t>
      </w:r>
      <w:r w:rsidRPr="00B2356F">
        <w:rPr>
          <w:rFonts w:ascii="Segoe UI" w:eastAsia="Times New Roman" w:hAnsi="Segoe UI" w:cs="Segoe UI"/>
          <w:b/>
          <w:bCs/>
          <w:color w:val="ECECEC"/>
          <w:sz w:val="24"/>
          <w:szCs w:val="24"/>
          <w:bdr w:val="single" w:sz="2" w:space="0" w:color="E3E3E3" w:frame="1"/>
          <w:lang w:eastAsia="en-GB"/>
        </w:rPr>
        <w:t xml:space="preserve"> </w:t>
      </w:r>
    </w:p>
    <w:p w14:paraId="055086D5" w14:textId="77777777" w:rsidR="00B2356F" w:rsidRDefault="00B2356F" w:rsidP="00B2356F">
      <w:pPr>
        <w:rPr>
          <w:rFonts w:ascii="Segoe UI" w:eastAsia="Times New Roman" w:hAnsi="Segoe UI" w:cs="Segoe UI"/>
          <w:color w:val="ECECEC"/>
          <w:sz w:val="24"/>
          <w:szCs w:val="24"/>
          <w:lang w:eastAsia="en-GB"/>
        </w:rPr>
      </w:pPr>
      <w:r w:rsidRPr="00B2356F">
        <w:rPr>
          <w:b/>
          <w:bCs/>
          <w:sz w:val="20"/>
          <w:szCs w:val="20"/>
        </w:rPr>
        <w:t>Community Well-being and Social Cohesion:</w:t>
      </w:r>
      <w:r w:rsidRPr="00B2356F">
        <w:rPr>
          <w:rFonts w:ascii="Segoe UI" w:eastAsia="Times New Roman" w:hAnsi="Segoe UI" w:cs="Segoe UI"/>
          <w:color w:val="ECECEC"/>
          <w:sz w:val="24"/>
          <w:szCs w:val="24"/>
          <w:lang w:eastAsia="en-GB"/>
        </w:rPr>
        <w:t xml:space="preserve"> </w:t>
      </w:r>
    </w:p>
    <w:p w14:paraId="4551CD3E" w14:textId="6CF16F87" w:rsidR="00B2356F" w:rsidRPr="00B2356F" w:rsidRDefault="00B2356F" w:rsidP="00B2356F">
      <w:pPr>
        <w:rPr>
          <w:sz w:val="20"/>
          <w:szCs w:val="20"/>
        </w:rPr>
      </w:pPr>
      <w:r w:rsidRPr="00B2356F">
        <w:rPr>
          <w:sz w:val="20"/>
          <w:szCs w:val="20"/>
        </w:rPr>
        <w:t>A prosperous Wales is not just about economic prosperity but also about fostering vibrant and resilient communities. Social cohesion and community well-being are integral to the WFG Act's vision of a prosperous and equitable society. However, challenges such as social isolation, inadequate infrastructure, and declining public services pose significant obstacles to achieving this goal.</w:t>
      </w:r>
    </w:p>
    <w:p w14:paraId="753E61AD" w14:textId="6E3BAFDE" w:rsidR="00B2356F" w:rsidRDefault="00B2356F" w:rsidP="00B2356F">
      <w:pPr>
        <w:rPr>
          <w:b/>
          <w:bCs/>
          <w:sz w:val="20"/>
          <w:szCs w:val="20"/>
        </w:rPr>
      </w:pPr>
    </w:p>
    <w:p w14:paraId="19C1C7B6" w14:textId="386A1F93" w:rsidR="00B2356F" w:rsidRPr="00B2356F" w:rsidRDefault="00B2356F" w:rsidP="00B2356F">
      <w:pPr>
        <w:rPr>
          <w:sz w:val="20"/>
          <w:szCs w:val="20"/>
        </w:rPr>
      </w:pPr>
      <w:r w:rsidRPr="00B2356F">
        <w:rPr>
          <w:sz w:val="20"/>
          <w:szCs w:val="20"/>
        </w:rPr>
        <w:t>Community empowerment and grassroots initiatives are key components of the Welsh Government's approach to promoting community well-being. The Act encourages collaboration between public bodies, communities, and third-sector organizations to co-design and co-deliver services that meet local needs. Initiatives such as the Community Asset Transfer scheme empower communities to take ownership of local assets and resources, promoting social capital and civic engagement.</w:t>
      </w:r>
    </w:p>
    <w:p w14:paraId="60ABFCDC" w14:textId="4F74DE4B" w:rsidR="00B2356F" w:rsidRDefault="00B2356F" w:rsidP="00B2356F">
      <w:pPr>
        <w:rPr>
          <w:sz w:val="20"/>
          <w:szCs w:val="20"/>
        </w:rPr>
      </w:pPr>
      <w:r w:rsidRPr="00B2356F">
        <w:rPr>
          <w:sz w:val="20"/>
          <w:szCs w:val="20"/>
        </w:rPr>
        <w:t>Despite these efforts, many communities in Wales continue to face social and economic exclusion. Rural communities, in particular, experience challenges such as limited access to healthcare, education, and employment opportunities. The pandemic has further exacerbated these inequalities, highlighting the need for targeted interventions and support for vulnerable groups.</w:t>
      </w:r>
      <w:r w:rsidRPr="00B2356F">
        <w:rPr>
          <w:rFonts w:ascii="Segoe UI" w:eastAsia="Times New Roman" w:hAnsi="Segoe UI" w:cs="Segoe UI"/>
          <w:color w:val="ECECEC"/>
          <w:sz w:val="24"/>
          <w:szCs w:val="24"/>
          <w:lang w:eastAsia="en-GB"/>
        </w:rPr>
        <w:t xml:space="preserve"> </w:t>
      </w:r>
      <w:r>
        <w:rPr>
          <w:sz w:val="20"/>
          <w:szCs w:val="20"/>
        </w:rPr>
        <w:t>W</w:t>
      </w:r>
      <w:r w:rsidRPr="00B2356F">
        <w:rPr>
          <w:sz w:val="20"/>
          <w:szCs w:val="20"/>
        </w:rPr>
        <w:t>hile Wales has made progress towards achieving prosperity, significant challenges remain in promoting economic and social development that benefits all citizens. Structural issues such as income inequality, poverty, and regional disparities continue to undermine efforts to create a more prosperous and equitable society. The Welsh Government's policies and initiatives play a crucial role in addressing these challenges, but greater investment and collaboration are needed to ensure that prosperity is shared by all.</w:t>
      </w:r>
    </w:p>
    <w:p w14:paraId="679879A4" w14:textId="77777777" w:rsidR="0085507B" w:rsidRPr="0085507B" w:rsidRDefault="0085507B" w:rsidP="0085507B">
      <w:pPr>
        <w:spacing w:after="200" w:line="276" w:lineRule="auto"/>
        <w:jc w:val="both"/>
        <w:rPr>
          <w:rFonts w:ascii="Calibri" w:eastAsia="Times New Roman" w:hAnsi="Calibri" w:cs="Times New Roman"/>
          <w:b/>
          <w:bCs/>
          <w:sz w:val="20"/>
          <w:szCs w:val="20"/>
        </w:rPr>
      </w:pPr>
      <w:r w:rsidRPr="0085507B">
        <w:rPr>
          <w:rFonts w:ascii="Calibri" w:eastAsia="Times New Roman" w:hAnsi="Calibri" w:cs="Times New Roman"/>
          <w:b/>
          <w:bCs/>
          <w:sz w:val="20"/>
          <w:szCs w:val="20"/>
        </w:rPr>
        <w:t>Wales Achievements</w:t>
      </w:r>
    </w:p>
    <w:p w14:paraId="5F7F8063" w14:textId="484AC157" w:rsidR="0085507B" w:rsidRPr="0085507B" w:rsidRDefault="0085507B" w:rsidP="0085507B">
      <w:pPr>
        <w:spacing w:after="200" w:line="276" w:lineRule="auto"/>
        <w:jc w:val="both"/>
        <w:rPr>
          <w:rFonts w:ascii="Calibri" w:eastAsia="Times New Roman" w:hAnsi="Calibri" w:cs="Times New Roman"/>
          <w:sz w:val="20"/>
          <w:szCs w:val="20"/>
        </w:rPr>
      </w:pPr>
      <w:r w:rsidRPr="0085507B">
        <w:rPr>
          <w:rFonts w:ascii="Calibri" w:eastAsia="Times New Roman" w:hAnsi="Calibri" w:cs="Times New Roman"/>
          <w:sz w:val="20"/>
          <w:szCs w:val="20"/>
        </w:rPr>
        <w:t xml:space="preserve">The Act has contributed to </w:t>
      </w:r>
      <w:r>
        <w:rPr>
          <w:rFonts w:ascii="Calibri" w:eastAsia="Times New Roman" w:hAnsi="Calibri" w:cs="Times New Roman"/>
          <w:sz w:val="20"/>
          <w:szCs w:val="20"/>
        </w:rPr>
        <w:t>economic</w:t>
      </w:r>
      <w:r w:rsidRPr="0085507B">
        <w:rPr>
          <w:rFonts w:ascii="Calibri" w:eastAsia="Times New Roman" w:hAnsi="Calibri" w:cs="Times New Roman"/>
          <w:sz w:val="20"/>
          <w:szCs w:val="20"/>
        </w:rPr>
        <w:t xml:space="preserve"> prosperity, evident in Wales’s sustained GDP growth. Initiatives addressing income inequality have been implemented, reflecting a commitment to shared economic benefits. Progress has been made in reducing carbon emissions. Showcasing a commitment to environmental sustainability. The increase in the percentage of electricity from renewable sources signifies a positive step toward building resilience against climate change. Life expectancy and a healthier life expectancy have seen improvement, reflecting advancements in </w:t>
      </w:r>
      <w:r>
        <w:rPr>
          <w:rFonts w:ascii="Calibri" w:eastAsia="Times New Roman" w:hAnsi="Calibri" w:cs="Times New Roman"/>
          <w:sz w:val="20"/>
          <w:szCs w:val="20"/>
        </w:rPr>
        <w:t>healthcare</w:t>
      </w:r>
      <w:r w:rsidRPr="0085507B">
        <w:rPr>
          <w:rFonts w:ascii="Calibri" w:eastAsia="Times New Roman" w:hAnsi="Calibri" w:cs="Times New Roman"/>
          <w:sz w:val="20"/>
          <w:szCs w:val="20"/>
        </w:rPr>
        <w:t xml:space="preserve"> accessibility and effectiveness. Public health initiatives have targeted lifestyle factors, contributing to healthier living. </w:t>
      </w:r>
      <w:r>
        <w:rPr>
          <w:rFonts w:ascii="Calibri" w:eastAsia="Times New Roman" w:hAnsi="Calibri" w:cs="Times New Roman"/>
          <w:sz w:val="20"/>
          <w:szCs w:val="20"/>
        </w:rPr>
        <w:t>Efforts</w:t>
      </w:r>
      <w:r w:rsidRPr="0085507B">
        <w:rPr>
          <w:rFonts w:ascii="Calibri" w:eastAsia="Times New Roman" w:hAnsi="Calibri" w:cs="Times New Roman"/>
          <w:sz w:val="20"/>
          <w:szCs w:val="20"/>
        </w:rPr>
        <w:t xml:space="preserve"> to reduce poverty rates and address educational </w:t>
      </w:r>
      <w:r w:rsidRPr="0085507B">
        <w:rPr>
          <w:rFonts w:ascii="Calibri" w:eastAsia="Times New Roman" w:hAnsi="Calibri" w:cs="Times New Roman"/>
          <w:sz w:val="20"/>
          <w:szCs w:val="20"/>
        </w:rPr>
        <w:lastRenderedPageBreak/>
        <w:t xml:space="preserve">attainment gaps have been noticeable. Policies promoting equal opportunities demonstrate a commitment to </w:t>
      </w:r>
      <w:r>
        <w:rPr>
          <w:rFonts w:ascii="Calibri" w:eastAsia="Times New Roman" w:hAnsi="Calibri" w:cs="Times New Roman"/>
          <w:sz w:val="20"/>
          <w:szCs w:val="20"/>
        </w:rPr>
        <w:t>creating</w:t>
      </w:r>
      <w:r w:rsidRPr="0085507B">
        <w:rPr>
          <w:rFonts w:ascii="Calibri" w:eastAsia="Times New Roman" w:hAnsi="Calibri" w:cs="Times New Roman"/>
          <w:sz w:val="20"/>
          <w:szCs w:val="20"/>
        </w:rPr>
        <w:t xml:space="preserve"> a more inclusive and egalitarian society Welsh Government, 2022.</w:t>
      </w:r>
    </w:p>
    <w:p w14:paraId="7D149179" w14:textId="76E80B62" w:rsidR="0085507B" w:rsidRPr="0085507B" w:rsidRDefault="0085507B" w:rsidP="0085507B">
      <w:pPr>
        <w:spacing w:after="200" w:line="276" w:lineRule="auto"/>
        <w:jc w:val="both"/>
        <w:rPr>
          <w:rFonts w:ascii="Calibri" w:eastAsia="Times New Roman" w:hAnsi="Calibri" w:cs="Times New Roman"/>
          <w:sz w:val="20"/>
          <w:szCs w:val="20"/>
        </w:rPr>
      </w:pPr>
      <w:r w:rsidRPr="0085507B">
        <w:rPr>
          <w:rFonts w:ascii="Calibri" w:eastAsia="Times New Roman" w:hAnsi="Calibri" w:cs="Times New Roman"/>
          <w:sz w:val="20"/>
          <w:szCs w:val="20"/>
        </w:rPr>
        <w:t xml:space="preserve">There is evidence of increased community cohesion, as reflected in higher voter turnout and a positive community cohesion index. Initiatives promoting civic engagement have contributed to stronger social bonds. The preservation and promotion of Welsh culture and language have been </w:t>
      </w:r>
      <w:r>
        <w:rPr>
          <w:rFonts w:ascii="Calibri" w:eastAsia="Times New Roman" w:hAnsi="Calibri" w:cs="Times New Roman"/>
          <w:sz w:val="20"/>
          <w:szCs w:val="20"/>
        </w:rPr>
        <w:t>successful</w:t>
      </w:r>
      <w:r w:rsidRPr="0085507B">
        <w:rPr>
          <w:rFonts w:ascii="Calibri" w:eastAsia="Times New Roman" w:hAnsi="Calibri" w:cs="Times New Roman"/>
          <w:sz w:val="20"/>
          <w:szCs w:val="20"/>
        </w:rPr>
        <w:t xml:space="preserve">, with an increase in Welsh language speakers and participation in </w:t>
      </w:r>
      <w:r>
        <w:rPr>
          <w:rFonts w:ascii="Calibri" w:eastAsia="Times New Roman" w:hAnsi="Calibri" w:cs="Times New Roman"/>
          <w:sz w:val="20"/>
          <w:szCs w:val="20"/>
        </w:rPr>
        <w:t>cultural</w:t>
      </w:r>
      <w:r w:rsidRPr="0085507B">
        <w:rPr>
          <w:rFonts w:ascii="Calibri" w:eastAsia="Times New Roman" w:hAnsi="Calibri" w:cs="Times New Roman"/>
          <w:sz w:val="20"/>
          <w:szCs w:val="20"/>
        </w:rPr>
        <w:t xml:space="preserve"> activities. Wales has made strides in reducing its carbon footprint, showcasing a commitment to environmental responsibility. Increased international development aid reflects a commitment to global sustainability and ethical NRW, 2016.</w:t>
      </w:r>
    </w:p>
    <w:p w14:paraId="77EA7372" w14:textId="77777777" w:rsidR="00B2356F" w:rsidRPr="00B2356F" w:rsidRDefault="00B2356F" w:rsidP="00B2356F">
      <w:pPr>
        <w:rPr>
          <w:sz w:val="20"/>
          <w:szCs w:val="20"/>
        </w:rPr>
      </w:pPr>
    </w:p>
    <w:p w14:paraId="44D04B28" w14:textId="77777777" w:rsidR="00B2356F" w:rsidRPr="00B2356F" w:rsidRDefault="00B2356F" w:rsidP="00B2356F">
      <w:pPr>
        <w:rPr>
          <w:b/>
          <w:bCs/>
          <w:sz w:val="28"/>
          <w:szCs w:val="28"/>
        </w:rPr>
      </w:pPr>
      <w:r w:rsidRPr="00B2356F">
        <w:rPr>
          <w:b/>
          <w:bCs/>
          <w:sz w:val="28"/>
          <w:szCs w:val="28"/>
        </w:rPr>
        <w:t>A Healthier Wales: Evaluating Health and Well-being Outcomes</w:t>
      </w:r>
    </w:p>
    <w:p w14:paraId="52853A81" w14:textId="77777777" w:rsidR="00B2356F" w:rsidRPr="00B2356F" w:rsidRDefault="00B2356F" w:rsidP="00B2356F">
      <w:pPr>
        <w:rPr>
          <w:sz w:val="20"/>
          <w:szCs w:val="20"/>
        </w:rPr>
      </w:pPr>
      <w:r w:rsidRPr="00B2356F">
        <w:rPr>
          <w:sz w:val="20"/>
          <w:szCs w:val="20"/>
        </w:rPr>
        <w:t>The pursuit of a healthier Wales is a fundamental objective of the Well-being of Future Generations Act (WFG Act) and represents a cornerstone in the effort to promote the well-being of current and future generations. This essay critically evaluates the progress made in Wales towards achieving health and well-being outcomes, examining key indicators, policy initiatives, and challenges faced in improving public health.</w:t>
      </w:r>
    </w:p>
    <w:p w14:paraId="1485FF33" w14:textId="77777777" w:rsidR="00B2356F" w:rsidRPr="00B2356F" w:rsidRDefault="00B2356F" w:rsidP="00B2356F">
      <w:pPr>
        <w:rPr>
          <w:b/>
          <w:bCs/>
          <w:sz w:val="20"/>
          <w:szCs w:val="20"/>
        </w:rPr>
      </w:pPr>
      <w:r w:rsidRPr="00B2356F">
        <w:rPr>
          <w:b/>
          <w:bCs/>
          <w:sz w:val="20"/>
          <w:szCs w:val="20"/>
        </w:rPr>
        <w:t>Health Outcomes:</w:t>
      </w:r>
    </w:p>
    <w:p w14:paraId="6E962983" w14:textId="77777777" w:rsidR="00B2356F" w:rsidRPr="00B2356F" w:rsidRDefault="00B2356F" w:rsidP="00B2356F">
      <w:pPr>
        <w:rPr>
          <w:sz w:val="20"/>
          <w:szCs w:val="20"/>
        </w:rPr>
      </w:pPr>
      <w:r w:rsidRPr="00B2356F">
        <w:rPr>
          <w:sz w:val="20"/>
          <w:szCs w:val="20"/>
        </w:rPr>
        <w:t>Wales faces several health challenges, including high rates of chronic diseases, mental health disorders, and health inequalities. Despite efforts to improve health outcomes, significant disparities persist between different demographic groups and regions within Wales.</w:t>
      </w:r>
    </w:p>
    <w:p w14:paraId="123DB124" w14:textId="2A23F414" w:rsidR="00B2356F" w:rsidRDefault="00B2356F" w:rsidP="00B2356F">
      <w:pPr>
        <w:rPr>
          <w:sz w:val="20"/>
          <w:szCs w:val="20"/>
        </w:rPr>
      </w:pPr>
      <w:r w:rsidRPr="00B2356F">
        <w:rPr>
          <w:sz w:val="20"/>
          <w:szCs w:val="20"/>
        </w:rPr>
        <w:t>One of the key indicators of health is life expectancy, which has been increasing steadily in Wales but remains lower than the UK average. Factors contributing to this disparity include socio-economic deprivation, unhealthy lifestyle behaviours, and limited access to healthcare services, particularly in rural and remote areas.</w:t>
      </w:r>
    </w:p>
    <w:p w14:paraId="75679D7F" w14:textId="77777777" w:rsidR="00B2356F" w:rsidRPr="00B2356F" w:rsidRDefault="00B2356F" w:rsidP="00B2356F">
      <w:pPr>
        <w:rPr>
          <w:sz w:val="20"/>
          <w:szCs w:val="20"/>
        </w:rPr>
      </w:pPr>
    </w:p>
    <w:p w14:paraId="07B062A5" w14:textId="77777777" w:rsidR="00B2356F" w:rsidRPr="00B2356F" w:rsidRDefault="00B2356F" w:rsidP="00B2356F">
      <w:pPr>
        <w:rPr>
          <w:sz w:val="20"/>
          <w:szCs w:val="20"/>
        </w:rPr>
      </w:pPr>
      <w:r w:rsidRPr="00B2356F">
        <w:rPr>
          <w:sz w:val="20"/>
          <w:szCs w:val="20"/>
        </w:rPr>
        <w:t>The Welsh Government has implemented various initiatives to address these challenges, including the Healthy Weight: Healthy Wales strategy, which aims to tackle obesity through prevention and early intervention. Additionally, investment in mental health services and initiatives such as the Together for Mental Health program have sought to improve access to support and reduce stigma surrounding mental illness.</w:t>
      </w:r>
    </w:p>
    <w:p w14:paraId="3FE25B52" w14:textId="77777777" w:rsidR="005F6F96" w:rsidRPr="005F6F96" w:rsidRDefault="005F6F96" w:rsidP="005F6F96">
      <w:pPr>
        <w:rPr>
          <w:sz w:val="20"/>
          <w:szCs w:val="20"/>
        </w:rPr>
      </w:pPr>
      <w:r w:rsidRPr="005F6F96">
        <w:rPr>
          <w:sz w:val="20"/>
          <w:szCs w:val="20"/>
        </w:rPr>
        <w:t>However, progress has been slow in some areas, with persistent challenges such as long waiting times for specialist services, particularly in mental health. The COVID-19 pandemic has further strained healthcare resources and exacerbated existing mental health concerns, highlighting the need for greater investment and innovation in mental health provision.</w:t>
      </w:r>
    </w:p>
    <w:p w14:paraId="2D20D56B" w14:textId="77777777" w:rsidR="005F6F96" w:rsidRPr="005F6F96" w:rsidRDefault="005F6F96" w:rsidP="005F6F96">
      <w:pPr>
        <w:rPr>
          <w:b/>
          <w:bCs/>
          <w:sz w:val="20"/>
          <w:szCs w:val="20"/>
        </w:rPr>
      </w:pPr>
      <w:r w:rsidRPr="005F6F96">
        <w:rPr>
          <w:b/>
          <w:bCs/>
          <w:sz w:val="20"/>
          <w:szCs w:val="20"/>
        </w:rPr>
        <w:t>Well-being Outcomes:</w:t>
      </w:r>
    </w:p>
    <w:p w14:paraId="24CC5E24" w14:textId="77777777" w:rsidR="005F6F96" w:rsidRPr="005F6F96" w:rsidRDefault="005F6F96" w:rsidP="005F6F96">
      <w:pPr>
        <w:rPr>
          <w:sz w:val="20"/>
          <w:szCs w:val="20"/>
        </w:rPr>
      </w:pPr>
      <w:r w:rsidRPr="005F6F96">
        <w:rPr>
          <w:sz w:val="20"/>
          <w:szCs w:val="20"/>
        </w:rPr>
        <w:t>In addition to physical health, well-being encompasses broader dimensions such as mental health, social connections, and quality of life. The WFG Act recognizes the importance of promoting well-being holistically and addressing the underlying determinants of health and happiness.</w:t>
      </w:r>
    </w:p>
    <w:p w14:paraId="1E35F301" w14:textId="77777777" w:rsidR="005F6F96" w:rsidRPr="005F6F96" w:rsidRDefault="005F6F96" w:rsidP="005F6F96">
      <w:pPr>
        <w:rPr>
          <w:sz w:val="20"/>
          <w:szCs w:val="20"/>
        </w:rPr>
      </w:pPr>
      <w:r w:rsidRPr="005F6F96">
        <w:rPr>
          <w:sz w:val="20"/>
          <w:szCs w:val="20"/>
        </w:rPr>
        <w:t>While there have been positive developments in certain well-being indicators, such as increasing life satisfaction and community engagement, significant challenges remain in addressing mental health stigma and social isolation. Marginalized groups, including LGBTQ+ individuals, ethnic minorities, and people with disabilities, continue to face discrimination and barriers to accessing support services, undermining their overall well-being.</w:t>
      </w:r>
    </w:p>
    <w:p w14:paraId="259A672A" w14:textId="77777777" w:rsidR="005F6F96" w:rsidRPr="005F6F96" w:rsidRDefault="005F6F96" w:rsidP="005F6F96">
      <w:pPr>
        <w:rPr>
          <w:sz w:val="20"/>
          <w:szCs w:val="20"/>
        </w:rPr>
      </w:pPr>
      <w:r w:rsidRPr="005F6F96">
        <w:rPr>
          <w:sz w:val="20"/>
          <w:szCs w:val="20"/>
        </w:rPr>
        <w:lastRenderedPageBreak/>
        <w:t>The Welsh Government's approach to promoting well-being involves collaboration across sectors and levels of government, with a focus on prevention and early intervention. Initiatives such as the Social Prescribing scheme aim to address social determinants of health by connecting individuals with community-based support services and activities.</w:t>
      </w:r>
    </w:p>
    <w:p w14:paraId="5E51FF15" w14:textId="77777777" w:rsidR="005F6F96" w:rsidRPr="005F6F96" w:rsidRDefault="005F6F96" w:rsidP="005F6F96">
      <w:pPr>
        <w:rPr>
          <w:sz w:val="20"/>
          <w:szCs w:val="20"/>
        </w:rPr>
      </w:pPr>
      <w:r w:rsidRPr="005F6F96">
        <w:rPr>
          <w:sz w:val="20"/>
          <w:szCs w:val="20"/>
        </w:rPr>
        <w:t>However, critics argue that the current approach lacks sufficient emphasis on addressing structural inequalities and systemic barriers to well-being. Economic factors such as poverty, unemployment, and housing insecurity can have significant impacts on individuals' mental health and overall well-being, yet there is a need for more targeted interventions and social policies to address these issues effectively.</w:t>
      </w:r>
    </w:p>
    <w:p w14:paraId="6962F2D4" w14:textId="77777777" w:rsidR="005F6F96" w:rsidRDefault="005F6F96" w:rsidP="005F6F96">
      <w:pPr>
        <w:rPr>
          <w:rFonts w:ascii="Segoe UI" w:eastAsia="Times New Roman" w:hAnsi="Segoe UI" w:cs="Segoe UI"/>
          <w:b/>
          <w:bCs/>
          <w:color w:val="ECECEC"/>
          <w:sz w:val="24"/>
          <w:szCs w:val="24"/>
          <w:bdr w:val="single" w:sz="2" w:space="0" w:color="E3E3E3" w:frame="1"/>
          <w:lang w:eastAsia="en-GB"/>
        </w:rPr>
      </w:pPr>
      <w:r>
        <w:rPr>
          <w:sz w:val="20"/>
          <w:szCs w:val="20"/>
        </w:rPr>
        <w:t>W</w:t>
      </w:r>
      <w:r w:rsidRPr="005F6F96">
        <w:rPr>
          <w:sz w:val="20"/>
          <w:szCs w:val="20"/>
        </w:rPr>
        <w:t>hile progress has been made in improving health and well-being outcomes in Wales, significant challenges remain in addressing the underlying determinants of health and promoting equitable access to support services. The Welsh Government's efforts to tackle public health issues through policy initiatives and collaborative partnerships are commendable, but greater investment and commitment are needed to address systemic inequalities and ensure that all citizens can lead healthy and fulfilling lives.</w:t>
      </w:r>
      <w:r w:rsidRPr="005F6F96">
        <w:rPr>
          <w:rFonts w:ascii="Segoe UI" w:eastAsia="Times New Roman" w:hAnsi="Segoe UI" w:cs="Segoe UI"/>
          <w:b/>
          <w:bCs/>
          <w:color w:val="ECECEC"/>
          <w:sz w:val="24"/>
          <w:szCs w:val="24"/>
          <w:bdr w:val="single" w:sz="2" w:space="0" w:color="E3E3E3" w:frame="1"/>
          <w:lang w:eastAsia="en-GB"/>
        </w:rPr>
        <w:t xml:space="preserve"> </w:t>
      </w:r>
    </w:p>
    <w:p w14:paraId="55FEBED1" w14:textId="77777777" w:rsidR="00173E16" w:rsidRDefault="00173E16" w:rsidP="005F6F96">
      <w:pPr>
        <w:rPr>
          <w:rFonts w:ascii="Segoe UI" w:eastAsia="Times New Roman" w:hAnsi="Segoe UI" w:cs="Segoe UI"/>
          <w:b/>
          <w:bCs/>
          <w:color w:val="ECECEC"/>
          <w:sz w:val="24"/>
          <w:szCs w:val="24"/>
          <w:bdr w:val="single" w:sz="2" w:space="0" w:color="E3E3E3" w:frame="1"/>
          <w:lang w:eastAsia="en-GB"/>
        </w:rPr>
      </w:pPr>
    </w:p>
    <w:p w14:paraId="409FCB0F" w14:textId="28EB3690" w:rsidR="00173E16" w:rsidRPr="00173E16" w:rsidRDefault="005F6F96" w:rsidP="005F6F96">
      <w:pPr>
        <w:rPr>
          <w:b/>
          <w:bCs/>
          <w:sz w:val="28"/>
          <w:szCs w:val="28"/>
        </w:rPr>
      </w:pPr>
      <w:r w:rsidRPr="005F6F96">
        <w:rPr>
          <w:b/>
          <w:bCs/>
          <w:sz w:val="28"/>
          <w:szCs w:val="28"/>
        </w:rPr>
        <w:t>Role of Public Service Boards, Local Authorities, and Initiatives in Promoting Health, Well-being, and Sustainable Development in Wales</w:t>
      </w:r>
      <w:r w:rsidR="00173E16">
        <w:rPr>
          <w:b/>
          <w:bCs/>
          <w:sz w:val="28"/>
          <w:szCs w:val="28"/>
        </w:rPr>
        <w:t>:</w:t>
      </w:r>
    </w:p>
    <w:p w14:paraId="58608DCD" w14:textId="77777777" w:rsidR="005F6F96" w:rsidRDefault="005F6F96" w:rsidP="005F6F96">
      <w:pPr>
        <w:rPr>
          <w:sz w:val="20"/>
          <w:szCs w:val="20"/>
        </w:rPr>
      </w:pPr>
      <w:r w:rsidRPr="005F6F96">
        <w:rPr>
          <w:sz w:val="20"/>
          <w:szCs w:val="20"/>
        </w:rPr>
        <w:t>The Well-being of Future Generations Act (WFG Act) in Wales establishes a framework for promoting the health, well-being, and sustainable development of current and future generations. Public Service Boards (PSBs) and local authorities (LAs) play a crucial role in implementing the Act and driving progress towards its goals. This essay critically examines the roles of PSBs, LAs, and initiatives in promoting health, well-being, and sustainable development in Wales, highlighting their strengths, challenges, and opportunities for improvement.</w:t>
      </w:r>
    </w:p>
    <w:p w14:paraId="1D7C0E6E" w14:textId="768128E8" w:rsidR="005F6F96" w:rsidRPr="005F6F96" w:rsidRDefault="005F6F96" w:rsidP="005F6F96">
      <w:pPr>
        <w:rPr>
          <w:b/>
          <w:bCs/>
          <w:sz w:val="20"/>
          <w:szCs w:val="20"/>
        </w:rPr>
      </w:pPr>
      <w:r w:rsidRPr="005F6F96">
        <w:rPr>
          <w:rFonts w:ascii="Segoe UI" w:eastAsia="Times New Roman" w:hAnsi="Segoe UI" w:cs="Segoe UI"/>
          <w:b/>
          <w:bCs/>
          <w:color w:val="ECECEC"/>
          <w:sz w:val="24"/>
          <w:szCs w:val="24"/>
          <w:bdr w:val="single" w:sz="2" w:space="0" w:color="E3E3E3" w:frame="1"/>
          <w:lang w:eastAsia="en-GB"/>
        </w:rPr>
        <w:t xml:space="preserve"> </w:t>
      </w:r>
      <w:r w:rsidRPr="005F6F96">
        <w:rPr>
          <w:b/>
          <w:bCs/>
          <w:sz w:val="20"/>
          <w:szCs w:val="20"/>
        </w:rPr>
        <w:t>Public Service Boards (PSBs):</w:t>
      </w:r>
    </w:p>
    <w:p w14:paraId="4CADCEF8" w14:textId="25A9A6EE" w:rsidR="005F6F96" w:rsidRPr="005F6F96" w:rsidRDefault="005F6F96" w:rsidP="005F6F96">
      <w:pPr>
        <w:rPr>
          <w:sz w:val="20"/>
          <w:szCs w:val="20"/>
        </w:rPr>
      </w:pPr>
      <w:r w:rsidRPr="005F6F96">
        <w:rPr>
          <w:sz w:val="20"/>
          <w:szCs w:val="20"/>
        </w:rPr>
        <w:t>PSBs are multi-agency partnerships established under the WFG Act, comprising representatives from local authorities, health boards, police forces, and other public sector organizations. Their primary role is to develop and implement local well-being plans aligned with the Act's objectives, fostering collaboration and coordination across sectors to address complex social, economic, and environmental challenges.</w:t>
      </w:r>
    </w:p>
    <w:p w14:paraId="24DE8D39" w14:textId="77777777" w:rsidR="005F6F96" w:rsidRDefault="005F6F96" w:rsidP="005F6F96">
      <w:pPr>
        <w:rPr>
          <w:sz w:val="20"/>
          <w:szCs w:val="20"/>
        </w:rPr>
      </w:pPr>
      <w:r w:rsidRPr="005F6F96">
        <w:rPr>
          <w:sz w:val="20"/>
          <w:szCs w:val="20"/>
        </w:rPr>
        <w:t>One of the key strengths of PSBs is their ability to facilitate cross-sectoral collaboration and joint working, bringing together diverse perspectives and expertise to tackle complex issues. By engaging with stakeholders and communities, PSBs can identify shared priorities and develop integrated strategies that address the root causes of health and social inequalities.</w:t>
      </w:r>
    </w:p>
    <w:p w14:paraId="5945BA56" w14:textId="16CB6D0B" w:rsidR="005F6F96" w:rsidRPr="005F6F96" w:rsidRDefault="005F6F96" w:rsidP="005F6F96">
      <w:pPr>
        <w:rPr>
          <w:sz w:val="20"/>
          <w:szCs w:val="20"/>
        </w:rPr>
      </w:pPr>
      <w:r w:rsidRPr="005F6F96">
        <w:rPr>
          <w:sz w:val="20"/>
          <w:szCs w:val="20"/>
        </w:rPr>
        <w:t>However, PSBs also face several challenges in fulfilling their role effectively. Limited resources, competing priorities, and bureaucratic barriers can hinder collaboration and impede progress towards achieving well-being goals. Additionally, disparities in power and influence among PSB members may lead to tensions and conflicts of interest, undermining trust and cooperation.</w:t>
      </w:r>
    </w:p>
    <w:p w14:paraId="142BD20C" w14:textId="77777777" w:rsidR="005F6F96" w:rsidRDefault="005F6F96" w:rsidP="005F6F96">
      <w:pPr>
        <w:rPr>
          <w:rFonts w:ascii="Segoe UI" w:eastAsia="Times New Roman" w:hAnsi="Segoe UI" w:cs="Segoe UI"/>
          <w:b/>
          <w:bCs/>
          <w:color w:val="ECECEC"/>
          <w:sz w:val="24"/>
          <w:szCs w:val="24"/>
          <w:bdr w:val="single" w:sz="2" w:space="0" w:color="E3E3E3" w:frame="1"/>
          <w:lang w:eastAsia="en-GB"/>
        </w:rPr>
      </w:pPr>
      <w:r w:rsidRPr="005F6F96">
        <w:rPr>
          <w:sz w:val="20"/>
          <w:szCs w:val="20"/>
        </w:rPr>
        <w:t>To address these challenges, PSBs need adequate support and resources from central government, as well as clear guidance and accountability mechanisms to ensure transparency and accountability in decision-making processes. Strengthening community engagement and participation in PSB activities is also essential for ensuring that local voices are heard and that initiatives are responsive to the needs of communities.</w:t>
      </w:r>
      <w:r w:rsidRPr="005F6F96">
        <w:rPr>
          <w:rFonts w:ascii="Segoe UI" w:eastAsia="Times New Roman" w:hAnsi="Segoe UI" w:cs="Segoe UI"/>
          <w:b/>
          <w:bCs/>
          <w:color w:val="ECECEC"/>
          <w:sz w:val="24"/>
          <w:szCs w:val="24"/>
          <w:bdr w:val="single" w:sz="2" w:space="0" w:color="E3E3E3" w:frame="1"/>
          <w:lang w:eastAsia="en-GB"/>
        </w:rPr>
        <w:t xml:space="preserve"> </w:t>
      </w:r>
    </w:p>
    <w:p w14:paraId="0EE93E4C" w14:textId="745C4E11" w:rsidR="005F6F96" w:rsidRDefault="005F6F96" w:rsidP="005F6F96">
      <w:pPr>
        <w:rPr>
          <w:b/>
          <w:bCs/>
          <w:sz w:val="20"/>
          <w:szCs w:val="20"/>
        </w:rPr>
      </w:pPr>
      <w:r w:rsidRPr="005F6F96">
        <w:rPr>
          <w:b/>
          <w:bCs/>
          <w:sz w:val="20"/>
          <w:szCs w:val="20"/>
        </w:rPr>
        <w:t>Local Authorities (LAs):</w:t>
      </w:r>
    </w:p>
    <w:p w14:paraId="43057495" w14:textId="23F30EE5" w:rsidR="005F6F96" w:rsidRDefault="005F6F96" w:rsidP="005F6F96">
      <w:pPr>
        <w:rPr>
          <w:sz w:val="20"/>
          <w:szCs w:val="20"/>
        </w:rPr>
      </w:pPr>
      <w:r w:rsidRPr="005F6F96">
        <w:rPr>
          <w:sz w:val="20"/>
          <w:szCs w:val="20"/>
        </w:rPr>
        <w:t xml:space="preserve">LAs play a critical role in promoting health, well-being, and sustainable development at the local level, with responsibilities ranging from planning and housing to education and social services. As statutory </w:t>
      </w:r>
      <w:r w:rsidRPr="005F6F96">
        <w:rPr>
          <w:sz w:val="20"/>
          <w:szCs w:val="20"/>
        </w:rPr>
        <w:lastRenderedPageBreak/>
        <w:t>bodies, LAs have a duty to promote the well-being of their communities and to contribute to the achievement of the well-being goals set out in the WFG Act.</w:t>
      </w:r>
    </w:p>
    <w:p w14:paraId="534E3D02" w14:textId="1EE5ABF5" w:rsidR="005F6F96" w:rsidRDefault="005F6F96" w:rsidP="005F6F96">
      <w:pPr>
        <w:rPr>
          <w:sz w:val="20"/>
          <w:szCs w:val="20"/>
        </w:rPr>
      </w:pPr>
      <w:r w:rsidRPr="005F6F96">
        <w:rPr>
          <w:sz w:val="20"/>
          <w:szCs w:val="20"/>
        </w:rPr>
        <w:t>One of the key strengths of LAs is their local knowledge and understanding of community needs, allowing them to tailor services and interventions to address specific challenges. LAs also have the authority to implement policies and initiatives that promote health and well-being, such as improving access to affordable housing, supporting local businesses, and investing in public infrastructure.</w:t>
      </w:r>
      <w:r w:rsidRPr="005F6F96">
        <w:rPr>
          <w:rFonts w:ascii="Segoe UI" w:eastAsia="Times New Roman" w:hAnsi="Segoe UI" w:cs="Segoe UI"/>
          <w:color w:val="ECECEC"/>
          <w:sz w:val="24"/>
          <w:szCs w:val="24"/>
          <w:lang w:eastAsia="en-GB"/>
        </w:rPr>
        <w:t xml:space="preserve"> </w:t>
      </w:r>
      <w:r w:rsidRPr="005F6F96">
        <w:rPr>
          <w:sz w:val="20"/>
          <w:szCs w:val="20"/>
        </w:rPr>
        <w:t>However, LAs face significant pressures and constraints in fulfilling their responsibilities, including budget cuts, staff shortages, and increasing demand for services. This can limit their capacity to innovate and invest in long-term solutions to complex problems. Moreover, LAs may struggle to engage effectively with communities and stakeholders, particularly those from marginalized groups who may feel excluded or marginalized.</w:t>
      </w:r>
    </w:p>
    <w:p w14:paraId="5E13792F" w14:textId="77777777" w:rsidR="005F6F96" w:rsidRDefault="005F6F96" w:rsidP="005F6F96">
      <w:pPr>
        <w:rPr>
          <w:rFonts w:ascii="Segoe UI" w:eastAsia="Times New Roman" w:hAnsi="Segoe UI" w:cs="Segoe UI"/>
          <w:b/>
          <w:bCs/>
          <w:color w:val="ECECEC"/>
          <w:sz w:val="24"/>
          <w:szCs w:val="24"/>
          <w:bdr w:val="single" w:sz="2" w:space="0" w:color="E3E3E3" w:frame="1"/>
          <w:lang w:eastAsia="en-GB"/>
        </w:rPr>
      </w:pPr>
      <w:r w:rsidRPr="005F6F96">
        <w:rPr>
          <w:sz w:val="20"/>
          <w:szCs w:val="20"/>
        </w:rPr>
        <w:t>To overcome these challenges, LAs require greater support and flexibility from central government, as well as opportunities for capacity-building and skill development. Collaborative partnerships with other public sector organizations, community groups, and third-sector agencies can also help LAs leverage resources and expertise to achieve shared objectives.</w:t>
      </w:r>
      <w:r w:rsidRPr="005F6F96">
        <w:rPr>
          <w:rFonts w:ascii="Segoe UI" w:eastAsia="Times New Roman" w:hAnsi="Segoe UI" w:cs="Segoe UI"/>
          <w:b/>
          <w:bCs/>
          <w:color w:val="ECECEC"/>
          <w:sz w:val="24"/>
          <w:szCs w:val="24"/>
          <w:bdr w:val="single" w:sz="2" w:space="0" w:color="E3E3E3" w:frame="1"/>
          <w:lang w:eastAsia="en-GB"/>
        </w:rPr>
        <w:t xml:space="preserve"> </w:t>
      </w:r>
    </w:p>
    <w:p w14:paraId="14D3023A" w14:textId="339EF290" w:rsidR="005F6F96" w:rsidRPr="004B2C60" w:rsidRDefault="005F6F96" w:rsidP="005F6F96">
      <w:pPr>
        <w:rPr>
          <w:b/>
          <w:bCs/>
          <w:sz w:val="20"/>
          <w:szCs w:val="20"/>
        </w:rPr>
      </w:pPr>
      <w:r w:rsidRPr="005F6F96">
        <w:rPr>
          <w:b/>
          <w:bCs/>
          <w:sz w:val="20"/>
          <w:szCs w:val="20"/>
        </w:rPr>
        <w:t>Initiatives:</w:t>
      </w:r>
    </w:p>
    <w:p w14:paraId="7A71C9F8" w14:textId="6361D3F6" w:rsidR="005F6F96" w:rsidRPr="005F6F96" w:rsidRDefault="004B2C60" w:rsidP="005F6F96">
      <w:pPr>
        <w:rPr>
          <w:sz w:val="20"/>
          <w:szCs w:val="20"/>
        </w:rPr>
      </w:pPr>
      <w:r w:rsidRPr="004B2C60">
        <w:rPr>
          <w:sz w:val="20"/>
          <w:szCs w:val="20"/>
        </w:rPr>
        <w:t>In addition to PSBs and LAs, various initiatives and programs have been developed to promote health, well-being, and sustainable development in Wales. These initiatives may be led by government agencies, non-profit organizations, or community groups, and often target specific issues or population groups.</w:t>
      </w:r>
    </w:p>
    <w:p w14:paraId="0AE6C8CD" w14:textId="579AECCC" w:rsidR="004B2C60" w:rsidRPr="004B2C60" w:rsidRDefault="004B2C60" w:rsidP="004B2C60">
      <w:pPr>
        <w:rPr>
          <w:sz w:val="20"/>
          <w:szCs w:val="20"/>
        </w:rPr>
      </w:pPr>
      <w:r w:rsidRPr="004B2C60">
        <w:rPr>
          <w:sz w:val="20"/>
          <w:szCs w:val="20"/>
        </w:rPr>
        <w:t>One example of a successful initiative is the Active Travel Act, which aims to promote walking and cycling as sustainable modes of transportation. By investing in infrastructure such as cycle paths and pedestrian crossings, the Act encourages physical activity, reduces carbon emissions, and improves air quality, contributing to both health and environmental objectives.</w:t>
      </w:r>
    </w:p>
    <w:p w14:paraId="29539FF8" w14:textId="262F2E9D" w:rsidR="004B2C60" w:rsidRPr="004B2C60" w:rsidRDefault="004B2C60" w:rsidP="004B2C60">
      <w:pPr>
        <w:rPr>
          <w:sz w:val="20"/>
          <w:szCs w:val="20"/>
        </w:rPr>
      </w:pPr>
      <w:r w:rsidRPr="004B2C60">
        <w:rPr>
          <w:sz w:val="20"/>
          <w:szCs w:val="20"/>
        </w:rPr>
        <w:t>Similarly, the Communities First program targeted deprived communities in Wales, providing funding and support for community-led projects to address poverty, unemployment, and social exclusion. Although the program was discontinued in 2018, it demonstrated the potential of grassroots initiatives to empower communities and drive positive change.</w:t>
      </w:r>
    </w:p>
    <w:p w14:paraId="46D7AA44" w14:textId="688DA1B9" w:rsidR="004B2C60" w:rsidRPr="004B2C60" w:rsidRDefault="004B2C60" w:rsidP="004B2C60">
      <w:pPr>
        <w:rPr>
          <w:sz w:val="20"/>
          <w:szCs w:val="20"/>
        </w:rPr>
      </w:pPr>
      <w:r w:rsidRPr="004B2C60">
        <w:rPr>
          <w:sz w:val="20"/>
          <w:szCs w:val="20"/>
        </w:rPr>
        <w:t>However, not all initiatives have been successful, and many face challenges such as funding constraints, limited reach, and sustainability issues. Moreover, initiatives developed without adequate consultation or engagement with local communities may fail to address underlying issues or may inadvertently exacerbate inequalities.</w:t>
      </w:r>
      <w:r w:rsidRPr="004B2C60">
        <w:rPr>
          <w:rFonts w:ascii="Segoe UI" w:eastAsia="Times New Roman" w:hAnsi="Segoe UI" w:cs="Segoe UI"/>
          <w:color w:val="ECECEC"/>
          <w:sz w:val="24"/>
          <w:szCs w:val="24"/>
          <w:lang w:eastAsia="en-GB"/>
        </w:rPr>
        <w:t xml:space="preserve"> </w:t>
      </w:r>
      <w:r w:rsidRPr="004B2C60">
        <w:rPr>
          <w:sz w:val="20"/>
          <w:szCs w:val="20"/>
        </w:rPr>
        <w:t>To enhance the effectiveness of initiatives, it is essential to adopt a collaborative and participatory approach that involves stakeholders at all stages of the decision-making process. This includes conducting needs assessments, consulting with affected communities, and evaluating the impact of interventions to ensure that resources are allocated effectively and that initiatives are responsive to the needs of those they seek to serve.</w:t>
      </w:r>
    </w:p>
    <w:p w14:paraId="0F5D9BDE" w14:textId="3E4167D3" w:rsidR="004B2C60" w:rsidRDefault="004B2C60" w:rsidP="004B2C60">
      <w:pPr>
        <w:rPr>
          <w:sz w:val="20"/>
          <w:szCs w:val="20"/>
        </w:rPr>
      </w:pPr>
      <w:r w:rsidRPr="004B2C60">
        <w:rPr>
          <w:sz w:val="20"/>
          <w:szCs w:val="20"/>
        </w:rPr>
        <w:t>PSBs, LAs, and initiatives play crucial roles in promoting health, well-being, and sustainable development in Wales. While each has its strengths and challenges, collaboration and partnership working are essential for driving progress towards shared objectives. By working together, leveraging resources, and engaging with communities, these entities can overcome barriers and achieve meaningful and sustainable improvements in the well-being of current and future generations in Wales.</w:t>
      </w:r>
    </w:p>
    <w:p w14:paraId="19B270F9" w14:textId="77777777" w:rsidR="004B2C60" w:rsidRDefault="004B2C60" w:rsidP="004B2C60">
      <w:pPr>
        <w:rPr>
          <w:sz w:val="20"/>
          <w:szCs w:val="20"/>
        </w:rPr>
      </w:pPr>
    </w:p>
    <w:p w14:paraId="192315FE" w14:textId="77777777" w:rsidR="004B2C60" w:rsidRPr="00173E16" w:rsidRDefault="004B2C60" w:rsidP="004B2C60">
      <w:pPr>
        <w:rPr>
          <w:b/>
          <w:bCs/>
          <w:sz w:val="32"/>
          <w:szCs w:val="32"/>
        </w:rPr>
      </w:pPr>
      <w:r w:rsidRPr="00173E16">
        <w:rPr>
          <w:b/>
          <w:bCs/>
          <w:sz w:val="32"/>
          <w:szCs w:val="32"/>
        </w:rPr>
        <w:t xml:space="preserve">CONCLUSION </w:t>
      </w:r>
    </w:p>
    <w:p w14:paraId="08F35EF6" w14:textId="7BF917B2" w:rsidR="00E35DA3" w:rsidRDefault="004B2C60" w:rsidP="004B2C60">
      <w:pPr>
        <w:rPr>
          <w:sz w:val="20"/>
          <w:szCs w:val="20"/>
        </w:rPr>
      </w:pPr>
      <w:r w:rsidRPr="004B2C60">
        <w:rPr>
          <w:sz w:val="20"/>
          <w:szCs w:val="20"/>
        </w:rPr>
        <w:t xml:space="preserve">The Well-being of Future Generations Act (WFG Act) in Wales represents a pioneering legislative framework aimed at fostering sustainable development and promoting the well-being of current and future generations. Throughout this essay, we have critically examined various aspects of the Act, </w:t>
      </w:r>
      <w:r w:rsidRPr="004B2C60">
        <w:rPr>
          <w:sz w:val="20"/>
          <w:szCs w:val="20"/>
        </w:rPr>
        <w:lastRenderedPageBreak/>
        <w:t>including its objectives, implementation challenges, and the roles of Public Service Boards (PSBs), local authorities (LAs), and initiatives in driving progress towards its goals.</w:t>
      </w:r>
      <w:r w:rsidR="00E35DA3" w:rsidRPr="00E35DA3">
        <w:rPr>
          <w:rFonts w:ascii="Segoe UI" w:eastAsia="Times New Roman" w:hAnsi="Segoe UI" w:cs="Segoe UI"/>
          <w:color w:val="ECECEC"/>
          <w:sz w:val="24"/>
          <w:szCs w:val="24"/>
          <w:lang w:eastAsia="en-GB"/>
        </w:rPr>
        <w:t xml:space="preserve"> </w:t>
      </w:r>
      <w:r w:rsidR="00E35DA3" w:rsidRPr="00E35DA3">
        <w:rPr>
          <w:sz w:val="20"/>
          <w:szCs w:val="20"/>
        </w:rPr>
        <w:t>While the WFG Act holds immense promise for promoting health, well-being, and sustainable development in Wales, it is not without its challenges and limitations. One of the primary critiques is the lack of clarity and specificity in defining and measuring well-being, which makes it difficult to assess the Act's impact accurately. Without clear metrics and indicators, it is challenging for public bodies to evaluate their performance and track progress towards the well-being goals.</w:t>
      </w:r>
    </w:p>
    <w:p w14:paraId="757B9773" w14:textId="58C504E2" w:rsidR="004B2C60" w:rsidRDefault="00E35DA3" w:rsidP="004B2C60">
      <w:pPr>
        <w:rPr>
          <w:sz w:val="20"/>
          <w:szCs w:val="20"/>
        </w:rPr>
      </w:pPr>
      <w:r w:rsidRPr="00E35DA3">
        <w:rPr>
          <w:sz w:val="20"/>
          <w:szCs w:val="20"/>
        </w:rPr>
        <w:t>Additionally, the Act's enforcement mechanisms and accountability measures are perceived to be limited, which raises questions about its effectiveness in driving meaningful change. While public bodies are required to report on their well-being objectives, there are no penalties for non-compliance or failure to achieve targets. This lack of accountability reduces the incentive for public bodies to prioritize well-being considerations in their decision-making processes.</w:t>
      </w:r>
      <w:r w:rsidRPr="00E35DA3">
        <w:rPr>
          <w:rFonts w:ascii="Segoe UI" w:eastAsia="Times New Roman" w:hAnsi="Segoe UI" w:cs="Segoe UI"/>
          <w:color w:val="ECECEC"/>
          <w:sz w:val="24"/>
          <w:szCs w:val="24"/>
          <w:lang w:eastAsia="en-GB"/>
        </w:rPr>
        <w:t xml:space="preserve"> </w:t>
      </w:r>
      <w:r w:rsidRPr="00E35DA3">
        <w:rPr>
          <w:sz w:val="20"/>
          <w:szCs w:val="20"/>
        </w:rPr>
        <w:t>Despite these challenges, PSBs, LAs, and initiatives play crucial roles in supporting the Act's implementation and driving progress towards its objectives. PSBs</w:t>
      </w:r>
      <w:r w:rsidR="00C52DDC" w:rsidRPr="00E35DA3">
        <w:rPr>
          <w:sz w:val="20"/>
          <w:szCs w:val="20"/>
        </w:rPr>
        <w:t xml:space="preserve"> facilitate</w:t>
      </w:r>
      <w:r w:rsidRPr="00E35DA3">
        <w:rPr>
          <w:sz w:val="20"/>
          <w:szCs w:val="20"/>
        </w:rPr>
        <w:t xml:space="preserve"> cross-sectoral collaboration and joint working, bringing together diverse perspectives and expertise to tackle complex issues. LAs, on the other hand, have a unique understanding of local needs and communities, allowing them to tailor services and interventions to ad</w:t>
      </w:r>
      <w:r w:rsidRPr="00E35DA3">
        <w:rPr>
          <w:rFonts w:ascii="Segoe UI" w:eastAsia="Times New Roman" w:hAnsi="Segoe UI" w:cs="Segoe UI"/>
          <w:color w:val="ECECEC"/>
          <w:sz w:val="24"/>
          <w:szCs w:val="24"/>
          <w:lang w:eastAsia="en-GB"/>
        </w:rPr>
        <w:t xml:space="preserve"> </w:t>
      </w:r>
      <w:r w:rsidRPr="00E35DA3">
        <w:rPr>
          <w:sz w:val="20"/>
          <w:szCs w:val="20"/>
        </w:rPr>
        <w:t>Initiatives developed by government agencies, non-profit organizations, and community groups also contribute to promoting health, well-being, and sustainable development in Wales. However, many initiatives face challenges such as funding constraints, limited reach, and sustainability issues, highlighting the need for greater collaboration and partnership working</w:t>
      </w:r>
      <w:r>
        <w:rPr>
          <w:sz w:val="20"/>
          <w:szCs w:val="20"/>
        </w:rPr>
        <w:t xml:space="preserve"> </w:t>
      </w:r>
      <w:r w:rsidRPr="00E35DA3">
        <w:rPr>
          <w:sz w:val="20"/>
          <w:szCs w:val="20"/>
        </w:rPr>
        <w:t>dress specific challenges.</w:t>
      </w:r>
    </w:p>
    <w:p w14:paraId="71A17384" w14:textId="30524047" w:rsidR="00E35DA3" w:rsidRDefault="00E35DA3" w:rsidP="00E35DA3">
      <w:pPr>
        <w:rPr>
          <w:sz w:val="20"/>
          <w:szCs w:val="20"/>
        </w:rPr>
      </w:pPr>
      <w:r w:rsidRPr="00E35DA3">
        <w:rPr>
          <w:sz w:val="20"/>
          <w:szCs w:val="20"/>
        </w:rPr>
        <w:t xml:space="preserve">Moving forward, there is a need for ongoing evaluation and adaptation to ensure that the WFG Act fulfils its potential </w:t>
      </w:r>
      <w:r w:rsidR="00C52DDC">
        <w:rPr>
          <w:sz w:val="20"/>
          <w:szCs w:val="20"/>
        </w:rPr>
        <w:t>to improve</w:t>
      </w:r>
      <w:r w:rsidRPr="00E35DA3">
        <w:rPr>
          <w:sz w:val="20"/>
          <w:szCs w:val="20"/>
        </w:rPr>
        <w:t xml:space="preserve"> the well-being of current and future generations in Wales. This includes clarifying definitions and measures of well-being, strengthening enforcement mechanisms and accountability measures, and enhancing collaboration among stakeholders.</w:t>
      </w:r>
      <w:r w:rsidRPr="00E35DA3">
        <w:rPr>
          <w:rFonts w:ascii="Segoe UI" w:eastAsia="Times New Roman" w:hAnsi="Segoe UI" w:cs="Segoe UI"/>
          <w:color w:val="ECECEC"/>
          <w:sz w:val="24"/>
          <w:szCs w:val="24"/>
          <w:lang w:eastAsia="en-GB"/>
        </w:rPr>
        <w:t xml:space="preserve"> </w:t>
      </w:r>
      <w:r w:rsidRPr="00E35DA3">
        <w:rPr>
          <w:sz w:val="20"/>
          <w:szCs w:val="20"/>
        </w:rPr>
        <w:t>In conclusion, while the WFG Act represents a significant step towards promoting health, well-being, and sustainable development in Wales, it requires concerted efforts from all stakeholders to overcome challenges and drive meaningful change. By working together and leveraging resources and expertise, we can create a prosperous, resilient, and equitable society for all citizens of Wales, both now and in the future.</w:t>
      </w:r>
      <w:r w:rsidR="00A06572">
        <w:rPr>
          <w:sz w:val="20"/>
          <w:szCs w:val="20"/>
        </w:rPr>
        <w:t xml:space="preserve"> </w:t>
      </w:r>
    </w:p>
    <w:p w14:paraId="070E90A2" w14:textId="77777777" w:rsidR="00C727B8" w:rsidRDefault="00C727B8" w:rsidP="00E35DA3">
      <w:pPr>
        <w:rPr>
          <w:sz w:val="20"/>
          <w:szCs w:val="20"/>
        </w:rPr>
      </w:pPr>
    </w:p>
    <w:p w14:paraId="2EED6F7E" w14:textId="77777777" w:rsidR="00C727B8" w:rsidRDefault="00C727B8" w:rsidP="00E35DA3">
      <w:pPr>
        <w:rPr>
          <w:sz w:val="20"/>
          <w:szCs w:val="20"/>
        </w:rPr>
      </w:pPr>
    </w:p>
    <w:p w14:paraId="1F8D8424" w14:textId="0CC9A608" w:rsidR="00C727B8" w:rsidRPr="00173E16" w:rsidRDefault="00173E16" w:rsidP="00E35DA3">
      <w:pPr>
        <w:rPr>
          <w:b/>
          <w:bCs/>
          <w:sz w:val="32"/>
          <w:szCs w:val="32"/>
        </w:rPr>
      </w:pPr>
      <w:r w:rsidRPr="00173E16">
        <w:rPr>
          <w:b/>
          <w:bCs/>
          <w:sz w:val="32"/>
          <w:szCs w:val="32"/>
        </w:rPr>
        <w:t xml:space="preserve">References </w:t>
      </w:r>
    </w:p>
    <w:p w14:paraId="317057D0" w14:textId="24EAC84B" w:rsidR="001B222F"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Assembly Commission, (2015</w:t>
      </w:r>
      <w:r w:rsidRPr="006C7084">
        <w:rPr>
          <w:rFonts w:ascii="Calibri" w:eastAsia="Times New Roman" w:hAnsi="Calibri" w:cs="Times New Roman"/>
          <w:i/>
          <w:iCs/>
          <w:sz w:val="20"/>
          <w:szCs w:val="20"/>
        </w:rPr>
        <w:t>) Well-being of Future Generations (Wales) Act 2015</w:t>
      </w:r>
      <w:r w:rsidRPr="006C7084">
        <w:rPr>
          <w:rFonts w:ascii="Calibri" w:eastAsia="Times New Roman" w:hAnsi="Calibri" w:cs="Times New Roman"/>
          <w:sz w:val="20"/>
          <w:szCs w:val="20"/>
        </w:rPr>
        <w:t>.</w:t>
      </w:r>
    </w:p>
    <w:p w14:paraId="14AD3FA0"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Bevan Foundation, (2020) </w:t>
      </w:r>
      <w:r w:rsidRPr="006C7084">
        <w:rPr>
          <w:rFonts w:ascii="Calibri" w:eastAsia="Times New Roman" w:hAnsi="Calibri" w:cs="Times New Roman"/>
          <w:i/>
          <w:iCs/>
          <w:sz w:val="20"/>
          <w:szCs w:val="20"/>
        </w:rPr>
        <w:t>Poverty in Wales</w:t>
      </w:r>
      <w:r w:rsidRPr="006C7084">
        <w:rPr>
          <w:rFonts w:ascii="Calibri" w:eastAsia="Times New Roman" w:hAnsi="Calibri" w:cs="Times New Roman"/>
          <w:sz w:val="20"/>
          <w:szCs w:val="20"/>
        </w:rPr>
        <w:t>: The Facts.</w:t>
      </w:r>
    </w:p>
    <w:p w14:paraId="4F4548F0" w14:textId="2AD49CE9" w:rsid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Bevan Foundation, (2020) </w:t>
      </w:r>
      <w:r w:rsidRPr="006C7084">
        <w:rPr>
          <w:rFonts w:ascii="Calibri" w:eastAsia="Times New Roman" w:hAnsi="Calibri" w:cs="Times New Roman"/>
          <w:i/>
          <w:iCs/>
          <w:sz w:val="20"/>
          <w:szCs w:val="20"/>
        </w:rPr>
        <w:t>Poverty in Wales</w:t>
      </w:r>
      <w:r w:rsidRPr="006C7084">
        <w:rPr>
          <w:rFonts w:ascii="Calibri" w:eastAsia="Times New Roman" w:hAnsi="Calibri" w:cs="Times New Roman"/>
          <w:sz w:val="20"/>
          <w:szCs w:val="20"/>
        </w:rPr>
        <w:t>: The Facts.</w:t>
      </w:r>
    </w:p>
    <w:p w14:paraId="166B5251" w14:textId="22F2F4F4" w:rsidR="00AF02C5" w:rsidRDefault="00AF02C5" w:rsidP="006C7084">
      <w:pPr>
        <w:spacing w:after="200" w:line="276" w:lineRule="auto"/>
        <w:jc w:val="both"/>
        <w:rPr>
          <w:rFonts w:ascii="Calibri" w:eastAsia="Times New Roman" w:hAnsi="Calibri" w:cs="Times New Roman"/>
          <w:sz w:val="20"/>
          <w:szCs w:val="20"/>
        </w:rPr>
      </w:pPr>
      <w:r w:rsidRPr="00AF02C5">
        <w:rPr>
          <w:rFonts w:ascii="Calibri" w:eastAsia="Times New Roman" w:hAnsi="Calibri" w:cs="Times New Roman"/>
          <w:sz w:val="20"/>
          <w:szCs w:val="20"/>
        </w:rPr>
        <w:t xml:space="preserve">Bickerstaff, K., Walker, G., &amp; Bulkeley, H. (2013). </w:t>
      </w:r>
      <w:r w:rsidRPr="00AF02C5">
        <w:rPr>
          <w:rFonts w:ascii="Calibri" w:eastAsia="Times New Roman" w:hAnsi="Calibri" w:cs="Times New Roman"/>
          <w:i/>
          <w:iCs/>
          <w:sz w:val="20"/>
          <w:szCs w:val="20"/>
        </w:rPr>
        <w:t>Mapping public sector responsibilities for adaptation to the</w:t>
      </w:r>
      <w:r w:rsidRPr="00AF02C5">
        <w:rPr>
          <w:rFonts w:ascii="Calibri" w:eastAsia="Times New Roman" w:hAnsi="Calibri" w:cs="Times New Roman"/>
          <w:sz w:val="20"/>
          <w:szCs w:val="20"/>
        </w:rPr>
        <w:t xml:space="preserve"> </w:t>
      </w:r>
      <w:r w:rsidRPr="00AF02C5">
        <w:rPr>
          <w:rFonts w:ascii="Calibri" w:eastAsia="Times New Roman" w:hAnsi="Calibri" w:cs="Times New Roman"/>
          <w:i/>
          <w:iCs/>
          <w:sz w:val="20"/>
          <w:szCs w:val="20"/>
        </w:rPr>
        <w:t>health impacts of climate change</w:t>
      </w:r>
      <w:r w:rsidRPr="00AF02C5">
        <w:rPr>
          <w:rFonts w:ascii="Calibri" w:eastAsia="Times New Roman" w:hAnsi="Calibri" w:cs="Times New Roman"/>
          <w:sz w:val="20"/>
          <w:szCs w:val="20"/>
        </w:rPr>
        <w:t>. Local Environment, 18(6), 750-762.</w:t>
      </w:r>
    </w:p>
    <w:p w14:paraId="0EF59F69" w14:textId="7795F783"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Development Bank of Wales, (2021) </w:t>
      </w:r>
      <w:r w:rsidRPr="006C7084">
        <w:rPr>
          <w:rFonts w:ascii="Calibri" w:eastAsia="Times New Roman" w:hAnsi="Calibri" w:cs="Times New Roman"/>
          <w:i/>
          <w:iCs/>
          <w:sz w:val="20"/>
          <w:szCs w:val="20"/>
        </w:rPr>
        <w:t>Annual Review</w:t>
      </w:r>
      <w:r w:rsidRPr="006C7084">
        <w:rPr>
          <w:rFonts w:ascii="Calibri" w:eastAsia="Times New Roman" w:hAnsi="Calibri" w:cs="Times New Roman"/>
          <w:sz w:val="20"/>
          <w:szCs w:val="20"/>
        </w:rPr>
        <w:t xml:space="preserve"> 2020-21.</w:t>
      </w:r>
    </w:p>
    <w:p w14:paraId="513B19E7"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Development Bank of Wales, (2021) </w:t>
      </w:r>
      <w:r w:rsidRPr="006C7084">
        <w:rPr>
          <w:rFonts w:ascii="Calibri" w:eastAsia="Times New Roman" w:hAnsi="Calibri" w:cs="Times New Roman"/>
          <w:i/>
          <w:iCs/>
          <w:sz w:val="20"/>
          <w:szCs w:val="20"/>
        </w:rPr>
        <w:t>Annual Review</w:t>
      </w:r>
      <w:r w:rsidRPr="006C7084">
        <w:rPr>
          <w:rFonts w:ascii="Calibri" w:eastAsia="Times New Roman" w:hAnsi="Calibri" w:cs="Times New Roman"/>
          <w:sz w:val="20"/>
          <w:szCs w:val="20"/>
        </w:rPr>
        <w:t xml:space="preserve"> 2020-21.</w:t>
      </w:r>
    </w:p>
    <w:p w14:paraId="4A879FA7" w14:textId="399460D3" w:rsidR="00A50F60" w:rsidRDefault="006C7084" w:rsidP="00C727B8">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Office Government, (2019) </w:t>
      </w:r>
      <w:r w:rsidRPr="006C7084">
        <w:rPr>
          <w:rFonts w:ascii="Calibri" w:eastAsia="Times New Roman" w:hAnsi="Calibri" w:cs="Times New Roman"/>
          <w:i/>
          <w:iCs/>
          <w:sz w:val="20"/>
          <w:szCs w:val="20"/>
        </w:rPr>
        <w:t>Taking Wales forward 2016-2021</w:t>
      </w:r>
      <w:r w:rsidRPr="006C7084">
        <w:rPr>
          <w:rFonts w:ascii="Calibri" w:eastAsia="Times New Roman" w:hAnsi="Calibri" w:cs="Times New Roman"/>
          <w:sz w:val="20"/>
          <w:szCs w:val="20"/>
        </w:rPr>
        <w:t>: Mid-term Review.</w:t>
      </w:r>
    </w:p>
    <w:p w14:paraId="138FCB8F" w14:textId="3B05DBAC" w:rsidR="00A50F60" w:rsidRDefault="00745EFE"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Health Foundation</w:t>
      </w:r>
      <w:r w:rsidRPr="00745EFE">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(2016) </w:t>
      </w:r>
      <w:r w:rsidRPr="00C727B8">
        <w:rPr>
          <w:rFonts w:ascii="Calibri" w:eastAsia="Times New Roman" w:hAnsi="Calibri" w:cs="Times New Roman"/>
          <w:i/>
          <w:iCs/>
          <w:sz w:val="20"/>
          <w:szCs w:val="20"/>
        </w:rPr>
        <w:t>The path to sustainability</w:t>
      </w:r>
      <w:r w:rsidRPr="00C727B8">
        <w:rPr>
          <w:rFonts w:ascii="Calibri" w:eastAsia="Times New Roman" w:hAnsi="Calibri" w:cs="Times New Roman"/>
          <w:sz w:val="20"/>
          <w:szCs w:val="20"/>
        </w:rPr>
        <w:t>. https://www.health.org.uk/publications/reports/the-path-to-sustainability</w:t>
      </w:r>
    </w:p>
    <w:p w14:paraId="5644EDCA" w14:textId="77777777" w:rsidR="00A50F60" w:rsidRDefault="00A50F60" w:rsidP="00A50F60">
      <w:pPr>
        <w:spacing w:after="200" w:line="276" w:lineRule="auto"/>
        <w:jc w:val="both"/>
        <w:rPr>
          <w:rFonts w:ascii="Calibri" w:eastAsia="Times New Roman" w:hAnsi="Calibri" w:cs="Times New Roman"/>
          <w:sz w:val="20"/>
          <w:szCs w:val="20"/>
        </w:rPr>
      </w:pPr>
      <w:r w:rsidRPr="00A50F60">
        <w:rPr>
          <w:rFonts w:ascii="Calibri" w:eastAsia="Times New Roman" w:hAnsi="Calibri" w:cs="Times New Roman"/>
          <w:sz w:val="20"/>
          <w:szCs w:val="20"/>
        </w:rPr>
        <w:lastRenderedPageBreak/>
        <w:t xml:space="preserve">HM Treasury, (2021) Budget 2021: </w:t>
      </w:r>
      <w:r w:rsidRPr="00A50F60">
        <w:rPr>
          <w:rFonts w:ascii="Calibri" w:eastAsia="Times New Roman" w:hAnsi="Calibri" w:cs="Times New Roman"/>
          <w:i/>
          <w:iCs/>
          <w:sz w:val="20"/>
          <w:szCs w:val="20"/>
        </w:rPr>
        <w:t>Protecting the jobs and livelihoods of the British people</w:t>
      </w:r>
      <w:r w:rsidRPr="00A50F60">
        <w:rPr>
          <w:rFonts w:ascii="Calibri" w:eastAsia="Times New Roman" w:hAnsi="Calibri" w:cs="Times New Roman"/>
          <w:sz w:val="20"/>
          <w:szCs w:val="20"/>
        </w:rPr>
        <w:t>. https://assets.publishing.service.gov.uk/government/uploads/system/uploads/attachment_dat a/file/966868/BUDGET_2021_-_web.pdf.</w:t>
      </w:r>
    </w:p>
    <w:p w14:paraId="0DEBCF4E"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Jones, R., &amp; Bristow, G. (2018) </w:t>
      </w:r>
      <w:r w:rsidRPr="006C7084">
        <w:rPr>
          <w:rFonts w:ascii="Calibri" w:eastAsia="Times New Roman" w:hAnsi="Calibri" w:cs="Times New Roman"/>
          <w:i/>
          <w:iCs/>
          <w:sz w:val="20"/>
          <w:szCs w:val="20"/>
        </w:rPr>
        <w:t>The well-being of Future Generations Act</w:t>
      </w:r>
      <w:r w:rsidRPr="006C7084">
        <w:rPr>
          <w:rFonts w:ascii="Calibri" w:eastAsia="Times New Roman" w:hAnsi="Calibri" w:cs="Times New Roman"/>
          <w:sz w:val="20"/>
          <w:szCs w:val="20"/>
        </w:rPr>
        <w:t>: Reflections on its Development, Challenges and Opportunities. Welsh Institute for Health and Social Care. University of South Wales.</w:t>
      </w:r>
    </w:p>
    <w:p w14:paraId="3A9E99FA" w14:textId="5DABFCCC" w:rsidR="007703F5" w:rsidRDefault="00110960" w:rsidP="00745EFE">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Local Government (Wales) Act 1994.</w:t>
      </w:r>
    </w:p>
    <w:p w14:paraId="30F8C5D2" w14:textId="538F46DE" w:rsid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NHS, (2021) Appointments in General Practice - September 2021. </w:t>
      </w:r>
      <w:r w:rsidRPr="00745EFE">
        <w:rPr>
          <w:rFonts w:ascii="Calibri" w:eastAsia="Times New Roman" w:hAnsi="Calibri" w:cs="Times New Roman"/>
          <w:i/>
          <w:iCs/>
          <w:sz w:val="20"/>
          <w:szCs w:val="20"/>
        </w:rPr>
        <w:t>NHS Digital</w:t>
      </w:r>
      <w:r w:rsidRPr="00745EFE">
        <w:rPr>
          <w:rFonts w:ascii="Calibri" w:eastAsia="Times New Roman" w:hAnsi="Calibri" w:cs="Times New Roman"/>
          <w:sz w:val="20"/>
          <w:szCs w:val="20"/>
        </w:rPr>
        <w:t xml:space="preserve">: </w:t>
      </w:r>
      <w:hyperlink r:id="rId7" w:anchor="resources" w:history="1">
        <w:r w:rsidRPr="00745EFE">
          <w:rPr>
            <w:rStyle w:val="Hyperlink"/>
            <w:rFonts w:ascii="Calibri" w:eastAsia="Times New Roman" w:hAnsi="Calibri" w:cs="Times New Roman"/>
            <w:sz w:val="20"/>
            <w:szCs w:val="20"/>
          </w:rPr>
          <w:t>https://digital.nhs.uk/data-and-information/publications/statistical/appointments-in-genera-practice/september-2021#resources</w:t>
        </w:r>
      </w:hyperlink>
      <w:r w:rsidRPr="00745EFE">
        <w:rPr>
          <w:rFonts w:ascii="Calibri" w:eastAsia="Times New Roman" w:hAnsi="Calibri" w:cs="Times New Roman"/>
          <w:sz w:val="20"/>
          <w:szCs w:val="20"/>
        </w:rPr>
        <w:t>.</w:t>
      </w:r>
    </w:p>
    <w:p w14:paraId="6A599677" w14:textId="16CFDD54" w:rsidR="00745EFE" w:rsidRPr="00C727B8"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NRW, (2020) </w:t>
      </w:r>
      <w:r w:rsidRPr="00C727B8">
        <w:rPr>
          <w:rFonts w:ascii="Calibri" w:eastAsia="Times New Roman" w:hAnsi="Calibri" w:cs="Times New Roman"/>
          <w:sz w:val="20"/>
          <w:szCs w:val="20"/>
        </w:rPr>
        <w:t>ONS</w:t>
      </w:r>
      <w:r w:rsidRPr="00745EFE">
        <w:rPr>
          <w:rFonts w:ascii="Calibri" w:eastAsia="Times New Roman" w:hAnsi="Calibri" w:cs="Times New Roman"/>
          <w:sz w:val="20"/>
          <w:szCs w:val="20"/>
        </w:rPr>
        <w:t>,</w:t>
      </w:r>
      <w:r w:rsidRPr="00C727B8">
        <w:rPr>
          <w:rFonts w:ascii="Calibri" w:eastAsia="Times New Roman" w:hAnsi="Calibri" w:cs="Times New Roman"/>
          <w:sz w:val="20"/>
          <w:szCs w:val="20"/>
        </w:rPr>
        <w:t xml:space="preserve"> (2021) </w:t>
      </w:r>
      <w:r w:rsidRPr="00C727B8">
        <w:rPr>
          <w:rFonts w:ascii="Calibri" w:eastAsia="Times New Roman" w:hAnsi="Calibri" w:cs="Times New Roman"/>
          <w:i/>
          <w:iCs/>
          <w:sz w:val="20"/>
          <w:szCs w:val="20"/>
        </w:rPr>
        <w:t xml:space="preserve">Health state life expectancies by national </w:t>
      </w:r>
      <w:r w:rsidRPr="00745EFE">
        <w:rPr>
          <w:rFonts w:ascii="Calibri" w:eastAsia="Times New Roman" w:hAnsi="Calibri" w:cs="Times New Roman"/>
          <w:i/>
          <w:iCs/>
          <w:sz w:val="20"/>
          <w:szCs w:val="20"/>
        </w:rPr>
        <w:t>deprivation</w:t>
      </w:r>
      <w:r w:rsidRPr="00C727B8">
        <w:rPr>
          <w:rFonts w:ascii="Calibri" w:eastAsia="Times New Roman" w:hAnsi="Calibri" w:cs="Times New Roman"/>
          <w:i/>
          <w:iCs/>
          <w:sz w:val="20"/>
          <w:szCs w:val="20"/>
        </w:rPr>
        <w:t xml:space="preserve"> deciles, Wales</w:t>
      </w:r>
      <w:r w:rsidRPr="00C727B8">
        <w:rPr>
          <w:rFonts w:ascii="Calibri" w:eastAsia="Times New Roman" w:hAnsi="Calibri" w:cs="Times New Roman"/>
          <w:sz w:val="20"/>
          <w:szCs w:val="20"/>
        </w:rPr>
        <w:t xml:space="preserve">: 2017 to 2019. Online: Office for National Statistics. </w:t>
      </w:r>
      <w:hyperlink r:id="rId8" w:history="1">
        <w:r w:rsidRPr="00C727B8">
          <w:rPr>
            <w:rStyle w:val="Hyperlink"/>
            <w:rFonts w:ascii="Calibri" w:eastAsia="Times New Roman" w:hAnsi="Calibri" w:cs="Times New Roman"/>
            <w:sz w:val="20"/>
            <w:szCs w:val="20"/>
          </w:rPr>
          <w:t xml:space="preserve">https://www.ons.giv.uk/peoplepopulationand community/heathland </w:t>
        </w:r>
        <w:r w:rsidRPr="00745EFE">
          <w:rPr>
            <w:rStyle w:val="Hyperlink"/>
            <w:rFonts w:ascii="Calibri" w:eastAsia="Times New Roman" w:hAnsi="Calibri" w:cs="Times New Roman"/>
            <w:sz w:val="20"/>
            <w:szCs w:val="20"/>
          </w:rPr>
          <w:t>social care</w:t>
        </w:r>
        <w:r w:rsidRPr="00C727B8">
          <w:rPr>
            <w:rStyle w:val="Hyperlink"/>
            <w:rFonts w:ascii="Calibri" w:eastAsia="Times New Roman" w:hAnsi="Calibri" w:cs="Times New Roman"/>
            <w:sz w:val="20"/>
            <w:szCs w:val="20"/>
          </w:rPr>
          <w:t>/</w:t>
        </w:r>
        <w:r w:rsidRPr="00745EFE">
          <w:rPr>
            <w:rStyle w:val="Hyperlink"/>
            <w:rFonts w:ascii="Calibri" w:eastAsia="Times New Roman" w:hAnsi="Calibri" w:cs="Times New Roman"/>
            <w:sz w:val="20"/>
            <w:szCs w:val="20"/>
          </w:rPr>
          <w:t>health inequalities</w:t>
        </w:r>
        <w:r w:rsidRPr="00C727B8">
          <w:rPr>
            <w:rStyle w:val="Hyperlink"/>
            <w:rFonts w:ascii="Calibri" w:eastAsia="Times New Roman" w:hAnsi="Calibri" w:cs="Times New Roman"/>
            <w:sz w:val="20"/>
            <w:szCs w:val="20"/>
          </w:rPr>
          <w:t>/bulletins/healthstatelifeexpectanciesbynationaldeprivationdecileswales/2017to2019</w:t>
        </w:r>
      </w:hyperlink>
      <w:r w:rsidRPr="00C727B8">
        <w:rPr>
          <w:rFonts w:ascii="Calibri" w:eastAsia="Times New Roman" w:hAnsi="Calibri" w:cs="Times New Roman"/>
          <w:sz w:val="20"/>
          <w:szCs w:val="20"/>
        </w:rPr>
        <w:t xml:space="preserve">. </w:t>
      </w:r>
    </w:p>
    <w:p w14:paraId="17173A31" w14:textId="2E82CE48" w:rsidR="00110960" w:rsidRPr="00C727B8" w:rsidRDefault="006C7084" w:rsidP="00901487">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Office for National Statistics, (2021) </w:t>
      </w:r>
      <w:r w:rsidRPr="006C7084">
        <w:rPr>
          <w:rFonts w:ascii="Calibri" w:eastAsia="Times New Roman" w:hAnsi="Calibri" w:cs="Times New Roman"/>
          <w:i/>
          <w:iCs/>
          <w:sz w:val="20"/>
          <w:szCs w:val="20"/>
        </w:rPr>
        <w:t>Measuring National well-being</w:t>
      </w:r>
      <w:r w:rsidRPr="006C7084">
        <w:rPr>
          <w:rFonts w:ascii="Calibri" w:eastAsia="Times New Roman" w:hAnsi="Calibri" w:cs="Times New Roman"/>
          <w:sz w:val="20"/>
          <w:szCs w:val="20"/>
        </w:rPr>
        <w:t>: Insights into well-being in Wales.</w:t>
      </w:r>
    </w:p>
    <w:p w14:paraId="638E10B5" w14:textId="77777777" w:rsidR="00901487" w:rsidRP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 ONS, (2019) Principal projection - </w:t>
      </w:r>
      <w:r w:rsidRPr="00901487">
        <w:rPr>
          <w:rFonts w:ascii="Calibri" w:eastAsia="Times New Roman" w:hAnsi="Calibri" w:cs="Times New Roman"/>
          <w:i/>
          <w:iCs/>
          <w:sz w:val="20"/>
          <w:szCs w:val="20"/>
        </w:rPr>
        <w:t>UK population in age groups. Office for National Statistics: Future Trends Report Wales 2021 43</w:t>
      </w:r>
      <w:r w:rsidRPr="00901487">
        <w:rPr>
          <w:rFonts w:ascii="Calibri" w:eastAsia="Times New Roman" w:hAnsi="Calibri" w:cs="Times New Roman"/>
          <w:sz w:val="20"/>
          <w:szCs w:val="20"/>
        </w:rPr>
        <w:t xml:space="preserve"> https://www.ons.gov.uk/peoplepopulationandcommunity/populationandmigration/populationpr objections/datasets/tablea21principalprojectionukpopulationinagegroups.</w:t>
      </w:r>
    </w:p>
    <w:p w14:paraId="5C23CAA4" w14:textId="77777777" w:rsidR="00901487" w:rsidRP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 ONS, (2021) </w:t>
      </w:r>
      <w:r w:rsidRPr="00901487">
        <w:rPr>
          <w:rFonts w:ascii="Calibri" w:eastAsia="Times New Roman" w:hAnsi="Calibri" w:cs="Times New Roman"/>
          <w:i/>
          <w:iCs/>
          <w:sz w:val="20"/>
          <w:szCs w:val="20"/>
        </w:rPr>
        <w:t>Labour productivity time series</w:t>
      </w:r>
      <w:r w:rsidRPr="00901487">
        <w:rPr>
          <w:rFonts w:ascii="Calibri" w:eastAsia="Times New Roman" w:hAnsi="Calibri" w:cs="Times New Roman"/>
          <w:sz w:val="20"/>
          <w:szCs w:val="20"/>
        </w:rPr>
        <w:t xml:space="preserve">. Office for National Statistics: </w:t>
      </w:r>
      <w:hyperlink r:id="rId9" w:history="1">
        <w:r w:rsidRPr="00901487">
          <w:rPr>
            <w:rStyle w:val="Hyperlink"/>
            <w:rFonts w:ascii="Calibri" w:eastAsia="Times New Roman" w:hAnsi="Calibri" w:cs="Times New Roman"/>
            <w:sz w:val="20"/>
            <w:szCs w:val="20"/>
          </w:rPr>
          <w:t>https://www.ons.gov.uk/employmentandlabourmarket/peopleinwork/labourproductivity/datase</w:t>
        </w:r>
      </w:hyperlink>
      <w:r w:rsidRPr="00901487">
        <w:rPr>
          <w:rFonts w:ascii="Calibri" w:eastAsia="Times New Roman" w:hAnsi="Calibri" w:cs="Times New Roman"/>
          <w:sz w:val="20"/>
          <w:szCs w:val="20"/>
        </w:rPr>
        <w:t>.</w:t>
      </w:r>
    </w:p>
    <w:p w14:paraId="6421DC14" w14:textId="77777777" w:rsidR="00901487" w:rsidRP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 Welsh Government, (2021) </w:t>
      </w:r>
      <w:r w:rsidRPr="00901487">
        <w:rPr>
          <w:rFonts w:ascii="Calibri" w:eastAsia="Times New Roman" w:hAnsi="Calibri" w:cs="Times New Roman"/>
          <w:i/>
          <w:iCs/>
          <w:sz w:val="20"/>
          <w:szCs w:val="20"/>
        </w:rPr>
        <w:t>National Survey for Wales: Results viewer</w:t>
      </w:r>
      <w:r w:rsidRPr="00901487">
        <w:rPr>
          <w:rFonts w:ascii="Calibri" w:eastAsia="Times New Roman" w:hAnsi="Calibri" w:cs="Times New Roman"/>
          <w:sz w:val="20"/>
          <w:szCs w:val="20"/>
        </w:rPr>
        <w:t xml:space="preserve">. Welsh Government: </w:t>
      </w:r>
      <w:hyperlink r:id="rId10" w:history="1">
        <w:r w:rsidRPr="00901487">
          <w:rPr>
            <w:rStyle w:val="Hyperlink"/>
            <w:rFonts w:ascii="Calibri" w:eastAsia="Times New Roman" w:hAnsi="Calibri" w:cs="Times New Roman"/>
            <w:sz w:val="20"/>
            <w:szCs w:val="20"/>
          </w:rPr>
          <w:t>https://gov.wales/national-survey-wales-results-viewer</w:t>
        </w:r>
      </w:hyperlink>
      <w:r w:rsidRPr="00901487">
        <w:rPr>
          <w:rFonts w:ascii="Calibri" w:eastAsia="Times New Roman" w:hAnsi="Calibri" w:cs="Times New Roman"/>
          <w:sz w:val="20"/>
          <w:szCs w:val="20"/>
        </w:rPr>
        <w:t>.</w:t>
      </w:r>
    </w:p>
    <w:p w14:paraId="4BF37CEA" w14:textId="0204D7B1" w:rsidR="00745EFE" w:rsidRP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te-of-naturalresources-report-sonarr-for-wales-2020/sonarr2020-bridges-to-the-future/?lang=en.</w:t>
      </w:r>
    </w:p>
    <w:p w14:paraId="3ED8124D" w14:textId="5A158C70" w:rsidR="00901487" w:rsidRP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OBR, (2021) </w:t>
      </w:r>
      <w:r w:rsidRPr="00745EFE">
        <w:rPr>
          <w:rFonts w:ascii="Calibri" w:eastAsia="Times New Roman" w:hAnsi="Calibri" w:cs="Times New Roman"/>
          <w:i/>
          <w:iCs/>
          <w:sz w:val="20"/>
          <w:szCs w:val="20"/>
        </w:rPr>
        <w:t>Economic and fiscal outlook: March 2021. Office for Budget Responsibility</w:t>
      </w:r>
      <w:r w:rsidRPr="00745EFE">
        <w:rPr>
          <w:rFonts w:ascii="Calibri" w:eastAsia="Times New Roman" w:hAnsi="Calibri" w:cs="Times New Roman"/>
          <w:sz w:val="20"/>
          <w:szCs w:val="20"/>
        </w:rPr>
        <w:t xml:space="preserve">. </w:t>
      </w:r>
      <w:hyperlink r:id="rId11" w:history="1">
        <w:r w:rsidRPr="00745EFE">
          <w:rPr>
            <w:rStyle w:val="Hyperlink"/>
            <w:rFonts w:ascii="Calibri" w:eastAsia="Times New Roman" w:hAnsi="Calibri" w:cs="Times New Roman"/>
            <w:sz w:val="20"/>
            <w:szCs w:val="20"/>
          </w:rPr>
          <w:t>https://obr.uk/efo/economic-and-fiscal-outlook-march-2021/</w:t>
        </w:r>
      </w:hyperlink>
      <w:r w:rsidR="00901487">
        <w:rPr>
          <w:rFonts w:ascii="Calibri" w:eastAsia="Times New Roman" w:hAnsi="Calibri" w:cs="Times New Roman"/>
          <w:sz w:val="20"/>
          <w:szCs w:val="20"/>
        </w:rPr>
        <w:t>.</w:t>
      </w:r>
    </w:p>
    <w:p w14:paraId="01D81FA5" w14:textId="189974D7" w:rsidR="00A50F60" w:rsidRDefault="00745EFE"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ONS</w:t>
      </w:r>
      <w:r w:rsidRPr="00745EFE">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(2019a) Expectation of life, principal projection, Wales. Office for National Statistics: https://www.ons.gov.uk/peoplepopulationandcommunity/birthsdeathsandmarriages/lifeexpect </w:t>
      </w:r>
      <w:r w:rsidRPr="00745EFE">
        <w:rPr>
          <w:rFonts w:ascii="Calibri" w:eastAsia="Times New Roman" w:hAnsi="Calibri" w:cs="Times New Roman"/>
          <w:sz w:val="20"/>
          <w:szCs w:val="20"/>
        </w:rPr>
        <w:t>anciles</w:t>
      </w:r>
      <w:r w:rsidRPr="00C727B8">
        <w:rPr>
          <w:rFonts w:ascii="Calibri" w:eastAsia="Times New Roman" w:hAnsi="Calibri" w:cs="Times New Roman"/>
          <w:sz w:val="20"/>
          <w:szCs w:val="20"/>
        </w:rPr>
        <w:t>/datasets/</w:t>
      </w:r>
      <w:proofErr w:type="spellStart"/>
      <w:r w:rsidRPr="00C727B8">
        <w:rPr>
          <w:rFonts w:ascii="Calibri" w:eastAsia="Times New Roman" w:hAnsi="Calibri" w:cs="Times New Roman"/>
          <w:sz w:val="20"/>
          <w:szCs w:val="20"/>
        </w:rPr>
        <w:t>expectationoflifeprincipalprojectionwales</w:t>
      </w:r>
      <w:proofErr w:type="spellEnd"/>
      <w:r w:rsidR="00A90913">
        <w:rPr>
          <w:rFonts w:ascii="Calibri" w:eastAsia="Times New Roman" w:hAnsi="Calibri" w:cs="Times New Roman"/>
          <w:sz w:val="20"/>
          <w:szCs w:val="20"/>
        </w:rPr>
        <w:t>.</w:t>
      </w:r>
    </w:p>
    <w:p w14:paraId="4C319BE7" w14:textId="5E863D05" w:rsidR="00A90913" w:rsidRDefault="00A90913" w:rsidP="00C727B8">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Office Government, (2019) </w:t>
      </w:r>
      <w:r w:rsidRPr="00A90913">
        <w:rPr>
          <w:rFonts w:ascii="Calibri" w:eastAsia="Times New Roman" w:hAnsi="Calibri" w:cs="Times New Roman"/>
          <w:i/>
          <w:iCs/>
          <w:sz w:val="20"/>
          <w:szCs w:val="20"/>
        </w:rPr>
        <w:t>Taking Wales forward 2016-2021</w:t>
      </w:r>
      <w:r w:rsidRPr="00A90913">
        <w:rPr>
          <w:rFonts w:ascii="Calibri" w:eastAsia="Times New Roman" w:hAnsi="Calibri" w:cs="Times New Roman"/>
          <w:sz w:val="20"/>
          <w:szCs w:val="20"/>
        </w:rPr>
        <w:t>: Mid-term Review.</w:t>
      </w:r>
    </w:p>
    <w:p w14:paraId="129F31D7" w14:textId="7622F11E" w:rsidR="00745EFE" w:rsidRDefault="00745EFE" w:rsidP="00C727B8">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ONS, (2020) Internet access - households and individuals. </w:t>
      </w:r>
      <w:r w:rsidRPr="00745EFE">
        <w:rPr>
          <w:rFonts w:ascii="Calibri" w:eastAsia="Times New Roman" w:hAnsi="Calibri" w:cs="Times New Roman"/>
          <w:i/>
          <w:iCs/>
          <w:sz w:val="20"/>
          <w:szCs w:val="20"/>
        </w:rPr>
        <w:t>Office for National Statistics</w:t>
      </w:r>
      <w:r w:rsidRPr="00745EFE">
        <w:rPr>
          <w:rFonts w:ascii="Calibri" w:eastAsia="Times New Roman" w:hAnsi="Calibri" w:cs="Times New Roman"/>
          <w:sz w:val="20"/>
          <w:szCs w:val="20"/>
        </w:rPr>
        <w:t>: https://www.ons.gov.uk/peoplepopulationandcommunity/householdcharacteristics/homeintern etandsocialmediausage/datasets/internetaccesshouseholdsandindividualsreferencetables.</w:t>
      </w:r>
    </w:p>
    <w:p w14:paraId="4F7AD275" w14:textId="01FC9161" w:rsid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Oxfam, (2015) </w:t>
      </w:r>
      <w:r w:rsidRPr="00745EFE">
        <w:rPr>
          <w:rFonts w:ascii="Calibri" w:eastAsia="Times New Roman" w:hAnsi="Calibri" w:cs="Times New Roman"/>
          <w:i/>
          <w:iCs/>
          <w:sz w:val="20"/>
          <w:szCs w:val="20"/>
        </w:rPr>
        <w:t>Carbon emissions and income inequality</w:t>
      </w:r>
      <w:r w:rsidRPr="00745EFE">
        <w:rPr>
          <w:rFonts w:ascii="Calibri" w:eastAsia="Times New Roman" w:hAnsi="Calibri" w:cs="Times New Roman"/>
          <w:sz w:val="20"/>
          <w:szCs w:val="20"/>
        </w:rPr>
        <w:t xml:space="preserve">. Oxfam Library. </w:t>
      </w:r>
      <w:hyperlink r:id="rId12" w:history="1">
        <w:r w:rsidR="00A90913" w:rsidRPr="00745EFE">
          <w:rPr>
            <w:rStyle w:val="Hyperlink"/>
            <w:rFonts w:ascii="Calibri" w:eastAsia="Times New Roman" w:hAnsi="Calibri" w:cs="Times New Roman"/>
            <w:sz w:val="20"/>
            <w:szCs w:val="20"/>
          </w:rPr>
          <w:t>https://oxfamilibrary.openrepository.com/bitstream/handle/10546/582545/tb-carbonemissions-inequality-methodology-021215-en.pdf?sequence=2</w:t>
        </w:r>
      </w:hyperlink>
      <w:r w:rsidRPr="00745EFE">
        <w:rPr>
          <w:rFonts w:ascii="Calibri" w:eastAsia="Times New Roman" w:hAnsi="Calibri" w:cs="Times New Roman"/>
          <w:sz w:val="20"/>
          <w:szCs w:val="20"/>
        </w:rPr>
        <w:t>.</w:t>
      </w:r>
    </w:p>
    <w:p w14:paraId="5C6C5489" w14:textId="285D6CCB" w:rsidR="007703F5" w:rsidRDefault="007703F5" w:rsidP="00745EFE">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Public Health Wales. (2019). Assessing the health and well-being impacts of the Well-being of Future Generations (Wales) Act 2015</w:t>
      </w:r>
      <w:r w:rsidRPr="007703F5">
        <w:rPr>
          <w:rFonts w:ascii="Calibri" w:eastAsia="Times New Roman" w:hAnsi="Calibri" w:cs="Times New Roman"/>
          <w:i/>
          <w:iCs/>
          <w:sz w:val="20"/>
          <w:szCs w:val="20"/>
        </w:rPr>
        <w:t>: A summary</w:t>
      </w:r>
      <w:r>
        <w:rPr>
          <w:rFonts w:ascii="Calibri" w:eastAsia="Times New Roman" w:hAnsi="Calibri" w:cs="Times New Roman"/>
          <w:i/>
          <w:iCs/>
          <w:sz w:val="20"/>
          <w:szCs w:val="20"/>
        </w:rPr>
        <w:t>.</w:t>
      </w:r>
    </w:p>
    <w:p w14:paraId="505A3562" w14:textId="77777777" w:rsidR="006C7084" w:rsidRPr="006C7084" w:rsidRDefault="006C7084" w:rsidP="006C7084">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Public Health Wales, (2021) The Health and well-being of the People of Wales: Annual Report.</w:t>
      </w:r>
    </w:p>
    <w:p w14:paraId="12723999" w14:textId="0C5351C0" w:rsidR="006C7084" w:rsidRDefault="006C7084" w:rsidP="00745EFE">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lastRenderedPageBreak/>
        <w:t>Public Health Wales, (2021) The Health and well-being of the People of Wales: Annual Report.</w:t>
      </w:r>
    </w:p>
    <w:p w14:paraId="4369F4C9" w14:textId="58D5CEC6" w:rsidR="00A90913" w:rsidRPr="00745EFE" w:rsidRDefault="00A90913" w:rsidP="00745EFE">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Public Health Wales, (2021) The Health and well-being of the People of Wales: Annual Report.</w:t>
      </w:r>
    </w:p>
    <w:p w14:paraId="64DDA5B3" w14:textId="77777777" w:rsidR="00745EFE" w:rsidRPr="00745EFE" w:rsidRDefault="00745EFE" w:rsidP="00745EFE">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Public Health Network Cymru, (2023) </w:t>
      </w:r>
      <w:r w:rsidRPr="00745EFE">
        <w:rPr>
          <w:rFonts w:ascii="Calibri" w:eastAsia="Times New Roman" w:hAnsi="Calibri" w:cs="Times New Roman"/>
          <w:i/>
          <w:iCs/>
          <w:sz w:val="20"/>
          <w:szCs w:val="20"/>
        </w:rPr>
        <w:t>Smoking and Vaping</w:t>
      </w:r>
      <w:r w:rsidRPr="00745EFE">
        <w:rPr>
          <w:rFonts w:ascii="Calibri" w:eastAsia="Times New Roman" w:hAnsi="Calibri" w:cs="Times New Roman"/>
          <w:sz w:val="20"/>
          <w:szCs w:val="20"/>
        </w:rPr>
        <w:t xml:space="preserve">. [Online] Available at: </w:t>
      </w:r>
      <w:hyperlink r:id="rId13" w:history="1">
        <w:r w:rsidRPr="00745EFE">
          <w:rPr>
            <w:rStyle w:val="Hyperlink"/>
            <w:rFonts w:ascii="Calibri" w:eastAsia="Times New Roman" w:hAnsi="Calibri" w:cs="Times New Roman"/>
            <w:sz w:val="20"/>
            <w:szCs w:val="20"/>
          </w:rPr>
          <w:t>https://publichealthnetwork.cymru/topic/smoking-and-vaping/#:~:text=The%20National%20Survey%20for%20Wales,up%20from%203%25%20in%202019</w:t>
        </w:r>
      </w:hyperlink>
      <w:r w:rsidRPr="00745EFE">
        <w:rPr>
          <w:rFonts w:ascii="Calibri" w:eastAsia="Times New Roman" w:hAnsi="Calibri" w:cs="Times New Roman"/>
          <w:sz w:val="20"/>
          <w:szCs w:val="20"/>
        </w:rPr>
        <w:t>. Accessed 30</w:t>
      </w:r>
      <w:r w:rsidRPr="00745EFE">
        <w:rPr>
          <w:rFonts w:ascii="Calibri" w:eastAsia="Times New Roman" w:hAnsi="Calibri" w:cs="Times New Roman"/>
          <w:sz w:val="20"/>
          <w:szCs w:val="20"/>
          <w:vertAlign w:val="superscript"/>
        </w:rPr>
        <w:t>th</w:t>
      </w:r>
      <w:r w:rsidRPr="00745EFE">
        <w:rPr>
          <w:rFonts w:ascii="Calibri" w:eastAsia="Times New Roman" w:hAnsi="Calibri" w:cs="Times New Roman"/>
          <w:sz w:val="20"/>
          <w:szCs w:val="20"/>
        </w:rPr>
        <w:t xml:space="preserve"> August 2023. </w:t>
      </w:r>
    </w:p>
    <w:p w14:paraId="5995A9B1" w14:textId="0AC8B784" w:rsidR="00A50F60" w:rsidRDefault="00745EFE" w:rsidP="00C727B8">
      <w:pPr>
        <w:spacing w:after="200" w:line="276" w:lineRule="auto"/>
        <w:jc w:val="both"/>
        <w:rPr>
          <w:rFonts w:ascii="Calibri" w:eastAsia="Times New Roman" w:hAnsi="Calibri" w:cs="Times New Roman"/>
          <w:sz w:val="20"/>
          <w:szCs w:val="20"/>
        </w:rPr>
      </w:pPr>
      <w:r w:rsidRPr="00745EFE">
        <w:rPr>
          <w:rFonts w:ascii="Calibri" w:eastAsia="Times New Roman" w:hAnsi="Calibri" w:cs="Times New Roman"/>
          <w:sz w:val="20"/>
          <w:szCs w:val="20"/>
        </w:rPr>
        <w:t xml:space="preserve">Social Care Cymru, (2023) </w:t>
      </w:r>
      <w:r w:rsidRPr="00745EFE">
        <w:rPr>
          <w:rFonts w:ascii="Calibri" w:eastAsia="Times New Roman" w:hAnsi="Calibri" w:cs="Times New Roman"/>
          <w:i/>
          <w:iCs/>
          <w:sz w:val="20"/>
          <w:szCs w:val="20"/>
        </w:rPr>
        <w:t>Social Services and Well-being (Wales) Act 2014</w:t>
      </w:r>
      <w:r w:rsidRPr="00745EFE">
        <w:rPr>
          <w:rFonts w:ascii="Calibri" w:eastAsia="Times New Roman" w:hAnsi="Calibri" w:cs="Times New Roman"/>
          <w:sz w:val="20"/>
          <w:szCs w:val="20"/>
        </w:rPr>
        <w:t xml:space="preserve">. [Online] Available at: </w:t>
      </w:r>
      <w:hyperlink r:id="rId14" w:history="1">
        <w:r w:rsidRPr="00745EFE">
          <w:rPr>
            <w:rStyle w:val="Hyperlink"/>
            <w:rFonts w:ascii="Calibri" w:eastAsia="Times New Roman" w:hAnsi="Calibri" w:cs="Times New Roman"/>
            <w:sz w:val="20"/>
            <w:szCs w:val="20"/>
          </w:rPr>
          <w:t>https://socialcare.wales/resources-guidance/information-and-learning-hub/sswbact/overview</w:t>
        </w:r>
      </w:hyperlink>
      <w:r w:rsidRPr="00745EFE">
        <w:rPr>
          <w:rFonts w:ascii="Calibri" w:eastAsia="Times New Roman" w:hAnsi="Calibri" w:cs="Times New Roman"/>
          <w:sz w:val="20"/>
          <w:szCs w:val="20"/>
        </w:rPr>
        <w:t>. Accessed 30</w:t>
      </w:r>
      <w:r w:rsidRPr="00745EFE">
        <w:rPr>
          <w:rFonts w:ascii="Calibri" w:eastAsia="Times New Roman" w:hAnsi="Calibri" w:cs="Times New Roman"/>
          <w:sz w:val="20"/>
          <w:szCs w:val="20"/>
          <w:vertAlign w:val="superscript"/>
        </w:rPr>
        <w:t>th</w:t>
      </w:r>
      <w:r w:rsidRPr="00745EFE">
        <w:rPr>
          <w:rFonts w:ascii="Calibri" w:eastAsia="Times New Roman" w:hAnsi="Calibri" w:cs="Times New Roman"/>
          <w:sz w:val="20"/>
          <w:szCs w:val="20"/>
        </w:rPr>
        <w:t xml:space="preserve"> August 2023.</w:t>
      </w:r>
    </w:p>
    <w:p w14:paraId="081EC97C" w14:textId="6B3078CB" w:rsidR="006C7084" w:rsidRDefault="006C7084" w:rsidP="00C727B8">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sz w:val="20"/>
          <w:szCs w:val="20"/>
        </w:rPr>
        <w:t xml:space="preserve">Sustainable Development Commission, (2016) </w:t>
      </w:r>
      <w:r w:rsidRPr="006C7084">
        <w:rPr>
          <w:rFonts w:ascii="Calibri" w:eastAsia="Times New Roman" w:hAnsi="Calibri" w:cs="Times New Roman"/>
          <w:i/>
          <w:iCs/>
          <w:sz w:val="20"/>
          <w:szCs w:val="20"/>
        </w:rPr>
        <w:t>The Well-being of Future Generations</w:t>
      </w:r>
      <w:r w:rsidRPr="006C7084">
        <w:rPr>
          <w:rFonts w:ascii="Calibri" w:eastAsia="Times New Roman" w:hAnsi="Calibri" w:cs="Times New Roman"/>
          <w:sz w:val="20"/>
          <w:szCs w:val="20"/>
        </w:rPr>
        <w:t xml:space="preserve"> Act: A guide to the requirements for public bodies in Wales.</w:t>
      </w:r>
    </w:p>
    <w:p w14:paraId="4A966EAA" w14:textId="5E635332" w:rsidR="007703F5" w:rsidRDefault="007703F5" w:rsidP="00C727B8">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 xml:space="preserve">Sustainable Development Commission. (2018). </w:t>
      </w:r>
      <w:r w:rsidRPr="007703F5">
        <w:rPr>
          <w:rFonts w:ascii="Calibri" w:eastAsia="Times New Roman" w:hAnsi="Calibri" w:cs="Times New Roman"/>
          <w:i/>
          <w:iCs/>
          <w:sz w:val="20"/>
          <w:szCs w:val="20"/>
        </w:rPr>
        <w:t>The Well-being of Future Generations Act:</w:t>
      </w:r>
      <w:r w:rsidRPr="007703F5">
        <w:rPr>
          <w:rFonts w:ascii="Calibri" w:eastAsia="Times New Roman" w:hAnsi="Calibri" w:cs="Times New Roman"/>
          <w:sz w:val="20"/>
          <w:szCs w:val="20"/>
        </w:rPr>
        <w:t xml:space="preserve"> One Year On.</w:t>
      </w:r>
    </w:p>
    <w:p w14:paraId="26E738BD" w14:textId="3D96FF61" w:rsidR="006C7084" w:rsidRDefault="006C7084" w:rsidP="00C727B8">
      <w:pPr>
        <w:spacing w:after="200" w:line="276" w:lineRule="auto"/>
        <w:jc w:val="both"/>
        <w:rPr>
          <w:rFonts w:ascii="Calibri" w:eastAsia="Times New Roman" w:hAnsi="Calibri" w:cs="Times New Roman"/>
          <w:sz w:val="20"/>
          <w:szCs w:val="20"/>
        </w:rPr>
      </w:pPr>
      <w:r w:rsidRPr="006C7084">
        <w:rPr>
          <w:rFonts w:ascii="Calibri" w:eastAsia="Times New Roman" w:hAnsi="Calibri" w:cs="Times New Roman"/>
          <w:i/>
          <w:iCs/>
          <w:sz w:val="20"/>
          <w:szCs w:val="20"/>
        </w:rPr>
        <w:t>The Bevan Foundation</w:t>
      </w:r>
      <w:r w:rsidRPr="006C7084">
        <w:rPr>
          <w:rFonts w:ascii="Calibri" w:eastAsia="Times New Roman" w:hAnsi="Calibri" w:cs="Times New Roman"/>
          <w:sz w:val="20"/>
          <w:szCs w:val="20"/>
        </w:rPr>
        <w:t>, (2020).</w:t>
      </w:r>
    </w:p>
    <w:p w14:paraId="0BC56833" w14:textId="4959F7BA" w:rsidR="007703F5" w:rsidRDefault="007703F5" w:rsidP="00C727B8">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 xml:space="preserve">The </w:t>
      </w:r>
      <w:r w:rsidRPr="007703F5">
        <w:rPr>
          <w:rFonts w:ascii="Calibri" w:eastAsia="Times New Roman" w:hAnsi="Calibri" w:cs="Times New Roman"/>
          <w:i/>
          <w:iCs/>
          <w:sz w:val="20"/>
          <w:szCs w:val="20"/>
        </w:rPr>
        <w:t>Well-being of Future Generations</w:t>
      </w:r>
      <w:r w:rsidRPr="007703F5">
        <w:rPr>
          <w:rFonts w:ascii="Calibri" w:eastAsia="Times New Roman" w:hAnsi="Calibri" w:cs="Times New Roman"/>
          <w:sz w:val="20"/>
          <w:szCs w:val="20"/>
        </w:rPr>
        <w:t xml:space="preserve"> (Wales) Act 2015.</w:t>
      </w:r>
    </w:p>
    <w:p w14:paraId="58AA9FF5" w14:textId="5E210412" w:rsidR="00901487" w:rsidRDefault="00901487" w:rsidP="00901487">
      <w:pPr>
        <w:spacing w:after="200" w:line="276" w:lineRule="auto"/>
        <w:jc w:val="both"/>
        <w:rPr>
          <w:rFonts w:ascii="Calibri" w:eastAsia="Times New Roman" w:hAnsi="Calibri" w:cs="Times New Roman"/>
          <w:sz w:val="20"/>
          <w:szCs w:val="20"/>
        </w:rPr>
      </w:pPr>
      <w:r w:rsidRPr="00901487">
        <w:rPr>
          <w:rFonts w:ascii="Calibri" w:eastAsia="Times New Roman" w:hAnsi="Calibri" w:cs="Times New Roman"/>
          <w:sz w:val="20"/>
          <w:szCs w:val="20"/>
        </w:rPr>
        <w:t xml:space="preserve">UK Government, (2021) </w:t>
      </w:r>
      <w:r w:rsidRPr="00901487">
        <w:rPr>
          <w:rFonts w:ascii="Calibri" w:eastAsia="Times New Roman" w:hAnsi="Calibri" w:cs="Times New Roman"/>
          <w:i/>
          <w:iCs/>
          <w:sz w:val="20"/>
          <w:szCs w:val="20"/>
        </w:rPr>
        <w:t>Explore education statistics</w:t>
      </w:r>
      <w:r w:rsidRPr="00901487">
        <w:rPr>
          <w:rFonts w:ascii="Calibri" w:eastAsia="Times New Roman" w:hAnsi="Calibri" w:cs="Times New Roman"/>
          <w:sz w:val="20"/>
          <w:szCs w:val="20"/>
        </w:rPr>
        <w:t xml:space="preserve">. Gov.UK: </w:t>
      </w:r>
      <w:hyperlink r:id="rId15" w:history="1">
        <w:r w:rsidR="007703F5" w:rsidRPr="00901487">
          <w:rPr>
            <w:rStyle w:val="Hyperlink"/>
            <w:rFonts w:ascii="Calibri" w:eastAsia="Times New Roman" w:hAnsi="Calibri" w:cs="Times New Roman"/>
            <w:sz w:val="20"/>
            <w:szCs w:val="20"/>
          </w:rPr>
          <w:t>https://explore-education-statistics.service.gov.uk/data-tables/fast-track/e71dd1d5-86d3-4c1da87c-52311ddfb19d</w:t>
        </w:r>
      </w:hyperlink>
      <w:r w:rsidRPr="00901487">
        <w:rPr>
          <w:rFonts w:ascii="Calibri" w:eastAsia="Times New Roman" w:hAnsi="Calibri" w:cs="Times New Roman"/>
          <w:sz w:val="20"/>
          <w:szCs w:val="20"/>
        </w:rPr>
        <w:t>.</w:t>
      </w:r>
    </w:p>
    <w:p w14:paraId="067FF859" w14:textId="09D06846" w:rsidR="007703F5" w:rsidRPr="00901487" w:rsidRDefault="007703F5" w:rsidP="00901487">
      <w:pPr>
        <w:spacing w:after="200" w:line="276" w:lineRule="auto"/>
        <w:jc w:val="both"/>
        <w:rPr>
          <w:rFonts w:ascii="Calibri" w:eastAsia="Times New Roman" w:hAnsi="Calibri" w:cs="Times New Roman"/>
          <w:sz w:val="20"/>
          <w:szCs w:val="20"/>
        </w:rPr>
      </w:pPr>
      <w:r w:rsidRPr="007703F5">
        <w:rPr>
          <w:rFonts w:ascii="Calibri" w:eastAsia="Times New Roman" w:hAnsi="Calibri" w:cs="Times New Roman"/>
          <w:sz w:val="20"/>
          <w:szCs w:val="20"/>
        </w:rPr>
        <w:t>United Nations. (2015</w:t>
      </w:r>
      <w:r w:rsidRPr="007703F5">
        <w:rPr>
          <w:rFonts w:ascii="Calibri" w:eastAsia="Times New Roman" w:hAnsi="Calibri" w:cs="Times New Roman"/>
          <w:i/>
          <w:iCs/>
          <w:sz w:val="20"/>
          <w:szCs w:val="20"/>
        </w:rPr>
        <w:t>). Transforming our world:</w:t>
      </w:r>
      <w:r w:rsidRPr="007703F5">
        <w:rPr>
          <w:rFonts w:ascii="Calibri" w:eastAsia="Times New Roman" w:hAnsi="Calibri" w:cs="Times New Roman"/>
          <w:sz w:val="20"/>
          <w:szCs w:val="20"/>
        </w:rPr>
        <w:t xml:space="preserve"> The 2030 Agenda for Sustainable Development.</w:t>
      </w:r>
    </w:p>
    <w:p w14:paraId="149FBA94" w14:textId="203111B8" w:rsidR="00745EFE" w:rsidRDefault="00901487"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United Nations</w:t>
      </w:r>
      <w:r w:rsidRPr="00901487">
        <w:rPr>
          <w:rFonts w:ascii="Calibri" w:eastAsia="Times New Roman" w:hAnsi="Calibri" w:cs="Times New Roman"/>
          <w:sz w:val="20"/>
          <w:szCs w:val="20"/>
        </w:rPr>
        <w:t>,</w:t>
      </w:r>
      <w:r w:rsidRPr="00C727B8">
        <w:rPr>
          <w:rFonts w:ascii="Calibri" w:eastAsia="Times New Roman" w:hAnsi="Calibri" w:cs="Times New Roman"/>
          <w:sz w:val="20"/>
          <w:szCs w:val="20"/>
        </w:rPr>
        <w:t xml:space="preserve"> (2020) </w:t>
      </w:r>
      <w:r w:rsidRPr="00C727B8">
        <w:rPr>
          <w:rFonts w:ascii="Calibri" w:eastAsia="Times New Roman" w:hAnsi="Calibri" w:cs="Times New Roman"/>
          <w:i/>
          <w:iCs/>
          <w:sz w:val="20"/>
          <w:szCs w:val="20"/>
        </w:rPr>
        <w:t>Multidimensional poverty index</w:t>
      </w:r>
      <w:r w:rsidRPr="00C727B8">
        <w:rPr>
          <w:rFonts w:ascii="Calibri" w:eastAsia="Times New Roman" w:hAnsi="Calibri" w:cs="Times New Roman"/>
          <w:sz w:val="20"/>
          <w:szCs w:val="20"/>
        </w:rPr>
        <w:t xml:space="preserve">. United Nations: </w:t>
      </w:r>
      <w:hyperlink r:id="rId16" w:history="1">
        <w:r w:rsidRPr="00C727B8">
          <w:rPr>
            <w:rStyle w:val="Hyperlink"/>
            <w:rFonts w:ascii="Calibri" w:eastAsia="Times New Roman" w:hAnsi="Calibri" w:cs="Times New Roman"/>
            <w:sz w:val="20"/>
            <w:szCs w:val="20"/>
          </w:rPr>
          <w:t>http://hdr.undp.org/sites/default/files/2020_mpi_statistical_data_table_1_and_2_en.pdf</w:t>
        </w:r>
      </w:hyperlink>
      <w:r w:rsidR="00A90913">
        <w:rPr>
          <w:rFonts w:ascii="Calibri" w:eastAsia="Times New Roman" w:hAnsi="Calibri" w:cs="Times New Roman"/>
          <w:sz w:val="20"/>
          <w:szCs w:val="20"/>
        </w:rPr>
        <w:t>.</w:t>
      </w:r>
    </w:p>
    <w:p w14:paraId="60568BF9" w14:textId="64CFFAFC" w:rsidR="00A90913" w:rsidRDefault="00A90913" w:rsidP="00C727B8">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United Nations, (2020) </w:t>
      </w:r>
      <w:r w:rsidRPr="00A90913">
        <w:rPr>
          <w:rFonts w:ascii="Calibri" w:eastAsia="Times New Roman" w:hAnsi="Calibri" w:cs="Times New Roman"/>
          <w:i/>
          <w:iCs/>
          <w:sz w:val="20"/>
          <w:szCs w:val="20"/>
        </w:rPr>
        <w:t>Shaping the trends of our time</w:t>
      </w:r>
      <w:r w:rsidRPr="00A90913">
        <w:rPr>
          <w:rFonts w:ascii="Calibri" w:eastAsia="Times New Roman" w:hAnsi="Calibri" w:cs="Times New Roman"/>
          <w:sz w:val="20"/>
          <w:szCs w:val="20"/>
        </w:rPr>
        <w:t>. United Nations. https://www.un.org/development/desa/publications/wp-content/uploads/sites/10/2020/10/20- 124-UNEN-75Report-Full-EN-REVISED.pdf.</w:t>
      </w:r>
    </w:p>
    <w:p w14:paraId="5E509762"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Wales Audit Office, (2018) </w:t>
      </w:r>
      <w:r w:rsidRPr="00853B18">
        <w:rPr>
          <w:rFonts w:ascii="Calibri" w:eastAsia="Times New Roman" w:hAnsi="Calibri" w:cs="Times New Roman"/>
          <w:i/>
          <w:iCs/>
          <w:sz w:val="20"/>
          <w:szCs w:val="20"/>
        </w:rPr>
        <w:t>Evolution of the Communities First Programme</w:t>
      </w:r>
      <w:r w:rsidRPr="00110960">
        <w:rPr>
          <w:rFonts w:ascii="Calibri" w:eastAsia="Times New Roman" w:hAnsi="Calibri" w:cs="Times New Roman"/>
          <w:sz w:val="20"/>
          <w:szCs w:val="20"/>
        </w:rPr>
        <w:t>.</w:t>
      </w:r>
    </w:p>
    <w:p w14:paraId="54CC7539"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Wales Government, (2015) </w:t>
      </w:r>
      <w:r w:rsidRPr="00110960">
        <w:rPr>
          <w:rFonts w:ascii="Calibri" w:eastAsia="Times New Roman" w:hAnsi="Calibri" w:cs="Times New Roman"/>
          <w:i/>
          <w:iCs/>
          <w:sz w:val="20"/>
          <w:szCs w:val="20"/>
        </w:rPr>
        <w:t>Well-being of Future Generations (Wales) Act 2015</w:t>
      </w:r>
      <w:r w:rsidRPr="00110960">
        <w:rPr>
          <w:rFonts w:ascii="Calibri" w:eastAsia="Times New Roman" w:hAnsi="Calibri" w:cs="Times New Roman"/>
          <w:sz w:val="20"/>
          <w:szCs w:val="20"/>
        </w:rPr>
        <w:t>.</w:t>
      </w:r>
    </w:p>
    <w:p w14:paraId="42B9F7C1"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Wales Government, (2015) </w:t>
      </w:r>
      <w:r w:rsidRPr="00110960">
        <w:rPr>
          <w:rFonts w:ascii="Calibri" w:eastAsia="Times New Roman" w:hAnsi="Calibri" w:cs="Times New Roman"/>
          <w:i/>
          <w:iCs/>
          <w:sz w:val="20"/>
          <w:szCs w:val="20"/>
        </w:rPr>
        <w:t>Well-being of Future Generations (Wales) Act 2015</w:t>
      </w:r>
      <w:r w:rsidRPr="00110960">
        <w:rPr>
          <w:rFonts w:ascii="Calibri" w:eastAsia="Times New Roman" w:hAnsi="Calibri" w:cs="Times New Roman"/>
          <w:sz w:val="20"/>
          <w:szCs w:val="20"/>
        </w:rPr>
        <w:t>.</w:t>
      </w:r>
    </w:p>
    <w:p w14:paraId="73627E1A"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Welsh Government, (2020) </w:t>
      </w:r>
      <w:r w:rsidRPr="00110960">
        <w:rPr>
          <w:rFonts w:ascii="Calibri" w:eastAsia="Times New Roman" w:hAnsi="Calibri" w:cs="Times New Roman"/>
          <w:i/>
          <w:iCs/>
          <w:sz w:val="20"/>
          <w:szCs w:val="20"/>
        </w:rPr>
        <w:t>Prosperity for All</w:t>
      </w:r>
      <w:r w:rsidRPr="00110960">
        <w:rPr>
          <w:rFonts w:ascii="Calibri" w:eastAsia="Times New Roman" w:hAnsi="Calibri" w:cs="Times New Roman"/>
          <w:sz w:val="20"/>
          <w:szCs w:val="20"/>
        </w:rPr>
        <w:t>: Economic Action Plan.</w:t>
      </w:r>
    </w:p>
    <w:p w14:paraId="248CA73B" w14:textId="77777777" w:rsidR="00110960" w:rsidRPr="00110960" w:rsidRDefault="00110960" w:rsidP="00110960">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 xml:space="preserve">Welsh Government, (2020) </w:t>
      </w:r>
      <w:r w:rsidRPr="00110960">
        <w:rPr>
          <w:rFonts w:ascii="Calibri" w:eastAsia="Times New Roman" w:hAnsi="Calibri" w:cs="Times New Roman"/>
          <w:i/>
          <w:iCs/>
          <w:sz w:val="20"/>
          <w:szCs w:val="20"/>
        </w:rPr>
        <w:t>Healthy Weith</w:t>
      </w:r>
      <w:r w:rsidRPr="00110960">
        <w:rPr>
          <w:rFonts w:ascii="Calibri" w:eastAsia="Times New Roman" w:hAnsi="Calibri" w:cs="Times New Roman"/>
          <w:sz w:val="20"/>
          <w:szCs w:val="20"/>
        </w:rPr>
        <w:t>: Healthy Wales.</w:t>
      </w:r>
    </w:p>
    <w:p w14:paraId="42F8389B" w14:textId="77777777" w:rsidR="00110960" w:rsidRPr="00110960" w:rsidRDefault="00110960" w:rsidP="00110960">
      <w:pPr>
        <w:spacing w:after="200" w:line="276" w:lineRule="auto"/>
        <w:jc w:val="both"/>
        <w:rPr>
          <w:rFonts w:ascii="Calibri" w:eastAsia="Times New Roman" w:hAnsi="Calibri" w:cs="Times New Roman"/>
          <w:i/>
          <w:iCs/>
          <w:sz w:val="20"/>
          <w:szCs w:val="20"/>
        </w:rPr>
      </w:pPr>
      <w:r w:rsidRPr="00110960">
        <w:rPr>
          <w:rFonts w:ascii="Calibri" w:eastAsia="Times New Roman" w:hAnsi="Calibri" w:cs="Times New Roman"/>
          <w:sz w:val="20"/>
          <w:szCs w:val="20"/>
        </w:rPr>
        <w:t xml:space="preserve">Welsh Government, (2017) </w:t>
      </w:r>
      <w:r w:rsidRPr="00110960">
        <w:rPr>
          <w:rFonts w:ascii="Calibri" w:eastAsia="Times New Roman" w:hAnsi="Calibri" w:cs="Times New Roman"/>
          <w:i/>
          <w:iCs/>
          <w:sz w:val="20"/>
          <w:szCs w:val="20"/>
        </w:rPr>
        <w:t>Together for Mental Health</w:t>
      </w:r>
      <w:r w:rsidRPr="00110960">
        <w:rPr>
          <w:rFonts w:ascii="Calibri" w:eastAsia="Times New Roman" w:hAnsi="Calibri" w:cs="Times New Roman"/>
          <w:sz w:val="20"/>
          <w:szCs w:val="20"/>
        </w:rPr>
        <w:t>: A Strategy for Mental Health and well-being in Wales</w:t>
      </w:r>
      <w:r w:rsidRPr="00110960">
        <w:rPr>
          <w:rFonts w:ascii="Calibri" w:eastAsia="Times New Roman" w:hAnsi="Calibri" w:cs="Times New Roman"/>
          <w:i/>
          <w:iCs/>
          <w:sz w:val="20"/>
          <w:szCs w:val="20"/>
        </w:rPr>
        <w:t>.</w:t>
      </w:r>
    </w:p>
    <w:p w14:paraId="47A078A9" w14:textId="77777777" w:rsidR="00110960" w:rsidRPr="00110960" w:rsidRDefault="00110960" w:rsidP="00110960">
      <w:pPr>
        <w:spacing w:after="200" w:line="276" w:lineRule="auto"/>
        <w:jc w:val="both"/>
        <w:rPr>
          <w:rFonts w:ascii="Calibri" w:eastAsia="Times New Roman" w:hAnsi="Calibri" w:cs="Times New Roman"/>
          <w:i/>
          <w:iCs/>
          <w:sz w:val="20"/>
          <w:szCs w:val="20"/>
        </w:rPr>
      </w:pPr>
      <w:r w:rsidRPr="00110960">
        <w:rPr>
          <w:rFonts w:ascii="Calibri" w:eastAsia="Times New Roman" w:hAnsi="Calibri" w:cs="Times New Roman"/>
          <w:i/>
          <w:iCs/>
          <w:sz w:val="20"/>
          <w:szCs w:val="20"/>
        </w:rPr>
        <w:t>Welsh Government, (2017) Active Travel (Wales) Acts 2013: Guidance4.</w:t>
      </w:r>
    </w:p>
    <w:p w14:paraId="50E1975E" w14:textId="6D1FE932" w:rsidR="00110960" w:rsidRDefault="00110960" w:rsidP="00C727B8">
      <w:pPr>
        <w:spacing w:after="200" w:line="276" w:lineRule="auto"/>
        <w:jc w:val="both"/>
        <w:rPr>
          <w:rFonts w:ascii="Calibri" w:eastAsia="Times New Roman" w:hAnsi="Calibri" w:cs="Times New Roman"/>
          <w:sz w:val="20"/>
          <w:szCs w:val="20"/>
        </w:rPr>
      </w:pPr>
      <w:r w:rsidRPr="00110960">
        <w:rPr>
          <w:rFonts w:ascii="Calibri" w:eastAsia="Times New Roman" w:hAnsi="Calibri" w:cs="Times New Roman"/>
          <w:sz w:val="20"/>
          <w:szCs w:val="20"/>
        </w:rPr>
        <w:t>Welsh Government, (2017) Active Travel (Wales) Acts 2013: Guidance4.</w:t>
      </w:r>
    </w:p>
    <w:p w14:paraId="3C65420F" w14:textId="2A7A54FE" w:rsidR="00A50F60" w:rsidRDefault="00A90913"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Welsh government</w:t>
      </w:r>
      <w:r w:rsidRPr="00A90913">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(2017) cumraeg2050. </w:t>
      </w:r>
      <w:r w:rsidRPr="00C727B8">
        <w:rPr>
          <w:rFonts w:ascii="Calibri" w:eastAsia="Times New Roman" w:hAnsi="Calibri" w:cs="Times New Roman"/>
          <w:i/>
          <w:iCs/>
          <w:sz w:val="20"/>
          <w:szCs w:val="20"/>
        </w:rPr>
        <w:t>Welsh language strategy</w:t>
      </w:r>
      <w:r w:rsidRPr="00C727B8">
        <w:rPr>
          <w:rFonts w:ascii="Calibri" w:eastAsia="Times New Roman" w:hAnsi="Calibri" w:cs="Times New Roman"/>
          <w:sz w:val="20"/>
          <w:szCs w:val="20"/>
        </w:rPr>
        <w:t xml:space="preserve">. Welsh Government. </w:t>
      </w:r>
      <w:hyperlink r:id="rId17" w:history="1">
        <w:r w:rsidRPr="00C727B8">
          <w:rPr>
            <w:rStyle w:val="Hyperlink"/>
            <w:rFonts w:ascii="Calibri" w:eastAsia="Times New Roman" w:hAnsi="Calibri" w:cs="Times New Roman"/>
            <w:sz w:val="20"/>
            <w:szCs w:val="20"/>
          </w:rPr>
          <w:t>https://gov.wales/cymraeg-2050-welsh-languge-strategy</w:t>
        </w:r>
      </w:hyperlink>
      <w:r>
        <w:rPr>
          <w:rFonts w:ascii="Calibri" w:eastAsia="Times New Roman" w:hAnsi="Calibri" w:cs="Times New Roman"/>
          <w:sz w:val="20"/>
          <w:szCs w:val="20"/>
        </w:rPr>
        <w:t>.</w:t>
      </w:r>
    </w:p>
    <w:p w14:paraId="496C3FA0" w14:textId="20BB2AF0" w:rsidR="00C727B8" w:rsidRPr="00C727B8" w:rsidRDefault="00C727B8"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lastRenderedPageBreak/>
        <w:t xml:space="preserve">Welsh Government, (2021) </w:t>
      </w:r>
      <w:r w:rsidRPr="00C727B8">
        <w:rPr>
          <w:rFonts w:ascii="Calibri" w:eastAsia="Times New Roman" w:hAnsi="Calibri" w:cs="Times New Roman"/>
          <w:i/>
          <w:iCs/>
          <w:sz w:val="20"/>
          <w:szCs w:val="20"/>
        </w:rPr>
        <w:t>Employment in the public and private sectors by Welsh local authority and status</w:t>
      </w:r>
      <w:r w:rsidRPr="00C727B8">
        <w:rPr>
          <w:rFonts w:ascii="Calibri" w:eastAsia="Times New Roman" w:hAnsi="Calibri" w:cs="Times New Roman"/>
          <w:sz w:val="20"/>
          <w:szCs w:val="20"/>
        </w:rPr>
        <w:t>. StatsWales: https://satswales.gov.wales/Catalogue/Business-Economyand-Labour-Market/People-and-Work/Employment/PersonsEmployed/PublicPrivateSectorEmployment-by-WelshLocalAuthority-Status</w:t>
      </w:r>
      <w:r w:rsidR="00A90913">
        <w:rPr>
          <w:rFonts w:ascii="Calibri" w:eastAsia="Times New Roman" w:hAnsi="Calibri" w:cs="Times New Roman"/>
          <w:sz w:val="20"/>
          <w:szCs w:val="20"/>
        </w:rPr>
        <w:t>.</w:t>
      </w:r>
    </w:p>
    <w:p w14:paraId="58D1CC18" w14:textId="476B0CBB" w:rsidR="00C727B8" w:rsidRPr="00C727B8" w:rsidRDefault="00C727B8"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 xml:space="preserve"> Welsh Government, (2021b)</w:t>
      </w:r>
      <w:r w:rsidR="005B0E88">
        <w:rPr>
          <w:rFonts w:ascii="Calibri" w:eastAsia="Times New Roman" w:hAnsi="Calibri" w:cs="Times New Roman"/>
          <w:sz w:val="20"/>
          <w:szCs w:val="20"/>
        </w:rPr>
        <w:t xml:space="preserve"> </w:t>
      </w:r>
      <w:r w:rsidRPr="00C727B8">
        <w:rPr>
          <w:rFonts w:ascii="Calibri" w:eastAsia="Times New Roman" w:hAnsi="Calibri" w:cs="Times New Roman"/>
          <w:i/>
          <w:iCs/>
          <w:sz w:val="20"/>
          <w:szCs w:val="20"/>
        </w:rPr>
        <w:t>Internet skills and online public sector services (National Survey for Wales</w:t>
      </w:r>
      <w:r w:rsidRPr="00C727B8">
        <w:rPr>
          <w:rFonts w:ascii="Calibri" w:eastAsia="Times New Roman" w:hAnsi="Calibri" w:cs="Times New Roman"/>
          <w:sz w:val="20"/>
          <w:szCs w:val="20"/>
        </w:rPr>
        <w:t>): April 2019 to March 2020. https://gov.wales/internet-skills-and-online-public-sector-services-national-survey-wales-april2019-march-2020-html Public Sector Demand and Digital – Datasets</w:t>
      </w:r>
      <w:r w:rsidR="00A90913">
        <w:rPr>
          <w:rFonts w:ascii="Calibri" w:eastAsia="Times New Roman" w:hAnsi="Calibri" w:cs="Times New Roman"/>
          <w:sz w:val="20"/>
          <w:szCs w:val="20"/>
        </w:rPr>
        <w:t>.</w:t>
      </w:r>
    </w:p>
    <w:p w14:paraId="4893FFF5" w14:textId="2597C7A7" w:rsidR="00A90913" w:rsidRPr="00C727B8"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t>
      </w:r>
      <w:r w:rsidRPr="00C727B8">
        <w:rPr>
          <w:rFonts w:ascii="Calibri" w:eastAsia="Times New Roman" w:hAnsi="Calibri" w:cs="Times New Roman"/>
          <w:sz w:val="20"/>
          <w:szCs w:val="20"/>
        </w:rPr>
        <w:t>Welsh government</w:t>
      </w:r>
      <w:r w:rsidRPr="00A90913">
        <w:rPr>
          <w:rFonts w:ascii="Calibri" w:eastAsia="Times New Roman" w:hAnsi="Calibri" w:cs="Times New Roman"/>
          <w:sz w:val="20"/>
          <w:szCs w:val="20"/>
        </w:rPr>
        <w:t>.</w:t>
      </w:r>
      <w:r w:rsidRPr="00C727B8">
        <w:rPr>
          <w:rFonts w:ascii="Calibri" w:eastAsia="Times New Roman" w:hAnsi="Calibri" w:cs="Times New Roman"/>
          <w:sz w:val="20"/>
          <w:szCs w:val="20"/>
        </w:rPr>
        <w:t xml:space="preserve"> (2017) cumraeg2050. </w:t>
      </w:r>
      <w:r w:rsidRPr="00C727B8">
        <w:rPr>
          <w:rFonts w:ascii="Calibri" w:eastAsia="Times New Roman" w:hAnsi="Calibri" w:cs="Times New Roman"/>
          <w:i/>
          <w:iCs/>
          <w:sz w:val="20"/>
          <w:szCs w:val="20"/>
        </w:rPr>
        <w:t>Welsh language strategy</w:t>
      </w:r>
      <w:r w:rsidRPr="00C727B8">
        <w:rPr>
          <w:rFonts w:ascii="Calibri" w:eastAsia="Times New Roman" w:hAnsi="Calibri" w:cs="Times New Roman"/>
          <w:sz w:val="20"/>
          <w:szCs w:val="20"/>
        </w:rPr>
        <w:t xml:space="preserve">. Welsh Government. </w:t>
      </w:r>
      <w:hyperlink r:id="rId18" w:history="1">
        <w:r w:rsidRPr="00C727B8">
          <w:rPr>
            <w:rStyle w:val="Hyperlink"/>
            <w:rFonts w:ascii="Calibri" w:eastAsia="Times New Roman" w:hAnsi="Calibri" w:cs="Times New Roman"/>
            <w:sz w:val="20"/>
            <w:szCs w:val="20"/>
          </w:rPr>
          <w:t>https://gov.wales/cymraeg-2050-welsh-languge-strategy</w:t>
        </w:r>
      </w:hyperlink>
      <w:r w:rsidRPr="00C727B8">
        <w:rPr>
          <w:rFonts w:ascii="Calibri" w:eastAsia="Times New Roman" w:hAnsi="Calibri" w:cs="Times New Roman"/>
          <w:sz w:val="20"/>
          <w:szCs w:val="20"/>
        </w:rPr>
        <w:t>.</w:t>
      </w:r>
    </w:p>
    <w:p w14:paraId="23851334" w14:textId="711AE951" w:rsidR="00A90913" w:rsidRDefault="00A90913" w:rsidP="00C727B8">
      <w:pPr>
        <w:spacing w:after="200" w:line="276" w:lineRule="auto"/>
        <w:jc w:val="both"/>
        <w:rPr>
          <w:rFonts w:ascii="Calibri" w:eastAsia="Times New Roman" w:hAnsi="Calibri" w:cs="Times New Roman"/>
          <w:sz w:val="20"/>
          <w:szCs w:val="20"/>
        </w:rPr>
      </w:pPr>
      <w:r w:rsidRPr="00C727B8">
        <w:rPr>
          <w:rFonts w:ascii="Calibri" w:eastAsia="Times New Roman" w:hAnsi="Calibri" w:cs="Times New Roman"/>
          <w:sz w:val="20"/>
          <w:szCs w:val="20"/>
        </w:rPr>
        <w:t xml:space="preserve">Welsh Government. (2021). </w:t>
      </w:r>
      <w:r w:rsidRPr="00C727B8">
        <w:rPr>
          <w:rFonts w:ascii="Calibri" w:eastAsia="Times New Roman" w:hAnsi="Calibri" w:cs="Times New Roman"/>
          <w:i/>
          <w:iCs/>
          <w:sz w:val="20"/>
          <w:szCs w:val="20"/>
        </w:rPr>
        <w:t>Welsh language used in Wales</w:t>
      </w:r>
      <w:r w:rsidRPr="00C727B8">
        <w:rPr>
          <w:rFonts w:ascii="Calibri" w:eastAsia="Times New Roman" w:hAnsi="Calibri" w:cs="Times New Roman"/>
          <w:sz w:val="20"/>
          <w:szCs w:val="20"/>
        </w:rPr>
        <w:t xml:space="preserve"> </w:t>
      </w:r>
      <w:r w:rsidRPr="00C727B8">
        <w:rPr>
          <w:rFonts w:ascii="Calibri" w:eastAsia="Times New Roman" w:hAnsi="Calibri" w:cs="Times New Roman"/>
          <w:i/>
          <w:iCs/>
          <w:sz w:val="20"/>
          <w:szCs w:val="20"/>
        </w:rPr>
        <w:t>(initial findings):</w:t>
      </w:r>
      <w:r w:rsidRPr="00C727B8">
        <w:rPr>
          <w:rFonts w:ascii="Calibri" w:eastAsia="Times New Roman" w:hAnsi="Calibri" w:cs="Times New Roman"/>
          <w:sz w:val="20"/>
          <w:szCs w:val="20"/>
        </w:rPr>
        <w:t xml:space="preserve"> July 2019 to March 2020. Welsh Government. </w:t>
      </w:r>
      <w:hyperlink r:id="rId19" w:history="1">
        <w:r w:rsidRPr="00C727B8">
          <w:rPr>
            <w:rStyle w:val="Hyperlink"/>
            <w:rFonts w:ascii="Calibri" w:eastAsia="Times New Roman" w:hAnsi="Calibri" w:cs="Times New Roman"/>
            <w:sz w:val="20"/>
            <w:szCs w:val="20"/>
          </w:rPr>
          <w:t>https://gov.wales/welsh-language-use-wales-initial-findings-july-2019-march-2020-html</w:t>
        </w:r>
      </w:hyperlink>
      <w:r w:rsidR="00C727B8" w:rsidRPr="00C727B8">
        <w:rPr>
          <w:rFonts w:ascii="Calibri" w:eastAsia="Times New Roman" w:hAnsi="Calibri" w:cs="Times New Roman"/>
          <w:sz w:val="20"/>
          <w:szCs w:val="20"/>
        </w:rPr>
        <w:t xml:space="preserve"> </w:t>
      </w:r>
      <w:r>
        <w:rPr>
          <w:rFonts w:ascii="Calibri" w:eastAsia="Times New Roman" w:hAnsi="Calibri" w:cs="Times New Roman"/>
          <w:sz w:val="20"/>
          <w:szCs w:val="20"/>
        </w:rPr>
        <w:t>.</w:t>
      </w:r>
    </w:p>
    <w:p w14:paraId="2EEA06C8"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(2020) </w:t>
      </w:r>
      <w:r w:rsidRPr="00A90913">
        <w:rPr>
          <w:rFonts w:ascii="Calibri" w:eastAsia="Times New Roman" w:hAnsi="Calibri" w:cs="Times New Roman"/>
          <w:i/>
          <w:iCs/>
          <w:sz w:val="20"/>
          <w:szCs w:val="20"/>
        </w:rPr>
        <w:t>Energy Generation in Wales 2019</w:t>
      </w:r>
      <w:r w:rsidRPr="00A90913">
        <w:rPr>
          <w:rFonts w:ascii="Calibri" w:eastAsia="Times New Roman" w:hAnsi="Calibri" w:cs="Times New Roman"/>
          <w:sz w:val="20"/>
          <w:szCs w:val="20"/>
        </w:rPr>
        <w:t xml:space="preserve">. Regen. </w:t>
      </w:r>
      <w:hyperlink r:id="rId20" w:history="1">
        <w:r w:rsidRPr="00A90913">
          <w:rPr>
            <w:rStyle w:val="Hyperlink"/>
            <w:rFonts w:ascii="Calibri" w:eastAsia="Times New Roman" w:hAnsi="Calibri" w:cs="Times New Roman"/>
            <w:sz w:val="20"/>
            <w:szCs w:val="20"/>
          </w:rPr>
          <w:t>https://gov.wales/sites/default/files/publications/2021-01/energy-generation-in-wales-2019.pdf</w:t>
        </w:r>
      </w:hyperlink>
      <w:r w:rsidRPr="00A90913">
        <w:rPr>
          <w:rFonts w:ascii="Calibri" w:eastAsia="Times New Roman" w:hAnsi="Calibri" w:cs="Times New Roman"/>
          <w:sz w:val="20"/>
          <w:szCs w:val="20"/>
        </w:rPr>
        <w:t xml:space="preserve"> </w:t>
      </w:r>
    </w:p>
    <w:p w14:paraId="6312F8B3"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(2020) </w:t>
      </w:r>
      <w:r w:rsidRPr="00A90913">
        <w:rPr>
          <w:rFonts w:ascii="Calibri" w:eastAsia="Times New Roman" w:hAnsi="Calibri" w:cs="Times New Roman"/>
          <w:i/>
          <w:iCs/>
          <w:sz w:val="20"/>
          <w:szCs w:val="20"/>
        </w:rPr>
        <w:t>Energy use in Wales 2018</w:t>
      </w:r>
      <w:r w:rsidRPr="00A90913">
        <w:rPr>
          <w:rFonts w:ascii="Calibri" w:eastAsia="Times New Roman" w:hAnsi="Calibri" w:cs="Times New Roman"/>
          <w:sz w:val="20"/>
          <w:szCs w:val="20"/>
        </w:rPr>
        <w:t>. Regen. https://gov.wales/sites/default/files/publications/2020-06/energy-use-in-wales-2018.pd</w:t>
      </w:r>
    </w:p>
    <w:p w14:paraId="69DBE742"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(2021) People in relative income poverty by whether there is a disability within the family states: https://statswales.gov.wales/Catalogue/Community-Safety-and-SocialInclusion/Poverty/peopleinrelativeincomepoverty-by-whetherthereisdisabilitywithinthefamily.</w:t>
      </w:r>
    </w:p>
    <w:p w14:paraId="3443AEF6"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(2021) </w:t>
      </w:r>
      <w:r w:rsidRPr="00A90913">
        <w:rPr>
          <w:rFonts w:ascii="Calibri" w:eastAsia="Times New Roman" w:hAnsi="Calibri" w:cs="Times New Roman"/>
          <w:i/>
          <w:iCs/>
          <w:sz w:val="20"/>
          <w:szCs w:val="20"/>
        </w:rPr>
        <w:t>People in relative income poverty by ethnic group of the head of household</w:t>
      </w:r>
      <w:r w:rsidRPr="00A90913">
        <w:rPr>
          <w:rFonts w:ascii="Calibri" w:eastAsia="Times New Roman" w:hAnsi="Calibri" w:cs="Times New Roman"/>
          <w:sz w:val="20"/>
          <w:szCs w:val="20"/>
        </w:rPr>
        <w:t>. Stats Wales: https://statswales.gov.wales/Catalogue/Community-Safety-and-SocialInclusion/Poverty/peopleinrelativeincomepoverty-by-ethnicgroupoftheheadofhousehold.</w:t>
      </w:r>
    </w:p>
    <w:p w14:paraId="239BE0FF"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(2021) </w:t>
      </w:r>
      <w:r w:rsidRPr="00A90913">
        <w:rPr>
          <w:rFonts w:ascii="Calibri" w:eastAsia="Times New Roman" w:hAnsi="Calibri" w:cs="Times New Roman"/>
          <w:i/>
          <w:iCs/>
          <w:sz w:val="20"/>
          <w:szCs w:val="20"/>
        </w:rPr>
        <w:t>Working-age adults in relative income poverty by the economic status of a household</w:t>
      </w:r>
      <w:r w:rsidRPr="00A90913">
        <w:rPr>
          <w:rFonts w:ascii="Calibri" w:eastAsia="Times New Roman" w:hAnsi="Calibri" w:cs="Times New Roman"/>
          <w:sz w:val="20"/>
          <w:szCs w:val="20"/>
        </w:rPr>
        <w:t xml:space="preserve">. StatsWales: https://statswales.gov.wales/Catalogue/Community-Safety-and-SocialInclusion/Poverty/workingageadultsinrelativeincomepoverty-by-economicstatusofhousehol. </w:t>
      </w:r>
    </w:p>
    <w:p w14:paraId="0A600E1F"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(2021) </w:t>
      </w:r>
      <w:r w:rsidRPr="00A90913">
        <w:rPr>
          <w:rFonts w:ascii="Calibri" w:eastAsia="Times New Roman" w:hAnsi="Calibri" w:cs="Times New Roman"/>
          <w:i/>
          <w:iCs/>
          <w:sz w:val="20"/>
          <w:szCs w:val="20"/>
        </w:rPr>
        <w:t>ILO unemployment rates by Welsh local areas and year</w:t>
      </w:r>
      <w:r w:rsidRPr="00A90913">
        <w:rPr>
          <w:rFonts w:ascii="Calibri" w:eastAsia="Times New Roman" w:hAnsi="Calibri" w:cs="Times New Roman"/>
          <w:sz w:val="20"/>
          <w:szCs w:val="20"/>
        </w:rPr>
        <w:t>. StatsWales: https://statswales.gov.wales/Catalogue/Business-Economy-and-Labour-Market/People-andWork/Unemployment/ILO-Unemployment/ilounemploymentrates-by-welshlocalareas-year.</w:t>
      </w:r>
    </w:p>
    <w:p w14:paraId="220A80B9"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 Welsh Government. (2021) </w:t>
      </w:r>
      <w:r w:rsidRPr="00A90913">
        <w:rPr>
          <w:rFonts w:ascii="Calibri" w:eastAsia="Times New Roman" w:hAnsi="Calibri" w:cs="Times New Roman"/>
          <w:i/>
          <w:iCs/>
          <w:sz w:val="20"/>
          <w:szCs w:val="20"/>
        </w:rPr>
        <w:t>Workplace employment by Welsh local areas and year</w:t>
      </w:r>
      <w:r w:rsidRPr="00A90913">
        <w:rPr>
          <w:rFonts w:ascii="Calibri" w:eastAsia="Times New Roman" w:hAnsi="Calibri" w:cs="Times New Roman"/>
          <w:sz w:val="20"/>
          <w:szCs w:val="20"/>
        </w:rPr>
        <w:t xml:space="preserve">. StatsWales </w:t>
      </w:r>
      <w:hyperlink r:id="rId21" w:history="1">
        <w:r w:rsidRPr="00A90913">
          <w:rPr>
            <w:rStyle w:val="Hyperlink"/>
            <w:rFonts w:ascii="Calibri" w:eastAsia="Times New Roman" w:hAnsi="Calibri" w:cs="Times New Roman"/>
            <w:sz w:val="20"/>
            <w:szCs w:val="20"/>
          </w:rPr>
          <w:t>https://statswales.gov,wales/Catalogue/Business-Economy-and-Labour-Market/People-anWelsh</w:t>
        </w:r>
      </w:hyperlink>
      <w:r w:rsidRPr="00A90913">
        <w:rPr>
          <w:rFonts w:ascii="Calibri" w:eastAsia="Times New Roman" w:hAnsi="Calibri" w:cs="Times New Roman"/>
          <w:sz w:val="20"/>
          <w:szCs w:val="20"/>
        </w:rPr>
        <w:t xml:space="preserve"> </w:t>
      </w:r>
    </w:p>
    <w:p w14:paraId="07F8FB4C"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(2022) </w:t>
      </w:r>
      <w:r w:rsidRPr="00A90913">
        <w:rPr>
          <w:rFonts w:ascii="Calibri" w:eastAsia="Times New Roman" w:hAnsi="Calibri" w:cs="Times New Roman"/>
          <w:i/>
          <w:iCs/>
          <w:sz w:val="20"/>
          <w:szCs w:val="20"/>
        </w:rPr>
        <w:t>Wellbeing of Wales</w:t>
      </w:r>
      <w:r w:rsidRPr="00A90913">
        <w:rPr>
          <w:rFonts w:ascii="Calibri" w:eastAsia="Times New Roman" w:hAnsi="Calibri" w:cs="Times New Roman"/>
          <w:sz w:val="20"/>
          <w:szCs w:val="20"/>
        </w:rPr>
        <w:t xml:space="preserve">. [Online] Available at: </w:t>
      </w:r>
      <w:hyperlink r:id="rId22" w:history="1">
        <w:r w:rsidRPr="00A90913">
          <w:rPr>
            <w:rStyle w:val="Hyperlink"/>
            <w:rFonts w:ascii="Calibri" w:eastAsia="Times New Roman" w:hAnsi="Calibri" w:cs="Times New Roman"/>
            <w:sz w:val="20"/>
            <w:szCs w:val="20"/>
          </w:rPr>
          <w:t>https://www.gov.wales/wellbeing-wales-2022-healthier-wales-html#:~:text=These%20healthy%20lifestyle%20behaviours%20include,more%2C%20seven%20days%20per%20week</w:t>
        </w:r>
      </w:hyperlink>
      <w:r w:rsidRPr="00A90913">
        <w:rPr>
          <w:rFonts w:ascii="Calibri" w:eastAsia="Times New Roman" w:hAnsi="Calibri" w:cs="Times New Roman"/>
          <w:sz w:val="20"/>
          <w:szCs w:val="20"/>
        </w:rPr>
        <w:t>. Accessed 29</w:t>
      </w:r>
      <w:r w:rsidRPr="00A90913">
        <w:rPr>
          <w:rFonts w:ascii="Calibri" w:eastAsia="Times New Roman" w:hAnsi="Calibri" w:cs="Times New Roman"/>
          <w:sz w:val="20"/>
          <w:szCs w:val="20"/>
          <w:vertAlign w:val="superscript"/>
        </w:rPr>
        <w:t>th</w:t>
      </w:r>
      <w:r w:rsidRPr="00A90913">
        <w:rPr>
          <w:rFonts w:ascii="Calibri" w:eastAsia="Times New Roman" w:hAnsi="Calibri" w:cs="Times New Roman"/>
          <w:sz w:val="20"/>
          <w:szCs w:val="20"/>
        </w:rPr>
        <w:t xml:space="preserve"> August 2023. </w:t>
      </w:r>
    </w:p>
    <w:p w14:paraId="75CD4E06" w14:textId="77777777" w:rsidR="00A90913" w:rsidRP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(2022) </w:t>
      </w:r>
      <w:r w:rsidRPr="00A90913">
        <w:rPr>
          <w:rFonts w:ascii="Calibri" w:eastAsia="Times New Roman" w:hAnsi="Calibri" w:cs="Times New Roman"/>
          <w:i/>
          <w:iCs/>
          <w:sz w:val="20"/>
          <w:szCs w:val="20"/>
        </w:rPr>
        <w:t>Restoring our Health Report</w:t>
      </w:r>
      <w:r w:rsidRPr="00A90913">
        <w:rPr>
          <w:rFonts w:ascii="Calibri" w:eastAsia="Times New Roman" w:hAnsi="Calibri" w:cs="Times New Roman"/>
          <w:sz w:val="20"/>
          <w:szCs w:val="20"/>
        </w:rPr>
        <w:t xml:space="preserve">. [Online] Available at:  </w:t>
      </w:r>
      <w:hyperlink r:id="rId23" w:history="1">
        <w:r w:rsidRPr="00A90913">
          <w:rPr>
            <w:rStyle w:val="Hyperlink"/>
            <w:rFonts w:ascii="Calibri" w:eastAsia="Times New Roman" w:hAnsi="Calibri" w:cs="Times New Roman"/>
            <w:sz w:val="20"/>
            <w:szCs w:val="20"/>
          </w:rPr>
          <w:t>https://www.gov.wales/sites/default/files/publications/2022-06/chief-medical-officer-annual-report-2021-to-2022_0.pdf</w:t>
        </w:r>
      </w:hyperlink>
      <w:r w:rsidRPr="00A90913">
        <w:rPr>
          <w:rFonts w:ascii="Calibri" w:eastAsia="Times New Roman" w:hAnsi="Calibri" w:cs="Times New Roman"/>
          <w:sz w:val="20"/>
          <w:szCs w:val="20"/>
        </w:rPr>
        <w:t>. Accessed 29</w:t>
      </w:r>
      <w:r w:rsidRPr="00A90913">
        <w:rPr>
          <w:rFonts w:ascii="Calibri" w:eastAsia="Times New Roman" w:hAnsi="Calibri" w:cs="Times New Roman"/>
          <w:sz w:val="20"/>
          <w:szCs w:val="20"/>
          <w:vertAlign w:val="superscript"/>
        </w:rPr>
        <w:t>th</w:t>
      </w:r>
      <w:r w:rsidRPr="00A90913">
        <w:rPr>
          <w:rFonts w:ascii="Calibri" w:eastAsia="Times New Roman" w:hAnsi="Calibri" w:cs="Times New Roman"/>
          <w:sz w:val="20"/>
          <w:szCs w:val="20"/>
        </w:rPr>
        <w:t xml:space="preserve"> June 2023.</w:t>
      </w:r>
    </w:p>
    <w:p w14:paraId="4D8F8421" w14:textId="19DC9215" w:rsidR="00A90913" w:rsidRDefault="00A90913" w:rsidP="00C727B8">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(2022) Wellbeing of Wales: </w:t>
      </w:r>
      <w:r w:rsidRPr="00A90913">
        <w:rPr>
          <w:rFonts w:ascii="Calibri" w:eastAsia="Times New Roman" w:hAnsi="Calibri" w:cs="Times New Roman"/>
          <w:i/>
          <w:iCs/>
          <w:sz w:val="20"/>
          <w:szCs w:val="20"/>
        </w:rPr>
        <w:t>Children and Young People’s Wellbeing</w:t>
      </w:r>
      <w:r w:rsidRPr="00A90913">
        <w:rPr>
          <w:rFonts w:ascii="Calibri" w:eastAsia="Times New Roman" w:hAnsi="Calibri" w:cs="Times New Roman"/>
          <w:sz w:val="20"/>
          <w:szCs w:val="20"/>
        </w:rPr>
        <w:t xml:space="preserve">. [Online] Available at: </w:t>
      </w:r>
      <w:hyperlink r:id="rId24" w:history="1">
        <w:r w:rsidRPr="00A90913">
          <w:rPr>
            <w:rStyle w:val="Hyperlink"/>
            <w:rFonts w:ascii="Calibri" w:eastAsia="Times New Roman" w:hAnsi="Calibri" w:cs="Times New Roman"/>
            <w:sz w:val="20"/>
            <w:szCs w:val="20"/>
          </w:rPr>
          <w:t>https://www.gov.wales/wellbeing-wales-2022-children-and-young-peoples-wellbeing-healthier-wales-html</w:t>
        </w:r>
      </w:hyperlink>
      <w:r w:rsidRPr="00A90913">
        <w:rPr>
          <w:rFonts w:ascii="Calibri" w:eastAsia="Times New Roman" w:hAnsi="Calibri" w:cs="Times New Roman"/>
          <w:sz w:val="20"/>
          <w:szCs w:val="20"/>
        </w:rPr>
        <w:t>. Accessed 30</w:t>
      </w:r>
      <w:r w:rsidRPr="00A90913">
        <w:rPr>
          <w:rFonts w:ascii="Calibri" w:eastAsia="Times New Roman" w:hAnsi="Calibri" w:cs="Times New Roman"/>
          <w:sz w:val="20"/>
          <w:szCs w:val="20"/>
          <w:vertAlign w:val="superscript"/>
        </w:rPr>
        <w:t>th</w:t>
      </w:r>
      <w:r w:rsidRPr="00A90913">
        <w:rPr>
          <w:rFonts w:ascii="Calibri" w:eastAsia="Times New Roman" w:hAnsi="Calibri" w:cs="Times New Roman"/>
          <w:sz w:val="20"/>
          <w:szCs w:val="20"/>
        </w:rPr>
        <w:t xml:space="preserve"> August 2023.</w:t>
      </w:r>
    </w:p>
    <w:p w14:paraId="1DF5D5FC" w14:textId="77777777" w:rsidR="00A90913" w:rsidRDefault="00A90913" w:rsidP="00A90913">
      <w:pPr>
        <w:spacing w:after="200" w:line="276" w:lineRule="auto"/>
        <w:jc w:val="both"/>
        <w:rPr>
          <w:rFonts w:ascii="Calibri" w:eastAsia="Times New Roman" w:hAnsi="Calibri" w:cs="Times New Roman"/>
          <w:sz w:val="20"/>
          <w:szCs w:val="20"/>
        </w:rPr>
      </w:pPr>
      <w:r w:rsidRPr="00A90913">
        <w:rPr>
          <w:rFonts w:ascii="Calibri" w:eastAsia="Times New Roman" w:hAnsi="Calibri" w:cs="Times New Roman"/>
          <w:sz w:val="20"/>
          <w:szCs w:val="20"/>
        </w:rPr>
        <w:t xml:space="preserve">Welsh Government, (2020) </w:t>
      </w:r>
      <w:r w:rsidRPr="00A90913">
        <w:rPr>
          <w:rFonts w:ascii="Calibri" w:eastAsia="Times New Roman" w:hAnsi="Calibri" w:cs="Times New Roman"/>
          <w:i/>
          <w:iCs/>
          <w:sz w:val="20"/>
          <w:szCs w:val="20"/>
        </w:rPr>
        <w:t>Prosperity for All</w:t>
      </w:r>
      <w:r w:rsidRPr="00A90913">
        <w:rPr>
          <w:rFonts w:ascii="Calibri" w:eastAsia="Times New Roman" w:hAnsi="Calibri" w:cs="Times New Roman"/>
          <w:sz w:val="20"/>
          <w:szCs w:val="20"/>
        </w:rPr>
        <w:t>: Economic Action Plan.</w:t>
      </w:r>
    </w:p>
    <w:p w14:paraId="25E792B3" w14:textId="77777777" w:rsidR="00110960" w:rsidRDefault="00110960" w:rsidP="00A90913">
      <w:pPr>
        <w:spacing w:after="200" w:line="276" w:lineRule="auto"/>
        <w:jc w:val="both"/>
        <w:rPr>
          <w:rFonts w:ascii="Calibri" w:eastAsia="Times New Roman" w:hAnsi="Calibri" w:cs="Times New Roman"/>
          <w:sz w:val="20"/>
          <w:szCs w:val="20"/>
        </w:rPr>
      </w:pPr>
    </w:p>
    <w:p w14:paraId="00FDD3E1" w14:textId="77777777" w:rsidR="00110960" w:rsidRDefault="00110960" w:rsidP="00A90913">
      <w:pPr>
        <w:spacing w:after="200" w:line="276" w:lineRule="auto"/>
        <w:jc w:val="both"/>
        <w:rPr>
          <w:rFonts w:ascii="Calibri" w:eastAsia="Times New Roman" w:hAnsi="Calibri" w:cs="Times New Roman"/>
          <w:sz w:val="20"/>
          <w:szCs w:val="20"/>
        </w:rPr>
      </w:pPr>
    </w:p>
    <w:p w14:paraId="27FFEC43" w14:textId="77777777" w:rsidR="00110960" w:rsidRDefault="00110960" w:rsidP="00A90913">
      <w:pPr>
        <w:spacing w:after="200" w:line="276" w:lineRule="auto"/>
        <w:jc w:val="both"/>
        <w:rPr>
          <w:rFonts w:ascii="Calibri" w:eastAsia="Times New Roman" w:hAnsi="Calibri" w:cs="Times New Roman"/>
          <w:sz w:val="20"/>
          <w:szCs w:val="20"/>
        </w:rPr>
      </w:pPr>
    </w:p>
    <w:p w14:paraId="2A8BA9F4" w14:textId="77777777" w:rsidR="00110960" w:rsidRDefault="00110960" w:rsidP="00A90913">
      <w:pPr>
        <w:spacing w:after="200" w:line="276" w:lineRule="auto"/>
        <w:jc w:val="both"/>
        <w:rPr>
          <w:rFonts w:ascii="Calibri" w:eastAsia="Times New Roman" w:hAnsi="Calibri" w:cs="Times New Roman"/>
          <w:sz w:val="20"/>
          <w:szCs w:val="20"/>
        </w:rPr>
      </w:pPr>
    </w:p>
    <w:p w14:paraId="0194A807" w14:textId="77777777" w:rsidR="00110960" w:rsidRDefault="00110960" w:rsidP="00A90913">
      <w:pPr>
        <w:spacing w:after="200" w:line="276" w:lineRule="auto"/>
        <w:jc w:val="both"/>
        <w:rPr>
          <w:rFonts w:ascii="Calibri" w:eastAsia="Times New Roman" w:hAnsi="Calibri" w:cs="Times New Roman"/>
          <w:sz w:val="20"/>
          <w:szCs w:val="20"/>
        </w:rPr>
      </w:pPr>
    </w:p>
    <w:p w14:paraId="2BD947C7" w14:textId="77777777" w:rsidR="00110960" w:rsidRDefault="00110960" w:rsidP="00A90913">
      <w:pPr>
        <w:spacing w:after="200" w:line="276" w:lineRule="auto"/>
        <w:jc w:val="both"/>
        <w:rPr>
          <w:rFonts w:ascii="Calibri" w:eastAsia="Times New Roman" w:hAnsi="Calibri" w:cs="Times New Roman"/>
          <w:sz w:val="20"/>
          <w:szCs w:val="20"/>
        </w:rPr>
      </w:pPr>
    </w:p>
    <w:p w14:paraId="39775F5E" w14:textId="77777777" w:rsidR="00110960" w:rsidRDefault="00110960" w:rsidP="00A90913">
      <w:pPr>
        <w:spacing w:after="200" w:line="276" w:lineRule="auto"/>
        <w:jc w:val="both"/>
        <w:rPr>
          <w:rFonts w:ascii="Calibri" w:eastAsia="Times New Roman" w:hAnsi="Calibri" w:cs="Times New Roman"/>
          <w:sz w:val="20"/>
          <w:szCs w:val="20"/>
        </w:rPr>
      </w:pPr>
    </w:p>
    <w:p w14:paraId="71204803" w14:textId="77777777" w:rsidR="00110960" w:rsidRDefault="00110960" w:rsidP="00A90913">
      <w:pPr>
        <w:spacing w:after="200" w:line="276" w:lineRule="auto"/>
        <w:jc w:val="both"/>
        <w:rPr>
          <w:rFonts w:ascii="Calibri" w:eastAsia="Times New Roman" w:hAnsi="Calibri" w:cs="Times New Roman"/>
          <w:sz w:val="20"/>
          <w:szCs w:val="20"/>
        </w:rPr>
      </w:pPr>
    </w:p>
    <w:p w14:paraId="4DDFA44A" w14:textId="77777777" w:rsidR="00110960" w:rsidRDefault="00110960" w:rsidP="00A90913">
      <w:pPr>
        <w:spacing w:after="200" w:line="276" w:lineRule="auto"/>
        <w:jc w:val="both"/>
        <w:rPr>
          <w:rFonts w:ascii="Calibri" w:eastAsia="Times New Roman" w:hAnsi="Calibri" w:cs="Times New Roman"/>
          <w:sz w:val="20"/>
          <w:szCs w:val="20"/>
        </w:rPr>
      </w:pPr>
    </w:p>
    <w:p w14:paraId="21C89222" w14:textId="77777777" w:rsidR="00110960" w:rsidRDefault="00110960" w:rsidP="00A90913">
      <w:pPr>
        <w:spacing w:after="200" w:line="276" w:lineRule="auto"/>
        <w:jc w:val="both"/>
        <w:rPr>
          <w:rFonts w:ascii="Calibri" w:eastAsia="Times New Roman" w:hAnsi="Calibri" w:cs="Times New Roman"/>
          <w:sz w:val="20"/>
          <w:szCs w:val="20"/>
        </w:rPr>
      </w:pPr>
    </w:p>
    <w:p w14:paraId="3B13F1AE" w14:textId="77777777" w:rsidR="00110960" w:rsidRDefault="00110960" w:rsidP="00A90913">
      <w:pPr>
        <w:spacing w:after="200" w:line="276" w:lineRule="auto"/>
        <w:jc w:val="both"/>
        <w:rPr>
          <w:rFonts w:ascii="Calibri" w:eastAsia="Times New Roman" w:hAnsi="Calibri" w:cs="Times New Roman"/>
          <w:sz w:val="20"/>
          <w:szCs w:val="20"/>
        </w:rPr>
      </w:pPr>
    </w:p>
    <w:p w14:paraId="1EC3368A" w14:textId="77777777" w:rsidR="00110960" w:rsidRDefault="00110960" w:rsidP="00A90913">
      <w:pPr>
        <w:spacing w:after="200" w:line="276" w:lineRule="auto"/>
        <w:jc w:val="both"/>
        <w:rPr>
          <w:rFonts w:ascii="Calibri" w:eastAsia="Times New Roman" w:hAnsi="Calibri" w:cs="Times New Roman"/>
          <w:sz w:val="20"/>
          <w:szCs w:val="20"/>
        </w:rPr>
      </w:pPr>
    </w:p>
    <w:p w14:paraId="2C997CC8" w14:textId="77777777" w:rsidR="00110960" w:rsidRDefault="00110960" w:rsidP="00A90913">
      <w:pPr>
        <w:spacing w:after="200" w:line="276" w:lineRule="auto"/>
        <w:jc w:val="both"/>
        <w:rPr>
          <w:rFonts w:ascii="Calibri" w:eastAsia="Times New Roman" w:hAnsi="Calibri" w:cs="Times New Roman"/>
          <w:sz w:val="20"/>
          <w:szCs w:val="20"/>
        </w:rPr>
      </w:pPr>
    </w:p>
    <w:p w14:paraId="6CB9F598" w14:textId="77777777" w:rsidR="00110960" w:rsidRPr="00A90913" w:rsidRDefault="00110960" w:rsidP="00A90913">
      <w:pPr>
        <w:spacing w:after="200" w:line="276" w:lineRule="auto"/>
        <w:jc w:val="both"/>
        <w:rPr>
          <w:rFonts w:ascii="Calibri" w:eastAsia="Times New Roman" w:hAnsi="Calibri" w:cs="Times New Roman"/>
          <w:sz w:val="20"/>
          <w:szCs w:val="20"/>
        </w:rPr>
      </w:pPr>
    </w:p>
    <w:p w14:paraId="2522ACAA" w14:textId="77777777" w:rsidR="00A90913" w:rsidRPr="00A90913" w:rsidRDefault="00A90913" w:rsidP="00A90913">
      <w:pPr>
        <w:spacing w:after="200" w:line="276" w:lineRule="auto"/>
        <w:jc w:val="both"/>
        <w:rPr>
          <w:rFonts w:ascii="Calibri" w:eastAsia="Times New Roman" w:hAnsi="Calibri" w:cs="Times New Roman"/>
          <w:sz w:val="20"/>
          <w:szCs w:val="20"/>
        </w:rPr>
      </w:pPr>
    </w:p>
    <w:p w14:paraId="6E156749" w14:textId="77777777" w:rsidR="00A90913" w:rsidRDefault="00A90913" w:rsidP="00C727B8">
      <w:pPr>
        <w:spacing w:after="200" w:line="276" w:lineRule="auto"/>
        <w:jc w:val="both"/>
        <w:rPr>
          <w:rFonts w:ascii="Calibri" w:eastAsia="Times New Roman" w:hAnsi="Calibri" w:cs="Times New Roman"/>
          <w:sz w:val="20"/>
          <w:szCs w:val="20"/>
        </w:rPr>
      </w:pPr>
    </w:p>
    <w:p w14:paraId="07401417" w14:textId="77777777" w:rsidR="00A90913" w:rsidRDefault="00A90913" w:rsidP="00C727B8">
      <w:pPr>
        <w:spacing w:after="200" w:line="276" w:lineRule="auto"/>
        <w:jc w:val="both"/>
        <w:rPr>
          <w:rFonts w:ascii="Calibri" w:eastAsia="Times New Roman" w:hAnsi="Calibri" w:cs="Times New Roman"/>
          <w:sz w:val="20"/>
          <w:szCs w:val="20"/>
        </w:rPr>
      </w:pPr>
    </w:p>
    <w:p w14:paraId="4A9E9876" w14:textId="77777777" w:rsidR="00A90913" w:rsidRDefault="00A90913" w:rsidP="00C727B8">
      <w:pPr>
        <w:spacing w:after="200" w:line="276" w:lineRule="auto"/>
        <w:jc w:val="both"/>
        <w:rPr>
          <w:rFonts w:ascii="Calibri" w:eastAsia="Times New Roman" w:hAnsi="Calibri" w:cs="Times New Roman"/>
          <w:sz w:val="20"/>
          <w:szCs w:val="20"/>
        </w:rPr>
      </w:pPr>
    </w:p>
    <w:p w14:paraId="24E05D4A" w14:textId="77777777" w:rsidR="00A90913" w:rsidRDefault="00A90913" w:rsidP="00C727B8">
      <w:pPr>
        <w:spacing w:after="200" w:line="276" w:lineRule="auto"/>
        <w:jc w:val="both"/>
        <w:rPr>
          <w:rFonts w:ascii="Calibri" w:eastAsia="Times New Roman" w:hAnsi="Calibri" w:cs="Times New Roman"/>
          <w:sz w:val="20"/>
          <w:szCs w:val="20"/>
        </w:rPr>
      </w:pPr>
    </w:p>
    <w:p w14:paraId="4BDA812C" w14:textId="77777777" w:rsidR="00A90913" w:rsidRDefault="00A90913" w:rsidP="00C727B8">
      <w:pPr>
        <w:spacing w:after="200" w:line="276" w:lineRule="auto"/>
        <w:jc w:val="both"/>
        <w:rPr>
          <w:rFonts w:ascii="Calibri" w:eastAsia="Times New Roman" w:hAnsi="Calibri" w:cs="Times New Roman"/>
          <w:sz w:val="20"/>
          <w:szCs w:val="20"/>
        </w:rPr>
      </w:pPr>
    </w:p>
    <w:p w14:paraId="6D6A2C86" w14:textId="77777777" w:rsidR="00A90913" w:rsidRDefault="00A90913" w:rsidP="00C727B8">
      <w:pPr>
        <w:spacing w:after="200" w:line="276" w:lineRule="auto"/>
        <w:jc w:val="both"/>
        <w:rPr>
          <w:rFonts w:ascii="Calibri" w:eastAsia="Times New Roman" w:hAnsi="Calibri" w:cs="Times New Roman"/>
          <w:sz w:val="20"/>
          <w:szCs w:val="20"/>
        </w:rPr>
      </w:pPr>
    </w:p>
    <w:p w14:paraId="6D6D0EE1" w14:textId="77777777" w:rsidR="00A90913" w:rsidRDefault="00A90913" w:rsidP="00C727B8">
      <w:pPr>
        <w:spacing w:after="200" w:line="276" w:lineRule="auto"/>
        <w:jc w:val="both"/>
        <w:rPr>
          <w:rFonts w:ascii="Calibri" w:eastAsia="Times New Roman" w:hAnsi="Calibri" w:cs="Times New Roman"/>
          <w:sz w:val="20"/>
          <w:szCs w:val="20"/>
        </w:rPr>
      </w:pPr>
    </w:p>
    <w:p w14:paraId="032D7121" w14:textId="77777777" w:rsidR="00A90913" w:rsidRPr="00C727B8" w:rsidRDefault="00A90913" w:rsidP="00C727B8">
      <w:pPr>
        <w:spacing w:after="200" w:line="276" w:lineRule="auto"/>
        <w:jc w:val="both"/>
        <w:rPr>
          <w:rFonts w:ascii="Calibri" w:eastAsia="Times New Roman" w:hAnsi="Calibri" w:cs="Times New Roman"/>
          <w:sz w:val="20"/>
          <w:szCs w:val="20"/>
        </w:rPr>
      </w:pPr>
    </w:p>
    <w:p w14:paraId="6E4AFEDF" w14:textId="77777777" w:rsidR="009E046F" w:rsidRPr="009E046F" w:rsidRDefault="009E046F">
      <w:pPr>
        <w:rPr>
          <w:b/>
          <w:bCs/>
          <w:sz w:val="40"/>
          <w:szCs w:val="40"/>
        </w:rPr>
      </w:pPr>
    </w:p>
    <w:sectPr w:rsidR="009E046F" w:rsidRPr="009E04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F12EB" w14:textId="77777777" w:rsidR="00A50F60" w:rsidRDefault="00A50F60" w:rsidP="00A50F60">
      <w:pPr>
        <w:spacing w:after="0" w:line="240" w:lineRule="auto"/>
      </w:pPr>
      <w:r>
        <w:separator/>
      </w:r>
    </w:p>
  </w:endnote>
  <w:endnote w:type="continuationSeparator" w:id="0">
    <w:p w14:paraId="687C2658" w14:textId="77777777" w:rsidR="00A50F60" w:rsidRDefault="00A50F60" w:rsidP="00A50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38084" w14:textId="77777777" w:rsidR="00A50F60" w:rsidRDefault="00A50F60" w:rsidP="00A50F60">
      <w:pPr>
        <w:spacing w:after="0" w:line="240" w:lineRule="auto"/>
      </w:pPr>
      <w:r>
        <w:separator/>
      </w:r>
    </w:p>
  </w:footnote>
  <w:footnote w:type="continuationSeparator" w:id="0">
    <w:p w14:paraId="43BA834C" w14:textId="77777777" w:rsidR="00A50F60" w:rsidRDefault="00A50F60" w:rsidP="00A50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1F9A"/>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33BEC"/>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957954"/>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B06004"/>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0D5C10"/>
    <w:multiLevelType w:val="hybridMultilevel"/>
    <w:tmpl w:val="413C0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E11422"/>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1120A0"/>
    <w:multiLevelType w:val="multilevel"/>
    <w:tmpl w:val="7FD4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475142">
    <w:abstractNumId w:val="4"/>
  </w:num>
  <w:num w:numId="2" w16cid:durableId="294874660">
    <w:abstractNumId w:val="5"/>
  </w:num>
  <w:num w:numId="3" w16cid:durableId="1106464089">
    <w:abstractNumId w:val="6"/>
  </w:num>
  <w:num w:numId="4" w16cid:durableId="433093064">
    <w:abstractNumId w:val="0"/>
  </w:num>
  <w:num w:numId="5" w16cid:durableId="329842848">
    <w:abstractNumId w:val="1"/>
  </w:num>
  <w:num w:numId="6" w16cid:durableId="1261065271">
    <w:abstractNumId w:val="2"/>
  </w:num>
  <w:num w:numId="7" w16cid:durableId="138898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46F"/>
    <w:rsid w:val="000E674F"/>
    <w:rsid w:val="00110960"/>
    <w:rsid w:val="00173E16"/>
    <w:rsid w:val="001B222F"/>
    <w:rsid w:val="00225256"/>
    <w:rsid w:val="00282B37"/>
    <w:rsid w:val="0039450C"/>
    <w:rsid w:val="00442B6E"/>
    <w:rsid w:val="004A52F8"/>
    <w:rsid w:val="004B2C60"/>
    <w:rsid w:val="00532533"/>
    <w:rsid w:val="005B0E88"/>
    <w:rsid w:val="005F6F96"/>
    <w:rsid w:val="006B7B60"/>
    <w:rsid w:val="006C7084"/>
    <w:rsid w:val="006E77D5"/>
    <w:rsid w:val="00745EFE"/>
    <w:rsid w:val="007703F5"/>
    <w:rsid w:val="00853B18"/>
    <w:rsid w:val="0085507B"/>
    <w:rsid w:val="0090060B"/>
    <w:rsid w:val="00901487"/>
    <w:rsid w:val="00976B4F"/>
    <w:rsid w:val="009E046F"/>
    <w:rsid w:val="00A06572"/>
    <w:rsid w:val="00A50F60"/>
    <w:rsid w:val="00A90913"/>
    <w:rsid w:val="00AF02C5"/>
    <w:rsid w:val="00AF0C1F"/>
    <w:rsid w:val="00B22724"/>
    <w:rsid w:val="00B2356F"/>
    <w:rsid w:val="00C52DDC"/>
    <w:rsid w:val="00C6496C"/>
    <w:rsid w:val="00C727B8"/>
    <w:rsid w:val="00C838F6"/>
    <w:rsid w:val="00CB11D1"/>
    <w:rsid w:val="00D273F8"/>
    <w:rsid w:val="00D70921"/>
    <w:rsid w:val="00D91AAE"/>
    <w:rsid w:val="00DF1009"/>
    <w:rsid w:val="00DF4160"/>
    <w:rsid w:val="00E35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98F2B"/>
  <w15:chartTrackingRefBased/>
  <w15:docId w15:val="{56065BC6-8DAE-4715-9239-4D522F18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960"/>
  </w:style>
  <w:style w:type="paragraph" w:styleId="Heading1">
    <w:name w:val="heading 1"/>
    <w:basedOn w:val="Normal"/>
    <w:next w:val="Normal"/>
    <w:link w:val="Heading1Char"/>
    <w:uiPriority w:val="9"/>
    <w:qFormat/>
    <w:rsid w:val="009E04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4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4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4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4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4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46F"/>
    <w:rPr>
      <w:rFonts w:eastAsiaTheme="majorEastAsia" w:cstheme="majorBidi"/>
      <w:color w:val="272727" w:themeColor="text1" w:themeTint="D8"/>
    </w:rPr>
  </w:style>
  <w:style w:type="paragraph" w:styleId="Title">
    <w:name w:val="Title"/>
    <w:basedOn w:val="Normal"/>
    <w:next w:val="Normal"/>
    <w:link w:val="TitleChar"/>
    <w:uiPriority w:val="10"/>
    <w:qFormat/>
    <w:rsid w:val="009E0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46F"/>
    <w:pPr>
      <w:spacing w:before="160"/>
      <w:jc w:val="center"/>
    </w:pPr>
    <w:rPr>
      <w:i/>
      <w:iCs/>
      <w:color w:val="404040" w:themeColor="text1" w:themeTint="BF"/>
    </w:rPr>
  </w:style>
  <w:style w:type="character" w:customStyle="1" w:styleId="QuoteChar">
    <w:name w:val="Quote Char"/>
    <w:basedOn w:val="DefaultParagraphFont"/>
    <w:link w:val="Quote"/>
    <w:uiPriority w:val="29"/>
    <w:rsid w:val="009E046F"/>
    <w:rPr>
      <w:i/>
      <w:iCs/>
      <w:color w:val="404040" w:themeColor="text1" w:themeTint="BF"/>
    </w:rPr>
  </w:style>
  <w:style w:type="paragraph" w:styleId="ListParagraph">
    <w:name w:val="List Paragraph"/>
    <w:basedOn w:val="Normal"/>
    <w:uiPriority w:val="34"/>
    <w:qFormat/>
    <w:rsid w:val="009E046F"/>
    <w:pPr>
      <w:ind w:left="720"/>
      <w:contextualSpacing/>
    </w:pPr>
  </w:style>
  <w:style w:type="character" w:styleId="IntenseEmphasis">
    <w:name w:val="Intense Emphasis"/>
    <w:basedOn w:val="DefaultParagraphFont"/>
    <w:uiPriority w:val="21"/>
    <w:qFormat/>
    <w:rsid w:val="009E046F"/>
    <w:rPr>
      <w:i/>
      <w:iCs/>
      <w:color w:val="0F4761" w:themeColor="accent1" w:themeShade="BF"/>
    </w:rPr>
  </w:style>
  <w:style w:type="paragraph" w:styleId="IntenseQuote">
    <w:name w:val="Intense Quote"/>
    <w:basedOn w:val="Normal"/>
    <w:next w:val="Normal"/>
    <w:link w:val="IntenseQuoteChar"/>
    <w:uiPriority w:val="30"/>
    <w:qFormat/>
    <w:rsid w:val="009E0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46F"/>
    <w:rPr>
      <w:i/>
      <w:iCs/>
      <w:color w:val="0F4761" w:themeColor="accent1" w:themeShade="BF"/>
    </w:rPr>
  </w:style>
  <w:style w:type="character" w:styleId="IntenseReference">
    <w:name w:val="Intense Reference"/>
    <w:basedOn w:val="DefaultParagraphFont"/>
    <w:uiPriority w:val="32"/>
    <w:qFormat/>
    <w:rsid w:val="009E046F"/>
    <w:rPr>
      <w:b/>
      <w:bCs/>
      <w:smallCaps/>
      <w:color w:val="0F4761" w:themeColor="accent1" w:themeShade="BF"/>
      <w:spacing w:val="5"/>
    </w:rPr>
  </w:style>
  <w:style w:type="paragraph" w:styleId="NormalWeb">
    <w:name w:val="Normal (Web)"/>
    <w:basedOn w:val="Normal"/>
    <w:uiPriority w:val="99"/>
    <w:semiHidden/>
    <w:unhideWhenUsed/>
    <w:rsid w:val="009E046F"/>
    <w:rPr>
      <w:rFonts w:ascii="Times New Roman" w:hAnsi="Times New Roman" w:cs="Times New Roman"/>
      <w:sz w:val="24"/>
      <w:szCs w:val="24"/>
    </w:rPr>
  </w:style>
  <w:style w:type="character" w:styleId="Hyperlink">
    <w:name w:val="Hyperlink"/>
    <w:basedOn w:val="DefaultParagraphFont"/>
    <w:uiPriority w:val="99"/>
    <w:unhideWhenUsed/>
    <w:rsid w:val="005B0E88"/>
    <w:rPr>
      <w:color w:val="467886" w:themeColor="hyperlink"/>
      <w:u w:val="single"/>
    </w:rPr>
  </w:style>
  <w:style w:type="character" w:styleId="UnresolvedMention">
    <w:name w:val="Unresolved Mention"/>
    <w:basedOn w:val="DefaultParagraphFont"/>
    <w:uiPriority w:val="99"/>
    <w:semiHidden/>
    <w:unhideWhenUsed/>
    <w:rsid w:val="005B0E88"/>
    <w:rPr>
      <w:color w:val="605E5C"/>
      <w:shd w:val="clear" w:color="auto" w:fill="E1DFDD"/>
    </w:rPr>
  </w:style>
  <w:style w:type="paragraph" w:styleId="Header">
    <w:name w:val="header"/>
    <w:basedOn w:val="Normal"/>
    <w:link w:val="HeaderChar"/>
    <w:uiPriority w:val="99"/>
    <w:unhideWhenUsed/>
    <w:rsid w:val="00A50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F60"/>
  </w:style>
  <w:style w:type="paragraph" w:styleId="Footer">
    <w:name w:val="footer"/>
    <w:basedOn w:val="Normal"/>
    <w:link w:val="FooterChar"/>
    <w:uiPriority w:val="99"/>
    <w:unhideWhenUsed/>
    <w:rsid w:val="00A50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5292">
      <w:bodyDiv w:val="1"/>
      <w:marLeft w:val="0"/>
      <w:marRight w:val="0"/>
      <w:marTop w:val="0"/>
      <w:marBottom w:val="0"/>
      <w:divBdr>
        <w:top w:val="none" w:sz="0" w:space="0" w:color="auto"/>
        <w:left w:val="none" w:sz="0" w:space="0" w:color="auto"/>
        <w:bottom w:val="none" w:sz="0" w:space="0" w:color="auto"/>
        <w:right w:val="none" w:sz="0" w:space="0" w:color="auto"/>
      </w:divBdr>
    </w:div>
    <w:div w:id="30107725">
      <w:bodyDiv w:val="1"/>
      <w:marLeft w:val="0"/>
      <w:marRight w:val="0"/>
      <w:marTop w:val="0"/>
      <w:marBottom w:val="0"/>
      <w:divBdr>
        <w:top w:val="none" w:sz="0" w:space="0" w:color="auto"/>
        <w:left w:val="none" w:sz="0" w:space="0" w:color="auto"/>
        <w:bottom w:val="none" w:sz="0" w:space="0" w:color="auto"/>
        <w:right w:val="none" w:sz="0" w:space="0" w:color="auto"/>
      </w:divBdr>
    </w:div>
    <w:div w:id="64454524">
      <w:bodyDiv w:val="1"/>
      <w:marLeft w:val="0"/>
      <w:marRight w:val="0"/>
      <w:marTop w:val="0"/>
      <w:marBottom w:val="0"/>
      <w:divBdr>
        <w:top w:val="none" w:sz="0" w:space="0" w:color="auto"/>
        <w:left w:val="none" w:sz="0" w:space="0" w:color="auto"/>
        <w:bottom w:val="none" w:sz="0" w:space="0" w:color="auto"/>
        <w:right w:val="none" w:sz="0" w:space="0" w:color="auto"/>
      </w:divBdr>
    </w:div>
    <w:div w:id="73666215">
      <w:bodyDiv w:val="1"/>
      <w:marLeft w:val="0"/>
      <w:marRight w:val="0"/>
      <w:marTop w:val="0"/>
      <w:marBottom w:val="0"/>
      <w:divBdr>
        <w:top w:val="none" w:sz="0" w:space="0" w:color="auto"/>
        <w:left w:val="none" w:sz="0" w:space="0" w:color="auto"/>
        <w:bottom w:val="none" w:sz="0" w:space="0" w:color="auto"/>
        <w:right w:val="none" w:sz="0" w:space="0" w:color="auto"/>
      </w:divBdr>
    </w:div>
    <w:div w:id="129440202">
      <w:bodyDiv w:val="1"/>
      <w:marLeft w:val="0"/>
      <w:marRight w:val="0"/>
      <w:marTop w:val="0"/>
      <w:marBottom w:val="0"/>
      <w:divBdr>
        <w:top w:val="none" w:sz="0" w:space="0" w:color="auto"/>
        <w:left w:val="none" w:sz="0" w:space="0" w:color="auto"/>
        <w:bottom w:val="none" w:sz="0" w:space="0" w:color="auto"/>
        <w:right w:val="none" w:sz="0" w:space="0" w:color="auto"/>
      </w:divBdr>
    </w:div>
    <w:div w:id="176505058">
      <w:bodyDiv w:val="1"/>
      <w:marLeft w:val="0"/>
      <w:marRight w:val="0"/>
      <w:marTop w:val="0"/>
      <w:marBottom w:val="0"/>
      <w:divBdr>
        <w:top w:val="none" w:sz="0" w:space="0" w:color="auto"/>
        <w:left w:val="none" w:sz="0" w:space="0" w:color="auto"/>
        <w:bottom w:val="none" w:sz="0" w:space="0" w:color="auto"/>
        <w:right w:val="none" w:sz="0" w:space="0" w:color="auto"/>
      </w:divBdr>
    </w:div>
    <w:div w:id="232088221">
      <w:bodyDiv w:val="1"/>
      <w:marLeft w:val="0"/>
      <w:marRight w:val="0"/>
      <w:marTop w:val="0"/>
      <w:marBottom w:val="0"/>
      <w:divBdr>
        <w:top w:val="none" w:sz="0" w:space="0" w:color="auto"/>
        <w:left w:val="none" w:sz="0" w:space="0" w:color="auto"/>
        <w:bottom w:val="none" w:sz="0" w:space="0" w:color="auto"/>
        <w:right w:val="none" w:sz="0" w:space="0" w:color="auto"/>
      </w:divBdr>
    </w:div>
    <w:div w:id="236523928">
      <w:bodyDiv w:val="1"/>
      <w:marLeft w:val="0"/>
      <w:marRight w:val="0"/>
      <w:marTop w:val="0"/>
      <w:marBottom w:val="0"/>
      <w:divBdr>
        <w:top w:val="none" w:sz="0" w:space="0" w:color="auto"/>
        <w:left w:val="none" w:sz="0" w:space="0" w:color="auto"/>
        <w:bottom w:val="none" w:sz="0" w:space="0" w:color="auto"/>
        <w:right w:val="none" w:sz="0" w:space="0" w:color="auto"/>
      </w:divBdr>
    </w:div>
    <w:div w:id="325591371">
      <w:bodyDiv w:val="1"/>
      <w:marLeft w:val="0"/>
      <w:marRight w:val="0"/>
      <w:marTop w:val="0"/>
      <w:marBottom w:val="0"/>
      <w:divBdr>
        <w:top w:val="none" w:sz="0" w:space="0" w:color="auto"/>
        <w:left w:val="none" w:sz="0" w:space="0" w:color="auto"/>
        <w:bottom w:val="none" w:sz="0" w:space="0" w:color="auto"/>
        <w:right w:val="none" w:sz="0" w:space="0" w:color="auto"/>
      </w:divBdr>
    </w:div>
    <w:div w:id="363748924">
      <w:bodyDiv w:val="1"/>
      <w:marLeft w:val="0"/>
      <w:marRight w:val="0"/>
      <w:marTop w:val="0"/>
      <w:marBottom w:val="0"/>
      <w:divBdr>
        <w:top w:val="none" w:sz="0" w:space="0" w:color="auto"/>
        <w:left w:val="none" w:sz="0" w:space="0" w:color="auto"/>
        <w:bottom w:val="none" w:sz="0" w:space="0" w:color="auto"/>
        <w:right w:val="none" w:sz="0" w:space="0" w:color="auto"/>
      </w:divBdr>
    </w:div>
    <w:div w:id="378168813">
      <w:bodyDiv w:val="1"/>
      <w:marLeft w:val="0"/>
      <w:marRight w:val="0"/>
      <w:marTop w:val="0"/>
      <w:marBottom w:val="0"/>
      <w:divBdr>
        <w:top w:val="none" w:sz="0" w:space="0" w:color="auto"/>
        <w:left w:val="none" w:sz="0" w:space="0" w:color="auto"/>
        <w:bottom w:val="none" w:sz="0" w:space="0" w:color="auto"/>
        <w:right w:val="none" w:sz="0" w:space="0" w:color="auto"/>
      </w:divBdr>
    </w:div>
    <w:div w:id="384180056">
      <w:bodyDiv w:val="1"/>
      <w:marLeft w:val="0"/>
      <w:marRight w:val="0"/>
      <w:marTop w:val="0"/>
      <w:marBottom w:val="0"/>
      <w:divBdr>
        <w:top w:val="none" w:sz="0" w:space="0" w:color="auto"/>
        <w:left w:val="none" w:sz="0" w:space="0" w:color="auto"/>
        <w:bottom w:val="none" w:sz="0" w:space="0" w:color="auto"/>
        <w:right w:val="none" w:sz="0" w:space="0" w:color="auto"/>
      </w:divBdr>
    </w:div>
    <w:div w:id="390731713">
      <w:bodyDiv w:val="1"/>
      <w:marLeft w:val="0"/>
      <w:marRight w:val="0"/>
      <w:marTop w:val="0"/>
      <w:marBottom w:val="0"/>
      <w:divBdr>
        <w:top w:val="none" w:sz="0" w:space="0" w:color="auto"/>
        <w:left w:val="none" w:sz="0" w:space="0" w:color="auto"/>
        <w:bottom w:val="none" w:sz="0" w:space="0" w:color="auto"/>
        <w:right w:val="none" w:sz="0" w:space="0" w:color="auto"/>
      </w:divBdr>
    </w:div>
    <w:div w:id="403113088">
      <w:bodyDiv w:val="1"/>
      <w:marLeft w:val="0"/>
      <w:marRight w:val="0"/>
      <w:marTop w:val="0"/>
      <w:marBottom w:val="0"/>
      <w:divBdr>
        <w:top w:val="none" w:sz="0" w:space="0" w:color="auto"/>
        <w:left w:val="none" w:sz="0" w:space="0" w:color="auto"/>
        <w:bottom w:val="none" w:sz="0" w:space="0" w:color="auto"/>
        <w:right w:val="none" w:sz="0" w:space="0" w:color="auto"/>
      </w:divBdr>
    </w:div>
    <w:div w:id="438375695">
      <w:bodyDiv w:val="1"/>
      <w:marLeft w:val="0"/>
      <w:marRight w:val="0"/>
      <w:marTop w:val="0"/>
      <w:marBottom w:val="0"/>
      <w:divBdr>
        <w:top w:val="none" w:sz="0" w:space="0" w:color="auto"/>
        <w:left w:val="none" w:sz="0" w:space="0" w:color="auto"/>
        <w:bottom w:val="none" w:sz="0" w:space="0" w:color="auto"/>
        <w:right w:val="none" w:sz="0" w:space="0" w:color="auto"/>
      </w:divBdr>
    </w:div>
    <w:div w:id="449007125">
      <w:bodyDiv w:val="1"/>
      <w:marLeft w:val="0"/>
      <w:marRight w:val="0"/>
      <w:marTop w:val="0"/>
      <w:marBottom w:val="0"/>
      <w:divBdr>
        <w:top w:val="none" w:sz="0" w:space="0" w:color="auto"/>
        <w:left w:val="none" w:sz="0" w:space="0" w:color="auto"/>
        <w:bottom w:val="none" w:sz="0" w:space="0" w:color="auto"/>
        <w:right w:val="none" w:sz="0" w:space="0" w:color="auto"/>
      </w:divBdr>
    </w:div>
    <w:div w:id="452673463">
      <w:bodyDiv w:val="1"/>
      <w:marLeft w:val="0"/>
      <w:marRight w:val="0"/>
      <w:marTop w:val="0"/>
      <w:marBottom w:val="0"/>
      <w:divBdr>
        <w:top w:val="none" w:sz="0" w:space="0" w:color="auto"/>
        <w:left w:val="none" w:sz="0" w:space="0" w:color="auto"/>
        <w:bottom w:val="none" w:sz="0" w:space="0" w:color="auto"/>
        <w:right w:val="none" w:sz="0" w:space="0" w:color="auto"/>
      </w:divBdr>
    </w:div>
    <w:div w:id="465701310">
      <w:bodyDiv w:val="1"/>
      <w:marLeft w:val="0"/>
      <w:marRight w:val="0"/>
      <w:marTop w:val="0"/>
      <w:marBottom w:val="0"/>
      <w:divBdr>
        <w:top w:val="none" w:sz="0" w:space="0" w:color="auto"/>
        <w:left w:val="none" w:sz="0" w:space="0" w:color="auto"/>
        <w:bottom w:val="none" w:sz="0" w:space="0" w:color="auto"/>
        <w:right w:val="none" w:sz="0" w:space="0" w:color="auto"/>
      </w:divBdr>
    </w:div>
    <w:div w:id="514150797">
      <w:bodyDiv w:val="1"/>
      <w:marLeft w:val="0"/>
      <w:marRight w:val="0"/>
      <w:marTop w:val="0"/>
      <w:marBottom w:val="0"/>
      <w:divBdr>
        <w:top w:val="none" w:sz="0" w:space="0" w:color="auto"/>
        <w:left w:val="none" w:sz="0" w:space="0" w:color="auto"/>
        <w:bottom w:val="none" w:sz="0" w:space="0" w:color="auto"/>
        <w:right w:val="none" w:sz="0" w:space="0" w:color="auto"/>
      </w:divBdr>
    </w:div>
    <w:div w:id="535964630">
      <w:bodyDiv w:val="1"/>
      <w:marLeft w:val="0"/>
      <w:marRight w:val="0"/>
      <w:marTop w:val="0"/>
      <w:marBottom w:val="0"/>
      <w:divBdr>
        <w:top w:val="none" w:sz="0" w:space="0" w:color="auto"/>
        <w:left w:val="none" w:sz="0" w:space="0" w:color="auto"/>
        <w:bottom w:val="none" w:sz="0" w:space="0" w:color="auto"/>
        <w:right w:val="none" w:sz="0" w:space="0" w:color="auto"/>
      </w:divBdr>
    </w:div>
    <w:div w:id="539709629">
      <w:bodyDiv w:val="1"/>
      <w:marLeft w:val="0"/>
      <w:marRight w:val="0"/>
      <w:marTop w:val="0"/>
      <w:marBottom w:val="0"/>
      <w:divBdr>
        <w:top w:val="none" w:sz="0" w:space="0" w:color="auto"/>
        <w:left w:val="none" w:sz="0" w:space="0" w:color="auto"/>
        <w:bottom w:val="none" w:sz="0" w:space="0" w:color="auto"/>
        <w:right w:val="none" w:sz="0" w:space="0" w:color="auto"/>
      </w:divBdr>
    </w:div>
    <w:div w:id="582490993">
      <w:bodyDiv w:val="1"/>
      <w:marLeft w:val="0"/>
      <w:marRight w:val="0"/>
      <w:marTop w:val="0"/>
      <w:marBottom w:val="0"/>
      <w:divBdr>
        <w:top w:val="none" w:sz="0" w:space="0" w:color="auto"/>
        <w:left w:val="none" w:sz="0" w:space="0" w:color="auto"/>
        <w:bottom w:val="none" w:sz="0" w:space="0" w:color="auto"/>
        <w:right w:val="none" w:sz="0" w:space="0" w:color="auto"/>
      </w:divBdr>
    </w:div>
    <w:div w:id="648943475">
      <w:bodyDiv w:val="1"/>
      <w:marLeft w:val="0"/>
      <w:marRight w:val="0"/>
      <w:marTop w:val="0"/>
      <w:marBottom w:val="0"/>
      <w:divBdr>
        <w:top w:val="none" w:sz="0" w:space="0" w:color="auto"/>
        <w:left w:val="none" w:sz="0" w:space="0" w:color="auto"/>
        <w:bottom w:val="none" w:sz="0" w:space="0" w:color="auto"/>
        <w:right w:val="none" w:sz="0" w:space="0" w:color="auto"/>
      </w:divBdr>
    </w:div>
    <w:div w:id="716204937">
      <w:bodyDiv w:val="1"/>
      <w:marLeft w:val="0"/>
      <w:marRight w:val="0"/>
      <w:marTop w:val="0"/>
      <w:marBottom w:val="0"/>
      <w:divBdr>
        <w:top w:val="none" w:sz="0" w:space="0" w:color="auto"/>
        <w:left w:val="none" w:sz="0" w:space="0" w:color="auto"/>
        <w:bottom w:val="none" w:sz="0" w:space="0" w:color="auto"/>
        <w:right w:val="none" w:sz="0" w:space="0" w:color="auto"/>
      </w:divBdr>
    </w:div>
    <w:div w:id="717510395">
      <w:bodyDiv w:val="1"/>
      <w:marLeft w:val="0"/>
      <w:marRight w:val="0"/>
      <w:marTop w:val="0"/>
      <w:marBottom w:val="0"/>
      <w:divBdr>
        <w:top w:val="none" w:sz="0" w:space="0" w:color="auto"/>
        <w:left w:val="none" w:sz="0" w:space="0" w:color="auto"/>
        <w:bottom w:val="none" w:sz="0" w:space="0" w:color="auto"/>
        <w:right w:val="none" w:sz="0" w:space="0" w:color="auto"/>
      </w:divBdr>
    </w:div>
    <w:div w:id="728923145">
      <w:bodyDiv w:val="1"/>
      <w:marLeft w:val="0"/>
      <w:marRight w:val="0"/>
      <w:marTop w:val="0"/>
      <w:marBottom w:val="0"/>
      <w:divBdr>
        <w:top w:val="none" w:sz="0" w:space="0" w:color="auto"/>
        <w:left w:val="none" w:sz="0" w:space="0" w:color="auto"/>
        <w:bottom w:val="none" w:sz="0" w:space="0" w:color="auto"/>
        <w:right w:val="none" w:sz="0" w:space="0" w:color="auto"/>
      </w:divBdr>
    </w:div>
    <w:div w:id="833572033">
      <w:bodyDiv w:val="1"/>
      <w:marLeft w:val="0"/>
      <w:marRight w:val="0"/>
      <w:marTop w:val="0"/>
      <w:marBottom w:val="0"/>
      <w:divBdr>
        <w:top w:val="none" w:sz="0" w:space="0" w:color="auto"/>
        <w:left w:val="none" w:sz="0" w:space="0" w:color="auto"/>
        <w:bottom w:val="none" w:sz="0" w:space="0" w:color="auto"/>
        <w:right w:val="none" w:sz="0" w:space="0" w:color="auto"/>
      </w:divBdr>
    </w:div>
    <w:div w:id="897205302">
      <w:bodyDiv w:val="1"/>
      <w:marLeft w:val="0"/>
      <w:marRight w:val="0"/>
      <w:marTop w:val="0"/>
      <w:marBottom w:val="0"/>
      <w:divBdr>
        <w:top w:val="none" w:sz="0" w:space="0" w:color="auto"/>
        <w:left w:val="none" w:sz="0" w:space="0" w:color="auto"/>
        <w:bottom w:val="none" w:sz="0" w:space="0" w:color="auto"/>
        <w:right w:val="none" w:sz="0" w:space="0" w:color="auto"/>
      </w:divBdr>
    </w:div>
    <w:div w:id="943415050">
      <w:bodyDiv w:val="1"/>
      <w:marLeft w:val="0"/>
      <w:marRight w:val="0"/>
      <w:marTop w:val="0"/>
      <w:marBottom w:val="0"/>
      <w:divBdr>
        <w:top w:val="none" w:sz="0" w:space="0" w:color="auto"/>
        <w:left w:val="none" w:sz="0" w:space="0" w:color="auto"/>
        <w:bottom w:val="none" w:sz="0" w:space="0" w:color="auto"/>
        <w:right w:val="none" w:sz="0" w:space="0" w:color="auto"/>
      </w:divBdr>
    </w:div>
    <w:div w:id="958800070">
      <w:bodyDiv w:val="1"/>
      <w:marLeft w:val="0"/>
      <w:marRight w:val="0"/>
      <w:marTop w:val="0"/>
      <w:marBottom w:val="0"/>
      <w:divBdr>
        <w:top w:val="none" w:sz="0" w:space="0" w:color="auto"/>
        <w:left w:val="none" w:sz="0" w:space="0" w:color="auto"/>
        <w:bottom w:val="none" w:sz="0" w:space="0" w:color="auto"/>
        <w:right w:val="none" w:sz="0" w:space="0" w:color="auto"/>
      </w:divBdr>
    </w:div>
    <w:div w:id="960454325">
      <w:bodyDiv w:val="1"/>
      <w:marLeft w:val="0"/>
      <w:marRight w:val="0"/>
      <w:marTop w:val="0"/>
      <w:marBottom w:val="0"/>
      <w:divBdr>
        <w:top w:val="none" w:sz="0" w:space="0" w:color="auto"/>
        <w:left w:val="none" w:sz="0" w:space="0" w:color="auto"/>
        <w:bottom w:val="none" w:sz="0" w:space="0" w:color="auto"/>
        <w:right w:val="none" w:sz="0" w:space="0" w:color="auto"/>
      </w:divBdr>
    </w:div>
    <w:div w:id="1014573315">
      <w:bodyDiv w:val="1"/>
      <w:marLeft w:val="0"/>
      <w:marRight w:val="0"/>
      <w:marTop w:val="0"/>
      <w:marBottom w:val="0"/>
      <w:divBdr>
        <w:top w:val="none" w:sz="0" w:space="0" w:color="auto"/>
        <w:left w:val="none" w:sz="0" w:space="0" w:color="auto"/>
        <w:bottom w:val="none" w:sz="0" w:space="0" w:color="auto"/>
        <w:right w:val="none" w:sz="0" w:space="0" w:color="auto"/>
      </w:divBdr>
    </w:div>
    <w:div w:id="1014768957">
      <w:bodyDiv w:val="1"/>
      <w:marLeft w:val="0"/>
      <w:marRight w:val="0"/>
      <w:marTop w:val="0"/>
      <w:marBottom w:val="0"/>
      <w:divBdr>
        <w:top w:val="none" w:sz="0" w:space="0" w:color="auto"/>
        <w:left w:val="none" w:sz="0" w:space="0" w:color="auto"/>
        <w:bottom w:val="none" w:sz="0" w:space="0" w:color="auto"/>
        <w:right w:val="none" w:sz="0" w:space="0" w:color="auto"/>
      </w:divBdr>
    </w:div>
    <w:div w:id="1078406373">
      <w:bodyDiv w:val="1"/>
      <w:marLeft w:val="0"/>
      <w:marRight w:val="0"/>
      <w:marTop w:val="0"/>
      <w:marBottom w:val="0"/>
      <w:divBdr>
        <w:top w:val="none" w:sz="0" w:space="0" w:color="auto"/>
        <w:left w:val="none" w:sz="0" w:space="0" w:color="auto"/>
        <w:bottom w:val="none" w:sz="0" w:space="0" w:color="auto"/>
        <w:right w:val="none" w:sz="0" w:space="0" w:color="auto"/>
      </w:divBdr>
    </w:div>
    <w:div w:id="1123496113">
      <w:bodyDiv w:val="1"/>
      <w:marLeft w:val="0"/>
      <w:marRight w:val="0"/>
      <w:marTop w:val="0"/>
      <w:marBottom w:val="0"/>
      <w:divBdr>
        <w:top w:val="none" w:sz="0" w:space="0" w:color="auto"/>
        <w:left w:val="none" w:sz="0" w:space="0" w:color="auto"/>
        <w:bottom w:val="none" w:sz="0" w:space="0" w:color="auto"/>
        <w:right w:val="none" w:sz="0" w:space="0" w:color="auto"/>
      </w:divBdr>
    </w:div>
    <w:div w:id="1139803022">
      <w:bodyDiv w:val="1"/>
      <w:marLeft w:val="0"/>
      <w:marRight w:val="0"/>
      <w:marTop w:val="0"/>
      <w:marBottom w:val="0"/>
      <w:divBdr>
        <w:top w:val="none" w:sz="0" w:space="0" w:color="auto"/>
        <w:left w:val="none" w:sz="0" w:space="0" w:color="auto"/>
        <w:bottom w:val="none" w:sz="0" w:space="0" w:color="auto"/>
        <w:right w:val="none" w:sz="0" w:space="0" w:color="auto"/>
      </w:divBdr>
    </w:div>
    <w:div w:id="1161509606">
      <w:bodyDiv w:val="1"/>
      <w:marLeft w:val="0"/>
      <w:marRight w:val="0"/>
      <w:marTop w:val="0"/>
      <w:marBottom w:val="0"/>
      <w:divBdr>
        <w:top w:val="none" w:sz="0" w:space="0" w:color="auto"/>
        <w:left w:val="none" w:sz="0" w:space="0" w:color="auto"/>
        <w:bottom w:val="none" w:sz="0" w:space="0" w:color="auto"/>
        <w:right w:val="none" w:sz="0" w:space="0" w:color="auto"/>
      </w:divBdr>
    </w:div>
    <w:div w:id="1169325518">
      <w:bodyDiv w:val="1"/>
      <w:marLeft w:val="0"/>
      <w:marRight w:val="0"/>
      <w:marTop w:val="0"/>
      <w:marBottom w:val="0"/>
      <w:divBdr>
        <w:top w:val="none" w:sz="0" w:space="0" w:color="auto"/>
        <w:left w:val="none" w:sz="0" w:space="0" w:color="auto"/>
        <w:bottom w:val="none" w:sz="0" w:space="0" w:color="auto"/>
        <w:right w:val="none" w:sz="0" w:space="0" w:color="auto"/>
      </w:divBdr>
    </w:div>
    <w:div w:id="1180437887">
      <w:bodyDiv w:val="1"/>
      <w:marLeft w:val="0"/>
      <w:marRight w:val="0"/>
      <w:marTop w:val="0"/>
      <w:marBottom w:val="0"/>
      <w:divBdr>
        <w:top w:val="none" w:sz="0" w:space="0" w:color="auto"/>
        <w:left w:val="none" w:sz="0" w:space="0" w:color="auto"/>
        <w:bottom w:val="none" w:sz="0" w:space="0" w:color="auto"/>
        <w:right w:val="none" w:sz="0" w:space="0" w:color="auto"/>
      </w:divBdr>
    </w:div>
    <w:div w:id="1184248548">
      <w:bodyDiv w:val="1"/>
      <w:marLeft w:val="0"/>
      <w:marRight w:val="0"/>
      <w:marTop w:val="0"/>
      <w:marBottom w:val="0"/>
      <w:divBdr>
        <w:top w:val="none" w:sz="0" w:space="0" w:color="auto"/>
        <w:left w:val="none" w:sz="0" w:space="0" w:color="auto"/>
        <w:bottom w:val="none" w:sz="0" w:space="0" w:color="auto"/>
        <w:right w:val="none" w:sz="0" w:space="0" w:color="auto"/>
      </w:divBdr>
    </w:div>
    <w:div w:id="1208563460">
      <w:bodyDiv w:val="1"/>
      <w:marLeft w:val="0"/>
      <w:marRight w:val="0"/>
      <w:marTop w:val="0"/>
      <w:marBottom w:val="0"/>
      <w:divBdr>
        <w:top w:val="none" w:sz="0" w:space="0" w:color="auto"/>
        <w:left w:val="none" w:sz="0" w:space="0" w:color="auto"/>
        <w:bottom w:val="none" w:sz="0" w:space="0" w:color="auto"/>
        <w:right w:val="none" w:sz="0" w:space="0" w:color="auto"/>
      </w:divBdr>
    </w:div>
    <w:div w:id="1211965053">
      <w:bodyDiv w:val="1"/>
      <w:marLeft w:val="0"/>
      <w:marRight w:val="0"/>
      <w:marTop w:val="0"/>
      <w:marBottom w:val="0"/>
      <w:divBdr>
        <w:top w:val="none" w:sz="0" w:space="0" w:color="auto"/>
        <w:left w:val="none" w:sz="0" w:space="0" w:color="auto"/>
        <w:bottom w:val="none" w:sz="0" w:space="0" w:color="auto"/>
        <w:right w:val="none" w:sz="0" w:space="0" w:color="auto"/>
      </w:divBdr>
    </w:div>
    <w:div w:id="1231117977">
      <w:bodyDiv w:val="1"/>
      <w:marLeft w:val="0"/>
      <w:marRight w:val="0"/>
      <w:marTop w:val="0"/>
      <w:marBottom w:val="0"/>
      <w:divBdr>
        <w:top w:val="none" w:sz="0" w:space="0" w:color="auto"/>
        <w:left w:val="none" w:sz="0" w:space="0" w:color="auto"/>
        <w:bottom w:val="none" w:sz="0" w:space="0" w:color="auto"/>
        <w:right w:val="none" w:sz="0" w:space="0" w:color="auto"/>
      </w:divBdr>
    </w:div>
    <w:div w:id="1297026006">
      <w:bodyDiv w:val="1"/>
      <w:marLeft w:val="0"/>
      <w:marRight w:val="0"/>
      <w:marTop w:val="0"/>
      <w:marBottom w:val="0"/>
      <w:divBdr>
        <w:top w:val="none" w:sz="0" w:space="0" w:color="auto"/>
        <w:left w:val="none" w:sz="0" w:space="0" w:color="auto"/>
        <w:bottom w:val="none" w:sz="0" w:space="0" w:color="auto"/>
        <w:right w:val="none" w:sz="0" w:space="0" w:color="auto"/>
      </w:divBdr>
    </w:div>
    <w:div w:id="1305425482">
      <w:bodyDiv w:val="1"/>
      <w:marLeft w:val="0"/>
      <w:marRight w:val="0"/>
      <w:marTop w:val="0"/>
      <w:marBottom w:val="0"/>
      <w:divBdr>
        <w:top w:val="none" w:sz="0" w:space="0" w:color="auto"/>
        <w:left w:val="none" w:sz="0" w:space="0" w:color="auto"/>
        <w:bottom w:val="none" w:sz="0" w:space="0" w:color="auto"/>
        <w:right w:val="none" w:sz="0" w:space="0" w:color="auto"/>
      </w:divBdr>
    </w:div>
    <w:div w:id="1308826322">
      <w:bodyDiv w:val="1"/>
      <w:marLeft w:val="0"/>
      <w:marRight w:val="0"/>
      <w:marTop w:val="0"/>
      <w:marBottom w:val="0"/>
      <w:divBdr>
        <w:top w:val="none" w:sz="0" w:space="0" w:color="auto"/>
        <w:left w:val="none" w:sz="0" w:space="0" w:color="auto"/>
        <w:bottom w:val="none" w:sz="0" w:space="0" w:color="auto"/>
        <w:right w:val="none" w:sz="0" w:space="0" w:color="auto"/>
      </w:divBdr>
    </w:div>
    <w:div w:id="1320302782">
      <w:bodyDiv w:val="1"/>
      <w:marLeft w:val="0"/>
      <w:marRight w:val="0"/>
      <w:marTop w:val="0"/>
      <w:marBottom w:val="0"/>
      <w:divBdr>
        <w:top w:val="none" w:sz="0" w:space="0" w:color="auto"/>
        <w:left w:val="none" w:sz="0" w:space="0" w:color="auto"/>
        <w:bottom w:val="none" w:sz="0" w:space="0" w:color="auto"/>
        <w:right w:val="none" w:sz="0" w:space="0" w:color="auto"/>
      </w:divBdr>
    </w:div>
    <w:div w:id="1396514627">
      <w:bodyDiv w:val="1"/>
      <w:marLeft w:val="0"/>
      <w:marRight w:val="0"/>
      <w:marTop w:val="0"/>
      <w:marBottom w:val="0"/>
      <w:divBdr>
        <w:top w:val="none" w:sz="0" w:space="0" w:color="auto"/>
        <w:left w:val="none" w:sz="0" w:space="0" w:color="auto"/>
        <w:bottom w:val="none" w:sz="0" w:space="0" w:color="auto"/>
        <w:right w:val="none" w:sz="0" w:space="0" w:color="auto"/>
      </w:divBdr>
    </w:div>
    <w:div w:id="1406219778">
      <w:bodyDiv w:val="1"/>
      <w:marLeft w:val="0"/>
      <w:marRight w:val="0"/>
      <w:marTop w:val="0"/>
      <w:marBottom w:val="0"/>
      <w:divBdr>
        <w:top w:val="none" w:sz="0" w:space="0" w:color="auto"/>
        <w:left w:val="none" w:sz="0" w:space="0" w:color="auto"/>
        <w:bottom w:val="none" w:sz="0" w:space="0" w:color="auto"/>
        <w:right w:val="none" w:sz="0" w:space="0" w:color="auto"/>
      </w:divBdr>
    </w:div>
    <w:div w:id="1457988844">
      <w:bodyDiv w:val="1"/>
      <w:marLeft w:val="0"/>
      <w:marRight w:val="0"/>
      <w:marTop w:val="0"/>
      <w:marBottom w:val="0"/>
      <w:divBdr>
        <w:top w:val="none" w:sz="0" w:space="0" w:color="auto"/>
        <w:left w:val="none" w:sz="0" w:space="0" w:color="auto"/>
        <w:bottom w:val="none" w:sz="0" w:space="0" w:color="auto"/>
        <w:right w:val="none" w:sz="0" w:space="0" w:color="auto"/>
      </w:divBdr>
    </w:div>
    <w:div w:id="1476988974">
      <w:bodyDiv w:val="1"/>
      <w:marLeft w:val="0"/>
      <w:marRight w:val="0"/>
      <w:marTop w:val="0"/>
      <w:marBottom w:val="0"/>
      <w:divBdr>
        <w:top w:val="none" w:sz="0" w:space="0" w:color="auto"/>
        <w:left w:val="none" w:sz="0" w:space="0" w:color="auto"/>
        <w:bottom w:val="none" w:sz="0" w:space="0" w:color="auto"/>
        <w:right w:val="none" w:sz="0" w:space="0" w:color="auto"/>
      </w:divBdr>
    </w:div>
    <w:div w:id="1482386483">
      <w:bodyDiv w:val="1"/>
      <w:marLeft w:val="0"/>
      <w:marRight w:val="0"/>
      <w:marTop w:val="0"/>
      <w:marBottom w:val="0"/>
      <w:divBdr>
        <w:top w:val="none" w:sz="0" w:space="0" w:color="auto"/>
        <w:left w:val="none" w:sz="0" w:space="0" w:color="auto"/>
        <w:bottom w:val="none" w:sz="0" w:space="0" w:color="auto"/>
        <w:right w:val="none" w:sz="0" w:space="0" w:color="auto"/>
      </w:divBdr>
    </w:div>
    <w:div w:id="1561206269">
      <w:bodyDiv w:val="1"/>
      <w:marLeft w:val="0"/>
      <w:marRight w:val="0"/>
      <w:marTop w:val="0"/>
      <w:marBottom w:val="0"/>
      <w:divBdr>
        <w:top w:val="none" w:sz="0" w:space="0" w:color="auto"/>
        <w:left w:val="none" w:sz="0" w:space="0" w:color="auto"/>
        <w:bottom w:val="none" w:sz="0" w:space="0" w:color="auto"/>
        <w:right w:val="none" w:sz="0" w:space="0" w:color="auto"/>
      </w:divBdr>
    </w:div>
    <w:div w:id="1574659113">
      <w:bodyDiv w:val="1"/>
      <w:marLeft w:val="0"/>
      <w:marRight w:val="0"/>
      <w:marTop w:val="0"/>
      <w:marBottom w:val="0"/>
      <w:divBdr>
        <w:top w:val="none" w:sz="0" w:space="0" w:color="auto"/>
        <w:left w:val="none" w:sz="0" w:space="0" w:color="auto"/>
        <w:bottom w:val="none" w:sz="0" w:space="0" w:color="auto"/>
        <w:right w:val="none" w:sz="0" w:space="0" w:color="auto"/>
      </w:divBdr>
    </w:div>
    <w:div w:id="1585064102">
      <w:bodyDiv w:val="1"/>
      <w:marLeft w:val="0"/>
      <w:marRight w:val="0"/>
      <w:marTop w:val="0"/>
      <w:marBottom w:val="0"/>
      <w:divBdr>
        <w:top w:val="none" w:sz="0" w:space="0" w:color="auto"/>
        <w:left w:val="none" w:sz="0" w:space="0" w:color="auto"/>
        <w:bottom w:val="none" w:sz="0" w:space="0" w:color="auto"/>
        <w:right w:val="none" w:sz="0" w:space="0" w:color="auto"/>
      </w:divBdr>
    </w:div>
    <w:div w:id="1590312777">
      <w:bodyDiv w:val="1"/>
      <w:marLeft w:val="0"/>
      <w:marRight w:val="0"/>
      <w:marTop w:val="0"/>
      <w:marBottom w:val="0"/>
      <w:divBdr>
        <w:top w:val="none" w:sz="0" w:space="0" w:color="auto"/>
        <w:left w:val="none" w:sz="0" w:space="0" w:color="auto"/>
        <w:bottom w:val="none" w:sz="0" w:space="0" w:color="auto"/>
        <w:right w:val="none" w:sz="0" w:space="0" w:color="auto"/>
      </w:divBdr>
    </w:div>
    <w:div w:id="1608468805">
      <w:bodyDiv w:val="1"/>
      <w:marLeft w:val="0"/>
      <w:marRight w:val="0"/>
      <w:marTop w:val="0"/>
      <w:marBottom w:val="0"/>
      <w:divBdr>
        <w:top w:val="none" w:sz="0" w:space="0" w:color="auto"/>
        <w:left w:val="none" w:sz="0" w:space="0" w:color="auto"/>
        <w:bottom w:val="none" w:sz="0" w:space="0" w:color="auto"/>
        <w:right w:val="none" w:sz="0" w:space="0" w:color="auto"/>
      </w:divBdr>
    </w:div>
    <w:div w:id="1619029081">
      <w:bodyDiv w:val="1"/>
      <w:marLeft w:val="0"/>
      <w:marRight w:val="0"/>
      <w:marTop w:val="0"/>
      <w:marBottom w:val="0"/>
      <w:divBdr>
        <w:top w:val="none" w:sz="0" w:space="0" w:color="auto"/>
        <w:left w:val="none" w:sz="0" w:space="0" w:color="auto"/>
        <w:bottom w:val="none" w:sz="0" w:space="0" w:color="auto"/>
        <w:right w:val="none" w:sz="0" w:space="0" w:color="auto"/>
      </w:divBdr>
    </w:div>
    <w:div w:id="1712263531">
      <w:bodyDiv w:val="1"/>
      <w:marLeft w:val="0"/>
      <w:marRight w:val="0"/>
      <w:marTop w:val="0"/>
      <w:marBottom w:val="0"/>
      <w:divBdr>
        <w:top w:val="none" w:sz="0" w:space="0" w:color="auto"/>
        <w:left w:val="none" w:sz="0" w:space="0" w:color="auto"/>
        <w:bottom w:val="none" w:sz="0" w:space="0" w:color="auto"/>
        <w:right w:val="none" w:sz="0" w:space="0" w:color="auto"/>
      </w:divBdr>
    </w:div>
    <w:div w:id="1745686227">
      <w:bodyDiv w:val="1"/>
      <w:marLeft w:val="0"/>
      <w:marRight w:val="0"/>
      <w:marTop w:val="0"/>
      <w:marBottom w:val="0"/>
      <w:divBdr>
        <w:top w:val="none" w:sz="0" w:space="0" w:color="auto"/>
        <w:left w:val="none" w:sz="0" w:space="0" w:color="auto"/>
        <w:bottom w:val="none" w:sz="0" w:space="0" w:color="auto"/>
        <w:right w:val="none" w:sz="0" w:space="0" w:color="auto"/>
      </w:divBdr>
    </w:div>
    <w:div w:id="1763527122">
      <w:bodyDiv w:val="1"/>
      <w:marLeft w:val="0"/>
      <w:marRight w:val="0"/>
      <w:marTop w:val="0"/>
      <w:marBottom w:val="0"/>
      <w:divBdr>
        <w:top w:val="none" w:sz="0" w:space="0" w:color="auto"/>
        <w:left w:val="none" w:sz="0" w:space="0" w:color="auto"/>
        <w:bottom w:val="none" w:sz="0" w:space="0" w:color="auto"/>
        <w:right w:val="none" w:sz="0" w:space="0" w:color="auto"/>
      </w:divBdr>
    </w:div>
    <w:div w:id="1769960164">
      <w:bodyDiv w:val="1"/>
      <w:marLeft w:val="0"/>
      <w:marRight w:val="0"/>
      <w:marTop w:val="0"/>
      <w:marBottom w:val="0"/>
      <w:divBdr>
        <w:top w:val="none" w:sz="0" w:space="0" w:color="auto"/>
        <w:left w:val="none" w:sz="0" w:space="0" w:color="auto"/>
        <w:bottom w:val="none" w:sz="0" w:space="0" w:color="auto"/>
        <w:right w:val="none" w:sz="0" w:space="0" w:color="auto"/>
      </w:divBdr>
    </w:div>
    <w:div w:id="1777171723">
      <w:bodyDiv w:val="1"/>
      <w:marLeft w:val="0"/>
      <w:marRight w:val="0"/>
      <w:marTop w:val="0"/>
      <w:marBottom w:val="0"/>
      <w:divBdr>
        <w:top w:val="none" w:sz="0" w:space="0" w:color="auto"/>
        <w:left w:val="none" w:sz="0" w:space="0" w:color="auto"/>
        <w:bottom w:val="none" w:sz="0" w:space="0" w:color="auto"/>
        <w:right w:val="none" w:sz="0" w:space="0" w:color="auto"/>
      </w:divBdr>
    </w:div>
    <w:div w:id="1790051634">
      <w:bodyDiv w:val="1"/>
      <w:marLeft w:val="0"/>
      <w:marRight w:val="0"/>
      <w:marTop w:val="0"/>
      <w:marBottom w:val="0"/>
      <w:divBdr>
        <w:top w:val="none" w:sz="0" w:space="0" w:color="auto"/>
        <w:left w:val="none" w:sz="0" w:space="0" w:color="auto"/>
        <w:bottom w:val="none" w:sz="0" w:space="0" w:color="auto"/>
        <w:right w:val="none" w:sz="0" w:space="0" w:color="auto"/>
      </w:divBdr>
    </w:div>
    <w:div w:id="1802847001">
      <w:bodyDiv w:val="1"/>
      <w:marLeft w:val="0"/>
      <w:marRight w:val="0"/>
      <w:marTop w:val="0"/>
      <w:marBottom w:val="0"/>
      <w:divBdr>
        <w:top w:val="none" w:sz="0" w:space="0" w:color="auto"/>
        <w:left w:val="none" w:sz="0" w:space="0" w:color="auto"/>
        <w:bottom w:val="none" w:sz="0" w:space="0" w:color="auto"/>
        <w:right w:val="none" w:sz="0" w:space="0" w:color="auto"/>
      </w:divBdr>
    </w:div>
    <w:div w:id="1825702035">
      <w:bodyDiv w:val="1"/>
      <w:marLeft w:val="0"/>
      <w:marRight w:val="0"/>
      <w:marTop w:val="0"/>
      <w:marBottom w:val="0"/>
      <w:divBdr>
        <w:top w:val="none" w:sz="0" w:space="0" w:color="auto"/>
        <w:left w:val="none" w:sz="0" w:space="0" w:color="auto"/>
        <w:bottom w:val="none" w:sz="0" w:space="0" w:color="auto"/>
        <w:right w:val="none" w:sz="0" w:space="0" w:color="auto"/>
      </w:divBdr>
    </w:div>
    <w:div w:id="1831676893">
      <w:bodyDiv w:val="1"/>
      <w:marLeft w:val="0"/>
      <w:marRight w:val="0"/>
      <w:marTop w:val="0"/>
      <w:marBottom w:val="0"/>
      <w:divBdr>
        <w:top w:val="none" w:sz="0" w:space="0" w:color="auto"/>
        <w:left w:val="none" w:sz="0" w:space="0" w:color="auto"/>
        <w:bottom w:val="none" w:sz="0" w:space="0" w:color="auto"/>
        <w:right w:val="none" w:sz="0" w:space="0" w:color="auto"/>
      </w:divBdr>
    </w:div>
    <w:div w:id="1834375409">
      <w:bodyDiv w:val="1"/>
      <w:marLeft w:val="0"/>
      <w:marRight w:val="0"/>
      <w:marTop w:val="0"/>
      <w:marBottom w:val="0"/>
      <w:divBdr>
        <w:top w:val="none" w:sz="0" w:space="0" w:color="auto"/>
        <w:left w:val="none" w:sz="0" w:space="0" w:color="auto"/>
        <w:bottom w:val="none" w:sz="0" w:space="0" w:color="auto"/>
        <w:right w:val="none" w:sz="0" w:space="0" w:color="auto"/>
      </w:divBdr>
    </w:div>
    <w:div w:id="1835799867">
      <w:bodyDiv w:val="1"/>
      <w:marLeft w:val="0"/>
      <w:marRight w:val="0"/>
      <w:marTop w:val="0"/>
      <w:marBottom w:val="0"/>
      <w:divBdr>
        <w:top w:val="none" w:sz="0" w:space="0" w:color="auto"/>
        <w:left w:val="none" w:sz="0" w:space="0" w:color="auto"/>
        <w:bottom w:val="none" w:sz="0" w:space="0" w:color="auto"/>
        <w:right w:val="none" w:sz="0" w:space="0" w:color="auto"/>
      </w:divBdr>
    </w:div>
    <w:div w:id="1856923404">
      <w:bodyDiv w:val="1"/>
      <w:marLeft w:val="0"/>
      <w:marRight w:val="0"/>
      <w:marTop w:val="0"/>
      <w:marBottom w:val="0"/>
      <w:divBdr>
        <w:top w:val="none" w:sz="0" w:space="0" w:color="auto"/>
        <w:left w:val="none" w:sz="0" w:space="0" w:color="auto"/>
        <w:bottom w:val="none" w:sz="0" w:space="0" w:color="auto"/>
        <w:right w:val="none" w:sz="0" w:space="0" w:color="auto"/>
      </w:divBdr>
    </w:div>
    <w:div w:id="1874880868">
      <w:bodyDiv w:val="1"/>
      <w:marLeft w:val="0"/>
      <w:marRight w:val="0"/>
      <w:marTop w:val="0"/>
      <w:marBottom w:val="0"/>
      <w:divBdr>
        <w:top w:val="none" w:sz="0" w:space="0" w:color="auto"/>
        <w:left w:val="none" w:sz="0" w:space="0" w:color="auto"/>
        <w:bottom w:val="none" w:sz="0" w:space="0" w:color="auto"/>
        <w:right w:val="none" w:sz="0" w:space="0" w:color="auto"/>
      </w:divBdr>
    </w:div>
    <w:div w:id="1909655976">
      <w:bodyDiv w:val="1"/>
      <w:marLeft w:val="0"/>
      <w:marRight w:val="0"/>
      <w:marTop w:val="0"/>
      <w:marBottom w:val="0"/>
      <w:divBdr>
        <w:top w:val="none" w:sz="0" w:space="0" w:color="auto"/>
        <w:left w:val="none" w:sz="0" w:space="0" w:color="auto"/>
        <w:bottom w:val="none" w:sz="0" w:space="0" w:color="auto"/>
        <w:right w:val="none" w:sz="0" w:space="0" w:color="auto"/>
      </w:divBdr>
    </w:div>
    <w:div w:id="1915386219">
      <w:bodyDiv w:val="1"/>
      <w:marLeft w:val="0"/>
      <w:marRight w:val="0"/>
      <w:marTop w:val="0"/>
      <w:marBottom w:val="0"/>
      <w:divBdr>
        <w:top w:val="none" w:sz="0" w:space="0" w:color="auto"/>
        <w:left w:val="none" w:sz="0" w:space="0" w:color="auto"/>
        <w:bottom w:val="none" w:sz="0" w:space="0" w:color="auto"/>
        <w:right w:val="none" w:sz="0" w:space="0" w:color="auto"/>
      </w:divBdr>
    </w:div>
    <w:div w:id="1958371136">
      <w:bodyDiv w:val="1"/>
      <w:marLeft w:val="0"/>
      <w:marRight w:val="0"/>
      <w:marTop w:val="0"/>
      <w:marBottom w:val="0"/>
      <w:divBdr>
        <w:top w:val="none" w:sz="0" w:space="0" w:color="auto"/>
        <w:left w:val="none" w:sz="0" w:space="0" w:color="auto"/>
        <w:bottom w:val="none" w:sz="0" w:space="0" w:color="auto"/>
        <w:right w:val="none" w:sz="0" w:space="0" w:color="auto"/>
      </w:divBdr>
    </w:div>
    <w:div w:id="1961301852">
      <w:bodyDiv w:val="1"/>
      <w:marLeft w:val="0"/>
      <w:marRight w:val="0"/>
      <w:marTop w:val="0"/>
      <w:marBottom w:val="0"/>
      <w:divBdr>
        <w:top w:val="none" w:sz="0" w:space="0" w:color="auto"/>
        <w:left w:val="none" w:sz="0" w:space="0" w:color="auto"/>
        <w:bottom w:val="none" w:sz="0" w:space="0" w:color="auto"/>
        <w:right w:val="none" w:sz="0" w:space="0" w:color="auto"/>
      </w:divBdr>
    </w:div>
    <w:div w:id="1992827816">
      <w:bodyDiv w:val="1"/>
      <w:marLeft w:val="0"/>
      <w:marRight w:val="0"/>
      <w:marTop w:val="0"/>
      <w:marBottom w:val="0"/>
      <w:divBdr>
        <w:top w:val="none" w:sz="0" w:space="0" w:color="auto"/>
        <w:left w:val="none" w:sz="0" w:space="0" w:color="auto"/>
        <w:bottom w:val="none" w:sz="0" w:space="0" w:color="auto"/>
        <w:right w:val="none" w:sz="0" w:space="0" w:color="auto"/>
      </w:divBdr>
    </w:div>
    <w:div w:id="2012096167">
      <w:bodyDiv w:val="1"/>
      <w:marLeft w:val="0"/>
      <w:marRight w:val="0"/>
      <w:marTop w:val="0"/>
      <w:marBottom w:val="0"/>
      <w:divBdr>
        <w:top w:val="none" w:sz="0" w:space="0" w:color="auto"/>
        <w:left w:val="none" w:sz="0" w:space="0" w:color="auto"/>
        <w:bottom w:val="none" w:sz="0" w:space="0" w:color="auto"/>
        <w:right w:val="none" w:sz="0" w:space="0" w:color="auto"/>
      </w:divBdr>
    </w:div>
    <w:div w:id="2022658321">
      <w:bodyDiv w:val="1"/>
      <w:marLeft w:val="0"/>
      <w:marRight w:val="0"/>
      <w:marTop w:val="0"/>
      <w:marBottom w:val="0"/>
      <w:divBdr>
        <w:top w:val="none" w:sz="0" w:space="0" w:color="auto"/>
        <w:left w:val="none" w:sz="0" w:space="0" w:color="auto"/>
        <w:bottom w:val="none" w:sz="0" w:space="0" w:color="auto"/>
        <w:right w:val="none" w:sz="0" w:space="0" w:color="auto"/>
      </w:divBdr>
    </w:div>
    <w:div w:id="2027245013">
      <w:bodyDiv w:val="1"/>
      <w:marLeft w:val="0"/>
      <w:marRight w:val="0"/>
      <w:marTop w:val="0"/>
      <w:marBottom w:val="0"/>
      <w:divBdr>
        <w:top w:val="none" w:sz="0" w:space="0" w:color="auto"/>
        <w:left w:val="none" w:sz="0" w:space="0" w:color="auto"/>
        <w:bottom w:val="none" w:sz="0" w:space="0" w:color="auto"/>
        <w:right w:val="none" w:sz="0" w:space="0" w:color="auto"/>
      </w:divBdr>
    </w:div>
    <w:div w:id="2069693549">
      <w:bodyDiv w:val="1"/>
      <w:marLeft w:val="0"/>
      <w:marRight w:val="0"/>
      <w:marTop w:val="0"/>
      <w:marBottom w:val="0"/>
      <w:divBdr>
        <w:top w:val="none" w:sz="0" w:space="0" w:color="auto"/>
        <w:left w:val="none" w:sz="0" w:space="0" w:color="auto"/>
        <w:bottom w:val="none" w:sz="0" w:space="0" w:color="auto"/>
        <w:right w:val="none" w:sz="0" w:space="0" w:color="auto"/>
      </w:divBdr>
    </w:div>
    <w:div w:id="2124961184">
      <w:bodyDiv w:val="1"/>
      <w:marLeft w:val="0"/>
      <w:marRight w:val="0"/>
      <w:marTop w:val="0"/>
      <w:marBottom w:val="0"/>
      <w:divBdr>
        <w:top w:val="none" w:sz="0" w:space="0" w:color="auto"/>
        <w:left w:val="none" w:sz="0" w:space="0" w:color="auto"/>
        <w:bottom w:val="none" w:sz="0" w:space="0" w:color="auto"/>
        <w:right w:val="none" w:sz="0" w:space="0" w:color="auto"/>
      </w:divBdr>
    </w:div>
    <w:div w:id="214480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iv.uk/peoplepopulationand%20community/heathland%20socialcare/healthinequalities/bulletins/healthstatelifeexpectanciesbynationaldeprivationdecileswales/2017to2019" TargetMode="External"/><Relationship Id="rId13" Type="http://schemas.openxmlformats.org/officeDocument/2006/relationships/hyperlink" Target="https://publichealthnetwork.cymru/topic/smoking-and-vaping/" TargetMode="External"/><Relationship Id="rId18" Type="http://schemas.openxmlformats.org/officeDocument/2006/relationships/hyperlink" Target="https://gov.wales/cymraeg-2050-welsh-languge-strateg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tatswales.gov,wales/Catalogue/Business-Economy-and-Labour-Market/People-anWelsh" TargetMode="External"/><Relationship Id="rId7" Type="http://schemas.openxmlformats.org/officeDocument/2006/relationships/hyperlink" Target="https://digital.nhs.uk/data-and-information/publications/statistical/appointments-in-genera-practice/september-2021" TargetMode="External"/><Relationship Id="rId12" Type="http://schemas.openxmlformats.org/officeDocument/2006/relationships/hyperlink" Target="https://oxfamilibrary.openrepository.com/bitstream/handle/10546/582545/tb-carbonemissions-inequality-methodology-021215-en.pdf?sequence=2" TargetMode="External"/><Relationship Id="rId17" Type="http://schemas.openxmlformats.org/officeDocument/2006/relationships/hyperlink" Target="https://gov.wales/cymraeg-2050-welsh-languge-strateg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hdr.undp.org/sites/default/files/2020_mpi_statistical_data_table_1_and_2_en.pdf" TargetMode="External"/><Relationship Id="rId20" Type="http://schemas.openxmlformats.org/officeDocument/2006/relationships/hyperlink" Target="https://gov.wales/sites/default/files/publications/2021-01/energy-generation-in-wales-2019.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br.uk/efo/economic-and-fiscal-outlook-march-2021/" TargetMode="External"/><Relationship Id="rId24" Type="http://schemas.openxmlformats.org/officeDocument/2006/relationships/hyperlink" Target="https://www.gov.wales/wellbeing-wales-2022-children-and-young-peoples-wellbeing-healthier-wales-html" TargetMode="External"/><Relationship Id="rId5" Type="http://schemas.openxmlformats.org/officeDocument/2006/relationships/footnotes" Target="footnotes.xml"/><Relationship Id="rId15" Type="http://schemas.openxmlformats.org/officeDocument/2006/relationships/hyperlink" Target="https://explore-education-statistics.service.gov.uk/data-tables/fast-track/e71dd1d5-86d3-4c1da87c-52311ddfb19d" TargetMode="External"/><Relationship Id="rId23" Type="http://schemas.openxmlformats.org/officeDocument/2006/relationships/hyperlink" Target="https://www.gov.wales/sites/default/files/publications/2022-06/chief-medical-officer-annual-report-2021-to-2022_0.pdf" TargetMode="External"/><Relationship Id="rId10" Type="http://schemas.openxmlformats.org/officeDocument/2006/relationships/hyperlink" Target="https://gov.wales/national-survey-wales-results-viewer" TargetMode="External"/><Relationship Id="rId19" Type="http://schemas.openxmlformats.org/officeDocument/2006/relationships/hyperlink" Target="https://gov.wales/welsh-language-use-wales-initial-findings-july-2019-march-2020-html" TargetMode="External"/><Relationship Id="rId4" Type="http://schemas.openxmlformats.org/officeDocument/2006/relationships/webSettings" Target="webSettings.xml"/><Relationship Id="rId9" Type="http://schemas.openxmlformats.org/officeDocument/2006/relationships/hyperlink" Target="https://www.ons.gov.uk/employmentandlabourmarket/peopleinwork/labourproductivity/datase" TargetMode="External"/><Relationship Id="rId14" Type="http://schemas.openxmlformats.org/officeDocument/2006/relationships/hyperlink" Target="https://socialcare.wales/resources-guidance/information-and-learning-hub/sswbact/overview" TargetMode="External"/><Relationship Id="rId22" Type="http://schemas.openxmlformats.org/officeDocument/2006/relationships/hyperlink" Target="https://www.gov.wales/wellbeing-wales-2022-healthier-wa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5774</Words>
  <Characters>32918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jarju</dc:creator>
  <cp:keywords/>
  <dc:description/>
  <cp:lastModifiedBy>Charlotte jarju</cp:lastModifiedBy>
  <cp:revision>3</cp:revision>
  <dcterms:created xsi:type="dcterms:W3CDTF">2024-04-18T00:48:00Z</dcterms:created>
  <dcterms:modified xsi:type="dcterms:W3CDTF">2024-07-31T01:08:00Z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79d9ee0c0974d55b58d175d649c1ed40782b5656d9b5166d62bea33c4b4f2c47</vt:lpwstr>
  </property>
</Properties>
</file>