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766351638"/>
        <w:docPartObj>
          <w:docPartGallery w:val="Cover Pages"/>
          <w:docPartUnique/>
        </w:docPartObj>
      </w:sdtPr>
      <w:sdtEndPr/>
      <w:sdtContent>
        <w:p w14:paraId="573DD32E" w14:textId="4873A03B" w:rsidR="00ED3DB4" w:rsidRPr="00FB1C29" w:rsidRDefault="00ED3DB4" w:rsidP="0060718C">
          <w:pPr>
            <w:spacing w:line="360" w:lineRule="auto"/>
            <w:jc w:val="both"/>
            <w:rPr>
              <w:rFonts w:ascii="Arial" w:hAnsi="Arial" w:cs="Arial"/>
            </w:rPr>
          </w:pPr>
          <w:r w:rsidRPr="00FB1C29">
            <w:rPr>
              <w:rFonts w:ascii="Arial" w:hAnsi="Arial" w:cs="Arial"/>
              <w:noProof/>
            </w:rPr>
            <mc:AlternateContent>
              <mc:Choice Requires="wps">
                <w:drawing>
                  <wp:anchor distT="0" distB="0" distL="114300" distR="114300" simplePos="0" relativeHeight="251659264" behindDoc="1" locked="0" layoutInCell="1" allowOverlap="0" wp14:anchorId="79DB725C" wp14:editId="72BF2DC7">
                    <wp:simplePos x="0" y="0"/>
                    <wp:positionH relativeFrom="page">
                      <wp:align>center</wp:align>
                    </wp:positionH>
                    <wp:positionV relativeFrom="page">
                      <wp:align>center</wp:align>
                    </wp:positionV>
                    <wp:extent cx="6858000" cy="9144000"/>
                    <wp:effectExtent l="0" t="0" r="0" b="0"/>
                    <wp:wrapNone/>
                    <wp:docPr id="8" name="Text Box 4"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ED3DB4" w:rsidRPr="00FB1C29" w14:paraId="5AA9CA1C" w14:textId="77777777">
                                  <w:trPr>
                                    <w:trHeight w:hRule="exact" w:val="9360"/>
                                  </w:trPr>
                                  <w:tc>
                                    <w:tcPr>
                                      <w:tcW w:w="5000" w:type="pct"/>
                                    </w:tcPr>
                                    <w:p w14:paraId="2A109ED3" w14:textId="77777777" w:rsidR="00ED3DB4" w:rsidRPr="00FB1C29" w:rsidRDefault="00ED3DB4">
                                      <w:r w:rsidRPr="00FB1C29">
                                        <w:rPr>
                                          <w:noProof/>
                                        </w:rPr>
                                        <w:drawing>
                                          <wp:inline distT="0" distB="0" distL="0" distR="0" wp14:anchorId="0C444770" wp14:editId="327540A5">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0">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ED3DB4" w:rsidRPr="00FB1C29" w14:paraId="1A15CCE9" w14:textId="77777777">
                                  <w:trPr>
                                    <w:trHeight w:hRule="exact" w:val="4320"/>
                                  </w:trPr>
                                  <w:tc>
                                    <w:tcPr>
                                      <w:tcW w:w="5000" w:type="pct"/>
                                      <w:shd w:val="clear" w:color="auto" w:fill="156082" w:themeFill="accent1"/>
                                      <w:vAlign w:val="center"/>
                                    </w:tcPr>
                                    <w:p w14:paraId="3EBB7C9F" w14:textId="2447B582" w:rsidR="00ED3DB4" w:rsidRPr="00FB1C29" w:rsidRDefault="00807A79">
                                      <w:pPr>
                                        <w:pStyle w:val="NoSpacing"/>
                                        <w:spacing w:before="200" w:line="216" w:lineRule="auto"/>
                                        <w:ind w:left="720" w:right="720"/>
                                        <w:rPr>
                                          <w:rFonts w:asciiTheme="majorHAnsi" w:hAnsiTheme="majorHAnsi"/>
                                          <w:color w:val="FFFFFF" w:themeColor="background1"/>
                                          <w:sz w:val="96"/>
                                          <w:szCs w:val="96"/>
                                          <w:lang w:val="en-GB"/>
                                        </w:rPr>
                                      </w:pPr>
                                      <w:sdt>
                                        <w:sdtPr>
                                          <w:rPr>
                                            <w:rFonts w:asciiTheme="majorHAnsi" w:hAnsiTheme="majorHAnsi"/>
                                            <w:color w:val="FFFFFF" w:themeColor="background1"/>
                                            <w:sz w:val="96"/>
                                            <w:szCs w:val="96"/>
                                            <w:lang w:val="en-GB"/>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ED3DB4" w:rsidRPr="00FB1C29">
                                            <w:rPr>
                                              <w:rFonts w:asciiTheme="majorHAnsi" w:hAnsiTheme="majorHAnsi"/>
                                              <w:color w:val="FFFFFF" w:themeColor="background1"/>
                                              <w:sz w:val="96"/>
                                              <w:szCs w:val="96"/>
                                              <w:lang w:val="en-GB"/>
                                            </w:rPr>
                                            <w:t>Planning and Delivering an International Meeting/Event.</w:t>
                                          </w:r>
                                        </w:sdtContent>
                                      </w:sdt>
                                    </w:p>
                                    <w:p w14:paraId="39A8C18B" w14:textId="50A738E3" w:rsidR="00ED3DB4" w:rsidRPr="00FB1C29" w:rsidRDefault="00807A79">
                                      <w:pPr>
                                        <w:pStyle w:val="NoSpacing"/>
                                        <w:spacing w:before="240"/>
                                        <w:ind w:left="720" w:right="720"/>
                                        <w:rPr>
                                          <w:color w:val="FFFFFF" w:themeColor="background1"/>
                                          <w:sz w:val="32"/>
                                          <w:szCs w:val="32"/>
                                          <w:lang w:val="en-GB"/>
                                        </w:rPr>
                                      </w:pPr>
                                      <w:sdt>
                                        <w:sdtPr>
                                          <w:rPr>
                                            <w:b/>
                                            <w:bCs/>
                                            <w:color w:val="FFFFFF" w:themeColor="background1"/>
                                            <w:lang w:val="en-GB"/>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6674D7" w:rsidRPr="00FB1C29">
                                            <w:rPr>
                                              <w:b/>
                                              <w:bCs/>
                                              <w:color w:val="FFFFFF" w:themeColor="background1"/>
                                              <w:lang w:val="en-GB"/>
                                            </w:rPr>
                                            <w:t>Unlocking Opportunities: The Building of Inclusive and Diverse Careers in Hospitality</w:t>
                                          </w:r>
                                        </w:sdtContent>
                                      </w:sdt>
                                      <w:r w:rsidR="00ED3DB4" w:rsidRPr="00FB1C29">
                                        <w:rPr>
                                          <w:color w:val="FFFFFF" w:themeColor="background1"/>
                                          <w:sz w:val="32"/>
                                          <w:szCs w:val="32"/>
                                          <w:lang w:val="en-GB"/>
                                        </w:rPr>
                                        <w:t xml:space="preserve"> </w:t>
                                      </w:r>
                                    </w:p>
                                  </w:tc>
                                </w:tr>
                                <w:tr w:rsidR="00ED3DB4" w:rsidRPr="00FB1C29" w14:paraId="318B86E4"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ED3DB4" w:rsidRPr="00FB1C29" w14:paraId="61E094A8" w14:textId="77777777">
                                        <w:trPr>
                                          <w:trHeight w:hRule="exact" w:val="720"/>
                                        </w:trPr>
                                        <w:sdt>
                                          <w:sdtPr>
                                            <w:rPr>
                                              <w:color w:val="FFFFFF" w:themeColor="background1"/>
                                              <w:lang w:val="en-GB"/>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5162D133" w14:textId="30462EA7" w:rsidR="00ED3DB4" w:rsidRPr="00FB1C29" w:rsidRDefault="00ED3DB4">
                                                <w:pPr>
                                                  <w:pStyle w:val="NoSpacing"/>
                                                  <w:ind w:left="144" w:right="144"/>
                                                  <w:jc w:val="center"/>
                                                  <w:rPr>
                                                    <w:color w:val="FFFFFF" w:themeColor="background1"/>
                                                    <w:lang w:val="en-GB"/>
                                                  </w:rPr>
                                                </w:pPr>
                                                <w:r w:rsidRPr="00FB1C29">
                                                  <w:rPr>
                                                    <w:color w:val="FFFFFF" w:themeColor="background1"/>
                                                    <w:lang w:val="en-GB"/>
                                                  </w:rPr>
                                                  <w:t>Sonia-Lorena Mocanu (2233341)</w:t>
                                                </w:r>
                                              </w:p>
                                            </w:tc>
                                          </w:sdtContent>
                                        </w:sdt>
                                        <w:tc>
                                          <w:tcPr>
                                            <w:tcW w:w="3591" w:type="dxa"/>
                                            <w:vAlign w:val="center"/>
                                          </w:tcPr>
                                          <w:p w14:paraId="5700611A" w14:textId="78CD7019" w:rsidR="00ED3DB4" w:rsidRPr="00FB1C29" w:rsidRDefault="00ED3DB4">
                                            <w:pPr>
                                              <w:pStyle w:val="NoSpacing"/>
                                              <w:ind w:left="144" w:right="144"/>
                                              <w:jc w:val="center"/>
                                              <w:rPr>
                                                <w:color w:val="FFFFFF" w:themeColor="background1"/>
                                                <w:lang w:val="en-GB"/>
                                              </w:rPr>
                                            </w:pPr>
                                            <w:r w:rsidRPr="00FB1C29">
                                              <w:rPr>
                                                <w:color w:val="FFFFFF" w:themeColor="background1"/>
                                                <w:lang w:val="en-GB"/>
                                              </w:rPr>
                                              <w:t>Lecturer: Kathryn Flynn</w:t>
                                            </w:r>
                                          </w:p>
                                        </w:tc>
                                        <w:sdt>
                                          <w:sdtPr>
                                            <w:rPr>
                                              <w:color w:val="FFFFFF" w:themeColor="background1"/>
                                              <w:lang w:val="en-GB"/>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4499F88A" w14:textId="271A340C" w:rsidR="00ED3DB4" w:rsidRPr="00FB1C29" w:rsidRDefault="00ED3DB4">
                                                <w:pPr>
                                                  <w:pStyle w:val="NoSpacing"/>
                                                  <w:ind w:left="144" w:right="720"/>
                                                  <w:jc w:val="right"/>
                                                  <w:rPr>
                                                    <w:color w:val="FFFFFF" w:themeColor="background1"/>
                                                    <w:lang w:val="en-GB"/>
                                                  </w:rPr>
                                                </w:pPr>
                                                <w:r w:rsidRPr="00FB1C29">
                                                  <w:rPr>
                                                    <w:color w:val="FFFFFF" w:themeColor="background1"/>
                                                    <w:lang w:val="en-GB"/>
                                                  </w:rPr>
                                                  <w:t>International Meetings Management BMIH6007</w:t>
                                                </w:r>
                                              </w:p>
                                            </w:tc>
                                          </w:sdtContent>
                                        </w:sdt>
                                      </w:tr>
                                    </w:tbl>
                                    <w:p w14:paraId="7FB3D8A7" w14:textId="77777777" w:rsidR="00ED3DB4" w:rsidRPr="00FB1C29" w:rsidRDefault="00ED3DB4"/>
                                  </w:tc>
                                </w:tr>
                              </w:tbl>
                              <w:p w14:paraId="50C294FF" w14:textId="77777777" w:rsidR="00ED3DB4" w:rsidRPr="00FB1C29" w:rsidRDefault="00ED3DB4"/>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9DB725C" id="_x0000_t202" coordsize="21600,21600" o:spt="202" path="m,l,21600r21600,l21600,xe">
                    <v:stroke joinstyle="miter"/>
                    <v:path gradientshapeok="t" o:connecttype="rect"/>
                  </v:shapetype>
                  <v:shape id="Text Box 4" o:spid="_x0000_s1026" type="#_x0000_t202" alt="Cover page layout" style="position:absolute;left:0;text-align:left;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ED3DB4" w:rsidRPr="00FB1C29" w14:paraId="5AA9CA1C" w14:textId="77777777">
                            <w:trPr>
                              <w:trHeight w:hRule="exact" w:val="9360"/>
                            </w:trPr>
                            <w:tc>
                              <w:tcPr>
                                <w:tcW w:w="5000" w:type="pct"/>
                              </w:tcPr>
                              <w:p w14:paraId="2A109ED3" w14:textId="77777777" w:rsidR="00ED3DB4" w:rsidRPr="00FB1C29" w:rsidRDefault="00ED3DB4">
                                <w:r w:rsidRPr="00FB1C29">
                                  <w:rPr>
                                    <w:noProof/>
                                  </w:rPr>
                                  <w:drawing>
                                    <wp:inline distT="0" distB="0" distL="0" distR="0" wp14:anchorId="0C444770" wp14:editId="327540A5">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0">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ED3DB4" w:rsidRPr="00FB1C29" w14:paraId="1A15CCE9" w14:textId="77777777">
                            <w:trPr>
                              <w:trHeight w:hRule="exact" w:val="4320"/>
                            </w:trPr>
                            <w:tc>
                              <w:tcPr>
                                <w:tcW w:w="5000" w:type="pct"/>
                                <w:shd w:val="clear" w:color="auto" w:fill="156082" w:themeFill="accent1"/>
                                <w:vAlign w:val="center"/>
                              </w:tcPr>
                              <w:p w14:paraId="3EBB7C9F" w14:textId="2447B582" w:rsidR="00ED3DB4" w:rsidRPr="00FB1C29" w:rsidRDefault="00807A79">
                                <w:pPr>
                                  <w:pStyle w:val="NoSpacing"/>
                                  <w:spacing w:before="200" w:line="216" w:lineRule="auto"/>
                                  <w:ind w:left="720" w:right="720"/>
                                  <w:rPr>
                                    <w:rFonts w:asciiTheme="majorHAnsi" w:hAnsiTheme="majorHAnsi"/>
                                    <w:color w:val="FFFFFF" w:themeColor="background1"/>
                                    <w:sz w:val="96"/>
                                    <w:szCs w:val="96"/>
                                    <w:lang w:val="en-GB"/>
                                  </w:rPr>
                                </w:pPr>
                                <w:sdt>
                                  <w:sdtPr>
                                    <w:rPr>
                                      <w:rFonts w:asciiTheme="majorHAnsi" w:hAnsiTheme="majorHAnsi"/>
                                      <w:color w:val="FFFFFF" w:themeColor="background1"/>
                                      <w:sz w:val="96"/>
                                      <w:szCs w:val="96"/>
                                      <w:lang w:val="en-GB"/>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ED3DB4" w:rsidRPr="00FB1C29">
                                      <w:rPr>
                                        <w:rFonts w:asciiTheme="majorHAnsi" w:hAnsiTheme="majorHAnsi"/>
                                        <w:color w:val="FFFFFF" w:themeColor="background1"/>
                                        <w:sz w:val="96"/>
                                        <w:szCs w:val="96"/>
                                        <w:lang w:val="en-GB"/>
                                      </w:rPr>
                                      <w:t>Planning and Delivering an International Meeting/Event.</w:t>
                                    </w:r>
                                  </w:sdtContent>
                                </w:sdt>
                              </w:p>
                              <w:p w14:paraId="39A8C18B" w14:textId="50A738E3" w:rsidR="00ED3DB4" w:rsidRPr="00FB1C29" w:rsidRDefault="00807A79">
                                <w:pPr>
                                  <w:pStyle w:val="NoSpacing"/>
                                  <w:spacing w:before="240"/>
                                  <w:ind w:left="720" w:right="720"/>
                                  <w:rPr>
                                    <w:color w:val="FFFFFF" w:themeColor="background1"/>
                                    <w:sz w:val="32"/>
                                    <w:szCs w:val="32"/>
                                    <w:lang w:val="en-GB"/>
                                  </w:rPr>
                                </w:pPr>
                                <w:sdt>
                                  <w:sdtPr>
                                    <w:rPr>
                                      <w:b/>
                                      <w:bCs/>
                                      <w:color w:val="FFFFFF" w:themeColor="background1"/>
                                      <w:lang w:val="en-GB"/>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6674D7" w:rsidRPr="00FB1C29">
                                      <w:rPr>
                                        <w:b/>
                                        <w:bCs/>
                                        <w:color w:val="FFFFFF" w:themeColor="background1"/>
                                        <w:lang w:val="en-GB"/>
                                      </w:rPr>
                                      <w:t>Unlocking Opportunities: The Building of Inclusive and Diverse Careers in Hospitality</w:t>
                                    </w:r>
                                  </w:sdtContent>
                                </w:sdt>
                                <w:r w:rsidR="00ED3DB4" w:rsidRPr="00FB1C29">
                                  <w:rPr>
                                    <w:color w:val="FFFFFF" w:themeColor="background1"/>
                                    <w:sz w:val="32"/>
                                    <w:szCs w:val="32"/>
                                    <w:lang w:val="en-GB"/>
                                  </w:rPr>
                                  <w:t xml:space="preserve"> </w:t>
                                </w:r>
                              </w:p>
                            </w:tc>
                          </w:tr>
                          <w:tr w:rsidR="00ED3DB4" w:rsidRPr="00FB1C29" w14:paraId="318B86E4"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ED3DB4" w:rsidRPr="00FB1C29" w14:paraId="61E094A8" w14:textId="77777777">
                                  <w:trPr>
                                    <w:trHeight w:hRule="exact" w:val="720"/>
                                  </w:trPr>
                                  <w:sdt>
                                    <w:sdtPr>
                                      <w:rPr>
                                        <w:color w:val="FFFFFF" w:themeColor="background1"/>
                                        <w:lang w:val="en-GB"/>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5162D133" w14:textId="30462EA7" w:rsidR="00ED3DB4" w:rsidRPr="00FB1C29" w:rsidRDefault="00ED3DB4">
                                          <w:pPr>
                                            <w:pStyle w:val="NoSpacing"/>
                                            <w:ind w:left="144" w:right="144"/>
                                            <w:jc w:val="center"/>
                                            <w:rPr>
                                              <w:color w:val="FFFFFF" w:themeColor="background1"/>
                                              <w:lang w:val="en-GB"/>
                                            </w:rPr>
                                          </w:pPr>
                                          <w:r w:rsidRPr="00FB1C29">
                                            <w:rPr>
                                              <w:color w:val="FFFFFF" w:themeColor="background1"/>
                                              <w:lang w:val="en-GB"/>
                                            </w:rPr>
                                            <w:t>Sonia-Lorena Mocanu (2233341)</w:t>
                                          </w:r>
                                        </w:p>
                                      </w:tc>
                                    </w:sdtContent>
                                  </w:sdt>
                                  <w:tc>
                                    <w:tcPr>
                                      <w:tcW w:w="3591" w:type="dxa"/>
                                      <w:vAlign w:val="center"/>
                                    </w:tcPr>
                                    <w:p w14:paraId="5700611A" w14:textId="78CD7019" w:rsidR="00ED3DB4" w:rsidRPr="00FB1C29" w:rsidRDefault="00ED3DB4">
                                      <w:pPr>
                                        <w:pStyle w:val="NoSpacing"/>
                                        <w:ind w:left="144" w:right="144"/>
                                        <w:jc w:val="center"/>
                                        <w:rPr>
                                          <w:color w:val="FFFFFF" w:themeColor="background1"/>
                                          <w:lang w:val="en-GB"/>
                                        </w:rPr>
                                      </w:pPr>
                                      <w:r w:rsidRPr="00FB1C29">
                                        <w:rPr>
                                          <w:color w:val="FFFFFF" w:themeColor="background1"/>
                                          <w:lang w:val="en-GB"/>
                                        </w:rPr>
                                        <w:t>Lecturer: Kathryn Flynn</w:t>
                                      </w:r>
                                    </w:p>
                                  </w:tc>
                                  <w:sdt>
                                    <w:sdtPr>
                                      <w:rPr>
                                        <w:color w:val="FFFFFF" w:themeColor="background1"/>
                                        <w:lang w:val="en-GB"/>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4499F88A" w14:textId="271A340C" w:rsidR="00ED3DB4" w:rsidRPr="00FB1C29" w:rsidRDefault="00ED3DB4">
                                          <w:pPr>
                                            <w:pStyle w:val="NoSpacing"/>
                                            <w:ind w:left="144" w:right="720"/>
                                            <w:jc w:val="right"/>
                                            <w:rPr>
                                              <w:color w:val="FFFFFF" w:themeColor="background1"/>
                                              <w:lang w:val="en-GB"/>
                                            </w:rPr>
                                          </w:pPr>
                                          <w:r w:rsidRPr="00FB1C29">
                                            <w:rPr>
                                              <w:color w:val="FFFFFF" w:themeColor="background1"/>
                                              <w:lang w:val="en-GB"/>
                                            </w:rPr>
                                            <w:t>International Meetings Management BMIH6007</w:t>
                                          </w:r>
                                        </w:p>
                                      </w:tc>
                                    </w:sdtContent>
                                  </w:sdt>
                                </w:tr>
                              </w:tbl>
                              <w:p w14:paraId="7FB3D8A7" w14:textId="77777777" w:rsidR="00ED3DB4" w:rsidRPr="00FB1C29" w:rsidRDefault="00ED3DB4"/>
                            </w:tc>
                          </w:tr>
                        </w:tbl>
                        <w:p w14:paraId="50C294FF" w14:textId="77777777" w:rsidR="00ED3DB4" w:rsidRPr="00FB1C29" w:rsidRDefault="00ED3DB4"/>
                      </w:txbxContent>
                    </v:textbox>
                    <w10:wrap anchorx="page" anchory="page"/>
                  </v:shape>
                </w:pict>
              </mc:Fallback>
            </mc:AlternateContent>
          </w:r>
        </w:p>
        <w:p w14:paraId="5E6DE5AF" w14:textId="2B4C1CF6" w:rsidR="00ED3DB4" w:rsidRPr="00FB1C29" w:rsidRDefault="00ED3DB4" w:rsidP="0060718C">
          <w:pPr>
            <w:spacing w:line="360" w:lineRule="auto"/>
            <w:jc w:val="both"/>
            <w:rPr>
              <w:rFonts w:ascii="Arial" w:hAnsi="Arial" w:cs="Arial"/>
            </w:rPr>
          </w:pPr>
          <w:r w:rsidRPr="00FB1C29">
            <w:rPr>
              <w:rFonts w:ascii="Arial" w:hAnsi="Arial" w:cs="Arial"/>
            </w:rPr>
            <w:br w:type="page"/>
          </w:r>
        </w:p>
      </w:sdtContent>
    </w:sdt>
    <w:p w14:paraId="2609E809" w14:textId="3301DEE2" w:rsidR="009D5BCF" w:rsidRPr="00FB1C29" w:rsidRDefault="009D5BCF" w:rsidP="0060718C">
      <w:pPr>
        <w:pStyle w:val="Heading1"/>
        <w:spacing w:line="360" w:lineRule="auto"/>
        <w:jc w:val="both"/>
        <w:rPr>
          <w:rFonts w:ascii="Arial" w:hAnsi="Arial" w:cs="Arial"/>
          <w:sz w:val="32"/>
          <w:szCs w:val="32"/>
        </w:rPr>
      </w:pPr>
      <w:bookmarkStart w:id="0" w:name="_Toc191086248"/>
      <w:r w:rsidRPr="00FB1C29">
        <w:rPr>
          <w:rFonts w:ascii="Arial" w:hAnsi="Arial" w:cs="Arial"/>
          <w:sz w:val="32"/>
          <w:szCs w:val="32"/>
        </w:rPr>
        <w:lastRenderedPageBreak/>
        <w:t>AI Tools</w:t>
      </w:r>
      <w:bookmarkEnd w:id="0"/>
      <w:r w:rsidRPr="00FB1C29">
        <w:rPr>
          <w:rFonts w:ascii="Arial" w:hAnsi="Arial" w:cs="Arial"/>
          <w:sz w:val="32"/>
          <w:szCs w:val="32"/>
        </w:rPr>
        <w:t xml:space="preserve"> </w:t>
      </w:r>
    </w:p>
    <w:p w14:paraId="65175591" w14:textId="77777777" w:rsidR="009D5BCF" w:rsidRPr="00FB1C29" w:rsidRDefault="009D5BCF" w:rsidP="0060718C">
      <w:pPr>
        <w:spacing w:line="360" w:lineRule="auto"/>
        <w:jc w:val="both"/>
        <w:rPr>
          <w:rFonts w:ascii="Arial" w:hAnsi="Arial" w:cs="Arial"/>
        </w:rPr>
      </w:pPr>
    </w:p>
    <w:p w14:paraId="4B3A93A3" w14:textId="77777777" w:rsidR="009D5BCF" w:rsidRPr="00FB1C29" w:rsidRDefault="009D5BCF" w:rsidP="0060718C">
      <w:pPr>
        <w:spacing w:line="360" w:lineRule="auto"/>
        <w:jc w:val="both"/>
        <w:rPr>
          <w:rFonts w:ascii="Arial" w:hAnsi="Arial" w:cs="Arial"/>
        </w:rPr>
      </w:pPr>
      <w:r w:rsidRPr="00FB1C29">
        <w:rPr>
          <w:rFonts w:ascii="Arial" w:hAnsi="Arial" w:cs="Arial"/>
        </w:rPr>
        <w:t>I acknowledge the use of Grammarly (https://www.grammarly.com/) to check my work using the prompt(s):</w:t>
      </w:r>
    </w:p>
    <w:p w14:paraId="213EA6A3" w14:textId="77777777" w:rsidR="009D5BCF" w:rsidRPr="00FB1C29" w:rsidRDefault="009D5BCF" w:rsidP="0060718C">
      <w:pPr>
        <w:spacing w:line="360" w:lineRule="auto"/>
        <w:jc w:val="both"/>
        <w:rPr>
          <w:rFonts w:ascii="Arial" w:hAnsi="Arial" w:cs="Arial"/>
        </w:rPr>
      </w:pPr>
      <w:r w:rsidRPr="00FB1C29">
        <w:rPr>
          <w:rFonts w:ascii="Arial" w:hAnsi="Arial" w:cs="Arial"/>
        </w:rPr>
        <w:t>1. Please check the following text for readability, grammar and syntax.</w:t>
      </w:r>
    </w:p>
    <w:p w14:paraId="7B8B8D8F" w14:textId="77777777" w:rsidR="009D5BCF" w:rsidRPr="00FB1C29" w:rsidRDefault="009D5BCF" w:rsidP="0060718C">
      <w:pPr>
        <w:spacing w:line="360" w:lineRule="auto"/>
        <w:jc w:val="both"/>
        <w:rPr>
          <w:rFonts w:ascii="Arial" w:hAnsi="Arial" w:cs="Arial"/>
        </w:rPr>
      </w:pPr>
      <w:r w:rsidRPr="00FB1C29">
        <w:rPr>
          <w:rFonts w:ascii="Arial" w:hAnsi="Arial" w:cs="Arial"/>
        </w:rPr>
        <w:t>I confirm that I have not presented any AI-generated text as my work. I confirm I</w:t>
      </w:r>
    </w:p>
    <w:p w14:paraId="33C298B1" w14:textId="77777777" w:rsidR="009D5BCF" w:rsidRPr="00FB1C29" w:rsidRDefault="009D5BCF" w:rsidP="0060718C">
      <w:pPr>
        <w:spacing w:line="360" w:lineRule="auto"/>
        <w:jc w:val="both"/>
        <w:rPr>
          <w:rFonts w:ascii="Arial" w:hAnsi="Arial" w:cs="Arial"/>
        </w:rPr>
      </w:pPr>
      <w:r w:rsidRPr="00FB1C29">
        <w:rPr>
          <w:rFonts w:ascii="Arial" w:hAnsi="Arial" w:cs="Arial"/>
        </w:rPr>
        <w:t>have copies of my drafts, notes, and other resources I used before, and after the use of</w:t>
      </w:r>
    </w:p>
    <w:p w14:paraId="4B688DF3" w14:textId="77777777" w:rsidR="009D5BCF" w:rsidRPr="00FB1C29" w:rsidRDefault="009D5BCF" w:rsidP="0060718C">
      <w:pPr>
        <w:spacing w:line="360" w:lineRule="auto"/>
        <w:jc w:val="both"/>
        <w:rPr>
          <w:rFonts w:ascii="Arial" w:hAnsi="Arial" w:cs="Arial"/>
        </w:rPr>
      </w:pPr>
      <w:r w:rsidRPr="00FB1C29">
        <w:rPr>
          <w:rFonts w:ascii="Arial" w:hAnsi="Arial" w:cs="Arial"/>
        </w:rPr>
        <w:t>AI tools which I may be asked to provide in evidence.</w:t>
      </w:r>
    </w:p>
    <w:p w14:paraId="051A8058" w14:textId="77777777" w:rsidR="009D5BCF" w:rsidRPr="00FB1C29" w:rsidRDefault="009D5BCF" w:rsidP="0060718C">
      <w:pPr>
        <w:spacing w:line="360" w:lineRule="auto"/>
        <w:jc w:val="both"/>
        <w:rPr>
          <w:rFonts w:ascii="Arial" w:hAnsi="Arial" w:cs="Arial"/>
        </w:rPr>
      </w:pPr>
    </w:p>
    <w:p w14:paraId="64BA5402" w14:textId="77777777" w:rsidR="009D5BCF" w:rsidRPr="00FB1C29" w:rsidRDefault="009D5BCF" w:rsidP="0060718C">
      <w:pPr>
        <w:spacing w:line="360" w:lineRule="auto"/>
        <w:jc w:val="both"/>
        <w:rPr>
          <w:rFonts w:ascii="Arial" w:hAnsi="Arial" w:cs="Arial"/>
        </w:rPr>
      </w:pPr>
      <w:r w:rsidRPr="00FB1C29">
        <w:rPr>
          <w:rFonts w:ascii="Arial" w:hAnsi="Arial" w:cs="Arial"/>
        </w:rPr>
        <w:t>I acknowledge the use of Google and Google Scholar to support my research.</w:t>
      </w:r>
    </w:p>
    <w:p w14:paraId="5B35B8BA" w14:textId="77777777" w:rsidR="009D5BCF" w:rsidRPr="00FB1C29" w:rsidRDefault="009D5BCF" w:rsidP="0060718C">
      <w:pPr>
        <w:spacing w:line="360" w:lineRule="auto"/>
        <w:jc w:val="both"/>
        <w:rPr>
          <w:rFonts w:ascii="Arial" w:hAnsi="Arial" w:cs="Arial"/>
        </w:rPr>
      </w:pPr>
      <w:r w:rsidRPr="00FB1C29">
        <w:rPr>
          <w:rFonts w:ascii="Arial" w:hAnsi="Arial" w:cs="Arial"/>
        </w:rPr>
        <w:t>I confirm that I have not presented any AI-generated text as my work. I confirm I</w:t>
      </w:r>
    </w:p>
    <w:p w14:paraId="36FC95E8" w14:textId="77777777" w:rsidR="009D5BCF" w:rsidRPr="00FB1C29" w:rsidRDefault="009D5BCF" w:rsidP="0060718C">
      <w:pPr>
        <w:spacing w:line="360" w:lineRule="auto"/>
        <w:jc w:val="both"/>
        <w:rPr>
          <w:rFonts w:ascii="Arial" w:hAnsi="Arial" w:cs="Arial"/>
        </w:rPr>
      </w:pPr>
      <w:r w:rsidRPr="00FB1C29">
        <w:rPr>
          <w:rFonts w:ascii="Arial" w:hAnsi="Arial" w:cs="Arial"/>
        </w:rPr>
        <w:t>have copies of my drafts, notes, and other resources I used before, and after the use of</w:t>
      </w:r>
    </w:p>
    <w:p w14:paraId="31777F4F" w14:textId="007C5DC0" w:rsidR="009D5BCF" w:rsidRPr="00FB1C29" w:rsidRDefault="009D5BCF" w:rsidP="0060718C">
      <w:pPr>
        <w:spacing w:line="360" w:lineRule="auto"/>
        <w:jc w:val="both"/>
        <w:rPr>
          <w:rFonts w:ascii="Arial" w:hAnsi="Arial" w:cs="Arial"/>
        </w:rPr>
      </w:pPr>
      <w:r w:rsidRPr="00FB1C29">
        <w:rPr>
          <w:rFonts w:ascii="Arial" w:hAnsi="Arial" w:cs="Arial"/>
        </w:rPr>
        <w:t>AI tools which I may be asked to provide in evidence</w:t>
      </w:r>
      <w:r w:rsidR="00A77406" w:rsidRPr="00FB1C29">
        <w:rPr>
          <w:rFonts w:ascii="Arial" w:hAnsi="Arial" w:cs="Arial"/>
        </w:rPr>
        <w:t>.</w:t>
      </w:r>
    </w:p>
    <w:p w14:paraId="3AE18516" w14:textId="77777777" w:rsidR="007A02E1" w:rsidRPr="00FB1C29" w:rsidRDefault="007A02E1" w:rsidP="0060718C">
      <w:pPr>
        <w:spacing w:line="360" w:lineRule="auto"/>
        <w:jc w:val="both"/>
        <w:rPr>
          <w:rFonts w:ascii="Arial" w:hAnsi="Arial" w:cs="Arial"/>
        </w:rPr>
      </w:pPr>
    </w:p>
    <w:p w14:paraId="483578CC" w14:textId="77777777" w:rsidR="007A02E1" w:rsidRPr="00FB1C29" w:rsidRDefault="007A02E1" w:rsidP="0060718C">
      <w:pPr>
        <w:spacing w:line="360" w:lineRule="auto"/>
        <w:jc w:val="both"/>
        <w:rPr>
          <w:rFonts w:ascii="Arial" w:hAnsi="Arial" w:cs="Arial"/>
        </w:rPr>
      </w:pPr>
    </w:p>
    <w:p w14:paraId="1DABE720" w14:textId="77777777" w:rsidR="007A02E1" w:rsidRPr="00FB1C29" w:rsidRDefault="007A02E1" w:rsidP="0060718C">
      <w:pPr>
        <w:spacing w:line="360" w:lineRule="auto"/>
        <w:jc w:val="both"/>
        <w:rPr>
          <w:rFonts w:ascii="Arial" w:hAnsi="Arial" w:cs="Arial"/>
        </w:rPr>
      </w:pPr>
    </w:p>
    <w:p w14:paraId="1C1347B8" w14:textId="77777777" w:rsidR="007A02E1" w:rsidRPr="00FB1C29" w:rsidRDefault="007A02E1" w:rsidP="0060718C">
      <w:pPr>
        <w:spacing w:line="360" w:lineRule="auto"/>
        <w:jc w:val="both"/>
        <w:rPr>
          <w:rFonts w:ascii="Arial" w:hAnsi="Arial" w:cs="Arial"/>
        </w:rPr>
      </w:pPr>
    </w:p>
    <w:p w14:paraId="32674B91" w14:textId="77777777" w:rsidR="007A02E1" w:rsidRPr="00FB1C29" w:rsidRDefault="007A02E1" w:rsidP="0060718C">
      <w:pPr>
        <w:spacing w:line="360" w:lineRule="auto"/>
        <w:jc w:val="both"/>
        <w:rPr>
          <w:rFonts w:ascii="Arial" w:hAnsi="Arial" w:cs="Arial"/>
        </w:rPr>
      </w:pPr>
    </w:p>
    <w:p w14:paraId="60A31D55" w14:textId="77777777" w:rsidR="007A02E1" w:rsidRPr="00FB1C29" w:rsidRDefault="007A02E1" w:rsidP="0060718C">
      <w:pPr>
        <w:spacing w:line="360" w:lineRule="auto"/>
        <w:jc w:val="both"/>
        <w:rPr>
          <w:rFonts w:ascii="Arial" w:hAnsi="Arial" w:cs="Arial"/>
        </w:rPr>
      </w:pPr>
    </w:p>
    <w:p w14:paraId="3400F02A" w14:textId="77777777" w:rsidR="007A02E1" w:rsidRPr="00FB1C29" w:rsidRDefault="007A02E1" w:rsidP="0060718C">
      <w:pPr>
        <w:spacing w:line="360" w:lineRule="auto"/>
        <w:jc w:val="both"/>
        <w:rPr>
          <w:rFonts w:ascii="Arial" w:hAnsi="Arial" w:cs="Arial"/>
        </w:rPr>
      </w:pPr>
    </w:p>
    <w:p w14:paraId="5E8670B8" w14:textId="77777777" w:rsidR="007A02E1" w:rsidRPr="00FB1C29" w:rsidRDefault="007A02E1" w:rsidP="0060718C">
      <w:pPr>
        <w:spacing w:line="360" w:lineRule="auto"/>
        <w:jc w:val="both"/>
        <w:rPr>
          <w:rFonts w:ascii="Arial" w:hAnsi="Arial" w:cs="Arial"/>
        </w:rPr>
      </w:pPr>
    </w:p>
    <w:p w14:paraId="01D9EEB7" w14:textId="77777777" w:rsidR="007A02E1" w:rsidRPr="00FB1C29" w:rsidRDefault="007A02E1" w:rsidP="0060718C">
      <w:pPr>
        <w:spacing w:line="360" w:lineRule="auto"/>
        <w:jc w:val="both"/>
        <w:rPr>
          <w:rFonts w:ascii="Arial" w:hAnsi="Arial" w:cs="Arial"/>
        </w:rPr>
      </w:pPr>
    </w:p>
    <w:p w14:paraId="537BBF23" w14:textId="77777777" w:rsidR="007A02E1" w:rsidRPr="00FB1C29" w:rsidRDefault="007A02E1" w:rsidP="0060718C">
      <w:pPr>
        <w:spacing w:line="360" w:lineRule="auto"/>
        <w:jc w:val="both"/>
        <w:rPr>
          <w:rFonts w:ascii="Arial" w:hAnsi="Arial" w:cs="Arial"/>
        </w:rPr>
      </w:pPr>
    </w:p>
    <w:p w14:paraId="5291D8F0" w14:textId="77777777" w:rsidR="00A77406" w:rsidRDefault="00A77406" w:rsidP="0060718C">
      <w:pPr>
        <w:pStyle w:val="Heading1"/>
        <w:spacing w:line="360" w:lineRule="auto"/>
        <w:jc w:val="both"/>
        <w:rPr>
          <w:rFonts w:ascii="Arial" w:hAnsi="Arial" w:cs="Arial"/>
          <w:sz w:val="32"/>
          <w:szCs w:val="32"/>
        </w:rPr>
      </w:pPr>
      <w:bookmarkStart w:id="1" w:name="_Toc191086249"/>
      <w:r w:rsidRPr="00FB1C29">
        <w:rPr>
          <w:rFonts w:ascii="Arial" w:hAnsi="Arial" w:cs="Arial"/>
          <w:sz w:val="32"/>
          <w:szCs w:val="32"/>
        </w:rPr>
        <w:lastRenderedPageBreak/>
        <w:t>Executive summary</w:t>
      </w:r>
      <w:bookmarkEnd w:id="1"/>
    </w:p>
    <w:p w14:paraId="0B6B55A2" w14:textId="77777777" w:rsidR="008F6328" w:rsidRPr="008F6328" w:rsidRDefault="008F6328" w:rsidP="008F6328"/>
    <w:p w14:paraId="0F218241" w14:textId="41AA2DEB" w:rsidR="008F6328" w:rsidRPr="008F6328" w:rsidRDefault="008F6328" w:rsidP="008F6328">
      <w:pPr>
        <w:spacing w:line="276" w:lineRule="auto"/>
        <w:jc w:val="both"/>
        <w:rPr>
          <w:rFonts w:ascii="Arial" w:hAnsi="Arial" w:cs="Arial"/>
          <w:sz w:val="22"/>
          <w:szCs w:val="22"/>
          <w:lang w:val="en-US"/>
        </w:rPr>
      </w:pPr>
      <w:r w:rsidRPr="008F6328">
        <w:rPr>
          <w:rFonts w:ascii="Arial" w:hAnsi="Arial" w:cs="Arial"/>
          <w:sz w:val="22"/>
          <w:szCs w:val="22"/>
          <w:lang w:val="en-US"/>
        </w:rPr>
        <w:t xml:space="preserve">This report presents a </w:t>
      </w:r>
      <w:r w:rsidR="000100EF" w:rsidRPr="008F6328">
        <w:rPr>
          <w:rFonts w:ascii="Arial" w:hAnsi="Arial" w:cs="Arial"/>
          <w:sz w:val="22"/>
          <w:szCs w:val="22"/>
          <w:lang w:val="en-US"/>
        </w:rPr>
        <w:t>complete</w:t>
      </w:r>
      <w:r w:rsidRPr="008F6328">
        <w:rPr>
          <w:rFonts w:ascii="Arial" w:hAnsi="Arial" w:cs="Arial"/>
          <w:sz w:val="22"/>
          <w:szCs w:val="22"/>
          <w:lang w:val="en-US"/>
        </w:rPr>
        <w:t xml:space="preserve"> strategic analysis and event plan for </w:t>
      </w:r>
      <w:r w:rsidRPr="008F6328">
        <w:rPr>
          <w:rFonts w:ascii="Arial" w:hAnsi="Arial" w:cs="Arial"/>
          <w:i/>
          <w:iCs/>
          <w:sz w:val="22"/>
          <w:szCs w:val="22"/>
          <w:lang w:val="en-US"/>
        </w:rPr>
        <w:t>"Unlocking Opportunities: Building Inclusive and Diverse Careers in Hospitality"</w:t>
      </w:r>
      <w:r w:rsidRPr="008F6328">
        <w:rPr>
          <w:rFonts w:ascii="Arial" w:hAnsi="Arial" w:cs="Arial"/>
          <w:sz w:val="22"/>
          <w:szCs w:val="22"/>
          <w:lang w:val="en-US"/>
        </w:rPr>
        <w:t>, a pioneering event designed to address systemic barriers within the hospitality industry. Set to take place at the prestigious Marina Bay Sands Convention Centre in Singapore, the event aims to foster meaningful discussions around Equality, Diversity, and Inclusion (EDI), bringing together policymakers, HR professionals, and industry leaders. The focus is on promoting fair hiring practices, increasing leadership representation, and transforming workplace culture.</w:t>
      </w:r>
    </w:p>
    <w:p w14:paraId="138EB8A7" w14:textId="104D0BE6" w:rsidR="008F6328" w:rsidRPr="008F6328" w:rsidRDefault="008F6328" w:rsidP="008F6328">
      <w:pPr>
        <w:spacing w:line="276" w:lineRule="auto"/>
        <w:jc w:val="both"/>
        <w:rPr>
          <w:rFonts w:ascii="Arial" w:hAnsi="Arial" w:cs="Arial"/>
          <w:sz w:val="22"/>
          <w:szCs w:val="22"/>
          <w:lang w:val="en-US"/>
        </w:rPr>
      </w:pPr>
      <w:r w:rsidRPr="008F6328">
        <w:rPr>
          <w:rFonts w:ascii="Arial" w:hAnsi="Arial" w:cs="Arial"/>
          <w:sz w:val="22"/>
          <w:szCs w:val="22"/>
          <w:lang w:val="en-US"/>
        </w:rPr>
        <w:t xml:space="preserve">The event is structured using the Dowson and Bassett (2015) Event Cycle Model, covering the critical phases of feasibility, design, planning, execution, and </w:t>
      </w:r>
      <w:r w:rsidR="000100EF" w:rsidRPr="008F6328">
        <w:rPr>
          <w:rFonts w:ascii="Arial" w:hAnsi="Arial" w:cs="Arial"/>
          <w:sz w:val="22"/>
          <w:szCs w:val="22"/>
          <w:lang w:val="en-US"/>
        </w:rPr>
        <w:t>valuation</w:t>
      </w:r>
      <w:r w:rsidRPr="008F6328">
        <w:rPr>
          <w:rFonts w:ascii="Arial" w:hAnsi="Arial" w:cs="Arial"/>
          <w:sz w:val="22"/>
          <w:szCs w:val="22"/>
          <w:lang w:val="en-US"/>
        </w:rPr>
        <w:t xml:space="preserve">. This framework </w:t>
      </w:r>
      <w:r w:rsidR="000100EF" w:rsidRPr="008F6328">
        <w:rPr>
          <w:rFonts w:ascii="Arial" w:hAnsi="Arial" w:cs="Arial"/>
          <w:sz w:val="22"/>
          <w:szCs w:val="22"/>
          <w:lang w:val="en-US"/>
        </w:rPr>
        <w:t>certifies</w:t>
      </w:r>
      <w:r w:rsidRPr="008F6328">
        <w:rPr>
          <w:rFonts w:ascii="Arial" w:hAnsi="Arial" w:cs="Arial"/>
          <w:sz w:val="22"/>
          <w:szCs w:val="22"/>
          <w:lang w:val="en-US"/>
        </w:rPr>
        <w:t xml:space="preserve"> that the event is not </w:t>
      </w:r>
      <w:r w:rsidR="000100EF" w:rsidRPr="008F6328">
        <w:rPr>
          <w:rFonts w:ascii="Arial" w:hAnsi="Arial" w:cs="Arial"/>
          <w:sz w:val="22"/>
          <w:szCs w:val="22"/>
          <w:lang w:val="en-US"/>
        </w:rPr>
        <w:t>simply</w:t>
      </w:r>
      <w:r w:rsidRPr="008F6328">
        <w:rPr>
          <w:rFonts w:ascii="Arial" w:hAnsi="Arial" w:cs="Arial"/>
          <w:sz w:val="22"/>
          <w:szCs w:val="22"/>
          <w:lang w:val="en-US"/>
        </w:rPr>
        <w:t xml:space="preserve"> impactful but also strategically </w:t>
      </w:r>
      <w:r w:rsidR="000100EF" w:rsidRPr="008F6328">
        <w:rPr>
          <w:rFonts w:ascii="Arial" w:hAnsi="Arial" w:cs="Arial"/>
          <w:sz w:val="22"/>
          <w:szCs w:val="22"/>
          <w:lang w:val="en-US"/>
        </w:rPr>
        <w:t>associated</w:t>
      </w:r>
      <w:r w:rsidRPr="008F6328">
        <w:rPr>
          <w:rFonts w:ascii="Arial" w:hAnsi="Arial" w:cs="Arial"/>
          <w:sz w:val="22"/>
          <w:szCs w:val="22"/>
          <w:lang w:val="en-US"/>
        </w:rPr>
        <w:t xml:space="preserve"> with the latest industry trends and business needs. The two-day program includes keynote speeches, panel discussions, workshops, and networking sessions, providing attendees with actionable DEI strategies and fostering collaboration across the global hospitality sector.</w:t>
      </w:r>
    </w:p>
    <w:p w14:paraId="654EAB9E" w14:textId="4001F01B" w:rsidR="008F6328" w:rsidRPr="008F6328" w:rsidRDefault="008F6328" w:rsidP="008F6328">
      <w:pPr>
        <w:spacing w:line="276" w:lineRule="auto"/>
        <w:jc w:val="both"/>
        <w:rPr>
          <w:rFonts w:ascii="Arial" w:hAnsi="Arial" w:cs="Arial"/>
          <w:sz w:val="22"/>
          <w:szCs w:val="22"/>
          <w:lang w:val="en-US"/>
        </w:rPr>
      </w:pPr>
      <w:r w:rsidRPr="008F6328">
        <w:rPr>
          <w:rFonts w:ascii="Arial" w:hAnsi="Arial" w:cs="Arial"/>
          <w:sz w:val="22"/>
          <w:szCs w:val="22"/>
          <w:lang w:val="en-US"/>
        </w:rPr>
        <w:t>The financial analysis demonstrates the event’s feasibility, with projected expenses of £160,000 and anticipated revenue of £184,000, ensuring a net surplus of £24,000. Income will be generated through sponsorship packages, ticket sales, exhibition booth rentals, and advertising partnerships, providing financial sustainability and allowing reinvestment into future DEI initiatives.</w:t>
      </w:r>
    </w:p>
    <w:p w14:paraId="161ABB25" w14:textId="77777777" w:rsidR="008F6328" w:rsidRPr="008F6328" w:rsidRDefault="008F6328" w:rsidP="008F6328">
      <w:pPr>
        <w:spacing w:line="276" w:lineRule="auto"/>
        <w:jc w:val="both"/>
        <w:rPr>
          <w:rFonts w:ascii="Arial" w:hAnsi="Arial" w:cs="Arial"/>
          <w:sz w:val="22"/>
          <w:szCs w:val="22"/>
          <w:lang w:val="en-US"/>
        </w:rPr>
      </w:pPr>
      <w:r w:rsidRPr="008F6328">
        <w:rPr>
          <w:rFonts w:ascii="Arial" w:hAnsi="Arial" w:cs="Arial"/>
          <w:sz w:val="22"/>
          <w:szCs w:val="22"/>
          <w:lang w:val="en-US"/>
        </w:rPr>
        <w:t>The event’s relevance is reinforced by emerging trends in the global MICE industry, including the growing emphasis on DEI, the adoption of hybrid event formats, a shift towards sustainable event practices, and the increasing demand for personalized, data-driven attendee experiences. These trends are particularly impactful for the hospitality industry, where inclusivity and cultural diversity are essential for global business success.</w:t>
      </w:r>
    </w:p>
    <w:p w14:paraId="1A8A3FC1" w14:textId="77777777" w:rsidR="008F6328" w:rsidRPr="008F6328" w:rsidRDefault="008F6328" w:rsidP="008F6328">
      <w:pPr>
        <w:spacing w:line="276" w:lineRule="auto"/>
        <w:jc w:val="both"/>
        <w:rPr>
          <w:rFonts w:ascii="Arial" w:hAnsi="Arial" w:cs="Arial"/>
          <w:sz w:val="22"/>
          <w:szCs w:val="22"/>
          <w:lang w:val="en-US"/>
        </w:rPr>
      </w:pPr>
      <w:r w:rsidRPr="008F6328">
        <w:rPr>
          <w:rFonts w:ascii="Arial" w:hAnsi="Arial" w:cs="Arial"/>
          <w:sz w:val="22"/>
          <w:szCs w:val="22"/>
          <w:lang w:val="en-US"/>
        </w:rPr>
        <w:t>Additionally, the report identifies key issues currently affecting the events industry, such as economic uncertainty, health and safety concerns post-pandemic, environmental impacts, technological accessibility gaps, and competition from established global conferences. Each of these challenges has been addressed through strategic planning measures, including flexible ticket pricing, hybrid participation options, and the integration of cutting-edge technology.</w:t>
      </w:r>
    </w:p>
    <w:p w14:paraId="44BC8343" w14:textId="77777777" w:rsidR="008F6328" w:rsidRPr="008F6328" w:rsidRDefault="008F6328" w:rsidP="008F6328">
      <w:pPr>
        <w:spacing w:line="276" w:lineRule="auto"/>
        <w:jc w:val="both"/>
        <w:rPr>
          <w:rFonts w:ascii="Arial" w:hAnsi="Arial" w:cs="Arial"/>
          <w:sz w:val="22"/>
          <w:szCs w:val="22"/>
          <w:lang w:val="en-US"/>
        </w:rPr>
      </w:pPr>
      <w:r w:rsidRPr="008F6328">
        <w:rPr>
          <w:rFonts w:ascii="Arial" w:hAnsi="Arial" w:cs="Arial"/>
          <w:sz w:val="22"/>
          <w:szCs w:val="22"/>
          <w:lang w:val="en-US"/>
        </w:rPr>
        <w:t>A PESTLE analysis highlights the broader situational and cultural considerations influencing the event, including Singapore’s political stability, its strong economic environment, a growing emphasis on socio-cultural diversity, rapid technological advancements, increasing focus on environmental sustainability, and strict adherence to legal regulations related to employment, health, and safety.</w:t>
      </w:r>
    </w:p>
    <w:p w14:paraId="0F048B5E" w14:textId="6942937E" w:rsidR="008F6328" w:rsidRPr="008F6328" w:rsidRDefault="008F6328" w:rsidP="008F6328">
      <w:pPr>
        <w:spacing w:line="276" w:lineRule="auto"/>
        <w:jc w:val="both"/>
        <w:rPr>
          <w:rFonts w:ascii="Arial" w:hAnsi="Arial" w:cs="Arial"/>
          <w:sz w:val="22"/>
          <w:szCs w:val="22"/>
          <w:lang w:val="en-US"/>
        </w:rPr>
      </w:pPr>
      <w:r w:rsidRPr="008F6328">
        <w:rPr>
          <w:rFonts w:ascii="Arial" w:hAnsi="Arial" w:cs="Arial"/>
          <w:sz w:val="22"/>
          <w:szCs w:val="22"/>
          <w:lang w:val="en-US"/>
        </w:rPr>
        <w:t xml:space="preserve">Overall, </w:t>
      </w:r>
      <w:r w:rsidRPr="008F6328">
        <w:rPr>
          <w:rFonts w:ascii="Arial" w:hAnsi="Arial" w:cs="Arial"/>
          <w:i/>
          <w:iCs/>
          <w:sz w:val="22"/>
          <w:szCs w:val="22"/>
          <w:lang w:val="en-US"/>
        </w:rPr>
        <w:t>"Unlocking Opportunities"</w:t>
      </w:r>
      <w:r w:rsidRPr="008F6328">
        <w:rPr>
          <w:rFonts w:ascii="Arial" w:hAnsi="Arial" w:cs="Arial"/>
          <w:sz w:val="22"/>
          <w:szCs w:val="22"/>
          <w:lang w:val="en-US"/>
        </w:rPr>
        <w:t xml:space="preserve"> will </w:t>
      </w:r>
      <w:r>
        <w:rPr>
          <w:rFonts w:ascii="Arial" w:hAnsi="Arial" w:cs="Arial"/>
          <w:sz w:val="22"/>
          <w:szCs w:val="22"/>
          <w:lang w:val="en-US"/>
        </w:rPr>
        <w:t>catalyze</w:t>
      </w:r>
      <w:r w:rsidRPr="008F6328">
        <w:rPr>
          <w:rFonts w:ascii="Arial" w:hAnsi="Arial" w:cs="Arial"/>
          <w:sz w:val="22"/>
          <w:szCs w:val="22"/>
          <w:lang w:val="en-US"/>
        </w:rPr>
        <w:t xml:space="preserve"> meaningful change within the hospitality sector, offering a vital platform for professionals to engage, learn, and collaborate on advancing DEI practices. The event is strategically designed to foster innovation, drive industry transformation, and establish Singapore as a global hub for DEI leadership in hospitality.</w:t>
      </w:r>
    </w:p>
    <w:p w14:paraId="1805C1FF" w14:textId="77777777" w:rsidR="00A77406" w:rsidRPr="00FB1C29" w:rsidRDefault="00A77406" w:rsidP="0060718C">
      <w:pPr>
        <w:spacing w:line="360" w:lineRule="auto"/>
        <w:jc w:val="both"/>
        <w:rPr>
          <w:rFonts w:ascii="Arial" w:hAnsi="Arial" w:cs="Arial"/>
        </w:rPr>
      </w:pPr>
    </w:p>
    <w:p w14:paraId="2777D841" w14:textId="77777777" w:rsidR="00A77406" w:rsidRPr="00FB1C29" w:rsidRDefault="00A77406" w:rsidP="0060718C">
      <w:pPr>
        <w:spacing w:line="360" w:lineRule="auto"/>
        <w:jc w:val="both"/>
        <w:rPr>
          <w:rFonts w:ascii="Arial" w:hAnsi="Arial" w:cs="Arial"/>
        </w:rPr>
      </w:pPr>
    </w:p>
    <w:p w14:paraId="6BF1AAF3" w14:textId="77777777" w:rsidR="00A77406" w:rsidRPr="00FB1C29" w:rsidRDefault="00A77406" w:rsidP="0060718C">
      <w:pPr>
        <w:spacing w:line="360" w:lineRule="auto"/>
        <w:jc w:val="both"/>
        <w:rPr>
          <w:rFonts w:ascii="Arial" w:hAnsi="Arial" w:cs="Arial"/>
        </w:rPr>
      </w:pPr>
    </w:p>
    <w:sdt>
      <w:sdtPr>
        <w:rPr>
          <w:rFonts w:ascii="Arial" w:eastAsiaTheme="minorHAnsi" w:hAnsi="Arial" w:cs="Arial"/>
          <w:color w:val="auto"/>
          <w:kern w:val="2"/>
          <w:sz w:val="24"/>
          <w:szCs w:val="24"/>
          <w14:ligatures w14:val="standardContextual"/>
        </w:rPr>
        <w:id w:val="1427760252"/>
        <w:docPartObj>
          <w:docPartGallery w:val="Table of Contents"/>
          <w:docPartUnique/>
        </w:docPartObj>
      </w:sdtPr>
      <w:sdtEndPr>
        <w:rPr>
          <w:b/>
          <w:bCs/>
        </w:rPr>
      </w:sdtEndPr>
      <w:sdtContent>
        <w:p w14:paraId="7250C975" w14:textId="77777777" w:rsidR="00CD253A" w:rsidRPr="00FB1C29" w:rsidRDefault="00CD253A" w:rsidP="0060718C">
          <w:pPr>
            <w:pStyle w:val="TOCHeading"/>
            <w:spacing w:line="360" w:lineRule="auto"/>
            <w:jc w:val="both"/>
            <w:rPr>
              <w:rFonts w:ascii="Arial" w:hAnsi="Arial" w:cs="Arial"/>
            </w:rPr>
          </w:pPr>
          <w:r w:rsidRPr="00FB1C29">
            <w:rPr>
              <w:rFonts w:ascii="Arial" w:hAnsi="Arial" w:cs="Arial"/>
            </w:rPr>
            <w:t>Table of Contents</w:t>
          </w:r>
        </w:p>
        <w:p w14:paraId="6131FAED" w14:textId="77777777" w:rsidR="00791BFB" w:rsidRPr="00FB1C29" w:rsidRDefault="00791BFB" w:rsidP="0060718C">
          <w:pPr>
            <w:spacing w:line="360" w:lineRule="auto"/>
            <w:jc w:val="both"/>
            <w:rPr>
              <w:rFonts w:ascii="Arial" w:hAnsi="Arial" w:cs="Arial"/>
            </w:rPr>
          </w:pPr>
        </w:p>
        <w:p w14:paraId="3F51DC2E" w14:textId="64C21544" w:rsidR="006430C2" w:rsidRDefault="00CD253A">
          <w:pPr>
            <w:pStyle w:val="TOC1"/>
            <w:tabs>
              <w:tab w:val="right" w:leader="dot" w:pos="9396"/>
            </w:tabs>
            <w:rPr>
              <w:rFonts w:eastAsiaTheme="minorEastAsia"/>
              <w:noProof/>
              <w:lang w:val="en-US"/>
            </w:rPr>
          </w:pPr>
          <w:r w:rsidRPr="00FB1C29">
            <w:rPr>
              <w:rFonts w:ascii="Arial" w:hAnsi="Arial" w:cs="Arial"/>
            </w:rPr>
            <w:fldChar w:fldCharType="begin"/>
          </w:r>
          <w:r w:rsidRPr="00FB1C29">
            <w:rPr>
              <w:rFonts w:ascii="Arial" w:hAnsi="Arial" w:cs="Arial"/>
            </w:rPr>
            <w:instrText xml:space="preserve"> TOC \o "1-3" \h \z \u </w:instrText>
          </w:r>
          <w:r w:rsidRPr="00FB1C29">
            <w:rPr>
              <w:rFonts w:ascii="Arial" w:hAnsi="Arial" w:cs="Arial"/>
            </w:rPr>
            <w:fldChar w:fldCharType="separate"/>
          </w:r>
          <w:hyperlink w:anchor="_Toc191086248" w:history="1">
            <w:r w:rsidR="006430C2" w:rsidRPr="00D87695">
              <w:rPr>
                <w:rStyle w:val="Hyperlink"/>
                <w:rFonts w:ascii="Arial" w:hAnsi="Arial" w:cs="Arial"/>
                <w:noProof/>
              </w:rPr>
              <w:t>AI Tools</w:t>
            </w:r>
            <w:r w:rsidR="006430C2">
              <w:rPr>
                <w:noProof/>
                <w:webHidden/>
              </w:rPr>
              <w:tab/>
            </w:r>
            <w:r w:rsidR="006430C2">
              <w:rPr>
                <w:noProof/>
                <w:webHidden/>
              </w:rPr>
              <w:fldChar w:fldCharType="begin"/>
            </w:r>
            <w:r w:rsidR="006430C2">
              <w:rPr>
                <w:noProof/>
                <w:webHidden/>
              </w:rPr>
              <w:instrText xml:space="preserve"> PAGEREF _Toc191086248 \h </w:instrText>
            </w:r>
            <w:r w:rsidR="006430C2">
              <w:rPr>
                <w:noProof/>
                <w:webHidden/>
              </w:rPr>
            </w:r>
            <w:r w:rsidR="006430C2">
              <w:rPr>
                <w:noProof/>
                <w:webHidden/>
              </w:rPr>
              <w:fldChar w:fldCharType="separate"/>
            </w:r>
            <w:r w:rsidR="006430C2">
              <w:rPr>
                <w:noProof/>
                <w:webHidden/>
              </w:rPr>
              <w:t>1</w:t>
            </w:r>
            <w:r w:rsidR="006430C2">
              <w:rPr>
                <w:noProof/>
                <w:webHidden/>
              </w:rPr>
              <w:fldChar w:fldCharType="end"/>
            </w:r>
          </w:hyperlink>
        </w:p>
        <w:p w14:paraId="42789C17" w14:textId="21184F29" w:rsidR="006430C2" w:rsidRDefault="006430C2">
          <w:pPr>
            <w:pStyle w:val="TOC1"/>
            <w:tabs>
              <w:tab w:val="right" w:leader="dot" w:pos="9396"/>
            </w:tabs>
            <w:rPr>
              <w:rFonts w:eastAsiaTheme="minorEastAsia"/>
              <w:noProof/>
              <w:lang w:val="en-US"/>
            </w:rPr>
          </w:pPr>
          <w:hyperlink w:anchor="_Toc191086249" w:history="1">
            <w:r w:rsidRPr="00D87695">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_Toc191086249 \h </w:instrText>
            </w:r>
            <w:r>
              <w:rPr>
                <w:noProof/>
                <w:webHidden/>
              </w:rPr>
            </w:r>
            <w:r>
              <w:rPr>
                <w:noProof/>
                <w:webHidden/>
              </w:rPr>
              <w:fldChar w:fldCharType="separate"/>
            </w:r>
            <w:r>
              <w:rPr>
                <w:noProof/>
                <w:webHidden/>
              </w:rPr>
              <w:t>2</w:t>
            </w:r>
            <w:r>
              <w:rPr>
                <w:noProof/>
                <w:webHidden/>
              </w:rPr>
              <w:fldChar w:fldCharType="end"/>
            </w:r>
          </w:hyperlink>
        </w:p>
        <w:p w14:paraId="280904DC" w14:textId="3BF64BEB" w:rsidR="006430C2" w:rsidRDefault="006430C2">
          <w:pPr>
            <w:pStyle w:val="TOC1"/>
            <w:tabs>
              <w:tab w:val="right" w:leader="dot" w:pos="9396"/>
            </w:tabs>
            <w:rPr>
              <w:rFonts w:eastAsiaTheme="minorEastAsia"/>
              <w:noProof/>
              <w:lang w:val="en-US"/>
            </w:rPr>
          </w:pPr>
          <w:hyperlink w:anchor="_Toc191086250" w:history="1">
            <w:r w:rsidRPr="00D87695">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_Toc191086250 \h </w:instrText>
            </w:r>
            <w:r>
              <w:rPr>
                <w:noProof/>
                <w:webHidden/>
              </w:rPr>
            </w:r>
            <w:r>
              <w:rPr>
                <w:noProof/>
                <w:webHidden/>
              </w:rPr>
              <w:fldChar w:fldCharType="separate"/>
            </w:r>
            <w:r>
              <w:rPr>
                <w:noProof/>
                <w:webHidden/>
              </w:rPr>
              <w:t>3</w:t>
            </w:r>
            <w:r>
              <w:rPr>
                <w:noProof/>
                <w:webHidden/>
              </w:rPr>
              <w:fldChar w:fldCharType="end"/>
            </w:r>
          </w:hyperlink>
        </w:p>
        <w:p w14:paraId="7D0C31FA" w14:textId="72A11079" w:rsidR="006430C2" w:rsidRDefault="006430C2">
          <w:pPr>
            <w:pStyle w:val="TOC1"/>
            <w:tabs>
              <w:tab w:val="right" w:leader="dot" w:pos="9396"/>
            </w:tabs>
            <w:rPr>
              <w:rFonts w:eastAsiaTheme="minorEastAsia"/>
              <w:noProof/>
              <w:lang w:val="en-US"/>
            </w:rPr>
          </w:pPr>
          <w:hyperlink w:anchor="_Toc191086251" w:history="1">
            <w:r w:rsidRPr="00D87695">
              <w:rPr>
                <w:rStyle w:val="Hyperlink"/>
                <w:rFonts w:ascii="Arial" w:hAnsi="Arial" w:cs="Arial"/>
                <w:noProof/>
              </w:rPr>
              <w:t>The Event Cycle</w:t>
            </w:r>
            <w:r>
              <w:rPr>
                <w:noProof/>
                <w:webHidden/>
              </w:rPr>
              <w:tab/>
            </w:r>
            <w:r>
              <w:rPr>
                <w:noProof/>
                <w:webHidden/>
              </w:rPr>
              <w:fldChar w:fldCharType="begin"/>
            </w:r>
            <w:r>
              <w:rPr>
                <w:noProof/>
                <w:webHidden/>
              </w:rPr>
              <w:instrText xml:space="preserve"> PAGEREF _Toc191086251 \h </w:instrText>
            </w:r>
            <w:r>
              <w:rPr>
                <w:noProof/>
                <w:webHidden/>
              </w:rPr>
            </w:r>
            <w:r>
              <w:rPr>
                <w:noProof/>
                <w:webHidden/>
              </w:rPr>
              <w:fldChar w:fldCharType="separate"/>
            </w:r>
            <w:r>
              <w:rPr>
                <w:noProof/>
                <w:webHidden/>
              </w:rPr>
              <w:t>4</w:t>
            </w:r>
            <w:r>
              <w:rPr>
                <w:noProof/>
                <w:webHidden/>
              </w:rPr>
              <w:fldChar w:fldCharType="end"/>
            </w:r>
          </w:hyperlink>
        </w:p>
        <w:p w14:paraId="57E63DA7" w14:textId="6DBD484F" w:rsidR="006430C2" w:rsidRDefault="006430C2">
          <w:pPr>
            <w:pStyle w:val="TOC1"/>
            <w:tabs>
              <w:tab w:val="right" w:leader="dot" w:pos="9396"/>
            </w:tabs>
            <w:rPr>
              <w:rFonts w:eastAsiaTheme="minorEastAsia"/>
              <w:noProof/>
              <w:lang w:val="en-US"/>
            </w:rPr>
          </w:pPr>
          <w:hyperlink w:anchor="_Toc191086252" w:history="1">
            <w:r w:rsidRPr="00D87695">
              <w:rPr>
                <w:rStyle w:val="Hyperlink"/>
                <w:rFonts w:ascii="Arial" w:hAnsi="Arial" w:cs="Arial"/>
                <w:noProof/>
              </w:rPr>
              <w:t>Event Concept</w:t>
            </w:r>
            <w:r>
              <w:rPr>
                <w:noProof/>
                <w:webHidden/>
              </w:rPr>
              <w:tab/>
            </w:r>
            <w:r>
              <w:rPr>
                <w:noProof/>
                <w:webHidden/>
              </w:rPr>
              <w:fldChar w:fldCharType="begin"/>
            </w:r>
            <w:r>
              <w:rPr>
                <w:noProof/>
                <w:webHidden/>
              </w:rPr>
              <w:instrText xml:space="preserve"> PAGEREF _Toc191086252 \h </w:instrText>
            </w:r>
            <w:r>
              <w:rPr>
                <w:noProof/>
                <w:webHidden/>
              </w:rPr>
            </w:r>
            <w:r>
              <w:rPr>
                <w:noProof/>
                <w:webHidden/>
              </w:rPr>
              <w:fldChar w:fldCharType="separate"/>
            </w:r>
            <w:r>
              <w:rPr>
                <w:noProof/>
                <w:webHidden/>
              </w:rPr>
              <w:t>6</w:t>
            </w:r>
            <w:r>
              <w:rPr>
                <w:noProof/>
                <w:webHidden/>
              </w:rPr>
              <w:fldChar w:fldCharType="end"/>
            </w:r>
          </w:hyperlink>
        </w:p>
        <w:p w14:paraId="36D816FF" w14:textId="691357B9" w:rsidR="006430C2" w:rsidRDefault="006430C2">
          <w:pPr>
            <w:pStyle w:val="TOC1"/>
            <w:tabs>
              <w:tab w:val="right" w:leader="dot" w:pos="9396"/>
            </w:tabs>
            <w:rPr>
              <w:rFonts w:eastAsiaTheme="minorEastAsia"/>
              <w:noProof/>
              <w:lang w:val="en-US"/>
            </w:rPr>
          </w:pPr>
          <w:hyperlink w:anchor="_Toc191086253" w:history="1">
            <w:r w:rsidRPr="00D87695">
              <w:rPr>
                <w:rStyle w:val="Hyperlink"/>
                <w:rFonts w:ascii="Arial" w:hAnsi="Arial" w:cs="Arial"/>
                <w:noProof/>
              </w:rPr>
              <w:t>Aim and Objectives</w:t>
            </w:r>
            <w:r>
              <w:rPr>
                <w:noProof/>
                <w:webHidden/>
              </w:rPr>
              <w:tab/>
            </w:r>
            <w:r>
              <w:rPr>
                <w:noProof/>
                <w:webHidden/>
              </w:rPr>
              <w:fldChar w:fldCharType="begin"/>
            </w:r>
            <w:r>
              <w:rPr>
                <w:noProof/>
                <w:webHidden/>
              </w:rPr>
              <w:instrText xml:space="preserve"> PAGEREF _Toc191086253 \h </w:instrText>
            </w:r>
            <w:r>
              <w:rPr>
                <w:noProof/>
                <w:webHidden/>
              </w:rPr>
            </w:r>
            <w:r>
              <w:rPr>
                <w:noProof/>
                <w:webHidden/>
              </w:rPr>
              <w:fldChar w:fldCharType="separate"/>
            </w:r>
            <w:r>
              <w:rPr>
                <w:noProof/>
                <w:webHidden/>
              </w:rPr>
              <w:t>7</w:t>
            </w:r>
            <w:r>
              <w:rPr>
                <w:noProof/>
                <w:webHidden/>
              </w:rPr>
              <w:fldChar w:fldCharType="end"/>
            </w:r>
          </w:hyperlink>
        </w:p>
        <w:p w14:paraId="1AF6FA9F" w14:textId="76D0CA66" w:rsidR="006430C2" w:rsidRDefault="006430C2">
          <w:pPr>
            <w:pStyle w:val="TOC1"/>
            <w:tabs>
              <w:tab w:val="right" w:leader="dot" w:pos="9396"/>
            </w:tabs>
            <w:rPr>
              <w:rFonts w:eastAsiaTheme="minorEastAsia"/>
              <w:noProof/>
              <w:lang w:val="en-US"/>
            </w:rPr>
          </w:pPr>
          <w:hyperlink w:anchor="_Toc191086254" w:history="1">
            <w:r w:rsidRPr="00D87695">
              <w:rPr>
                <w:rStyle w:val="Hyperlink"/>
                <w:rFonts w:ascii="Arial" w:hAnsi="Arial" w:cs="Arial"/>
                <w:noProof/>
              </w:rPr>
              <w:t>Event Management</w:t>
            </w:r>
            <w:r>
              <w:rPr>
                <w:noProof/>
                <w:webHidden/>
              </w:rPr>
              <w:tab/>
            </w:r>
            <w:r>
              <w:rPr>
                <w:noProof/>
                <w:webHidden/>
              </w:rPr>
              <w:fldChar w:fldCharType="begin"/>
            </w:r>
            <w:r>
              <w:rPr>
                <w:noProof/>
                <w:webHidden/>
              </w:rPr>
              <w:instrText xml:space="preserve"> PAGEREF _Toc191086254 \h </w:instrText>
            </w:r>
            <w:r>
              <w:rPr>
                <w:noProof/>
                <w:webHidden/>
              </w:rPr>
            </w:r>
            <w:r>
              <w:rPr>
                <w:noProof/>
                <w:webHidden/>
              </w:rPr>
              <w:fldChar w:fldCharType="separate"/>
            </w:r>
            <w:r>
              <w:rPr>
                <w:noProof/>
                <w:webHidden/>
              </w:rPr>
              <w:t>9</w:t>
            </w:r>
            <w:r>
              <w:rPr>
                <w:noProof/>
                <w:webHidden/>
              </w:rPr>
              <w:fldChar w:fldCharType="end"/>
            </w:r>
          </w:hyperlink>
        </w:p>
        <w:p w14:paraId="0FF97244" w14:textId="247F2ADB" w:rsidR="006430C2" w:rsidRDefault="006430C2">
          <w:pPr>
            <w:pStyle w:val="TOC3"/>
            <w:tabs>
              <w:tab w:val="right" w:leader="dot" w:pos="9396"/>
            </w:tabs>
            <w:rPr>
              <w:rFonts w:eastAsiaTheme="minorEastAsia"/>
              <w:noProof/>
              <w:lang w:val="en-US"/>
            </w:rPr>
          </w:pPr>
          <w:hyperlink w:anchor="_Toc191086255" w:history="1">
            <w:r w:rsidRPr="00D87695">
              <w:rPr>
                <w:rStyle w:val="Hyperlink"/>
                <w:rFonts w:ascii="Arial" w:hAnsi="Arial" w:cs="Arial"/>
                <w:noProof/>
              </w:rPr>
              <w:t>1. Operational Activities</w:t>
            </w:r>
            <w:r>
              <w:rPr>
                <w:noProof/>
                <w:webHidden/>
              </w:rPr>
              <w:tab/>
            </w:r>
            <w:r>
              <w:rPr>
                <w:noProof/>
                <w:webHidden/>
              </w:rPr>
              <w:fldChar w:fldCharType="begin"/>
            </w:r>
            <w:r>
              <w:rPr>
                <w:noProof/>
                <w:webHidden/>
              </w:rPr>
              <w:instrText xml:space="preserve"> PAGEREF _Toc191086255 \h </w:instrText>
            </w:r>
            <w:r>
              <w:rPr>
                <w:noProof/>
                <w:webHidden/>
              </w:rPr>
            </w:r>
            <w:r>
              <w:rPr>
                <w:noProof/>
                <w:webHidden/>
              </w:rPr>
              <w:fldChar w:fldCharType="separate"/>
            </w:r>
            <w:r>
              <w:rPr>
                <w:noProof/>
                <w:webHidden/>
              </w:rPr>
              <w:t>9</w:t>
            </w:r>
            <w:r>
              <w:rPr>
                <w:noProof/>
                <w:webHidden/>
              </w:rPr>
              <w:fldChar w:fldCharType="end"/>
            </w:r>
          </w:hyperlink>
        </w:p>
        <w:p w14:paraId="6FA15FA2" w14:textId="26A6CE0A" w:rsidR="006430C2" w:rsidRDefault="006430C2">
          <w:pPr>
            <w:pStyle w:val="TOC3"/>
            <w:tabs>
              <w:tab w:val="right" w:leader="dot" w:pos="9396"/>
            </w:tabs>
            <w:rPr>
              <w:rFonts w:eastAsiaTheme="minorEastAsia"/>
              <w:noProof/>
              <w:lang w:val="en-US"/>
            </w:rPr>
          </w:pPr>
          <w:hyperlink w:anchor="_Toc191086256" w:history="1">
            <w:r w:rsidRPr="00D87695">
              <w:rPr>
                <w:rStyle w:val="Hyperlink"/>
                <w:rFonts w:ascii="Arial" w:hAnsi="Arial" w:cs="Arial"/>
                <w:noProof/>
              </w:rPr>
              <w:t>2. Planning Activities</w:t>
            </w:r>
            <w:r>
              <w:rPr>
                <w:noProof/>
                <w:webHidden/>
              </w:rPr>
              <w:tab/>
            </w:r>
            <w:r>
              <w:rPr>
                <w:noProof/>
                <w:webHidden/>
              </w:rPr>
              <w:fldChar w:fldCharType="begin"/>
            </w:r>
            <w:r>
              <w:rPr>
                <w:noProof/>
                <w:webHidden/>
              </w:rPr>
              <w:instrText xml:space="preserve"> PAGEREF _Toc191086256 \h </w:instrText>
            </w:r>
            <w:r>
              <w:rPr>
                <w:noProof/>
                <w:webHidden/>
              </w:rPr>
            </w:r>
            <w:r>
              <w:rPr>
                <w:noProof/>
                <w:webHidden/>
              </w:rPr>
              <w:fldChar w:fldCharType="separate"/>
            </w:r>
            <w:r>
              <w:rPr>
                <w:noProof/>
                <w:webHidden/>
              </w:rPr>
              <w:t>10</w:t>
            </w:r>
            <w:r>
              <w:rPr>
                <w:noProof/>
                <w:webHidden/>
              </w:rPr>
              <w:fldChar w:fldCharType="end"/>
            </w:r>
          </w:hyperlink>
        </w:p>
        <w:p w14:paraId="1CDECE41" w14:textId="236DF149" w:rsidR="006430C2" w:rsidRDefault="006430C2">
          <w:pPr>
            <w:pStyle w:val="TOC3"/>
            <w:tabs>
              <w:tab w:val="right" w:leader="dot" w:pos="9396"/>
            </w:tabs>
            <w:rPr>
              <w:rFonts w:eastAsiaTheme="minorEastAsia"/>
              <w:noProof/>
              <w:lang w:val="en-US"/>
            </w:rPr>
          </w:pPr>
          <w:hyperlink w:anchor="_Toc191086257" w:history="1">
            <w:r w:rsidRPr="00D87695">
              <w:rPr>
                <w:rStyle w:val="Hyperlink"/>
                <w:noProof/>
              </w:rPr>
              <w:t>3. Marketing Activities</w:t>
            </w:r>
            <w:r>
              <w:rPr>
                <w:noProof/>
                <w:webHidden/>
              </w:rPr>
              <w:tab/>
            </w:r>
            <w:r>
              <w:rPr>
                <w:noProof/>
                <w:webHidden/>
              </w:rPr>
              <w:fldChar w:fldCharType="begin"/>
            </w:r>
            <w:r>
              <w:rPr>
                <w:noProof/>
                <w:webHidden/>
              </w:rPr>
              <w:instrText xml:space="preserve"> PAGEREF _Toc191086257 \h </w:instrText>
            </w:r>
            <w:r>
              <w:rPr>
                <w:noProof/>
                <w:webHidden/>
              </w:rPr>
            </w:r>
            <w:r>
              <w:rPr>
                <w:noProof/>
                <w:webHidden/>
              </w:rPr>
              <w:fldChar w:fldCharType="separate"/>
            </w:r>
            <w:r>
              <w:rPr>
                <w:noProof/>
                <w:webHidden/>
              </w:rPr>
              <w:t>11</w:t>
            </w:r>
            <w:r>
              <w:rPr>
                <w:noProof/>
                <w:webHidden/>
              </w:rPr>
              <w:fldChar w:fldCharType="end"/>
            </w:r>
          </w:hyperlink>
        </w:p>
        <w:p w14:paraId="2A9B4598" w14:textId="09AC022C" w:rsidR="006430C2" w:rsidRDefault="006430C2">
          <w:pPr>
            <w:pStyle w:val="TOC1"/>
            <w:tabs>
              <w:tab w:val="right" w:leader="dot" w:pos="9396"/>
            </w:tabs>
            <w:rPr>
              <w:rFonts w:eastAsiaTheme="minorEastAsia"/>
              <w:noProof/>
              <w:lang w:val="en-US"/>
            </w:rPr>
          </w:pPr>
          <w:hyperlink w:anchor="_Toc191086258" w:history="1">
            <w:r w:rsidRPr="00D87695">
              <w:rPr>
                <w:rStyle w:val="Hyperlink"/>
                <w:rFonts w:ascii="Arial" w:hAnsi="Arial" w:cs="Arial"/>
                <w:noProof/>
              </w:rPr>
              <w:t>Event Budget</w:t>
            </w:r>
            <w:r>
              <w:rPr>
                <w:noProof/>
                <w:webHidden/>
              </w:rPr>
              <w:tab/>
            </w:r>
            <w:r>
              <w:rPr>
                <w:noProof/>
                <w:webHidden/>
              </w:rPr>
              <w:fldChar w:fldCharType="begin"/>
            </w:r>
            <w:r>
              <w:rPr>
                <w:noProof/>
                <w:webHidden/>
              </w:rPr>
              <w:instrText xml:space="preserve"> PAGEREF _Toc191086258 \h </w:instrText>
            </w:r>
            <w:r>
              <w:rPr>
                <w:noProof/>
                <w:webHidden/>
              </w:rPr>
            </w:r>
            <w:r>
              <w:rPr>
                <w:noProof/>
                <w:webHidden/>
              </w:rPr>
              <w:fldChar w:fldCharType="separate"/>
            </w:r>
            <w:r>
              <w:rPr>
                <w:noProof/>
                <w:webHidden/>
              </w:rPr>
              <w:t>12</w:t>
            </w:r>
            <w:r>
              <w:rPr>
                <w:noProof/>
                <w:webHidden/>
              </w:rPr>
              <w:fldChar w:fldCharType="end"/>
            </w:r>
          </w:hyperlink>
        </w:p>
        <w:p w14:paraId="21C9919E" w14:textId="4B5259C9" w:rsidR="006430C2" w:rsidRDefault="006430C2">
          <w:pPr>
            <w:pStyle w:val="TOC3"/>
            <w:tabs>
              <w:tab w:val="right" w:leader="dot" w:pos="9396"/>
            </w:tabs>
            <w:rPr>
              <w:rFonts w:eastAsiaTheme="minorEastAsia"/>
              <w:noProof/>
              <w:lang w:val="en-US"/>
            </w:rPr>
          </w:pPr>
          <w:hyperlink w:anchor="_Toc191086259" w:history="1">
            <w:r w:rsidRPr="00D87695">
              <w:rPr>
                <w:rStyle w:val="Hyperlink"/>
                <w:noProof/>
              </w:rPr>
              <w:t>Expenditure Breakdown</w:t>
            </w:r>
            <w:r>
              <w:rPr>
                <w:noProof/>
                <w:webHidden/>
              </w:rPr>
              <w:tab/>
            </w:r>
            <w:r>
              <w:rPr>
                <w:noProof/>
                <w:webHidden/>
              </w:rPr>
              <w:fldChar w:fldCharType="begin"/>
            </w:r>
            <w:r>
              <w:rPr>
                <w:noProof/>
                <w:webHidden/>
              </w:rPr>
              <w:instrText xml:space="preserve"> PAGEREF _Toc191086259 \h </w:instrText>
            </w:r>
            <w:r>
              <w:rPr>
                <w:noProof/>
                <w:webHidden/>
              </w:rPr>
            </w:r>
            <w:r>
              <w:rPr>
                <w:noProof/>
                <w:webHidden/>
              </w:rPr>
              <w:fldChar w:fldCharType="separate"/>
            </w:r>
            <w:r>
              <w:rPr>
                <w:noProof/>
                <w:webHidden/>
              </w:rPr>
              <w:t>12</w:t>
            </w:r>
            <w:r>
              <w:rPr>
                <w:noProof/>
                <w:webHidden/>
              </w:rPr>
              <w:fldChar w:fldCharType="end"/>
            </w:r>
          </w:hyperlink>
        </w:p>
        <w:p w14:paraId="4CE4131E" w14:textId="761EBFE1" w:rsidR="006430C2" w:rsidRDefault="006430C2">
          <w:pPr>
            <w:pStyle w:val="TOC3"/>
            <w:tabs>
              <w:tab w:val="right" w:leader="dot" w:pos="9396"/>
            </w:tabs>
            <w:rPr>
              <w:rFonts w:eastAsiaTheme="minorEastAsia"/>
              <w:noProof/>
              <w:lang w:val="en-US"/>
            </w:rPr>
          </w:pPr>
          <w:hyperlink w:anchor="_Toc191086260" w:history="1">
            <w:r w:rsidRPr="00D87695">
              <w:rPr>
                <w:rStyle w:val="Hyperlink"/>
                <w:noProof/>
              </w:rPr>
              <w:t>2. Income Generation Strategies</w:t>
            </w:r>
            <w:r>
              <w:rPr>
                <w:noProof/>
                <w:webHidden/>
              </w:rPr>
              <w:tab/>
            </w:r>
            <w:r>
              <w:rPr>
                <w:noProof/>
                <w:webHidden/>
              </w:rPr>
              <w:fldChar w:fldCharType="begin"/>
            </w:r>
            <w:r>
              <w:rPr>
                <w:noProof/>
                <w:webHidden/>
              </w:rPr>
              <w:instrText xml:space="preserve"> PAGEREF _Toc191086260 \h </w:instrText>
            </w:r>
            <w:r>
              <w:rPr>
                <w:noProof/>
                <w:webHidden/>
              </w:rPr>
            </w:r>
            <w:r>
              <w:rPr>
                <w:noProof/>
                <w:webHidden/>
              </w:rPr>
              <w:fldChar w:fldCharType="separate"/>
            </w:r>
            <w:r>
              <w:rPr>
                <w:noProof/>
                <w:webHidden/>
              </w:rPr>
              <w:t>13</w:t>
            </w:r>
            <w:r>
              <w:rPr>
                <w:noProof/>
                <w:webHidden/>
              </w:rPr>
              <w:fldChar w:fldCharType="end"/>
            </w:r>
          </w:hyperlink>
        </w:p>
        <w:p w14:paraId="64BE52FE" w14:textId="65B10E33" w:rsidR="006430C2" w:rsidRDefault="006430C2">
          <w:pPr>
            <w:pStyle w:val="TOC3"/>
            <w:tabs>
              <w:tab w:val="right" w:leader="dot" w:pos="9396"/>
            </w:tabs>
            <w:rPr>
              <w:rFonts w:eastAsiaTheme="minorEastAsia"/>
              <w:noProof/>
              <w:lang w:val="en-US"/>
            </w:rPr>
          </w:pPr>
          <w:hyperlink w:anchor="_Toc191086261" w:history="1">
            <w:r w:rsidRPr="00D87695">
              <w:rPr>
                <w:rStyle w:val="Hyperlink"/>
                <w:noProof/>
              </w:rPr>
              <w:t>3. Analysis of Costs</w:t>
            </w:r>
            <w:r>
              <w:rPr>
                <w:noProof/>
                <w:webHidden/>
              </w:rPr>
              <w:tab/>
            </w:r>
            <w:r>
              <w:rPr>
                <w:noProof/>
                <w:webHidden/>
              </w:rPr>
              <w:fldChar w:fldCharType="begin"/>
            </w:r>
            <w:r>
              <w:rPr>
                <w:noProof/>
                <w:webHidden/>
              </w:rPr>
              <w:instrText xml:space="preserve"> PAGEREF _Toc191086261 \h </w:instrText>
            </w:r>
            <w:r>
              <w:rPr>
                <w:noProof/>
                <w:webHidden/>
              </w:rPr>
            </w:r>
            <w:r>
              <w:rPr>
                <w:noProof/>
                <w:webHidden/>
              </w:rPr>
              <w:fldChar w:fldCharType="separate"/>
            </w:r>
            <w:r>
              <w:rPr>
                <w:noProof/>
                <w:webHidden/>
              </w:rPr>
              <w:t>14</w:t>
            </w:r>
            <w:r>
              <w:rPr>
                <w:noProof/>
                <w:webHidden/>
              </w:rPr>
              <w:fldChar w:fldCharType="end"/>
            </w:r>
          </w:hyperlink>
        </w:p>
        <w:p w14:paraId="7482C618" w14:textId="31803677" w:rsidR="006430C2" w:rsidRDefault="006430C2">
          <w:pPr>
            <w:pStyle w:val="TOC3"/>
            <w:tabs>
              <w:tab w:val="right" w:leader="dot" w:pos="9396"/>
            </w:tabs>
            <w:rPr>
              <w:rFonts w:eastAsiaTheme="minorEastAsia"/>
              <w:noProof/>
              <w:lang w:val="en-US"/>
            </w:rPr>
          </w:pPr>
          <w:hyperlink w:anchor="_Toc191086262" w:history="1">
            <w:r w:rsidRPr="00D87695">
              <w:rPr>
                <w:rStyle w:val="Hyperlink"/>
                <w:noProof/>
              </w:rPr>
              <w:t>4. Funding Sources</w:t>
            </w:r>
            <w:r>
              <w:rPr>
                <w:noProof/>
                <w:webHidden/>
              </w:rPr>
              <w:tab/>
            </w:r>
            <w:r>
              <w:rPr>
                <w:noProof/>
                <w:webHidden/>
              </w:rPr>
              <w:fldChar w:fldCharType="begin"/>
            </w:r>
            <w:r>
              <w:rPr>
                <w:noProof/>
                <w:webHidden/>
              </w:rPr>
              <w:instrText xml:space="preserve"> PAGEREF _Toc191086262 \h </w:instrText>
            </w:r>
            <w:r>
              <w:rPr>
                <w:noProof/>
                <w:webHidden/>
              </w:rPr>
            </w:r>
            <w:r>
              <w:rPr>
                <w:noProof/>
                <w:webHidden/>
              </w:rPr>
              <w:fldChar w:fldCharType="separate"/>
            </w:r>
            <w:r>
              <w:rPr>
                <w:noProof/>
                <w:webHidden/>
              </w:rPr>
              <w:t>14</w:t>
            </w:r>
            <w:r>
              <w:rPr>
                <w:noProof/>
                <w:webHidden/>
              </w:rPr>
              <w:fldChar w:fldCharType="end"/>
            </w:r>
          </w:hyperlink>
        </w:p>
        <w:p w14:paraId="57F66F2B" w14:textId="5526D455" w:rsidR="006430C2" w:rsidRDefault="006430C2">
          <w:pPr>
            <w:pStyle w:val="TOC3"/>
            <w:tabs>
              <w:tab w:val="left" w:pos="960"/>
              <w:tab w:val="right" w:leader="dot" w:pos="9396"/>
            </w:tabs>
            <w:rPr>
              <w:rFonts w:eastAsiaTheme="minorEastAsia"/>
              <w:noProof/>
              <w:lang w:val="en-US"/>
            </w:rPr>
          </w:pPr>
          <w:hyperlink w:anchor="_Toc191086263" w:history="1">
            <w:r w:rsidRPr="00D87695">
              <w:rPr>
                <w:rStyle w:val="Hyperlink"/>
                <w:noProof/>
              </w:rPr>
              <w:t>5.Financial Sustainability and Profitability</w:t>
            </w:r>
            <w:r>
              <w:rPr>
                <w:noProof/>
                <w:webHidden/>
              </w:rPr>
              <w:tab/>
            </w:r>
            <w:r>
              <w:rPr>
                <w:noProof/>
                <w:webHidden/>
              </w:rPr>
              <w:fldChar w:fldCharType="begin"/>
            </w:r>
            <w:r>
              <w:rPr>
                <w:noProof/>
                <w:webHidden/>
              </w:rPr>
              <w:instrText xml:space="preserve"> PAGEREF _Toc191086263 \h </w:instrText>
            </w:r>
            <w:r>
              <w:rPr>
                <w:noProof/>
                <w:webHidden/>
              </w:rPr>
            </w:r>
            <w:r>
              <w:rPr>
                <w:noProof/>
                <w:webHidden/>
              </w:rPr>
              <w:fldChar w:fldCharType="separate"/>
            </w:r>
            <w:r>
              <w:rPr>
                <w:noProof/>
                <w:webHidden/>
              </w:rPr>
              <w:t>15</w:t>
            </w:r>
            <w:r>
              <w:rPr>
                <w:noProof/>
                <w:webHidden/>
              </w:rPr>
              <w:fldChar w:fldCharType="end"/>
            </w:r>
          </w:hyperlink>
        </w:p>
        <w:p w14:paraId="2413A68E" w14:textId="1A92582B" w:rsidR="006430C2" w:rsidRDefault="006430C2">
          <w:pPr>
            <w:pStyle w:val="TOC1"/>
            <w:tabs>
              <w:tab w:val="right" w:leader="dot" w:pos="9396"/>
            </w:tabs>
            <w:rPr>
              <w:rFonts w:eastAsiaTheme="minorEastAsia"/>
              <w:noProof/>
              <w:lang w:val="en-US"/>
            </w:rPr>
          </w:pPr>
          <w:hyperlink w:anchor="_Toc191086264" w:history="1">
            <w:r w:rsidRPr="00D87695">
              <w:rPr>
                <w:rStyle w:val="Hyperlink"/>
                <w:rFonts w:ascii="Arial" w:hAnsi="Arial" w:cs="Arial"/>
                <w:noProof/>
              </w:rPr>
              <w:t>Industry Trends / Issues / Impacts</w:t>
            </w:r>
            <w:r>
              <w:rPr>
                <w:noProof/>
                <w:webHidden/>
              </w:rPr>
              <w:tab/>
            </w:r>
            <w:r>
              <w:rPr>
                <w:noProof/>
                <w:webHidden/>
              </w:rPr>
              <w:fldChar w:fldCharType="begin"/>
            </w:r>
            <w:r>
              <w:rPr>
                <w:noProof/>
                <w:webHidden/>
              </w:rPr>
              <w:instrText xml:space="preserve"> PAGEREF _Toc191086264 \h </w:instrText>
            </w:r>
            <w:r>
              <w:rPr>
                <w:noProof/>
                <w:webHidden/>
              </w:rPr>
            </w:r>
            <w:r>
              <w:rPr>
                <w:noProof/>
                <w:webHidden/>
              </w:rPr>
              <w:fldChar w:fldCharType="separate"/>
            </w:r>
            <w:r>
              <w:rPr>
                <w:noProof/>
                <w:webHidden/>
              </w:rPr>
              <w:t>16</w:t>
            </w:r>
            <w:r>
              <w:rPr>
                <w:noProof/>
                <w:webHidden/>
              </w:rPr>
              <w:fldChar w:fldCharType="end"/>
            </w:r>
          </w:hyperlink>
        </w:p>
        <w:p w14:paraId="20E95893" w14:textId="5FB8E3E9" w:rsidR="006430C2" w:rsidRDefault="006430C2">
          <w:pPr>
            <w:pStyle w:val="TOC1"/>
            <w:tabs>
              <w:tab w:val="right" w:leader="dot" w:pos="9396"/>
            </w:tabs>
            <w:rPr>
              <w:rFonts w:eastAsiaTheme="minorEastAsia"/>
              <w:noProof/>
              <w:lang w:val="en-US"/>
            </w:rPr>
          </w:pPr>
          <w:hyperlink w:anchor="_Toc191086265" w:history="1">
            <w:r w:rsidRPr="00D87695">
              <w:rPr>
                <w:rStyle w:val="Hyperlink"/>
                <w:rFonts w:ascii="Arial" w:hAnsi="Arial" w:cs="Arial"/>
                <w:noProof/>
              </w:rPr>
              <w:t>Situational and Cultural Considerations</w:t>
            </w:r>
            <w:r>
              <w:rPr>
                <w:noProof/>
                <w:webHidden/>
              </w:rPr>
              <w:tab/>
            </w:r>
            <w:r>
              <w:rPr>
                <w:noProof/>
                <w:webHidden/>
              </w:rPr>
              <w:fldChar w:fldCharType="begin"/>
            </w:r>
            <w:r>
              <w:rPr>
                <w:noProof/>
                <w:webHidden/>
              </w:rPr>
              <w:instrText xml:space="preserve"> PAGEREF _Toc191086265 \h </w:instrText>
            </w:r>
            <w:r>
              <w:rPr>
                <w:noProof/>
                <w:webHidden/>
              </w:rPr>
            </w:r>
            <w:r>
              <w:rPr>
                <w:noProof/>
                <w:webHidden/>
              </w:rPr>
              <w:fldChar w:fldCharType="separate"/>
            </w:r>
            <w:r>
              <w:rPr>
                <w:noProof/>
                <w:webHidden/>
              </w:rPr>
              <w:t>20</w:t>
            </w:r>
            <w:r>
              <w:rPr>
                <w:noProof/>
                <w:webHidden/>
              </w:rPr>
              <w:fldChar w:fldCharType="end"/>
            </w:r>
          </w:hyperlink>
        </w:p>
        <w:p w14:paraId="32F7C1B7" w14:textId="1ECB3E19" w:rsidR="006430C2" w:rsidRDefault="006430C2">
          <w:pPr>
            <w:pStyle w:val="TOC3"/>
            <w:tabs>
              <w:tab w:val="right" w:leader="dot" w:pos="9396"/>
            </w:tabs>
            <w:rPr>
              <w:rFonts w:eastAsiaTheme="minorEastAsia"/>
              <w:noProof/>
              <w:lang w:val="en-US"/>
            </w:rPr>
          </w:pPr>
          <w:hyperlink w:anchor="_Toc191086266" w:history="1">
            <w:r w:rsidRPr="00D87695">
              <w:rPr>
                <w:rStyle w:val="Hyperlink"/>
                <w:noProof/>
              </w:rPr>
              <w:t>PESTEL analysis</w:t>
            </w:r>
            <w:r>
              <w:rPr>
                <w:noProof/>
                <w:webHidden/>
              </w:rPr>
              <w:tab/>
            </w:r>
            <w:r>
              <w:rPr>
                <w:noProof/>
                <w:webHidden/>
              </w:rPr>
              <w:fldChar w:fldCharType="begin"/>
            </w:r>
            <w:r>
              <w:rPr>
                <w:noProof/>
                <w:webHidden/>
              </w:rPr>
              <w:instrText xml:space="preserve"> PAGEREF _Toc191086266 \h </w:instrText>
            </w:r>
            <w:r>
              <w:rPr>
                <w:noProof/>
                <w:webHidden/>
              </w:rPr>
            </w:r>
            <w:r>
              <w:rPr>
                <w:noProof/>
                <w:webHidden/>
              </w:rPr>
              <w:fldChar w:fldCharType="separate"/>
            </w:r>
            <w:r>
              <w:rPr>
                <w:noProof/>
                <w:webHidden/>
              </w:rPr>
              <w:t>20</w:t>
            </w:r>
            <w:r>
              <w:rPr>
                <w:noProof/>
                <w:webHidden/>
              </w:rPr>
              <w:fldChar w:fldCharType="end"/>
            </w:r>
          </w:hyperlink>
        </w:p>
        <w:p w14:paraId="65CF59CD" w14:textId="706C5F8D" w:rsidR="006430C2" w:rsidRDefault="006430C2">
          <w:pPr>
            <w:pStyle w:val="TOC1"/>
            <w:tabs>
              <w:tab w:val="right" w:leader="dot" w:pos="9396"/>
            </w:tabs>
            <w:rPr>
              <w:rFonts w:eastAsiaTheme="minorEastAsia"/>
              <w:noProof/>
              <w:lang w:val="en-US"/>
            </w:rPr>
          </w:pPr>
          <w:hyperlink w:anchor="_Toc191086267" w:history="1">
            <w:r w:rsidRPr="00D87695">
              <w:rPr>
                <w:rStyle w:val="Hyperlink"/>
                <w:rFonts w:ascii="Arial" w:hAnsi="Arial" w:cs="Arial"/>
                <w:noProof/>
              </w:rPr>
              <w:t>Conclusion</w:t>
            </w:r>
            <w:r>
              <w:rPr>
                <w:noProof/>
                <w:webHidden/>
              </w:rPr>
              <w:tab/>
            </w:r>
            <w:r>
              <w:rPr>
                <w:noProof/>
                <w:webHidden/>
              </w:rPr>
              <w:fldChar w:fldCharType="begin"/>
            </w:r>
            <w:r>
              <w:rPr>
                <w:noProof/>
                <w:webHidden/>
              </w:rPr>
              <w:instrText xml:space="preserve"> PAGEREF _Toc191086267 \h </w:instrText>
            </w:r>
            <w:r>
              <w:rPr>
                <w:noProof/>
                <w:webHidden/>
              </w:rPr>
            </w:r>
            <w:r>
              <w:rPr>
                <w:noProof/>
                <w:webHidden/>
              </w:rPr>
              <w:fldChar w:fldCharType="separate"/>
            </w:r>
            <w:r>
              <w:rPr>
                <w:noProof/>
                <w:webHidden/>
              </w:rPr>
              <w:t>22</w:t>
            </w:r>
            <w:r>
              <w:rPr>
                <w:noProof/>
                <w:webHidden/>
              </w:rPr>
              <w:fldChar w:fldCharType="end"/>
            </w:r>
          </w:hyperlink>
        </w:p>
        <w:p w14:paraId="5EB502E2" w14:textId="2CB55E0E" w:rsidR="006430C2" w:rsidRDefault="006430C2">
          <w:pPr>
            <w:pStyle w:val="TOC1"/>
            <w:tabs>
              <w:tab w:val="right" w:leader="dot" w:pos="9396"/>
            </w:tabs>
            <w:rPr>
              <w:rFonts w:eastAsiaTheme="minorEastAsia"/>
              <w:noProof/>
              <w:lang w:val="en-US"/>
            </w:rPr>
          </w:pPr>
          <w:hyperlink w:anchor="_Toc191086268" w:history="1">
            <w:r w:rsidRPr="00D87695">
              <w:rPr>
                <w:rStyle w:val="Hyperlink"/>
                <w:rFonts w:ascii="Arial" w:hAnsi="Arial" w:cs="Arial"/>
                <w:noProof/>
              </w:rPr>
              <w:t>References List</w:t>
            </w:r>
            <w:r>
              <w:rPr>
                <w:noProof/>
                <w:webHidden/>
              </w:rPr>
              <w:tab/>
            </w:r>
            <w:r>
              <w:rPr>
                <w:noProof/>
                <w:webHidden/>
              </w:rPr>
              <w:fldChar w:fldCharType="begin"/>
            </w:r>
            <w:r>
              <w:rPr>
                <w:noProof/>
                <w:webHidden/>
              </w:rPr>
              <w:instrText xml:space="preserve"> PAGEREF _Toc191086268 \h </w:instrText>
            </w:r>
            <w:r>
              <w:rPr>
                <w:noProof/>
                <w:webHidden/>
              </w:rPr>
            </w:r>
            <w:r>
              <w:rPr>
                <w:noProof/>
                <w:webHidden/>
              </w:rPr>
              <w:fldChar w:fldCharType="separate"/>
            </w:r>
            <w:r>
              <w:rPr>
                <w:noProof/>
                <w:webHidden/>
              </w:rPr>
              <w:t>23</w:t>
            </w:r>
            <w:r>
              <w:rPr>
                <w:noProof/>
                <w:webHidden/>
              </w:rPr>
              <w:fldChar w:fldCharType="end"/>
            </w:r>
          </w:hyperlink>
        </w:p>
        <w:p w14:paraId="3903CAAA" w14:textId="613C8A24" w:rsidR="007A02E1" w:rsidRPr="00FB1C29" w:rsidRDefault="00CD253A" w:rsidP="0060718C">
          <w:pPr>
            <w:spacing w:line="360" w:lineRule="auto"/>
            <w:jc w:val="both"/>
            <w:rPr>
              <w:rFonts w:ascii="Arial" w:hAnsi="Arial" w:cs="Arial"/>
              <w:b/>
              <w:bCs/>
            </w:rPr>
          </w:pPr>
          <w:r w:rsidRPr="00FB1C29">
            <w:rPr>
              <w:rFonts w:ascii="Arial" w:hAnsi="Arial" w:cs="Arial"/>
              <w:b/>
              <w:bCs/>
            </w:rPr>
            <w:fldChar w:fldCharType="end"/>
          </w:r>
        </w:p>
      </w:sdtContent>
    </w:sdt>
    <w:p w14:paraId="18F1F631" w14:textId="77777777" w:rsidR="007A02E1" w:rsidRPr="00FB1C29" w:rsidRDefault="007A02E1" w:rsidP="0060718C">
      <w:pPr>
        <w:spacing w:line="360" w:lineRule="auto"/>
        <w:jc w:val="both"/>
        <w:rPr>
          <w:rFonts w:ascii="Arial" w:hAnsi="Arial" w:cs="Arial"/>
        </w:rPr>
      </w:pPr>
    </w:p>
    <w:p w14:paraId="6AE47AE9" w14:textId="77777777" w:rsidR="00DF0591" w:rsidRPr="00FB1C29" w:rsidRDefault="00DF0591" w:rsidP="0060718C">
      <w:pPr>
        <w:pStyle w:val="Heading1"/>
        <w:spacing w:line="360" w:lineRule="auto"/>
        <w:jc w:val="both"/>
        <w:rPr>
          <w:rFonts w:ascii="Arial" w:hAnsi="Arial" w:cs="Arial"/>
          <w:sz w:val="32"/>
          <w:szCs w:val="32"/>
        </w:rPr>
      </w:pPr>
      <w:bookmarkStart w:id="2" w:name="_Toc191086250"/>
      <w:r w:rsidRPr="00FB1C29">
        <w:rPr>
          <w:rFonts w:ascii="Arial" w:hAnsi="Arial" w:cs="Arial"/>
          <w:sz w:val="32"/>
          <w:szCs w:val="32"/>
        </w:rPr>
        <w:lastRenderedPageBreak/>
        <w:t>Introduction</w:t>
      </w:r>
      <w:bookmarkEnd w:id="2"/>
    </w:p>
    <w:p w14:paraId="0C5B4E72" w14:textId="77777777" w:rsidR="00CF3902" w:rsidRPr="00FB1C29" w:rsidRDefault="00CF3902" w:rsidP="0060718C">
      <w:pPr>
        <w:spacing w:line="360" w:lineRule="auto"/>
        <w:jc w:val="both"/>
        <w:rPr>
          <w:rFonts w:ascii="Arial" w:hAnsi="Arial" w:cs="Arial"/>
        </w:rPr>
      </w:pPr>
    </w:p>
    <w:p w14:paraId="31B2CB43" w14:textId="107F836F" w:rsidR="007A02E1" w:rsidRPr="00FB1C29" w:rsidRDefault="00FA3520" w:rsidP="0060718C">
      <w:pPr>
        <w:spacing w:line="360" w:lineRule="auto"/>
        <w:jc w:val="both"/>
        <w:rPr>
          <w:rFonts w:ascii="Arial" w:hAnsi="Arial" w:cs="Arial"/>
        </w:rPr>
      </w:pPr>
      <w:r w:rsidRPr="00FB1C29">
        <w:rPr>
          <w:rFonts w:ascii="Arial" w:hAnsi="Arial" w:cs="Arial"/>
        </w:rPr>
        <w:t xml:space="preserve">The advancement of the hospitality industry relies on </w:t>
      </w:r>
      <w:r w:rsidR="000100EF" w:rsidRPr="00FB1C29">
        <w:rPr>
          <w:rFonts w:ascii="Arial" w:hAnsi="Arial" w:cs="Arial"/>
        </w:rPr>
        <w:t>worldwide</w:t>
      </w:r>
      <w:r w:rsidRPr="00FB1C29">
        <w:rPr>
          <w:rFonts w:ascii="Arial" w:hAnsi="Arial" w:cs="Arial"/>
        </w:rPr>
        <w:t xml:space="preserve"> connectivity and workforce </w:t>
      </w:r>
      <w:r w:rsidR="000100EF" w:rsidRPr="00FB1C29">
        <w:rPr>
          <w:rFonts w:ascii="Arial" w:hAnsi="Arial" w:cs="Arial"/>
        </w:rPr>
        <w:t>range</w:t>
      </w:r>
      <w:r w:rsidRPr="00FB1C29">
        <w:rPr>
          <w:rFonts w:ascii="Arial" w:hAnsi="Arial" w:cs="Arial"/>
        </w:rPr>
        <w:t xml:space="preserve">. However, systemic barriers such as unconscious bias, limited leadership opportunities, and non-inclusive hiring practices continue to hinder career growth for many professionals. As businesses recognize the importance of Equality, Diversity, and Inclusion (EDI), structured programs promoting these values are essential for workforce development and organizational success </w:t>
      </w:r>
      <w:r w:rsidR="002A29E3" w:rsidRPr="00FB1C29">
        <w:rPr>
          <w:rFonts w:ascii="Arial" w:hAnsi="Arial" w:cs="Arial"/>
        </w:rPr>
        <w:t>(Bernauer</w:t>
      </w:r>
      <w:r w:rsidRPr="00FB1C29">
        <w:rPr>
          <w:rFonts w:ascii="Arial" w:hAnsi="Arial" w:cs="Arial"/>
        </w:rPr>
        <w:t xml:space="preserve">, Bhati, and Thirumaran, 2023). The </w:t>
      </w:r>
      <w:r w:rsidR="00CF3902" w:rsidRPr="00FB1C29">
        <w:rPr>
          <w:rFonts w:ascii="Arial" w:hAnsi="Arial" w:cs="Arial"/>
        </w:rPr>
        <w:t>event's goal</w:t>
      </w:r>
      <w:r w:rsidRPr="00FB1C29">
        <w:rPr>
          <w:rFonts w:ascii="Arial" w:hAnsi="Arial" w:cs="Arial"/>
        </w:rPr>
        <w:t xml:space="preserve"> is to provide a comprehensive view of the various challenges that affect the development and growth of diverse and inclusive careers within the hospitality industry. It will also help participants identify effective DEI strategies and implement them in their organizations. This event will bring together policymakers, HR professionals, and industry experts to discuss the latest trends in hiring practices and leadership representation. The event will be held at the Marina Bay Sands Convention </w:t>
      </w:r>
      <w:r w:rsidR="00CF3902" w:rsidRPr="00FB1C29">
        <w:rPr>
          <w:rFonts w:ascii="Arial" w:hAnsi="Arial" w:cs="Arial"/>
        </w:rPr>
        <w:t>Centre</w:t>
      </w:r>
      <w:r w:rsidRPr="00FB1C29">
        <w:rPr>
          <w:rFonts w:ascii="Arial" w:hAnsi="Arial" w:cs="Arial"/>
        </w:rPr>
        <w:t xml:space="preserve">, which is a globally recognized venue. It is also equipped with various accessibility features and is regarded as a leading hospitality and business </w:t>
      </w:r>
      <w:r w:rsidR="00CF3902" w:rsidRPr="00FB1C29">
        <w:rPr>
          <w:rFonts w:ascii="Arial" w:hAnsi="Arial" w:cs="Arial"/>
        </w:rPr>
        <w:t>centre</w:t>
      </w:r>
      <w:r w:rsidRPr="00FB1C29">
        <w:rPr>
          <w:rFonts w:ascii="Arial" w:hAnsi="Arial" w:cs="Arial"/>
        </w:rPr>
        <w:t xml:space="preserve"> in Singapore (Marina Bay Sands, 2025).</w:t>
      </w:r>
    </w:p>
    <w:p w14:paraId="4E302013" w14:textId="5A25B869" w:rsidR="00E36802" w:rsidRPr="00FB1C29" w:rsidRDefault="00E36802" w:rsidP="0060718C">
      <w:pPr>
        <w:pStyle w:val="Heading1"/>
        <w:spacing w:line="360" w:lineRule="auto"/>
        <w:jc w:val="both"/>
        <w:rPr>
          <w:rFonts w:ascii="Arial" w:hAnsi="Arial" w:cs="Arial"/>
          <w:sz w:val="32"/>
          <w:szCs w:val="32"/>
        </w:rPr>
      </w:pPr>
      <w:bookmarkStart w:id="3" w:name="_Toc191086251"/>
      <w:r w:rsidRPr="00FB1C29">
        <w:rPr>
          <w:rFonts w:ascii="Arial" w:hAnsi="Arial" w:cs="Arial"/>
          <w:sz w:val="32"/>
          <w:szCs w:val="32"/>
        </w:rPr>
        <w:t>The Event Cycle</w:t>
      </w:r>
      <w:bookmarkEnd w:id="3"/>
      <w:r w:rsidRPr="00FB1C29">
        <w:rPr>
          <w:rFonts w:ascii="Arial" w:hAnsi="Arial" w:cs="Arial"/>
          <w:sz w:val="32"/>
          <w:szCs w:val="32"/>
        </w:rPr>
        <w:t xml:space="preserve"> </w:t>
      </w:r>
    </w:p>
    <w:p w14:paraId="4B60FFDB" w14:textId="77777777" w:rsidR="00D82033" w:rsidRPr="00FB1C29" w:rsidRDefault="00D82033" w:rsidP="0060718C">
      <w:pPr>
        <w:spacing w:line="360" w:lineRule="auto"/>
        <w:jc w:val="both"/>
        <w:rPr>
          <w:rFonts w:ascii="Arial" w:hAnsi="Arial" w:cs="Arial"/>
        </w:rPr>
      </w:pPr>
    </w:p>
    <w:p w14:paraId="6EA177C7" w14:textId="0AB6FD7C" w:rsidR="00D8292D" w:rsidRPr="00FB1C29" w:rsidRDefault="00D8292D" w:rsidP="0060718C">
      <w:pPr>
        <w:spacing w:line="360" w:lineRule="auto"/>
        <w:jc w:val="both"/>
        <w:rPr>
          <w:rFonts w:ascii="Arial" w:hAnsi="Arial" w:cs="Arial"/>
        </w:rPr>
      </w:pPr>
      <w:r w:rsidRPr="00FB1C29">
        <w:rPr>
          <w:rFonts w:ascii="Arial" w:hAnsi="Arial" w:cs="Arial"/>
        </w:rPr>
        <w:t xml:space="preserve">The Event Cycle provides a structured framework for </w:t>
      </w:r>
      <w:r w:rsidR="000100EF" w:rsidRPr="00FB1C29">
        <w:rPr>
          <w:rFonts w:ascii="Arial" w:hAnsi="Arial" w:cs="Arial"/>
        </w:rPr>
        <w:t>arrangement</w:t>
      </w:r>
      <w:r w:rsidRPr="00FB1C29">
        <w:rPr>
          <w:rFonts w:ascii="Arial" w:hAnsi="Arial" w:cs="Arial"/>
        </w:rPr>
        <w:t xml:space="preserve"> and </w:t>
      </w:r>
      <w:r w:rsidR="000100EF" w:rsidRPr="00FB1C29">
        <w:rPr>
          <w:rFonts w:ascii="Arial" w:hAnsi="Arial" w:cs="Arial"/>
        </w:rPr>
        <w:t>presenting</w:t>
      </w:r>
      <w:r w:rsidRPr="00FB1C29">
        <w:rPr>
          <w:rFonts w:ascii="Arial" w:hAnsi="Arial" w:cs="Arial"/>
        </w:rPr>
        <w:t xml:space="preserve"> a successful event. </w:t>
      </w:r>
      <w:r w:rsidR="0076150E" w:rsidRPr="00FB1C29">
        <w:rPr>
          <w:rFonts w:ascii="Arial" w:hAnsi="Arial" w:cs="Arial"/>
        </w:rPr>
        <w:t>Planned events are becoming more formal in their incorporation into various public policies. These activities are being supported and created to meet the diverse goals of society</w:t>
      </w:r>
      <w:r w:rsidR="003464C3" w:rsidRPr="00FB1C29">
        <w:rPr>
          <w:rFonts w:ascii="Arial" w:hAnsi="Arial" w:cs="Arial"/>
        </w:rPr>
        <w:t xml:space="preserve"> </w:t>
      </w:r>
      <w:r w:rsidR="00766A32" w:rsidRPr="00FB1C29">
        <w:rPr>
          <w:rFonts w:ascii="Arial" w:hAnsi="Arial" w:cs="Arial"/>
        </w:rPr>
        <w:t>(Getz</w:t>
      </w:r>
      <w:r w:rsidR="003464C3" w:rsidRPr="00FB1C29">
        <w:rPr>
          <w:rFonts w:ascii="Arial" w:hAnsi="Arial" w:cs="Arial"/>
        </w:rPr>
        <w:t xml:space="preserve"> and Page, 2024</w:t>
      </w:r>
      <w:r w:rsidR="000F3183" w:rsidRPr="00FB1C29">
        <w:rPr>
          <w:rFonts w:ascii="Arial" w:hAnsi="Arial" w:cs="Arial"/>
        </w:rPr>
        <w:t>).</w:t>
      </w:r>
      <w:r w:rsidR="00A76C28" w:rsidRPr="00FB1C29">
        <w:rPr>
          <w:rFonts w:ascii="Arial" w:hAnsi="Arial" w:cs="Arial"/>
        </w:rPr>
        <w:t xml:space="preserve"> </w:t>
      </w:r>
      <w:r w:rsidRPr="00FB1C29">
        <w:rPr>
          <w:rFonts w:ascii="Arial" w:hAnsi="Arial" w:cs="Arial"/>
        </w:rPr>
        <w:t>The model consists of the following key phases:</w:t>
      </w:r>
    </w:p>
    <w:p w14:paraId="589C49AB" w14:textId="77777777" w:rsidR="006A5374" w:rsidRPr="00FB1C29" w:rsidRDefault="00811F4D" w:rsidP="0060718C">
      <w:pPr>
        <w:spacing w:line="360" w:lineRule="auto"/>
        <w:jc w:val="both"/>
        <w:rPr>
          <w:rFonts w:ascii="Arial" w:hAnsi="Arial" w:cs="Arial"/>
        </w:rPr>
      </w:pPr>
      <w:r w:rsidRPr="00FB1C29">
        <w:rPr>
          <w:rFonts w:ascii="Arial" w:hAnsi="Arial" w:cs="Arial"/>
          <w:noProof/>
        </w:rPr>
        <w:lastRenderedPageBreak/>
        <w:drawing>
          <wp:inline distT="0" distB="0" distL="0" distR="0" wp14:anchorId="040BB2EE" wp14:editId="3DAEA3DF">
            <wp:extent cx="3500317" cy="1571998"/>
            <wp:effectExtent l="0" t="0" r="5080" b="9525"/>
            <wp:docPr id="1281094943" name="Picture 1" descr="A diagram of a business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094943" name="Picture 1" descr="A diagram of a business process&#10;&#10;AI-generated content may be incorrect."/>
                    <pic:cNvPicPr/>
                  </pic:nvPicPr>
                  <pic:blipFill>
                    <a:blip r:embed="rId11"/>
                    <a:stretch>
                      <a:fillRect/>
                    </a:stretch>
                  </pic:blipFill>
                  <pic:spPr>
                    <a:xfrm>
                      <a:off x="0" y="0"/>
                      <a:ext cx="3507393" cy="1575176"/>
                    </a:xfrm>
                    <a:prstGeom prst="rect">
                      <a:avLst/>
                    </a:prstGeom>
                  </pic:spPr>
                </pic:pic>
              </a:graphicData>
            </a:graphic>
          </wp:inline>
        </w:drawing>
      </w:r>
    </w:p>
    <w:p w14:paraId="48AA7FBB" w14:textId="6E6C05C9" w:rsidR="00811F4D" w:rsidRPr="00FB1C29" w:rsidRDefault="006A5374" w:rsidP="0060718C">
      <w:pPr>
        <w:spacing w:line="360" w:lineRule="auto"/>
        <w:jc w:val="both"/>
        <w:rPr>
          <w:rFonts w:ascii="Arial" w:hAnsi="Arial" w:cs="Arial"/>
        </w:rPr>
      </w:pPr>
      <w:r w:rsidRPr="00FB1C29">
        <w:rPr>
          <w:rFonts w:ascii="Arial" w:hAnsi="Arial" w:cs="Arial"/>
        </w:rPr>
        <w:t>(The Dowson and Bassett, 2015).</w:t>
      </w:r>
    </w:p>
    <w:p w14:paraId="187B804F" w14:textId="70851A03" w:rsidR="000E69C3" w:rsidRPr="00FB1C29" w:rsidRDefault="000E69C3" w:rsidP="0060718C">
      <w:pPr>
        <w:spacing w:line="360" w:lineRule="auto"/>
        <w:jc w:val="both"/>
        <w:rPr>
          <w:rFonts w:ascii="Arial" w:hAnsi="Arial" w:cs="Arial"/>
        </w:rPr>
      </w:pPr>
      <w:r w:rsidRPr="00FB1C29">
        <w:rPr>
          <w:rFonts w:ascii="Arial" w:hAnsi="Arial" w:cs="Arial"/>
        </w:rPr>
        <w:t>According to Porter, the life cycle of an industry is the grandfather principle that can be utili</w:t>
      </w:r>
      <w:r w:rsidR="00DE75F3" w:rsidRPr="00FB1C29">
        <w:rPr>
          <w:rFonts w:ascii="Arial" w:hAnsi="Arial" w:cs="Arial"/>
        </w:rPr>
        <w:t>s</w:t>
      </w:r>
      <w:r w:rsidRPr="00FB1C29">
        <w:rPr>
          <w:rFonts w:ascii="Arial" w:hAnsi="Arial" w:cs="Arial"/>
        </w:rPr>
        <w:t xml:space="preserve">ed to predict the changes that will happen in the industry. It starts with the introduction, grows to maturity, and then declines. The four phases represent the basic stages of an industry's development, and each </w:t>
      </w:r>
      <w:r w:rsidR="003266B7" w:rsidRPr="00FB1C29">
        <w:rPr>
          <w:rFonts w:ascii="Arial" w:hAnsi="Arial" w:cs="Arial"/>
        </w:rPr>
        <w:t>significantly influences</w:t>
      </w:r>
      <w:r w:rsidRPr="00FB1C29">
        <w:rPr>
          <w:rFonts w:ascii="Arial" w:hAnsi="Arial" w:cs="Arial"/>
        </w:rPr>
        <w:t xml:space="preserve"> strategy</w:t>
      </w:r>
      <w:r w:rsidR="00DE75F3" w:rsidRPr="00FB1C29">
        <w:rPr>
          <w:rFonts w:ascii="Arial" w:hAnsi="Arial" w:cs="Arial"/>
        </w:rPr>
        <w:t xml:space="preserve"> (Lynch, 2018).</w:t>
      </w:r>
    </w:p>
    <w:p w14:paraId="5C0D353A" w14:textId="687F1744" w:rsidR="006757AE" w:rsidRPr="00FB1C29" w:rsidRDefault="00B21DA9" w:rsidP="0060718C">
      <w:pPr>
        <w:spacing w:line="360" w:lineRule="auto"/>
        <w:ind w:left="720"/>
        <w:jc w:val="both"/>
        <w:rPr>
          <w:rFonts w:ascii="Arial" w:hAnsi="Arial" w:cs="Arial"/>
        </w:rPr>
      </w:pPr>
      <w:r w:rsidRPr="00FB1C29">
        <w:rPr>
          <w:rFonts w:ascii="Arial" w:hAnsi="Arial" w:cs="Arial"/>
          <w:noProof/>
        </w:rPr>
        <w:drawing>
          <wp:inline distT="0" distB="0" distL="0" distR="0" wp14:anchorId="6EAC84A3" wp14:editId="628A7200">
            <wp:extent cx="5972810" cy="3359785"/>
            <wp:effectExtent l="0" t="0" r="8890" b="0"/>
            <wp:docPr id="1845081652" name="Picture 6" descr="A diagram of a swot analys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081652" name="Picture 6" descr="A diagram of a swot analysis&#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72810" cy="3359785"/>
                    </a:xfrm>
                    <a:prstGeom prst="rect">
                      <a:avLst/>
                    </a:prstGeom>
                  </pic:spPr>
                </pic:pic>
              </a:graphicData>
            </a:graphic>
          </wp:inline>
        </w:drawing>
      </w:r>
    </w:p>
    <w:p w14:paraId="44C1C439" w14:textId="6115EE32" w:rsidR="00ED1767" w:rsidRPr="00FB1C29" w:rsidRDefault="00ED1767" w:rsidP="0060718C">
      <w:pPr>
        <w:spacing w:line="360" w:lineRule="auto"/>
        <w:ind w:left="720"/>
        <w:jc w:val="both"/>
        <w:rPr>
          <w:rFonts w:ascii="Arial" w:hAnsi="Arial" w:cs="Arial"/>
        </w:rPr>
      </w:pPr>
      <w:r w:rsidRPr="00FB1C29">
        <w:rPr>
          <w:rFonts w:ascii="Arial" w:hAnsi="Arial" w:cs="Arial"/>
        </w:rPr>
        <w:t>Fig 1 SWOT Analysis</w:t>
      </w:r>
    </w:p>
    <w:p w14:paraId="2B7687ED" w14:textId="570453BC" w:rsidR="00F11A85" w:rsidRPr="00FB1C29" w:rsidRDefault="00F11A85" w:rsidP="0060718C">
      <w:pPr>
        <w:spacing w:line="360" w:lineRule="auto"/>
        <w:ind w:left="720"/>
        <w:jc w:val="both"/>
        <w:rPr>
          <w:rFonts w:ascii="Arial" w:hAnsi="Arial" w:cs="Arial"/>
        </w:rPr>
      </w:pPr>
      <w:r w:rsidRPr="00FB1C29">
        <w:rPr>
          <w:rFonts w:ascii="Arial" w:hAnsi="Arial" w:cs="Arial"/>
          <w:noProof/>
        </w:rPr>
        <w:lastRenderedPageBreak/>
        <w:drawing>
          <wp:inline distT="0" distB="0" distL="0" distR="0" wp14:anchorId="2CB1C92F" wp14:editId="7FF70811">
            <wp:extent cx="6099810" cy="3431224"/>
            <wp:effectExtent l="0" t="0" r="0" b="0"/>
            <wp:docPr id="88630177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301773"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6099810" cy="3431224"/>
                    </a:xfrm>
                    <a:prstGeom prst="rect">
                      <a:avLst/>
                    </a:prstGeom>
                  </pic:spPr>
                </pic:pic>
              </a:graphicData>
            </a:graphic>
          </wp:inline>
        </w:drawing>
      </w:r>
    </w:p>
    <w:p w14:paraId="48A2F78C" w14:textId="7A6F16CC" w:rsidR="00AC1FEC" w:rsidRPr="00FB1C29" w:rsidRDefault="00F11A85" w:rsidP="0060718C">
      <w:pPr>
        <w:spacing w:line="360" w:lineRule="auto"/>
        <w:ind w:left="720"/>
        <w:jc w:val="both"/>
        <w:rPr>
          <w:rFonts w:ascii="Arial" w:hAnsi="Arial" w:cs="Arial"/>
        </w:rPr>
      </w:pPr>
      <w:r w:rsidRPr="00FB1C29">
        <w:rPr>
          <w:rFonts w:ascii="Arial" w:hAnsi="Arial" w:cs="Arial"/>
        </w:rPr>
        <w:t xml:space="preserve">Fig </w:t>
      </w:r>
      <w:r w:rsidR="008F6328">
        <w:rPr>
          <w:rFonts w:ascii="Arial" w:hAnsi="Arial" w:cs="Arial"/>
        </w:rPr>
        <w:t>2</w:t>
      </w:r>
      <w:r w:rsidRPr="00FB1C29">
        <w:rPr>
          <w:rFonts w:ascii="Arial" w:hAnsi="Arial" w:cs="Arial"/>
        </w:rPr>
        <w:t xml:space="preserve"> PIECE framework (Bowling, 2011, pp</w:t>
      </w:r>
      <w:r w:rsidR="00CC7FD6" w:rsidRPr="00FB1C29">
        <w:rPr>
          <w:rFonts w:ascii="Arial" w:hAnsi="Arial" w:cs="Arial"/>
        </w:rPr>
        <w:t>. 382).</w:t>
      </w:r>
    </w:p>
    <w:p w14:paraId="27A82609" w14:textId="46A525AB" w:rsidR="007A02E1" w:rsidRPr="00FB1C29" w:rsidRDefault="00C424D6" w:rsidP="0060718C">
      <w:pPr>
        <w:pStyle w:val="Heading1"/>
        <w:spacing w:line="360" w:lineRule="auto"/>
        <w:jc w:val="both"/>
        <w:rPr>
          <w:rFonts w:ascii="Arial" w:hAnsi="Arial" w:cs="Arial"/>
          <w:sz w:val="32"/>
          <w:szCs w:val="32"/>
        </w:rPr>
      </w:pPr>
      <w:bookmarkStart w:id="4" w:name="_Toc191086252"/>
      <w:r w:rsidRPr="00FB1C29">
        <w:rPr>
          <w:rFonts w:ascii="Arial" w:hAnsi="Arial" w:cs="Arial"/>
          <w:sz w:val="32"/>
          <w:szCs w:val="32"/>
        </w:rPr>
        <w:t>Event Concept</w:t>
      </w:r>
      <w:bookmarkEnd w:id="4"/>
      <w:r w:rsidRPr="00FB1C29">
        <w:rPr>
          <w:rFonts w:ascii="Arial" w:hAnsi="Arial" w:cs="Arial"/>
          <w:sz w:val="32"/>
          <w:szCs w:val="32"/>
        </w:rPr>
        <w:t xml:space="preserve"> </w:t>
      </w:r>
    </w:p>
    <w:p w14:paraId="4F61C9D6" w14:textId="77777777" w:rsidR="00C424D6" w:rsidRPr="00FB1C29" w:rsidRDefault="00C424D6" w:rsidP="0060718C">
      <w:pPr>
        <w:spacing w:line="360" w:lineRule="auto"/>
        <w:jc w:val="both"/>
        <w:rPr>
          <w:rFonts w:ascii="Arial" w:hAnsi="Arial" w:cs="Arial"/>
        </w:rPr>
      </w:pPr>
    </w:p>
    <w:p w14:paraId="5EC77A27" w14:textId="704AF894" w:rsidR="00C424D6" w:rsidRPr="00FB1C29" w:rsidRDefault="00C424D6" w:rsidP="0060718C">
      <w:pPr>
        <w:spacing w:line="360" w:lineRule="auto"/>
        <w:jc w:val="both"/>
        <w:rPr>
          <w:rFonts w:ascii="Arial" w:hAnsi="Arial" w:cs="Arial"/>
        </w:rPr>
      </w:pPr>
      <w:r w:rsidRPr="00FB1C29">
        <w:rPr>
          <w:rFonts w:ascii="Arial" w:hAnsi="Arial" w:cs="Arial"/>
        </w:rPr>
        <w:t>Attendees will experience a highly interactive and insightful event that combines keynote addresses, panel discussions, workshops, and networking sessions. The itinerary includes:</w:t>
      </w:r>
    </w:p>
    <w:tbl>
      <w:tblPr>
        <w:tblW w:w="9295" w:type="dxa"/>
        <w:tblLook w:val="04A0" w:firstRow="1" w:lastRow="0" w:firstColumn="1" w:lastColumn="0" w:noHBand="0" w:noVBand="1"/>
      </w:tblPr>
      <w:tblGrid>
        <w:gridCol w:w="2927"/>
        <w:gridCol w:w="428"/>
        <w:gridCol w:w="428"/>
        <w:gridCol w:w="952"/>
        <w:gridCol w:w="1140"/>
        <w:gridCol w:w="1140"/>
        <w:gridCol w:w="1140"/>
        <w:gridCol w:w="1140"/>
      </w:tblGrid>
      <w:tr w:rsidR="00650345" w:rsidRPr="00FB1C29" w14:paraId="468E11E5" w14:textId="77777777" w:rsidTr="00650345">
        <w:trPr>
          <w:trHeight w:val="290"/>
        </w:trPr>
        <w:tc>
          <w:tcPr>
            <w:tcW w:w="4735" w:type="dxa"/>
            <w:gridSpan w:val="4"/>
            <w:tcBorders>
              <w:top w:val="single" w:sz="4" w:space="0" w:color="8EA9DB"/>
              <w:left w:val="single" w:sz="4" w:space="0" w:color="8EA9DB"/>
              <w:bottom w:val="single" w:sz="4" w:space="0" w:color="8EA9DB"/>
              <w:right w:val="nil"/>
            </w:tcBorders>
            <w:shd w:val="clear" w:color="000000" w:fill="92D050"/>
            <w:noWrap/>
            <w:vAlign w:val="bottom"/>
            <w:hideMark/>
          </w:tcPr>
          <w:p w14:paraId="37256C3D" w14:textId="77777777" w:rsidR="00650345" w:rsidRPr="00FB1C29" w:rsidRDefault="00650345" w:rsidP="0060718C">
            <w:pPr>
              <w:spacing w:after="0" w:line="360" w:lineRule="auto"/>
              <w:jc w:val="both"/>
              <w:rPr>
                <w:rFonts w:ascii="Arial" w:eastAsia="Times New Roman" w:hAnsi="Arial" w:cs="Arial"/>
                <w:b/>
                <w:bCs/>
                <w:color w:val="000000"/>
                <w:kern w:val="0"/>
                <w14:ligatures w14:val="none"/>
              </w:rPr>
            </w:pPr>
            <w:r w:rsidRPr="00FB1C29">
              <w:rPr>
                <w:rFonts w:ascii="Arial" w:eastAsia="Times New Roman" w:hAnsi="Arial" w:cs="Arial"/>
                <w:b/>
                <w:bCs/>
                <w:color w:val="000000"/>
                <w:kern w:val="0"/>
                <w14:ligatures w14:val="none"/>
              </w:rPr>
              <w:t>Day 1 – Building the Foundations of Inclusion</w:t>
            </w:r>
          </w:p>
        </w:tc>
        <w:tc>
          <w:tcPr>
            <w:tcW w:w="1140" w:type="dxa"/>
            <w:tcBorders>
              <w:top w:val="single" w:sz="4" w:space="0" w:color="8EA9DB"/>
              <w:left w:val="nil"/>
              <w:bottom w:val="single" w:sz="4" w:space="0" w:color="8EA9DB"/>
              <w:right w:val="nil"/>
            </w:tcBorders>
            <w:shd w:val="clear" w:color="000000" w:fill="92D050"/>
            <w:noWrap/>
            <w:vAlign w:val="bottom"/>
            <w:hideMark/>
          </w:tcPr>
          <w:p w14:paraId="31B6314F" w14:textId="77777777" w:rsidR="00650345" w:rsidRPr="00FB1C29" w:rsidRDefault="00650345" w:rsidP="0060718C">
            <w:pPr>
              <w:spacing w:after="0" w:line="360" w:lineRule="auto"/>
              <w:jc w:val="both"/>
              <w:rPr>
                <w:rFonts w:ascii="Arial" w:eastAsia="Times New Roman" w:hAnsi="Arial" w:cs="Arial"/>
                <w:color w:val="000000"/>
                <w:kern w:val="0"/>
                <w14:ligatures w14:val="none"/>
              </w:rPr>
            </w:pPr>
            <w:r w:rsidRPr="00FB1C29">
              <w:rPr>
                <w:rFonts w:ascii="Arial" w:eastAsia="Times New Roman" w:hAnsi="Arial" w:cs="Arial"/>
                <w:color w:val="000000"/>
                <w:kern w:val="0"/>
                <w14:ligatures w14:val="none"/>
              </w:rPr>
              <w:t> </w:t>
            </w:r>
          </w:p>
        </w:tc>
        <w:tc>
          <w:tcPr>
            <w:tcW w:w="1140" w:type="dxa"/>
            <w:tcBorders>
              <w:top w:val="single" w:sz="4" w:space="0" w:color="8EA9DB"/>
              <w:left w:val="nil"/>
              <w:bottom w:val="single" w:sz="4" w:space="0" w:color="8EA9DB"/>
              <w:right w:val="nil"/>
            </w:tcBorders>
            <w:shd w:val="clear" w:color="000000" w:fill="92D050"/>
            <w:noWrap/>
            <w:vAlign w:val="bottom"/>
            <w:hideMark/>
          </w:tcPr>
          <w:p w14:paraId="358E72AD" w14:textId="77777777" w:rsidR="00650345" w:rsidRPr="00FB1C29" w:rsidRDefault="00650345" w:rsidP="0060718C">
            <w:pPr>
              <w:spacing w:after="0" w:line="360" w:lineRule="auto"/>
              <w:jc w:val="both"/>
              <w:rPr>
                <w:rFonts w:ascii="Arial" w:eastAsia="Times New Roman" w:hAnsi="Arial" w:cs="Arial"/>
                <w:color w:val="000000"/>
                <w:kern w:val="0"/>
                <w14:ligatures w14:val="none"/>
              </w:rPr>
            </w:pPr>
            <w:r w:rsidRPr="00FB1C29">
              <w:rPr>
                <w:rFonts w:ascii="Arial" w:eastAsia="Times New Roman" w:hAnsi="Arial" w:cs="Arial"/>
                <w:color w:val="000000"/>
                <w:kern w:val="0"/>
                <w14:ligatures w14:val="none"/>
              </w:rPr>
              <w:t> </w:t>
            </w:r>
          </w:p>
        </w:tc>
        <w:tc>
          <w:tcPr>
            <w:tcW w:w="1140" w:type="dxa"/>
            <w:tcBorders>
              <w:top w:val="single" w:sz="4" w:space="0" w:color="8EA9DB"/>
              <w:left w:val="nil"/>
              <w:bottom w:val="single" w:sz="4" w:space="0" w:color="8EA9DB"/>
              <w:right w:val="nil"/>
            </w:tcBorders>
            <w:shd w:val="clear" w:color="000000" w:fill="92D050"/>
            <w:noWrap/>
            <w:vAlign w:val="bottom"/>
            <w:hideMark/>
          </w:tcPr>
          <w:p w14:paraId="34D21B8F" w14:textId="77777777" w:rsidR="00650345" w:rsidRPr="00FB1C29" w:rsidRDefault="00650345" w:rsidP="0060718C">
            <w:pPr>
              <w:spacing w:after="0" w:line="360" w:lineRule="auto"/>
              <w:jc w:val="both"/>
              <w:rPr>
                <w:rFonts w:ascii="Arial" w:eastAsia="Times New Roman" w:hAnsi="Arial" w:cs="Arial"/>
                <w:color w:val="000000"/>
                <w:kern w:val="0"/>
                <w14:ligatures w14:val="none"/>
              </w:rPr>
            </w:pPr>
            <w:r w:rsidRPr="00FB1C29">
              <w:rPr>
                <w:rFonts w:ascii="Arial" w:eastAsia="Times New Roman" w:hAnsi="Arial" w:cs="Arial"/>
                <w:color w:val="000000"/>
                <w:kern w:val="0"/>
                <w14:ligatures w14:val="none"/>
              </w:rPr>
              <w:t> </w:t>
            </w:r>
          </w:p>
        </w:tc>
        <w:tc>
          <w:tcPr>
            <w:tcW w:w="1140" w:type="dxa"/>
            <w:tcBorders>
              <w:top w:val="single" w:sz="4" w:space="0" w:color="8EA9DB"/>
              <w:left w:val="nil"/>
              <w:bottom w:val="single" w:sz="4" w:space="0" w:color="8EA9DB"/>
              <w:right w:val="single" w:sz="4" w:space="0" w:color="8EA9DB"/>
            </w:tcBorders>
            <w:shd w:val="clear" w:color="000000" w:fill="92D050"/>
            <w:noWrap/>
            <w:vAlign w:val="bottom"/>
            <w:hideMark/>
          </w:tcPr>
          <w:p w14:paraId="7B780613" w14:textId="77777777" w:rsidR="00650345" w:rsidRPr="00FB1C29" w:rsidRDefault="00650345" w:rsidP="0060718C">
            <w:pPr>
              <w:spacing w:after="0" w:line="360" w:lineRule="auto"/>
              <w:jc w:val="both"/>
              <w:rPr>
                <w:rFonts w:ascii="Arial" w:eastAsia="Times New Roman" w:hAnsi="Arial" w:cs="Arial"/>
                <w:color w:val="000000"/>
                <w:kern w:val="0"/>
                <w14:ligatures w14:val="none"/>
              </w:rPr>
            </w:pPr>
            <w:r w:rsidRPr="00FB1C29">
              <w:rPr>
                <w:rFonts w:ascii="Arial" w:eastAsia="Times New Roman" w:hAnsi="Arial" w:cs="Arial"/>
                <w:color w:val="000000"/>
                <w:kern w:val="0"/>
                <w14:ligatures w14:val="none"/>
              </w:rPr>
              <w:t> </w:t>
            </w:r>
          </w:p>
        </w:tc>
      </w:tr>
      <w:tr w:rsidR="00650345" w:rsidRPr="00FB1C29" w14:paraId="6B93B6C4" w14:textId="77777777" w:rsidTr="00650345">
        <w:trPr>
          <w:trHeight w:val="290"/>
        </w:trPr>
        <w:tc>
          <w:tcPr>
            <w:tcW w:w="5875" w:type="dxa"/>
            <w:gridSpan w:val="5"/>
            <w:tcBorders>
              <w:top w:val="single" w:sz="4" w:space="0" w:color="8EA9DB"/>
              <w:left w:val="single" w:sz="4" w:space="0" w:color="8EA9DB"/>
              <w:bottom w:val="single" w:sz="4" w:space="0" w:color="8EA9DB"/>
              <w:right w:val="nil"/>
            </w:tcBorders>
            <w:shd w:val="clear" w:color="000000" w:fill="C6EFCE"/>
            <w:noWrap/>
            <w:vAlign w:val="center"/>
            <w:hideMark/>
          </w:tcPr>
          <w:p w14:paraId="535155EE" w14:textId="2584567C" w:rsidR="00650345" w:rsidRPr="00FB1C29" w:rsidRDefault="00650345" w:rsidP="004542B1">
            <w:pPr>
              <w:spacing w:after="0" w:line="360" w:lineRule="auto"/>
              <w:ind w:firstLineChars="100" w:firstLine="200"/>
              <w:rPr>
                <w:rFonts w:ascii="Arial" w:eastAsia="Times New Roman" w:hAnsi="Arial" w:cs="Arial"/>
                <w:color w:val="006100"/>
                <w:kern w:val="0"/>
                <w:sz w:val="20"/>
                <w:szCs w:val="20"/>
                <w14:ligatures w14:val="none"/>
              </w:rPr>
            </w:pPr>
            <w:r w:rsidRPr="00FB1C29">
              <w:rPr>
                <w:rFonts w:ascii="Arial" w:eastAsia="Times New Roman" w:hAnsi="Arial" w:cs="Arial"/>
                <w:color w:val="006100"/>
                <w:kern w:val="0"/>
                <w:sz w:val="20"/>
                <w:szCs w:val="20"/>
                <w14:ligatures w14:val="none"/>
              </w:rPr>
              <w:t>09:</w:t>
            </w:r>
            <w:r w:rsidR="000100EF">
              <w:rPr>
                <w:rFonts w:ascii="Arial" w:eastAsia="Times New Roman" w:hAnsi="Arial" w:cs="Arial"/>
                <w:color w:val="006100"/>
                <w:kern w:val="0"/>
                <w:sz w:val="20"/>
                <w:szCs w:val="20"/>
                <w14:ligatures w14:val="none"/>
              </w:rPr>
              <w:t>3</w:t>
            </w:r>
            <w:r w:rsidRPr="00FB1C29">
              <w:rPr>
                <w:rFonts w:ascii="Arial" w:eastAsia="Times New Roman" w:hAnsi="Arial" w:cs="Arial"/>
                <w:color w:val="006100"/>
                <w:kern w:val="0"/>
                <w:sz w:val="20"/>
                <w:szCs w:val="20"/>
                <w14:ligatures w14:val="none"/>
              </w:rPr>
              <w:t>0 – 10:</w:t>
            </w:r>
            <w:r w:rsidR="000100EF">
              <w:rPr>
                <w:rFonts w:ascii="Arial" w:eastAsia="Times New Roman" w:hAnsi="Arial" w:cs="Arial"/>
                <w:color w:val="006100"/>
                <w:kern w:val="0"/>
                <w:sz w:val="20"/>
                <w:szCs w:val="20"/>
                <w14:ligatures w14:val="none"/>
              </w:rPr>
              <w:t>3</w:t>
            </w:r>
            <w:r w:rsidRPr="00FB1C29">
              <w:rPr>
                <w:rFonts w:ascii="Arial" w:eastAsia="Times New Roman" w:hAnsi="Arial" w:cs="Arial"/>
                <w:color w:val="006100"/>
                <w:kern w:val="0"/>
                <w:sz w:val="20"/>
                <w:szCs w:val="20"/>
                <w14:ligatures w14:val="none"/>
              </w:rPr>
              <w:t xml:space="preserve">0 | </w:t>
            </w:r>
            <w:r w:rsidR="000100EF" w:rsidRPr="00FB1C29">
              <w:rPr>
                <w:rFonts w:ascii="Arial" w:eastAsia="Times New Roman" w:hAnsi="Arial" w:cs="Arial"/>
                <w:color w:val="006100"/>
                <w:kern w:val="0"/>
                <w:sz w:val="20"/>
                <w:szCs w:val="20"/>
                <w14:ligatures w14:val="none"/>
              </w:rPr>
              <w:t>Registering</w:t>
            </w:r>
            <w:r w:rsidRPr="00FB1C29">
              <w:rPr>
                <w:rFonts w:ascii="Arial" w:eastAsia="Times New Roman" w:hAnsi="Arial" w:cs="Arial"/>
                <w:color w:val="006100"/>
                <w:kern w:val="0"/>
                <w:sz w:val="20"/>
                <w:szCs w:val="20"/>
                <w14:ligatures w14:val="none"/>
              </w:rPr>
              <w:t xml:space="preserve"> &amp; Welcome Breakfast</w:t>
            </w:r>
          </w:p>
        </w:tc>
        <w:tc>
          <w:tcPr>
            <w:tcW w:w="1140" w:type="dxa"/>
            <w:tcBorders>
              <w:top w:val="single" w:sz="4" w:space="0" w:color="8EA9DB"/>
              <w:left w:val="nil"/>
              <w:bottom w:val="single" w:sz="4" w:space="0" w:color="8EA9DB"/>
              <w:right w:val="nil"/>
            </w:tcBorders>
            <w:shd w:val="clear" w:color="000000" w:fill="C6EFCE"/>
            <w:noWrap/>
            <w:vAlign w:val="bottom"/>
            <w:hideMark/>
          </w:tcPr>
          <w:p w14:paraId="725A8032" w14:textId="77777777" w:rsidR="00650345" w:rsidRPr="00FB1C29" w:rsidRDefault="00650345" w:rsidP="0060718C">
            <w:pPr>
              <w:spacing w:after="0" w:line="360" w:lineRule="auto"/>
              <w:jc w:val="both"/>
              <w:rPr>
                <w:rFonts w:ascii="Arial" w:eastAsia="Times New Roman" w:hAnsi="Arial" w:cs="Arial"/>
                <w:color w:val="006100"/>
                <w:kern w:val="0"/>
                <w14:ligatures w14:val="none"/>
              </w:rPr>
            </w:pPr>
            <w:r w:rsidRPr="00FB1C29">
              <w:rPr>
                <w:rFonts w:ascii="Arial" w:eastAsia="Times New Roman" w:hAnsi="Arial" w:cs="Arial"/>
                <w:color w:val="006100"/>
                <w:kern w:val="0"/>
                <w14:ligatures w14:val="none"/>
              </w:rPr>
              <w:t> </w:t>
            </w:r>
          </w:p>
        </w:tc>
        <w:tc>
          <w:tcPr>
            <w:tcW w:w="1140" w:type="dxa"/>
            <w:tcBorders>
              <w:top w:val="single" w:sz="4" w:space="0" w:color="8EA9DB"/>
              <w:left w:val="nil"/>
              <w:bottom w:val="single" w:sz="4" w:space="0" w:color="8EA9DB"/>
              <w:right w:val="nil"/>
            </w:tcBorders>
            <w:shd w:val="clear" w:color="000000" w:fill="C6EFCE"/>
            <w:noWrap/>
            <w:vAlign w:val="bottom"/>
            <w:hideMark/>
          </w:tcPr>
          <w:p w14:paraId="14F4FE38" w14:textId="77777777" w:rsidR="00650345" w:rsidRPr="00FB1C29" w:rsidRDefault="00650345" w:rsidP="0060718C">
            <w:pPr>
              <w:spacing w:after="0" w:line="360" w:lineRule="auto"/>
              <w:jc w:val="both"/>
              <w:rPr>
                <w:rFonts w:ascii="Arial" w:eastAsia="Times New Roman" w:hAnsi="Arial" w:cs="Arial"/>
                <w:color w:val="006100"/>
                <w:kern w:val="0"/>
                <w14:ligatures w14:val="none"/>
              </w:rPr>
            </w:pPr>
            <w:r w:rsidRPr="00FB1C29">
              <w:rPr>
                <w:rFonts w:ascii="Arial" w:eastAsia="Times New Roman" w:hAnsi="Arial" w:cs="Arial"/>
                <w:color w:val="006100"/>
                <w:kern w:val="0"/>
                <w14:ligatures w14:val="none"/>
              </w:rPr>
              <w:t> </w:t>
            </w:r>
          </w:p>
        </w:tc>
        <w:tc>
          <w:tcPr>
            <w:tcW w:w="1140" w:type="dxa"/>
            <w:tcBorders>
              <w:top w:val="single" w:sz="4" w:space="0" w:color="8EA9DB"/>
              <w:left w:val="nil"/>
              <w:bottom w:val="single" w:sz="4" w:space="0" w:color="8EA9DB"/>
              <w:right w:val="single" w:sz="4" w:space="0" w:color="8EA9DB"/>
            </w:tcBorders>
            <w:shd w:val="clear" w:color="000000" w:fill="C6EFCE"/>
            <w:noWrap/>
            <w:vAlign w:val="bottom"/>
            <w:hideMark/>
          </w:tcPr>
          <w:p w14:paraId="15C96E28" w14:textId="77777777" w:rsidR="00650345" w:rsidRPr="00FB1C29" w:rsidRDefault="00650345" w:rsidP="0060718C">
            <w:pPr>
              <w:spacing w:after="0" w:line="360" w:lineRule="auto"/>
              <w:jc w:val="both"/>
              <w:rPr>
                <w:rFonts w:ascii="Arial" w:eastAsia="Times New Roman" w:hAnsi="Arial" w:cs="Arial"/>
                <w:color w:val="006100"/>
                <w:kern w:val="0"/>
                <w14:ligatures w14:val="none"/>
              </w:rPr>
            </w:pPr>
            <w:r w:rsidRPr="00FB1C29">
              <w:rPr>
                <w:rFonts w:ascii="Arial" w:eastAsia="Times New Roman" w:hAnsi="Arial" w:cs="Arial"/>
                <w:color w:val="006100"/>
                <w:kern w:val="0"/>
                <w14:ligatures w14:val="none"/>
              </w:rPr>
              <w:t> </w:t>
            </w:r>
          </w:p>
        </w:tc>
      </w:tr>
      <w:tr w:rsidR="00650345" w:rsidRPr="00FB1C29" w14:paraId="66B3AB74" w14:textId="77777777" w:rsidTr="00650345">
        <w:trPr>
          <w:trHeight w:val="290"/>
        </w:trPr>
        <w:tc>
          <w:tcPr>
            <w:tcW w:w="8155" w:type="dxa"/>
            <w:gridSpan w:val="7"/>
            <w:tcBorders>
              <w:top w:val="single" w:sz="4" w:space="0" w:color="8EA9DB"/>
              <w:left w:val="single" w:sz="4" w:space="0" w:color="8EA9DB"/>
              <w:bottom w:val="single" w:sz="4" w:space="0" w:color="8EA9DB"/>
              <w:right w:val="nil"/>
            </w:tcBorders>
            <w:shd w:val="clear" w:color="000000" w:fill="C6EFCE"/>
            <w:noWrap/>
            <w:vAlign w:val="center"/>
            <w:hideMark/>
          </w:tcPr>
          <w:p w14:paraId="1CD76CEC" w14:textId="5782EB47" w:rsidR="00650345" w:rsidRPr="00FB1C29" w:rsidRDefault="00650345" w:rsidP="004542B1">
            <w:pPr>
              <w:spacing w:after="0" w:line="360" w:lineRule="auto"/>
              <w:ind w:firstLineChars="100" w:firstLine="200"/>
              <w:rPr>
                <w:rFonts w:ascii="Arial" w:eastAsia="Times New Roman" w:hAnsi="Arial" w:cs="Arial"/>
                <w:color w:val="006100"/>
                <w:kern w:val="0"/>
                <w:sz w:val="20"/>
                <w:szCs w:val="20"/>
                <w14:ligatures w14:val="none"/>
              </w:rPr>
            </w:pPr>
            <w:r w:rsidRPr="00FB1C29">
              <w:rPr>
                <w:rFonts w:ascii="Arial" w:eastAsia="Times New Roman" w:hAnsi="Arial" w:cs="Arial"/>
                <w:color w:val="006100"/>
                <w:kern w:val="0"/>
                <w:sz w:val="20"/>
                <w:szCs w:val="20"/>
                <w14:ligatures w14:val="none"/>
              </w:rPr>
              <w:t>10:</w:t>
            </w:r>
            <w:r w:rsidR="000100EF">
              <w:rPr>
                <w:rFonts w:ascii="Arial" w:eastAsia="Times New Roman" w:hAnsi="Arial" w:cs="Arial"/>
                <w:color w:val="006100"/>
                <w:kern w:val="0"/>
                <w:sz w:val="20"/>
                <w:szCs w:val="20"/>
                <w14:ligatures w14:val="none"/>
              </w:rPr>
              <w:t>3</w:t>
            </w:r>
            <w:r w:rsidRPr="00FB1C29">
              <w:rPr>
                <w:rFonts w:ascii="Arial" w:eastAsia="Times New Roman" w:hAnsi="Arial" w:cs="Arial"/>
                <w:color w:val="006100"/>
                <w:kern w:val="0"/>
                <w:sz w:val="20"/>
                <w:szCs w:val="20"/>
                <w14:ligatures w14:val="none"/>
              </w:rPr>
              <w:t>0 – 11:30 | Keynote Speech: The Business Case for Diversity in Hospitality</w:t>
            </w:r>
          </w:p>
        </w:tc>
        <w:tc>
          <w:tcPr>
            <w:tcW w:w="1140" w:type="dxa"/>
            <w:tcBorders>
              <w:top w:val="single" w:sz="4" w:space="0" w:color="8EA9DB"/>
              <w:left w:val="nil"/>
              <w:bottom w:val="single" w:sz="4" w:space="0" w:color="8EA9DB"/>
              <w:right w:val="single" w:sz="4" w:space="0" w:color="8EA9DB"/>
            </w:tcBorders>
            <w:shd w:val="clear" w:color="000000" w:fill="C6EFCE"/>
            <w:noWrap/>
            <w:vAlign w:val="bottom"/>
            <w:hideMark/>
          </w:tcPr>
          <w:p w14:paraId="0F7A6CFC" w14:textId="77777777" w:rsidR="00650345" w:rsidRPr="00FB1C29" w:rsidRDefault="00650345" w:rsidP="0060718C">
            <w:pPr>
              <w:spacing w:after="0" w:line="360" w:lineRule="auto"/>
              <w:jc w:val="both"/>
              <w:rPr>
                <w:rFonts w:ascii="Arial" w:eastAsia="Times New Roman" w:hAnsi="Arial" w:cs="Arial"/>
                <w:color w:val="006100"/>
                <w:kern w:val="0"/>
                <w14:ligatures w14:val="none"/>
              </w:rPr>
            </w:pPr>
            <w:r w:rsidRPr="00FB1C29">
              <w:rPr>
                <w:rFonts w:ascii="Arial" w:eastAsia="Times New Roman" w:hAnsi="Arial" w:cs="Arial"/>
                <w:color w:val="006100"/>
                <w:kern w:val="0"/>
                <w14:ligatures w14:val="none"/>
              </w:rPr>
              <w:t> </w:t>
            </w:r>
          </w:p>
        </w:tc>
      </w:tr>
      <w:tr w:rsidR="00650345" w:rsidRPr="00FB1C29" w14:paraId="4462C63D" w14:textId="77777777" w:rsidTr="00650345">
        <w:trPr>
          <w:trHeight w:val="290"/>
        </w:trPr>
        <w:tc>
          <w:tcPr>
            <w:tcW w:w="8155" w:type="dxa"/>
            <w:gridSpan w:val="7"/>
            <w:tcBorders>
              <w:top w:val="single" w:sz="4" w:space="0" w:color="8EA9DB"/>
              <w:left w:val="single" w:sz="4" w:space="0" w:color="8EA9DB"/>
              <w:bottom w:val="single" w:sz="4" w:space="0" w:color="8EA9DB"/>
              <w:right w:val="nil"/>
            </w:tcBorders>
            <w:shd w:val="clear" w:color="000000" w:fill="C6EFCE"/>
            <w:noWrap/>
            <w:vAlign w:val="center"/>
            <w:hideMark/>
          </w:tcPr>
          <w:p w14:paraId="15C56BEB" w14:textId="77777777" w:rsidR="00650345" w:rsidRPr="00FB1C29" w:rsidRDefault="00650345" w:rsidP="004542B1">
            <w:pPr>
              <w:spacing w:after="0" w:line="360" w:lineRule="auto"/>
              <w:ind w:firstLineChars="100" w:firstLine="200"/>
              <w:rPr>
                <w:rFonts w:ascii="Arial" w:eastAsia="Times New Roman" w:hAnsi="Arial" w:cs="Arial"/>
                <w:color w:val="006100"/>
                <w:kern w:val="0"/>
                <w:sz w:val="20"/>
                <w:szCs w:val="20"/>
                <w14:ligatures w14:val="none"/>
              </w:rPr>
            </w:pPr>
            <w:r w:rsidRPr="00FB1C29">
              <w:rPr>
                <w:rFonts w:ascii="Arial" w:eastAsia="Times New Roman" w:hAnsi="Arial" w:cs="Arial"/>
                <w:color w:val="006100"/>
                <w:kern w:val="0"/>
                <w:sz w:val="20"/>
                <w:szCs w:val="20"/>
                <w14:ligatures w14:val="none"/>
              </w:rPr>
              <w:t>11:30 – 12:30 | Panel Discussion: Breaking Barriers – Inclusive Hiring Practices</w:t>
            </w:r>
          </w:p>
        </w:tc>
        <w:tc>
          <w:tcPr>
            <w:tcW w:w="1140" w:type="dxa"/>
            <w:tcBorders>
              <w:top w:val="single" w:sz="4" w:space="0" w:color="8EA9DB"/>
              <w:left w:val="nil"/>
              <w:bottom w:val="single" w:sz="4" w:space="0" w:color="8EA9DB"/>
              <w:right w:val="single" w:sz="4" w:space="0" w:color="8EA9DB"/>
            </w:tcBorders>
            <w:shd w:val="clear" w:color="000000" w:fill="C6EFCE"/>
            <w:noWrap/>
            <w:vAlign w:val="bottom"/>
            <w:hideMark/>
          </w:tcPr>
          <w:p w14:paraId="51C9C3A1" w14:textId="77777777" w:rsidR="00650345" w:rsidRPr="00FB1C29" w:rsidRDefault="00650345" w:rsidP="0060718C">
            <w:pPr>
              <w:spacing w:after="0" w:line="360" w:lineRule="auto"/>
              <w:jc w:val="both"/>
              <w:rPr>
                <w:rFonts w:ascii="Arial" w:eastAsia="Times New Roman" w:hAnsi="Arial" w:cs="Arial"/>
                <w:color w:val="006100"/>
                <w:kern w:val="0"/>
                <w14:ligatures w14:val="none"/>
              </w:rPr>
            </w:pPr>
            <w:r w:rsidRPr="00FB1C29">
              <w:rPr>
                <w:rFonts w:ascii="Arial" w:eastAsia="Times New Roman" w:hAnsi="Arial" w:cs="Arial"/>
                <w:color w:val="006100"/>
                <w:kern w:val="0"/>
                <w14:ligatures w14:val="none"/>
              </w:rPr>
              <w:t> </w:t>
            </w:r>
          </w:p>
        </w:tc>
      </w:tr>
      <w:tr w:rsidR="00650345" w:rsidRPr="00FB1C29" w14:paraId="7E8AC1B0" w14:textId="77777777" w:rsidTr="00650345">
        <w:trPr>
          <w:trHeight w:val="290"/>
        </w:trPr>
        <w:tc>
          <w:tcPr>
            <w:tcW w:w="5875" w:type="dxa"/>
            <w:gridSpan w:val="5"/>
            <w:tcBorders>
              <w:top w:val="single" w:sz="4" w:space="0" w:color="8EA9DB"/>
              <w:left w:val="single" w:sz="4" w:space="0" w:color="8EA9DB"/>
              <w:bottom w:val="single" w:sz="4" w:space="0" w:color="8EA9DB"/>
              <w:right w:val="nil"/>
            </w:tcBorders>
            <w:shd w:val="clear" w:color="000000" w:fill="C6EFCE"/>
            <w:noWrap/>
            <w:vAlign w:val="center"/>
            <w:hideMark/>
          </w:tcPr>
          <w:p w14:paraId="1C5BE855" w14:textId="77777777" w:rsidR="00650345" w:rsidRPr="00FB1C29" w:rsidRDefault="00650345" w:rsidP="004542B1">
            <w:pPr>
              <w:spacing w:after="0" w:line="360" w:lineRule="auto"/>
              <w:ind w:firstLineChars="100" w:firstLine="200"/>
              <w:rPr>
                <w:rFonts w:ascii="Arial" w:eastAsia="Times New Roman" w:hAnsi="Arial" w:cs="Arial"/>
                <w:color w:val="006100"/>
                <w:kern w:val="0"/>
                <w:sz w:val="20"/>
                <w:szCs w:val="20"/>
                <w14:ligatures w14:val="none"/>
              </w:rPr>
            </w:pPr>
            <w:r w:rsidRPr="00FB1C29">
              <w:rPr>
                <w:rFonts w:ascii="Arial" w:eastAsia="Times New Roman" w:hAnsi="Arial" w:cs="Arial"/>
                <w:color w:val="006100"/>
                <w:kern w:val="0"/>
                <w:sz w:val="20"/>
                <w:szCs w:val="20"/>
                <w14:ligatures w14:val="none"/>
              </w:rPr>
              <w:t>12:30 – 13:30 | Networking Lunch &amp; Exhibitor Booths</w:t>
            </w:r>
          </w:p>
        </w:tc>
        <w:tc>
          <w:tcPr>
            <w:tcW w:w="1140" w:type="dxa"/>
            <w:tcBorders>
              <w:top w:val="single" w:sz="4" w:space="0" w:color="8EA9DB"/>
              <w:left w:val="nil"/>
              <w:bottom w:val="single" w:sz="4" w:space="0" w:color="8EA9DB"/>
              <w:right w:val="nil"/>
            </w:tcBorders>
            <w:shd w:val="clear" w:color="000000" w:fill="C6EFCE"/>
            <w:noWrap/>
            <w:vAlign w:val="bottom"/>
            <w:hideMark/>
          </w:tcPr>
          <w:p w14:paraId="0CECB403" w14:textId="77777777" w:rsidR="00650345" w:rsidRPr="00FB1C29" w:rsidRDefault="00650345" w:rsidP="0060718C">
            <w:pPr>
              <w:spacing w:after="0" w:line="360" w:lineRule="auto"/>
              <w:jc w:val="both"/>
              <w:rPr>
                <w:rFonts w:ascii="Arial" w:eastAsia="Times New Roman" w:hAnsi="Arial" w:cs="Arial"/>
                <w:color w:val="006100"/>
                <w:kern w:val="0"/>
                <w14:ligatures w14:val="none"/>
              </w:rPr>
            </w:pPr>
            <w:r w:rsidRPr="00FB1C29">
              <w:rPr>
                <w:rFonts w:ascii="Arial" w:eastAsia="Times New Roman" w:hAnsi="Arial" w:cs="Arial"/>
                <w:color w:val="006100"/>
                <w:kern w:val="0"/>
                <w14:ligatures w14:val="none"/>
              </w:rPr>
              <w:t> </w:t>
            </w:r>
          </w:p>
        </w:tc>
        <w:tc>
          <w:tcPr>
            <w:tcW w:w="1140" w:type="dxa"/>
            <w:tcBorders>
              <w:top w:val="single" w:sz="4" w:space="0" w:color="8EA9DB"/>
              <w:left w:val="nil"/>
              <w:bottom w:val="single" w:sz="4" w:space="0" w:color="8EA9DB"/>
              <w:right w:val="nil"/>
            </w:tcBorders>
            <w:shd w:val="clear" w:color="000000" w:fill="C6EFCE"/>
            <w:noWrap/>
            <w:vAlign w:val="bottom"/>
            <w:hideMark/>
          </w:tcPr>
          <w:p w14:paraId="6FC2943B" w14:textId="77777777" w:rsidR="00650345" w:rsidRPr="00FB1C29" w:rsidRDefault="00650345" w:rsidP="0060718C">
            <w:pPr>
              <w:spacing w:after="0" w:line="360" w:lineRule="auto"/>
              <w:jc w:val="both"/>
              <w:rPr>
                <w:rFonts w:ascii="Arial" w:eastAsia="Times New Roman" w:hAnsi="Arial" w:cs="Arial"/>
                <w:color w:val="006100"/>
                <w:kern w:val="0"/>
                <w14:ligatures w14:val="none"/>
              </w:rPr>
            </w:pPr>
            <w:r w:rsidRPr="00FB1C29">
              <w:rPr>
                <w:rFonts w:ascii="Arial" w:eastAsia="Times New Roman" w:hAnsi="Arial" w:cs="Arial"/>
                <w:color w:val="006100"/>
                <w:kern w:val="0"/>
                <w14:ligatures w14:val="none"/>
              </w:rPr>
              <w:t> </w:t>
            </w:r>
          </w:p>
        </w:tc>
        <w:tc>
          <w:tcPr>
            <w:tcW w:w="1140" w:type="dxa"/>
            <w:tcBorders>
              <w:top w:val="single" w:sz="4" w:space="0" w:color="8EA9DB"/>
              <w:left w:val="nil"/>
              <w:bottom w:val="single" w:sz="4" w:space="0" w:color="8EA9DB"/>
              <w:right w:val="single" w:sz="4" w:space="0" w:color="8EA9DB"/>
            </w:tcBorders>
            <w:shd w:val="clear" w:color="000000" w:fill="C6EFCE"/>
            <w:noWrap/>
            <w:vAlign w:val="bottom"/>
            <w:hideMark/>
          </w:tcPr>
          <w:p w14:paraId="16BD7DAB" w14:textId="77777777" w:rsidR="00650345" w:rsidRPr="00FB1C29" w:rsidRDefault="00650345" w:rsidP="0060718C">
            <w:pPr>
              <w:spacing w:after="0" w:line="360" w:lineRule="auto"/>
              <w:jc w:val="both"/>
              <w:rPr>
                <w:rFonts w:ascii="Arial" w:eastAsia="Times New Roman" w:hAnsi="Arial" w:cs="Arial"/>
                <w:color w:val="006100"/>
                <w:kern w:val="0"/>
                <w14:ligatures w14:val="none"/>
              </w:rPr>
            </w:pPr>
            <w:r w:rsidRPr="00FB1C29">
              <w:rPr>
                <w:rFonts w:ascii="Arial" w:eastAsia="Times New Roman" w:hAnsi="Arial" w:cs="Arial"/>
                <w:color w:val="006100"/>
                <w:kern w:val="0"/>
                <w14:ligatures w14:val="none"/>
              </w:rPr>
              <w:t> </w:t>
            </w:r>
          </w:p>
        </w:tc>
      </w:tr>
      <w:tr w:rsidR="00650345" w:rsidRPr="00FB1C29" w14:paraId="30A0801F" w14:textId="77777777" w:rsidTr="00650345">
        <w:trPr>
          <w:trHeight w:val="290"/>
        </w:trPr>
        <w:tc>
          <w:tcPr>
            <w:tcW w:w="8155" w:type="dxa"/>
            <w:gridSpan w:val="7"/>
            <w:tcBorders>
              <w:top w:val="single" w:sz="4" w:space="0" w:color="8EA9DB"/>
              <w:left w:val="single" w:sz="4" w:space="0" w:color="8EA9DB"/>
              <w:bottom w:val="single" w:sz="4" w:space="0" w:color="8EA9DB"/>
              <w:right w:val="nil"/>
            </w:tcBorders>
            <w:shd w:val="clear" w:color="000000" w:fill="C6EFCE"/>
            <w:noWrap/>
            <w:vAlign w:val="center"/>
            <w:hideMark/>
          </w:tcPr>
          <w:p w14:paraId="2C358276" w14:textId="77777777" w:rsidR="00650345" w:rsidRPr="00FB1C29" w:rsidRDefault="00650345" w:rsidP="004542B1">
            <w:pPr>
              <w:spacing w:after="0" w:line="360" w:lineRule="auto"/>
              <w:ind w:firstLineChars="100" w:firstLine="200"/>
              <w:rPr>
                <w:rFonts w:ascii="Arial" w:eastAsia="Times New Roman" w:hAnsi="Arial" w:cs="Arial"/>
                <w:color w:val="006100"/>
                <w:kern w:val="0"/>
                <w:sz w:val="20"/>
                <w:szCs w:val="20"/>
                <w14:ligatures w14:val="none"/>
              </w:rPr>
            </w:pPr>
            <w:r w:rsidRPr="00FB1C29">
              <w:rPr>
                <w:rFonts w:ascii="Arial" w:eastAsia="Times New Roman" w:hAnsi="Arial" w:cs="Arial"/>
                <w:color w:val="006100"/>
                <w:kern w:val="0"/>
                <w:sz w:val="20"/>
                <w:szCs w:val="20"/>
                <w14:ligatures w14:val="none"/>
              </w:rPr>
              <w:t>13:30 – 15:00 | Workshop: Leadership Development for Underrepresented Groups</w:t>
            </w:r>
          </w:p>
        </w:tc>
        <w:tc>
          <w:tcPr>
            <w:tcW w:w="1140" w:type="dxa"/>
            <w:tcBorders>
              <w:top w:val="single" w:sz="4" w:space="0" w:color="8EA9DB"/>
              <w:left w:val="nil"/>
              <w:bottom w:val="single" w:sz="4" w:space="0" w:color="8EA9DB"/>
              <w:right w:val="single" w:sz="4" w:space="0" w:color="8EA9DB"/>
            </w:tcBorders>
            <w:shd w:val="clear" w:color="000000" w:fill="C6EFCE"/>
            <w:noWrap/>
            <w:vAlign w:val="bottom"/>
            <w:hideMark/>
          </w:tcPr>
          <w:p w14:paraId="1BDAB6B8" w14:textId="77777777" w:rsidR="00650345" w:rsidRPr="00FB1C29" w:rsidRDefault="00650345" w:rsidP="0060718C">
            <w:pPr>
              <w:spacing w:after="0" w:line="360" w:lineRule="auto"/>
              <w:jc w:val="both"/>
              <w:rPr>
                <w:rFonts w:ascii="Arial" w:eastAsia="Times New Roman" w:hAnsi="Arial" w:cs="Arial"/>
                <w:color w:val="006100"/>
                <w:kern w:val="0"/>
                <w14:ligatures w14:val="none"/>
              </w:rPr>
            </w:pPr>
            <w:r w:rsidRPr="00FB1C29">
              <w:rPr>
                <w:rFonts w:ascii="Arial" w:eastAsia="Times New Roman" w:hAnsi="Arial" w:cs="Arial"/>
                <w:color w:val="006100"/>
                <w:kern w:val="0"/>
                <w14:ligatures w14:val="none"/>
              </w:rPr>
              <w:t> </w:t>
            </w:r>
          </w:p>
        </w:tc>
      </w:tr>
      <w:tr w:rsidR="00650345" w:rsidRPr="00FB1C29" w14:paraId="66DD7C6D" w14:textId="77777777" w:rsidTr="00650345">
        <w:trPr>
          <w:trHeight w:val="290"/>
        </w:trPr>
        <w:tc>
          <w:tcPr>
            <w:tcW w:w="8155" w:type="dxa"/>
            <w:gridSpan w:val="7"/>
            <w:tcBorders>
              <w:top w:val="single" w:sz="4" w:space="0" w:color="8EA9DB"/>
              <w:left w:val="single" w:sz="4" w:space="0" w:color="8EA9DB"/>
              <w:bottom w:val="single" w:sz="4" w:space="0" w:color="8EA9DB"/>
              <w:right w:val="nil"/>
            </w:tcBorders>
            <w:shd w:val="clear" w:color="000000" w:fill="C6EFCE"/>
            <w:noWrap/>
            <w:vAlign w:val="center"/>
            <w:hideMark/>
          </w:tcPr>
          <w:p w14:paraId="185FDF7C" w14:textId="77777777" w:rsidR="00650345" w:rsidRPr="00FB1C29" w:rsidRDefault="00650345" w:rsidP="004542B1">
            <w:pPr>
              <w:spacing w:after="0" w:line="360" w:lineRule="auto"/>
              <w:ind w:firstLineChars="100" w:firstLine="200"/>
              <w:rPr>
                <w:rFonts w:ascii="Arial" w:eastAsia="Times New Roman" w:hAnsi="Arial" w:cs="Arial"/>
                <w:color w:val="006100"/>
                <w:kern w:val="0"/>
                <w:sz w:val="20"/>
                <w:szCs w:val="20"/>
                <w14:ligatures w14:val="none"/>
              </w:rPr>
            </w:pPr>
            <w:r w:rsidRPr="00FB1C29">
              <w:rPr>
                <w:rFonts w:ascii="Arial" w:eastAsia="Times New Roman" w:hAnsi="Arial" w:cs="Arial"/>
                <w:color w:val="006100"/>
                <w:kern w:val="0"/>
                <w:sz w:val="20"/>
                <w:szCs w:val="20"/>
                <w14:ligatures w14:val="none"/>
              </w:rPr>
              <w:t>15:00 – 16:30 | Case Study Analysis: Best DEI Practices in Global Hospitality</w:t>
            </w:r>
          </w:p>
        </w:tc>
        <w:tc>
          <w:tcPr>
            <w:tcW w:w="1140" w:type="dxa"/>
            <w:tcBorders>
              <w:top w:val="single" w:sz="4" w:space="0" w:color="8EA9DB"/>
              <w:left w:val="nil"/>
              <w:bottom w:val="single" w:sz="4" w:space="0" w:color="8EA9DB"/>
              <w:right w:val="single" w:sz="4" w:space="0" w:color="8EA9DB"/>
            </w:tcBorders>
            <w:shd w:val="clear" w:color="000000" w:fill="C6EFCE"/>
            <w:noWrap/>
            <w:vAlign w:val="bottom"/>
            <w:hideMark/>
          </w:tcPr>
          <w:p w14:paraId="310D50B2" w14:textId="77777777" w:rsidR="00650345" w:rsidRPr="00FB1C29" w:rsidRDefault="00650345" w:rsidP="0060718C">
            <w:pPr>
              <w:spacing w:after="0" w:line="360" w:lineRule="auto"/>
              <w:jc w:val="both"/>
              <w:rPr>
                <w:rFonts w:ascii="Arial" w:eastAsia="Times New Roman" w:hAnsi="Arial" w:cs="Arial"/>
                <w:color w:val="006100"/>
                <w:kern w:val="0"/>
                <w14:ligatures w14:val="none"/>
              </w:rPr>
            </w:pPr>
            <w:r w:rsidRPr="00FB1C29">
              <w:rPr>
                <w:rFonts w:ascii="Arial" w:eastAsia="Times New Roman" w:hAnsi="Arial" w:cs="Arial"/>
                <w:color w:val="006100"/>
                <w:kern w:val="0"/>
                <w14:ligatures w14:val="none"/>
              </w:rPr>
              <w:t> </w:t>
            </w:r>
          </w:p>
        </w:tc>
      </w:tr>
      <w:tr w:rsidR="00650345" w:rsidRPr="00FB1C29" w14:paraId="6E8F5517" w14:textId="77777777" w:rsidTr="00650345">
        <w:trPr>
          <w:trHeight w:val="290"/>
        </w:trPr>
        <w:tc>
          <w:tcPr>
            <w:tcW w:w="4735" w:type="dxa"/>
            <w:gridSpan w:val="4"/>
            <w:tcBorders>
              <w:top w:val="single" w:sz="4" w:space="0" w:color="8EA9DB"/>
              <w:left w:val="single" w:sz="4" w:space="0" w:color="8EA9DB"/>
              <w:bottom w:val="single" w:sz="4" w:space="0" w:color="8EA9DB"/>
              <w:right w:val="nil"/>
            </w:tcBorders>
            <w:shd w:val="clear" w:color="000000" w:fill="C6EFCE"/>
            <w:noWrap/>
            <w:vAlign w:val="center"/>
            <w:hideMark/>
          </w:tcPr>
          <w:p w14:paraId="59FB518A" w14:textId="77777777" w:rsidR="00650345" w:rsidRPr="00FB1C29" w:rsidRDefault="00650345" w:rsidP="004542B1">
            <w:pPr>
              <w:spacing w:after="0" w:line="360" w:lineRule="auto"/>
              <w:ind w:firstLineChars="100" w:firstLine="200"/>
              <w:rPr>
                <w:rFonts w:ascii="Arial" w:eastAsia="Times New Roman" w:hAnsi="Arial" w:cs="Arial"/>
                <w:color w:val="006100"/>
                <w:kern w:val="0"/>
                <w:sz w:val="20"/>
                <w:szCs w:val="20"/>
                <w14:ligatures w14:val="none"/>
              </w:rPr>
            </w:pPr>
            <w:r w:rsidRPr="00FB1C29">
              <w:rPr>
                <w:rFonts w:ascii="Arial" w:eastAsia="Times New Roman" w:hAnsi="Arial" w:cs="Arial"/>
                <w:color w:val="006100"/>
                <w:kern w:val="0"/>
                <w:sz w:val="20"/>
                <w:szCs w:val="20"/>
                <w14:ligatures w14:val="none"/>
              </w:rPr>
              <w:t>16:30 – 17:00 | Q&amp;A &amp; Closing Remarks</w:t>
            </w:r>
          </w:p>
        </w:tc>
        <w:tc>
          <w:tcPr>
            <w:tcW w:w="1140" w:type="dxa"/>
            <w:tcBorders>
              <w:top w:val="single" w:sz="4" w:space="0" w:color="8EA9DB"/>
              <w:left w:val="nil"/>
              <w:bottom w:val="single" w:sz="4" w:space="0" w:color="8EA9DB"/>
              <w:right w:val="nil"/>
            </w:tcBorders>
            <w:shd w:val="clear" w:color="000000" w:fill="C6EFCE"/>
            <w:noWrap/>
            <w:vAlign w:val="bottom"/>
            <w:hideMark/>
          </w:tcPr>
          <w:p w14:paraId="19740336" w14:textId="77777777" w:rsidR="00650345" w:rsidRPr="00FB1C29" w:rsidRDefault="00650345" w:rsidP="004542B1">
            <w:pPr>
              <w:spacing w:after="0" w:line="360" w:lineRule="auto"/>
              <w:rPr>
                <w:rFonts w:ascii="Arial" w:eastAsia="Times New Roman" w:hAnsi="Arial" w:cs="Arial"/>
                <w:color w:val="006100"/>
                <w:kern w:val="0"/>
                <w:sz w:val="20"/>
                <w:szCs w:val="20"/>
                <w14:ligatures w14:val="none"/>
              </w:rPr>
            </w:pPr>
            <w:r w:rsidRPr="00FB1C29">
              <w:rPr>
                <w:rFonts w:ascii="Arial" w:eastAsia="Times New Roman" w:hAnsi="Arial" w:cs="Arial"/>
                <w:color w:val="006100"/>
                <w:kern w:val="0"/>
                <w:sz w:val="20"/>
                <w:szCs w:val="20"/>
                <w14:ligatures w14:val="none"/>
              </w:rPr>
              <w:t> </w:t>
            </w:r>
          </w:p>
        </w:tc>
        <w:tc>
          <w:tcPr>
            <w:tcW w:w="1140" w:type="dxa"/>
            <w:tcBorders>
              <w:top w:val="single" w:sz="4" w:space="0" w:color="8EA9DB"/>
              <w:left w:val="nil"/>
              <w:bottom w:val="single" w:sz="4" w:space="0" w:color="8EA9DB"/>
              <w:right w:val="nil"/>
            </w:tcBorders>
            <w:shd w:val="clear" w:color="000000" w:fill="C6EFCE"/>
            <w:noWrap/>
            <w:vAlign w:val="bottom"/>
            <w:hideMark/>
          </w:tcPr>
          <w:p w14:paraId="12ABED8F" w14:textId="77777777" w:rsidR="00650345" w:rsidRPr="00FB1C29" w:rsidRDefault="00650345" w:rsidP="0060718C">
            <w:pPr>
              <w:spacing w:after="0" w:line="360" w:lineRule="auto"/>
              <w:jc w:val="both"/>
              <w:rPr>
                <w:rFonts w:ascii="Arial" w:eastAsia="Times New Roman" w:hAnsi="Arial" w:cs="Arial"/>
                <w:color w:val="006100"/>
                <w:kern w:val="0"/>
                <w14:ligatures w14:val="none"/>
              </w:rPr>
            </w:pPr>
            <w:r w:rsidRPr="00FB1C29">
              <w:rPr>
                <w:rFonts w:ascii="Arial" w:eastAsia="Times New Roman" w:hAnsi="Arial" w:cs="Arial"/>
                <w:color w:val="006100"/>
                <w:kern w:val="0"/>
                <w14:ligatures w14:val="none"/>
              </w:rPr>
              <w:t> </w:t>
            </w:r>
          </w:p>
        </w:tc>
        <w:tc>
          <w:tcPr>
            <w:tcW w:w="1140" w:type="dxa"/>
            <w:tcBorders>
              <w:top w:val="single" w:sz="4" w:space="0" w:color="8EA9DB"/>
              <w:left w:val="nil"/>
              <w:bottom w:val="single" w:sz="4" w:space="0" w:color="8EA9DB"/>
              <w:right w:val="nil"/>
            </w:tcBorders>
            <w:shd w:val="clear" w:color="000000" w:fill="C6EFCE"/>
            <w:noWrap/>
            <w:vAlign w:val="bottom"/>
            <w:hideMark/>
          </w:tcPr>
          <w:p w14:paraId="68C5509A" w14:textId="77777777" w:rsidR="00650345" w:rsidRPr="00FB1C29" w:rsidRDefault="00650345" w:rsidP="0060718C">
            <w:pPr>
              <w:spacing w:after="0" w:line="360" w:lineRule="auto"/>
              <w:jc w:val="both"/>
              <w:rPr>
                <w:rFonts w:ascii="Arial" w:eastAsia="Times New Roman" w:hAnsi="Arial" w:cs="Arial"/>
                <w:color w:val="006100"/>
                <w:kern w:val="0"/>
                <w14:ligatures w14:val="none"/>
              </w:rPr>
            </w:pPr>
            <w:r w:rsidRPr="00FB1C29">
              <w:rPr>
                <w:rFonts w:ascii="Arial" w:eastAsia="Times New Roman" w:hAnsi="Arial" w:cs="Arial"/>
                <w:color w:val="006100"/>
                <w:kern w:val="0"/>
                <w14:ligatures w14:val="none"/>
              </w:rPr>
              <w:t> </w:t>
            </w:r>
          </w:p>
        </w:tc>
        <w:tc>
          <w:tcPr>
            <w:tcW w:w="1140" w:type="dxa"/>
            <w:tcBorders>
              <w:top w:val="single" w:sz="4" w:space="0" w:color="8EA9DB"/>
              <w:left w:val="nil"/>
              <w:bottom w:val="single" w:sz="4" w:space="0" w:color="8EA9DB"/>
              <w:right w:val="single" w:sz="4" w:space="0" w:color="8EA9DB"/>
            </w:tcBorders>
            <w:shd w:val="clear" w:color="000000" w:fill="C6EFCE"/>
            <w:noWrap/>
            <w:vAlign w:val="bottom"/>
            <w:hideMark/>
          </w:tcPr>
          <w:p w14:paraId="74B212FC" w14:textId="77777777" w:rsidR="00650345" w:rsidRPr="00FB1C29" w:rsidRDefault="00650345" w:rsidP="0060718C">
            <w:pPr>
              <w:spacing w:after="0" w:line="360" w:lineRule="auto"/>
              <w:jc w:val="both"/>
              <w:rPr>
                <w:rFonts w:ascii="Arial" w:eastAsia="Times New Roman" w:hAnsi="Arial" w:cs="Arial"/>
                <w:color w:val="006100"/>
                <w:kern w:val="0"/>
                <w14:ligatures w14:val="none"/>
              </w:rPr>
            </w:pPr>
            <w:r w:rsidRPr="00FB1C29">
              <w:rPr>
                <w:rFonts w:ascii="Arial" w:eastAsia="Times New Roman" w:hAnsi="Arial" w:cs="Arial"/>
                <w:color w:val="006100"/>
                <w:kern w:val="0"/>
                <w14:ligatures w14:val="none"/>
              </w:rPr>
              <w:t> </w:t>
            </w:r>
          </w:p>
        </w:tc>
      </w:tr>
      <w:tr w:rsidR="00650345" w:rsidRPr="00FB1C29" w14:paraId="451224BD" w14:textId="77777777" w:rsidTr="00650345">
        <w:trPr>
          <w:trHeight w:val="290"/>
        </w:trPr>
        <w:tc>
          <w:tcPr>
            <w:tcW w:w="2927" w:type="dxa"/>
            <w:tcBorders>
              <w:top w:val="single" w:sz="4" w:space="0" w:color="8EA9DB"/>
              <w:left w:val="single" w:sz="4" w:space="0" w:color="8EA9DB"/>
              <w:bottom w:val="single" w:sz="4" w:space="0" w:color="8EA9DB"/>
              <w:right w:val="nil"/>
            </w:tcBorders>
            <w:shd w:val="clear" w:color="auto" w:fill="auto"/>
            <w:noWrap/>
            <w:vAlign w:val="bottom"/>
            <w:hideMark/>
          </w:tcPr>
          <w:p w14:paraId="0BC043D4" w14:textId="77777777" w:rsidR="00650345" w:rsidRPr="00FB1C29" w:rsidRDefault="00650345" w:rsidP="0060718C">
            <w:pPr>
              <w:spacing w:after="0" w:line="360" w:lineRule="auto"/>
              <w:jc w:val="both"/>
              <w:rPr>
                <w:rFonts w:ascii="Arial" w:eastAsia="Times New Roman" w:hAnsi="Arial" w:cs="Arial"/>
                <w:color w:val="006100"/>
                <w:kern w:val="0"/>
                <w14:ligatures w14:val="none"/>
              </w:rPr>
            </w:pPr>
          </w:p>
        </w:tc>
        <w:tc>
          <w:tcPr>
            <w:tcW w:w="428" w:type="dxa"/>
            <w:tcBorders>
              <w:top w:val="single" w:sz="4" w:space="0" w:color="8EA9DB"/>
              <w:left w:val="nil"/>
              <w:bottom w:val="single" w:sz="4" w:space="0" w:color="8EA9DB"/>
              <w:right w:val="nil"/>
            </w:tcBorders>
            <w:shd w:val="clear" w:color="auto" w:fill="auto"/>
            <w:noWrap/>
            <w:vAlign w:val="bottom"/>
            <w:hideMark/>
          </w:tcPr>
          <w:p w14:paraId="69F6C1DA" w14:textId="77777777" w:rsidR="00650345" w:rsidRPr="00FB1C29" w:rsidRDefault="00650345" w:rsidP="0060718C">
            <w:pPr>
              <w:spacing w:after="0" w:line="360" w:lineRule="auto"/>
              <w:jc w:val="both"/>
              <w:rPr>
                <w:rFonts w:ascii="Arial" w:eastAsia="Times New Roman" w:hAnsi="Arial" w:cs="Arial"/>
                <w:kern w:val="0"/>
                <w14:ligatures w14:val="none"/>
              </w:rPr>
            </w:pPr>
          </w:p>
        </w:tc>
        <w:tc>
          <w:tcPr>
            <w:tcW w:w="428" w:type="dxa"/>
            <w:tcBorders>
              <w:top w:val="single" w:sz="4" w:space="0" w:color="8EA9DB"/>
              <w:left w:val="nil"/>
              <w:bottom w:val="single" w:sz="4" w:space="0" w:color="8EA9DB"/>
              <w:right w:val="nil"/>
            </w:tcBorders>
            <w:shd w:val="clear" w:color="auto" w:fill="auto"/>
            <w:noWrap/>
            <w:vAlign w:val="bottom"/>
            <w:hideMark/>
          </w:tcPr>
          <w:p w14:paraId="3A77BDFC" w14:textId="77777777" w:rsidR="00650345" w:rsidRPr="00FB1C29" w:rsidRDefault="00650345" w:rsidP="0060718C">
            <w:pPr>
              <w:spacing w:after="0" w:line="360" w:lineRule="auto"/>
              <w:jc w:val="both"/>
              <w:rPr>
                <w:rFonts w:ascii="Arial" w:eastAsia="Times New Roman" w:hAnsi="Arial" w:cs="Arial"/>
                <w:kern w:val="0"/>
                <w14:ligatures w14:val="none"/>
              </w:rPr>
            </w:pPr>
          </w:p>
        </w:tc>
        <w:tc>
          <w:tcPr>
            <w:tcW w:w="952" w:type="dxa"/>
            <w:tcBorders>
              <w:top w:val="single" w:sz="4" w:space="0" w:color="8EA9DB"/>
              <w:left w:val="nil"/>
              <w:bottom w:val="single" w:sz="4" w:space="0" w:color="8EA9DB"/>
              <w:right w:val="nil"/>
            </w:tcBorders>
            <w:shd w:val="clear" w:color="auto" w:fill="auto"/>
            <w:noWrap/>
            <w:vAlign w:val="bottom"/>
            <w:hideMark/>
          </w:tcPr>
          <w:p w14:paraId="1EC034B5" w14:textId="77777777" w:rsidR="00650345" w:rsidRPr="00FB1C29" w:rsidRDefault="00650345" w:rsidP="0060718C">
            <w:pPr>
              <w:spacing w:after="0" w:line="360" w:lineRule="auto"/>
              <w:jc w:val="both"/>
              <w:rPr>
                <w:rFonts w:ascii="Arial" w:eastAsia="Times New Roman" w:hAnsi="Arial" w:cs="Arial"/>
                <w:kern w:val="0"/>
                <w14:ligatures w14:val="none"/>
              </w:rPr>
            </w:pPr>
          </w:p>
        </w:tc>
        <w:tc>
          <w:tcPr>
            <w:tcW w:w="1140" w:type="dxa"/>
            <w:tcBorders>
              <w:top w:val="single" w:sz="4" w:space="0" w:color="8EA9DB"/>
              <w:left w:val="nil"/>
              <w:bottom w:val="single" w:sz="4" w:space="0" w:color="8EA9DB"/>
              <w:right w:val="nil"/>
            </w:tcBorders>
            <w:shd w:val="clear" w:color="auto" w:fill="auto"/>
            <w:noWrap/>
            <w:vAlign w:val="bottom"/>
            <w:hideMark/>
          </w:tcPr>
          <w:p w14:paraId="4EB2B428" w14:textId="77777777" w:rsidR="00650345" w:rsidRPr="00FB1C29" w:rsidRDefault="00650345" w:rsidP="0060718C">
            <w:pPr>
              <w:spacing w:after="0" w:line="360" w:lineRule="auto"/>
              <w:jc w:val="both"/>
              <w:rPr>
                <w:rFonts w:ascii="Arial" w:eastAsia="Times New Roman" w:hAnsi="Arial" w:cs="Arial"/>
                <w:kern w:val="0"/>
                <w14:ligatures w14:val="none"/>
              </w:rPr>
            </w:pPr>
          </w:p>
        </w:tc>
        <w:tc>
          <w:tcPr>
            <w:tcW w:w="1140" w:type="dxa"/>
            <w:tcBorders>
              <w:top w:val="single" w:sz="4" w:space="0" w:color="8EA9DB"/>
              <w:left w:val="nil"/>
              <w:bottom w:val="single" w:sz="4" w:space="0" w:color="8EA9DB"/>
              <w:right w:val="nil"/>
            </w:tcBorders>
            <w:shd w:val="clear" w:color="auto" w:fill="auto"/>
            <w:noWrap/>
            <w:vAlign w:val="bottom"/>
            <w:hideMark/>
          </w:tcPr>
          <w:p w14:paraId="38B64969" w14:textId="77777777" w:rsidR="00650345" w:rsidRPr="00FB1C29" w:rsidRDefault="00650345" w:rsidP="0060718C">
            <w:pPr>
              <w:spacing w:after="0" w:line="360" w:lineRule="auto"/>
              <w:jc w:val="both"/>
              <w:rPr>
                <w:rFonts w:ascii="Arial" w:eastAsia="Times New Roman" w:hAnsi="Arial" w:cs="Arial"/>
                <w:kern w:val="0"/>
                <w14:ligatures w14:val="none"/>
              </w:rPr>
            </w:pPr>
          </w:p>
        </w:tc>
        <w:tc>
          <w:tcPr>
            <w:tcW w:w="1140" w:type="dxa"/>
            <w:tcBorders>
              <w:top w:val="single" w:sz="4" w:space="0" w:color="8EA9DB"/>
              <w:left w:val="nil"/>
              <w:bottom w:val="single" w:sz="4" w:space="0" w:color="8EA9DB"/>
              <w:right w:val="nil"/>
            </w:tcBorders>
            <w:shd w:val="clear" w:color="auto" w:fill="auto"/>
            <w:noWrap/>
            <w:vAlign w:val="bottom"/>
            <w:hideMark/>
          </w:tcPr>
          <w:p w14:paraId="442B03AE" w14:textId="77777777" w:rsidR="00650345" w:rsidRPr="00FB1C29" w:rsidRDefault="00650345" w:rsidP="0060718C">
            <w:pPr>
              <w:spacing w:after="0" w:line="360" w:lineRule="auto"/>
              <w:jc w:val="both"/>
              <w:rPr>
                <w:rFonts w:ascii="Arial" w:eastAsia="Times New Roman" w:hAnsi="Arial" w:cs="Arial"/>
                <w:kern w:val="0"/>
                <w14:ligatures w14:val="none"/>
              </w:rPr>
            </w:pPr>
          </w:p>
        </w:tc>
        <w:tc>
          <w:tcPr>
            <w:tcW w:w="1140" w:type="dxa"/>
            <w:tcBorders>
              <w:top w:val="single" w:sz="4" w:space="0" w:color="8EA9DB"/>
              <w:left w:val="nil"/>
              <w:bottom w:val="single" w:sz="4" w:space="0" w:color="8EA9DB"/>
              <w:right w:val="single" w:sz="4" w:space="0" w:color="8EA9DB"/>
            </w:tcBorders>
            <w:shd w:val="clear" w:color="auto" w:fill="auto"/>
            <w:noWrap/>
            <w:vAlign w:val="bottom"/>
            <w:hideMark/>
          </w:tcPr>
          <w:p w14:paraId="41390F70" w14:textId="77777777" w:rsidR="00650345" w:rsidRPr="00FB1C29" w:rsidRDefault="00650345" w:rsidP="0060718C">
            <w:pPr>
              <w:spacing w:after="0" w:line="360" w:lineRule="auto"/>
              <w:jc w:val="both"/>
              <w:rPr>
                <w:rFonts w:ascii="Arial" w:eastAsia="Times New Roman" w:hAnsi="Arial" w:cs="Arial"/>
                <w:kern w:val="0"/>
                <w14:ligatures w14:val="none"/>
              </w:rPr>
            </w:pPr>
          </w:p>
        </w:tc>
      </w:tr>
      <w:tr w:rsidR="00650345" w:rsidRPr="00FB1C29" w14:paraId="0326A10B" w14:textId="77777777" w:rsidTr="00650345">
        <w:trPr>
          <w:trHeight w:val="290"/>
        </w:trPr>
        <w:tc>
          <w:tcPr>
            <w:tcW w:w="3783" w:type="dxa"/>
            <w:gridSpan w:val="3"/>
            <w:tcBorders>
              <w:top w:val="single" w:sz="4" w:space="0" w:color="8EA9DB"/>
              <w:left w:val="single" w:sz="4" w:space="0" w:color="8EA9DB"/>
              <w:bottom w:val="single" w:sz="4" w:space="0" w:color="8EA9DB"/>
              <w:right w:val="nil"/>
            </w:tcBorders>
            <w:shd w:val="clear" w:color="000000" w:fill="9BC2E6"/>
            <w:noWrap/>
            <w:vAlign w:val="bottom"/>
            <w:hideMark/>
          </w:tcPr>
          <w:p w14:paraId="64183376" w14:textId="77777777" w:rsidR="00650345" w:rsidRPr="00FB1C29" w:rsidRDefault="00650345" w:rsidP="004542B1">
            <w:pPr>
              <w:spacing w:after="0" w:line="360" w:lineRule="auto"/>
              <w:rPr>
                <w:rFonts w:ascii="Arial" w:eastAsia="Times New Roman" w:hAnsi="Arial" w:cs="Arial"/>
                <w:color w:val="000000"/>
                <w:kern w:val="0"/>
                <w:sz w:val="20"/>
                <w:szCs w:val="20"/>
                <w14:ligatures w14:val="none"/>
              </w:rPr>
            </w:pPr>
            <w:r w:rsidRPr="00FB1C29">
              <w:rPr>
                <w:rFonts w:ascii="Arial" w:eastAsia="Times New Roman" w:hAnsi="Arial" w:cs="Arial"/>
                <w:color w:val="000000"/>
                <w:kern w:val="0"/>
                <w:sz w:val="20"/>
                <w:szCs w:val="20"/>
                <w14:ligatures w14:val="none"/>
              </w:rPr>
              <w:t>Day 2 – Driving Meaningful Change</w:t>
            </w:r>
          </w:p>
        </w:tc>
        <w:tc>
          <w:tcPr>
            <w:tcW w:w="952" w:type="dxa"/>
            <w:tcBorders>
              <w:top w:val="single" w:sz="4" w:space="0" w:color="8EA9DB"/>
              <w:left w:val="nil"/>
              <w:bottom w:val="single" w:sz="4" w:space="0" w:color="8EA9DB"/>
              <w:right w:val="nil"/>
            </w:tcBorders>
            <w:shd w:val="clear" w:color="000000" w:fill="9BC2E6"/>
            <w:noWrap/>
            <w:vAlign w:val="bottom"/>
            <w:hideMark/>
          </w:tcPr>
          <w:p w14:paraId="0F7B16AE" w14:textId="77777777" w:rsidR="00650345" w:rsidRPr="00FB1C29" w:rsidRDefault="00650345" w:rsidP="004542B1">
            <w:pPr>
              <w:spacing w:after="0" w:line="360" w:lineRule="auto"/>
              <w:rPr>
                <w:rFonts w:ascii="Arial" w:eastAsia="Times New Roman" w:hAnsi="Arial" w:cs="Arial"/>
                <w:color w:val="000000"/>
                <w:kern w:val="0"/>
                <w:sz w:val="20"/>
                <w:szCs w:val="20"/>
                <w14:ligatures w14:val="none"/>
              </w:rPr>
            </w:pPr>
            <w:r w:rsidRPr="00FB1C29">
              <w:rPr>
                <w:rFonts w:ascii="Arial" w:eastAsia="Times New Roman" w:hAnsi="Arial" w:cs="Arial"/>
                <w:color w:val="000000"/>
                <w:kern w:val="0"/>
                <w:sz w:val="20"/>
                <w:szCs w:val="20"/>
                <w14:ligatures w14:val="none"/>
              </w:rPr>
              <w:t> </w:t>
            </w:r>
          </w:p>
        </w:tc>
        <w:tc>
          <w:tcPr>
            <w:tcW w:w="1140" w:type="dxa"/>
            <w:tcBorders>
              <w:top w:val="single" w:sz="4" w:space="0" w:color="8EA9DB"/>
              <w:left w:val="nil"/>
              <w:bottom w:val="single" w:sz="4" w:space="0" w:color="8EA9DB"/>
              <w:right w:val="nil"/>
            </w:tcBorders>
            <w:shd w:val="clear" w:color="000000" w:fill="9BC2E6"/>
            <w:noWrap/>
            <w:vAlign w:val="bottom"/>
            <w:hideMark/>
          </w:tcPr>
          <w:p w14:paraId="0021B867" w14:textId="77777777" w:rsidR="00650345" w:rsidRPr="00FB1C29" w:rsidRDefault="00650345" w:rsidP="004542B1">
            <w:pPr>
              <w:spacing w:after="0" w:line="360" w:lineRule="auto"/>
              <w:rPr>
                <w:rFonts w:ascii="Arial" w:eastAsia="Times New Roman" w:hAnsi="Arial" w:cs="Arial"/>
                <w:color w:val="000000"/>
                <w:kern w:val="0"/>
                <w:sz w:val="20"/>
                <w:szCs w:val="20"/>
                <w14:ligatures w14:val="none"/>
              </w:rPr>
            </w:pPr>
            <w:r w:rsidRPr="00FB1C29">
              <w:rPr>
                <w:rFonts w:ascii="Arial" w:eastAsia="Times New Roman" w:hAnsi="Arial" w:cs="Arial"/>
                <w:color w:val="000000"/>
                <w:kern w:val="0"/>
                <w:sz w:val="20"/>
                <w:szCs w:val="20"/>
                <w14:ligatures w14:val="none"/>
              </w:rPr>
              <w:t> </w:t>
            </w:r>
          </w:p>
        </w:tc>
        <w:tc>
          <w:tcPr>
            <w:tcW w:w="1140" w:type="dxa"/>
            <w:tcBorders>
              <w:top w:val="single" w:sz="4" w:space="0" w:color="8EA9DB"/>
              <w:left w:val="nil"/>
              <w:bottom w:val="single" w:sz="4" w:space="0" w:color="8EA9DB"/>
              <w:right w:val="nil"/>
            </w:tcBorders>
            <w:shd w:val="clear" w:color="000000" w:fill="9BC2E6"/>
            <w:noWrap/>
            <w:vAlign w:val="bottom"/>
            <w:hideMark/>
          </w:tcPr>
          <w:p w14:paraId="28ABFAD2" w14:textId="77777777" w:rsidR="00650345" w:rsidRPr="00FB1C29" w:rsidRDefault="00650345" w:rsidP="004542B1">
            <w:pPr>
              <w:spacing w:after="0" w:line="360" w:lineRule="auto"/>
              <w:rPr>
                <w:rFonts w:ascii="Arial" w:eastAsia="Times New Roman" w:hAnsi="Arial" w:cs="Arial"/>
                <w:color w:val="000000"/>
                <w:kern w:val="0"/>
                <w:sz w:val="20"/>
                <w:szCs w:val="20"/>
                <w14:ligatures w14:val="none"/>
              </w:rPr>
            </w:pPr>
            <w:r w:rsidRPr="00FB1C29">
              <w:rPr>
                <w:rFonts w:ascii="Arial" w:eastAsia="Times New Roman" w:hAnsi="Arial" w:cs="Arial"/>
                <w:color w:val="000000"/>
                <w:kern w:val="0"/>
                <w:sz w:val="20"/>
                <w:szCs w:val="20"/>
                <w14:ligatures w14:val="none"/>
              </w:rPr>
              <w:t> </w:t>
            </w:r>
          </w:p>
        </w:tc>
        <w:tc>
          <w:tcPr>
            <w:tcW w:w="1140" w:type="dxa"/>
            <w:tcBorders>
              <w:top w:val="single" w:sz="4" w:space="0" w:color="8EA9DB"/>
              <w:left w:val="nil"/>
              <w:bottom w:val="single" w:sz="4" w:space="0" w:color="8EA9DB"/>
              <w:right w:val="nil"/>
            </w:tcBorders>
            <w:shd w:val="clear" w:color="000000" w:fill="9BC2E6"/>
            <w:noWrap/>
            <w:vAlign w:val="bottom"/>
            <w:hideMark/>
          </w:tcPr>
          <w:p w14:paraId="68C214FE" w14:textId="77777777" w:rsidR="00650345" w:rsidRPr="00FB1C29" w:rsidRDefault="00650345" w:rsidP="004542B1">
            <w:pPr>
              <w:spacing w:after="0" w:line="360" w:lineRule="auto"/>
              <w:rPr>
                <w:rFonts w:ascii="Arial" w:eastAsia="Times New Roman" w:hAnsi="Arial" w:cs="Arial"/>
                <w:color w:val="000000"/>
                <w:kern w:val="0"/>
                <w:sz w:val="20"/>
                <w:szCs w:val="20"/>
                <w14:ligatures w14:val="none"/>
              </w:rPr>
            </w:pPr>
            <w:r w:rsidRPr="00FB1C29">
              <w:rPr>
                <w:rFonts w:ascii="Arial" w:eastAsia="Times New Roman" w:hAnsi="Arial" w:cs="Arial"/>
                <w:color w:val="000000"/>
                <w:kern w:val="0"/>
                <w:sz w:val="20"/>
                <w:szCs w:val="20"/>
                <w14:ligatures w14:val="none"/>
              </w:rPr>
              <w:t> </w:t>
            </w:r>
          </w:p>
        </w:tc>
        <w:tc>
          <w:tcPr>
            <w:tcW w:w="1140" w:type="dxa"/>
            <w:tcBorders>
              <w:top w:val="single" w:sz="4" w:space="0" w:color="8EA9DB"/>
              <w:left w:val="nil"/>
              <w:bottom w:val="single" w:sz="4" w:space="0" w:color="8EA9DB"/>
              <w:right w:val="single" w:sz="4" w:space="0" w:color="8EA9DB"/>
            </w:tcBorders>
            <w:shd w:val="clear" w:color="000000" w:fill="9BC2E6"/>
            <w:noWrap/>
            <w:vAlign w:val="bottom"/>
            <w:hideMark/>
          </w:tcPr>
          <w:p w14:paraId="78AC402B" w14:textId="77777777" w:rsidR="00650345" w:rsidRPr="00FB1C29" w:rsidRDefault="00650345" w:rsidP="0060718C">
            <w:pPr>
              <w:spacing w:after="0" w:line="360" w:lineRule="auto"/>
              <w:jc w:val="both"/>
              <w:rPr>
                <w:rFonts w:ascii="Arial" w:eastAsia="Times New Roman" w:hAnsi="Arial" w:cs="Arial"/>
                <w:color w:val="000000"/>
                <w:kern w:val="0"/>
                <w14:ligatures w14:val="none"/>
              </w:rPr>
            </w:pPr>
            <w:r w:rsidRPr="00FB1C29">
              <w:rPr>
                <w:rFonts w:ascii="Arial" w:eastAsia="Times New Roman" w:hAnsi="Arial" w:cs="Arial"/>
                <w:color w:val="000000"/>
                <w:kern w:val="0"/>
                <w14:ligatures w14:val="none"/>
              </w:rPr>
              <w:t> </w:t>
            </w:r>
          </w:p>
        </w:tc>
      </w:tr>
      <w:tr w:rsidR="00650345" w:rsidRPr="00FB1C29" w14:paraId="587A4F3C" w14:textId="77777777" w:rsidTr="00650345">
        <w:trPr>
          <w:trHeight w:val="290"/>
        </w:trPr>
        <w:tc>
          <w:tcPr>
            <w:tcW w:w="2927" w:type="dxa"/>
            <w:tcBorders>
              <w:top w:val="single" w:sz="4" w:space="0" w:color="8EA9DB"/>
              <w:left w:val="single" w:sz="4" w:space="0" w:color="8EA9DB"/>
              <w:bottom w:val="single" w:sz="4" w:space="0" w:color="8EA9DB"/>
              <w:right w:val="nil"/>
            </w:tcBorders>
            <w:shd w:val="clear" w:color="auto" w:fill="auto"/>
            <w:noWrap/>
            <w:vAlign w:val="center"/>
            <w:hideMark/>
          </w:tcPr>
          <w:p w14:paraId="7BFCDA5D" w14:textId="77777777" w:rsidR="00650345" w:rsidRPr="00FB1C29" w:rsidRDefault="00650345" w:rsidP="004542B1">
            <w:pPr>
              <w:spacing w:after="0" w:line="360" w:lineRule="auto"/>
              <w:rPr>
                <w:rFonts w:ascii="Arial" w:eastAsia="Times New Roman" w:hAnsi="Arial" w:cs="Arial"/>
                <w:color w:val="000000"/>
                <w:kern w:val="0"/>
                <w:sz w:val="20"/>
                <w:szCs w:val="20"/>
                <w14:ligatures w14:val="none"/>
              </w:rPr>
            </w:pPr>
          </w:p>
        </w:tc>
        <w:tc>
          <w:tcPr>
            <w:tcW w:w="428" w:type="dxa"/>
            <w:tcBorders>
              <w:top w:val="single" w:sz="4" w:space="0" w:color="8EA9DB"/>
              <w:left w:val="nil"/>
              <w:bottom w:val="single" w:sz="4" w:space="0" w:color="8EA9DB"/>
              <w:right w:val="nil"/>
            </w:tcBorders>
            <w:shd w:val="clear" w:color="auto" w:fill="auto"/>
            <w:noWrap/>
            <w:vAlign w:val="bottom"/>
            <w:hideMark/>
          </w:tcPr>
          <w:p w14:paraId="2E522AE8" w14:textId="77777777" w:rsidR="00650345" w:rsidRPr="00FB1C29" w:rsidRDefault="00650345" w:rsidP="004542B1">
            <w:pPr>
              <w:spacing w:after="0" w:line="360" w:lineRule="auto"/>
              <w:ind w:firstLineChars="100" w:firstLine="200"/>
              <w:rPr>
                <w:rFonts w:ascii="Arial" w:eastAsia="Times New Roman" w:hAnsi="Arial" w:cs="Arial"/>
                <w:kern w:val="0"/>
                <w:sz w:val="20"/>
                <w:szCs w:val="20"/>
                <w14:ligatures w14:val="none"/>
              </w:rPr>
            </w:pPr>
          </w:p>
        </w:tc>
        <w:tc>
          <w:tcPr>
            <w:tcW w:w="428" w:type="dxa"/>
            <w:tcBorders>
              <w:top w:val="single" w:sz="4" w:space="0" w:color="8EA9DB"/>
              <w:left w:val="nil"/>
              <w:bottom w:val="single" w:sz="4" w:space="0" w:color="8EA9DB"/>
              <w:right w:val="nil"/>
            </w:tcBorders>
            <w:shd w:val="clear" w:color="auto" w:fill="auto"/>
            <w:noWrap/>
            <w:vAlign w:val="bottom"/>
            <w:hideMark/>
          </w:tcPr>
          <w:p w14:paraId="2144E046" w14:textId="77777777" w:rsidR="00650345" w:rsidRPr="00FB1C29" w:rsidRDefault="00650345" w:rsidP="004542B1">
            <w:pPr>
              <w:spacing w:after="0" w:line="360" w:lineRule="auto"/>
              <w:rPr>
                <w:rFonts w:ascii="Arial" w:eastAsia="Times New Roman" w:hAnsi="Arial" w:cs="Arial"/>
                <w:kern w:val="0"/>
                <w:sz w:val="20"/>
                <w:szCs w:val="20"/>
                <w14:ligatures w14:val="none"/>
              </w:rPr>
            </w:pPr>
          </w:p>
        </w:tc>
        <w:tc>
          <w:tcPr>
            <w:tcW w:w="952" w:type="dxa"/>
            <w:tcBorders>
              <w:top w:val="single" w:sz="4" w:space="0" w:color="8EA9DB"/>
              <w:left w:val="nil"/>
              <w:bottom w:val="single" w:sz="4" w:space="0" w:color="8EA9DB"/>
              <w:right w:val="nil"/>
            </w:tcBorders>
            <w:shd w:val="clear" w:color="auto" w:fill="auto"/>
            <w:noWrap/>
            <w:vAlign w:val="bottom"/>
            <w:hideMark/>
          </w:tcPr>
          <w:p w14:paraId="6A5C96AC" w14:textId="77777777" w:rsidR="00650345" w:rsidRPr="00FB1C29" w:rsidRDefault="00650345" w:rsidP="004542B1">
            <w:pPr>
              <w:spacing w:after="0" w:line="360" w:lineRule="auto"/>
              <w:rPr>
                <w:rFonts w:ascii="Arial" w:eastAsia="Times New Roman" w:hAnsi="Arial" w:cs="Arial"/>
                <w:kern w:val="0"/>
                <w:sz w:val="20"/>
                <w:szCs w:val="20"/>
                <w14:ligatures w14:val="none"/>
              </w:rPr>
            </w:pPr>
          </w:p>
        </w:tc>
        <w:tc>
          <w:tcPr>
            <w:tcW w:w="1140" w:type="dxa"/>
            <w:tcBorders>
              <w:top w:val="single" w:sz="4" w:space="0" w:color="8EA9DB"/>
              <w:left w:val="nil"/>
              <w:bottom w:val="single" w:sz="4" w:space="0" w:color="8EA9DB"/>
              <w:right w:val="nil"/>
            </w:tcBorders>
            <w:shd w:val="clear" w:color="auto" w:fill="auto"/>
            <w:noWrap/>
            <w:vAlign w:val="bottom"/>
            <w:hideMark/>
          </w:tcPr>
          <w:p w14:paraId="7D0D3BFE" w14:textId="77777777" w:rsidR="00650345" w:rsidRPr="00FB1C29" w:rsidRDefault="00650345" w:rsidP="004542B1">
            <w:pPr>
              <w:spacing w:after="0" w:line="360" w:lineRule="auto"/>
              <w:rPr>
                <w:rFonts w:ascii="Arial" w:eastAsia="Times New Roman" w:hAnsi="Arial" w:cs="Arial"/>
                <w:kern w:val="0"/>
                <w:sz w:val="20"/>
                <w:szCs w:val="20"/>
                <w14:ligatures w14:val="none"/>
              </w:rPr>
            </w:pPr>
          </w:p>
        </w:tc>
        <w:tc>
          <w:tcPr>
            <w:tcW w:w="1140" w:type="dxa"/>
            <w:tcBorders>
              <w:top w:val="single" w:sz="4" w:space="0" w:color="8EA9DB"/>
              <w:left w:val="nil"/>
              <w:bottom w:val="single" w:sz="4" w:space="0" w:color="8EA9DB"/>
              <w:right w:val="nil"/>
            </w:tcBorders>
            <w:shd w:val="clear" w:color="auto" w:fill="auto"/>
            <w:noWrap/>
            <w:vAlign w:val="bottom"/>
            <w:hideMark/>
          </w:tcPr>
          <w:p w14:paraId="7FC3749C" w14:textId="77777777" w:rsidR="00650345" w:rsidRPr="00FB1C29" w:rsidRDefault="00650345" w:rsidP="004542B1">
            <w:pPr>
              <w:spacing w:after="0" w:line="360" w:lineRule="auto"/>
              <w:rPr>
                <w:rFonts w:ascii="Arial" w:eastAsia="Times New Roman" w:hAnsi="Arial" w:cs="Arial"/>
                <w:kern w:val="0"/>
                <w:sz w:val="20"/>
                <w:szCs w:val="20"/>
                <w14:ligatures w14:val="none"/>
              </w:rPr>
            </w:pPr>
          </w:p>
        </w:tc>
        <w:tc>
          <w:tcPr>
            <w:tcW w:w="1140" w:type="dxa"/>
            <w:tcBorders>
              <w:top w:val="single" w:sz="4" w:space="0" w:color="8EA9DB"/>
              <w:left w:val="nil"/>
              <w:bottom w:val="single" w:sz="4" w:space="0" w:color="8EA9DB"/>
              <w:right w:val="nil"/>
            </w:tcBorders>
            <w:shd w:val="clear" w:color="auto" w:fill="auto"/>
            <w:noWrap/>
            <w:vAlign w:val="bottom"/>
            <w:hideMark/>
          </w:tcPr>
          <w:p w14:paraId="085D6FE6" w14:textId="77777777" w:rsidR="00650345" w:rsidRPr="00FB1C29" w:rsidRDefault="00650345" w:rsidP="004542B1">
            <w:pPr>
              <w:spacing w:after="0" w:line="360" w:lineRule="auto"/>
              <w:rPr>
                <w:rFonts w:ascii="Arial" w:eastAsia="Times New Roman" w:hAnsi="Arial" w:cs="Arial"/>
                <w:kern w:val="0"/>
                <w:sz w:val="20"/>
                <w:szCs w:val="20"/>
                <w14:ligatures w14:val="none"/>
              </w:rPr>
            </w:pPr>
          </w:p>
        </w:tc>
        <w:tc>
          <w:tcPr>
            <w:tcW w:w="1140" w:type="dxa"/>
            <w:tcBorders>
              <w:top w:val="single" w:sz="4" w:space="0" w:color="8EA9DB"/>
              <w:left w:val="nil"/>
              <w:bottom w:val="single" w:sz="4" w:space="0" w:color="8EA9DB"/>
              <w:right w:val="single" w:sz="4" w:space="0" w:color="8EA9DB"/>
            </w:tcBorders>
            <w:shd w:val="clear" w:color="auto" w:fill="auto"/>
            <w:noWrap/>
            <w:vAlign w:val="bottom"/>
            <w:hideMark/>
          </w:tcPr>
          <w:p w14:paraId="039A7B56" w14:textId="77777777" w:rsidR="00650345" w:rsidRPr="00FB1C29" w:rsidRDefault="00650345" w:rsidP="0060718C">
            <w:pPr>
              <w:spacing w:after="0" w:line="360" w:lineRule="auto"/>
              <w:jc w:val="both"/>
              <w:rPr>
                <w:rFonts w:ascii="Arial" w:eastAsia="Times New Roman" w:hAnsi="Arial" w:cs="Arial"/>
                <w:kern w:val="0"/>
                <w14:ligatures w14:val="none"/>
              </w:rPr>
            </w:pPr>
          </w:p>
        </w:tc>
      </w:tr>
      <w:tr w:rsidR="00650345" w:rsidRPr="00FB1C29" w14:paraId="2AFF19C8" w14:textId="77777777" w:rsidTr="00650345">
        <w:trPr>
          <w:trHeight w:val="290"/>
        </w:trPr>
        <w:tc>
          <w:tcPr>
            <w:tcW w:w="7015" w:type="dxa"/>
            <w:gridSpan w:val="6"/>
            <w:tcBorders>
              <w:top w:val="single" w:sz="4" w:space="0" w:color="8EA9DB"/>
              <w:left w:val="single" w:sz="4" w:space="0" w:color="8EA9DB"/>
              <w:bottom w:val="single" w:sz="4" w:space="0" w:color="8EA9DB"/>
              <w:right w:val="nil"/>
            </w:tcBorders>
            <w:shd w:val="clear" w:color="000000" w:fill="DDEBF7"/>
            <w:noWrap/>
            <w:vAlign w:val="center"/>
            <w:hideMark/>
          </w:tcPr>
          <w:p w14:paraId="673E8517" w14:textId="77777777" w:rsidR="00650345" w:rsidRPr="00FB1C29" w:rsidRDefault="00650345" w:rsidP="004542B1">
            <w:pPr>
              <w:spacing w:after="0" w:line="360" w:lineRule="auto"/>
              <w:ind w:firstLineChars="100" w:firstLine="200"/>
              <w:rPr>
                <w:rFonts w:ascii="Arial" w:eastAsia="Times New Roman" w:hAnsi="Arial" w:cs="Arial"/>
                <w:color w:val="000000"/>
                <w:kern w:val="0"/>
                <w:sz w:val="20"/>
                <w:szCs w:val="20"/>
                <w14:ligatures w14:val="none"/>
              </w:rPr>
            </w:pPr>
            <w:r w:rsidRPr="00FB1C29">
              <w:rPr>
                <w:rFonts w:ascii="Arial" w:eastAsia="Times New Roman" w:hAnsi="Arial" w:cs="Arial"/>
                <w:color w:val="000000"/>
                <w:kern w:val="0"/>
                <w:sz w:val="20"/>
                <w:szCs w:val="20"/>
                <w14:ligatures w14:val="none"/>
              </w:rPr>
              <w:t>09:00 – 10:30 | Workshop: Implementing DEI Strategies in Hospitality</w:t>
            </w:r>
          </w:p>
        </w:tc>
        <w:tc>
          <w:tcPr>
            <w:tcW w:w="1140" w:type="dxa"/>
            <w:tcBorders>
              <w:top w:val="single" w:sz="4" w:space="0" w:color="8EA9DB"/>
              <w:left w:val="nil"/>
              <w:bottom w:val="single" w:sz="4" w:space="0" w:color="8EA9DB"/>
              <w:right w:val="nil"/>
            </w:tcBorders>
            <w:shd w:val="clear" w:color="000000" w:fill="DDEBF7"/>
            <w:noWrap/>
            <w:vAlign w:val="bottom"/>
            <w:hideMark/>
          </w:tcPr>
          <w:p w14:paraId="6484AA74" w14:textId="77777777" w:rsidR="00650345" w:rsidRPr="00FB1C29" w:rsidRDefault="00650345" w:rsidP="004542B1">
            <w:pPr>
              <w:spacing w:after="0" w:line="360" w:lineRule="auto"/>
              <w:rPr>
                <w:rFonts w:ascii="Arial" w:eastAsia="Times New Roman" w:hAnsi="Arial" w:cs="Arial"/>
                <w:color w:val="000000"/>
                <w:kern w:val="0"/>
                <w:sz w:val="20"/>
                <w:szCs w:val="20"/>
                <w14:ligatures w14:val="none"/>
              </w:rPr>
            </w:pPr>
            <w:r w:rsidRPr="00FB1C29">
              <w:rPr>
                <w:rFonts w:ascii="Arial" w:eastAsia="Times New Roman" w:hAnsi="Arial" w:cs="Arial"/>
                <w:color w:val="000000"/>
                <w:kern w:val="0"/>
                <w:sz w:val="20"/>
                <w:szCs w:val="20"/>
                <w14:ligatures w14:val="none"/>
              </w:rPr>
              <w:t> </w:t>
            </w:r>
          </w:p>
        </w:tc>
        <w:tc>
          <w:tcPr>
            <w:tcW w:w="1140" w:type="dxa"/>
            <w:tcBorders>
              <w:top w:val="single" w:sz="4" w:space="0" w:color="8EA9DB"/>
              <w:left w:val="nil"/>
              <w:bottom w:val="single" w:sz="4" w:space="0" w:color="8EA9DB"/>
              <w:right w:val="single" w:sz="4" w:space="0" w:color="8EA9DB"/>
            </w:tcBorders>
            <w:shd w:val="clear" w:color="000000" w:fill="DDEBF7"/>
            <w:noWrap/>
            <w:vAlign w:val="bottom"/>
            <w:hideMark/>
          </w:tcPr>
          <w:p w14:paraId="508C21F2" w14:textId="77777777" w:rsidR="00650345" w:rsidRPr="00FB1C29" w:rsidRDefault="00650345" w:rsidP="0060718C">
            <w:pPr>
              <w:spacing w:after="0" w:line="360" w:lineRule="auto"/>
              <w:jc w:val="both"/>
              <w:rPr>
                <w:rFonts w:ascii="Arial" w:eastAsia="Times New Roman" w:hAnsi="Arial" w:cs="Arial"/>
                <w:color w:val="000000"/>
                <w:kern w:val="0"/>
                <w14:ligatures w14:val="none"/>
              </w:rPr>
            </w:pPr>
            <w:r w:rsidRPr="00FB1C29">
              <w:rPr>
                <w:rFonts w:ascii="Arial" w:eastAsia="Times New Roman" w:hAnsi="Arial" w:cs="Arial"/>
                <w:color w:val="000000"/>
                <w:kern w:val="0"/>
                <w14:ligatures w14:val="none"/>
              </w:rPr>
              <w:t> </w:t>
            </w:r>
          </w:p>
        </w:tc>
      </w:tr>
      <w:tr w:rsidR="00650345" w:rsidRPr="00FB1C29" w14:paraId="684276BB" w14:textId="77777777" w:rsidTr="00650345">
        <w:trPr>
          <w:trHeight w:val="290"/>
        </w:trPr>
        <w:tc>
          <w:tcPr>
            <w:tcW w:w="8155" w:type="dxa"/>
            <w:gridSpan w:val="7"/>
            <w:tcBorders>
              <w:top w:val="single" w:sz="4" w:space="0" w:color="8EA9DB"/>
              <w:left w:val="single" w:sz="4" w:space="0" w:color="8EA9DB"/>
              <w:bottom w:val="single" w:sz="4" w:space="0" w:color="8EA9DB"/>
              <w:right w:val="nil"/>
            </w:tcBorders>
            <w:shd w:val="clear" w:color="000000" w:fill="DDEBF7"/>
            <w:noWrap/>
            <w:vAlign w:val="center"/>
            <w:hideMark/>
          </w:tcPr>
          <w:p w14:paraId="178CD178" w14:textId="77777777" w:rsidR="00650345" w:rsidRPr="00FB1C29" w:rsidRDefault="00650345" w:rsidP="004542B1">
            <w:pPr>
              <w:spacing w:after="0" w:line="360" w:lineRule="auto"/>
              <w:ind w:firstLineChars="100" w:firstLine="200"/>
              <w:rPr>
                <w:rFonts w:ascii="Arial" w:eastAsia="Times New Roman" w:hAnsi="Arial" w:cs="Arial"/>
                <w:color w:val="000000"/>
                <w:kern w:val="0"/>
                <w:sz w:val="20"/>
                <w:szCs w:val="20"/>
                <w14:ligatures w14:val="none"/>
              </w:rPr>
            </w:pPr>
            <w:r w:rsidRPr="00FB1C29">
              <w:rPr>
                <w:rFonts w:ascii="Arial" w:eastAsia="Times New Roman" w:hAnsi="Arial" w:cs="Arial"/>
                <w:color w:val="000000"/>
                <w:kern w:val="0"/>
                <w:sz w:val="20"/>
                <w:szCs w:val="20"/>
                <w14:ligatures w14:val="none"/>
              </w:rPr>
              <w:t>10:30 – 12:00 | Interactive Session: Overcoming Unconscious Bias in the Workplace</w:t>
            </w:r>
          </w:p>
        </w:tc>
        <w:tc>
          <w:tcPr>
            <w:tcW w:w="1140" w:type="dxa"/>
            <w:tcBorders>
              <w:top w:val="single" w:sz="4" w:space="0" w:color="8EA9DB"/>
              <w:left w:val="nil"/>
              <w:bottom w:val="single" w:sz="4" w:space="0" w:color="8EA9DB"/>
              <w:right w:val="single" w:sz="4" w:space="0" w:color="8EA9DB"/>
            </w:tcBorders>
            <w:shd w:val="clear" w:color="000000" w:fill="DDEBF7"/>
            <w:noWrap/>
            <w:vAlign w:val="bottom"/>
            <w:hideMark/>
          </w:tcPr>
          <w:p w14:paraId="104CAAD5" w14:textId="77777777" w:rsidR="00650345" w:rsidRPr="00FB1C29" w:rsidRDefault="00650345" w:rsidP="0060718C">
            <w:pPr>
              <w:spacing w:after="0" w:line="360" w:lineRule="auto"/>
              <w:jc w:val="both"/>
              <w:rPr>
                <w:rFonts w:ascii="Arial" w:eastAsia="Times New Roman" w:hAnsi="Arial" w:cs="Arial"/>
                <w:color w:val="000000"/>
                <w:kern w:val="0"/>
                <w14:ligatures w14:val="none"/>
              </w:rPr>
            </w:pPr>
            <w:r w:rsidRPr="00FB1C29">
              <w:rPr>
                <w:rFonts w:ascii="Arial" w:eastAsia="Times New Roman" w:hAnsi="Arial" w:cs="Arial"/>
                <w:color w:val="000000"/>
                <w:kern w:val="0"/>
                <w14:ligatures w14:val="none"/>
              </w:rPr>
              <w:t> </w:t>
            </w:r>
          </w:p>
        </w:tc>
      </w:tr>
      <w:tr w:rsidR="00650345" w:rsidRPr="00FB1C29" w14:paraId="02729ABD" w14:textId="77777777" w:rsidTr="00650345">
        <w:trPr>
          <w:trHeight w:val="290"/>
        </w:trPr>
        <w:tc>
          <w:tcPr>
            <w:tcW w:w="4735" w:type="dxa"/>
            <w:gridSpan w:val="4"/>
            <w:tcBorders>
              <w:top w:val="single" w:sz="4" w:space="0" w:color="8EA9DB"/>
              <w:left w:val="single" w:sz="4" w:space="0" w:color="8EA9DB"/>
              <w:bottom w:val="single" w:sz="4" w:space="0" w:color="8EA9DB"/>
              <w:right w:val="nil"/>
            </w:tcBorders>
            <w:shd w:val="clear" w:color="000000" w:fill="DDEBF7"/>
            <w:noWrap/>
            <w:vAlign w:val="center"/>
            <w:hideMark/>
          </w:tcPr>
          <w:p w14:paraId="58D1DD77" w14:textId="77777777" w:rsidR="00650345" w:rsidRPr="00FB1C29" w:rsidRDefault="00650345" w:rsidP="004542B1">
            <w:pPr>
              <w:spacing w:after="0" w:line="360" w:lineRule="auto"/>
              <w:ind w:firstLineChars="100" w:firstLine="200"/>
              <w:rPr>
                <w:rFonts w:ascii="Arial" w:eastAsia="Times New Roman" w:hAnsi="Arial" w:cs="Arial"/>
                <w:color w:val="000000"/>
                <w:kern w:val="0"/>
                <w:sz w:val="20"/>
                <w:szCs w:val="20"/>
                <w14:ligatures w14:val="none"/>
              </w:rPr>
            </w:pPr>
            <w:r w:rsidRPr="00FB1C29">
              <w:rPr>
                <w:rFonts w:ascii="Arial" w:eastAsia="Times New Roman" w:hAnsi="Arial" w:cs="Arial"/>
                <w:color w:val="000000"/>
                <w:kern w:val="0"/>
                <w:sz w:val="20"/>
                <w:szCs w:val="20"/>
                <w14:ligatures w14:val="none"/>
              </w:rPr>
              <w:t>12:00 – 13:00 | Networking Lunch &amp; Career Fair</w:t>
            </w:r>
          </w:p>
        </w:tc>
        <w:tc>
          <w:tcPr>
            <w:tcW w:w="1140" w:type="dxa"/>
            <w:tcBorders>
              <w:top w:val="single" w:sz="4" w:space="0" w:color="8EA9DB"/>
              <w:left w:val="nil"/>
              <w:bottom w:val="single" w:sz="4" w:space="0" w:color="8EA9DB"/>
              <w:right w:val="nil"/>
            </w:tcBorders>
            <w:shd w:val="clear" w:color="000000" w:fill="DDEBF7"/>
            <w:noWrap/>
            <w:vAlign w:val="bottom"/>
            <w:hideMark/>
          </w:tcPr>
          <w:p w14:paraId="062A0FE7" w14:textId="77777777" w:rsidR="00650345" w:rsidRPr="00FB1C29" w:rsidRDefault="00650345" w:rsidP="004542B1">
            <w:pPr>
              <w:spacing w:after="0" w:line="360" w:lineRule="auto"/>
              <w:rPr>
                <w:rFonts w:ascii="Arial" w:eastAsia="Times New Roman" w:hAnsi="Arial" w:cs="Arial"/>
                <w:color w:val="000000"/>
                <w:kern w:val="0"/>
                <w:sz w:val="20"/>
                <w:szCs w:val="20"/>
                <w14:ligatures w14:val="none"/>
              </w:rPr>
            </w:pPr>
            <w:r w:rsidRPr="00FB1C29">
              <w:rPr>
                <w:rFonts w:ascii="Arial" w:eastAsia="Times New Roman" w:hAnsi="Arial" w:cs="Arial"/>
                <w:color w:val="000000"/>
                <w:kern w:val="0"/>
                <w:sz w:val="20"/>
                <w:szCs w:val="20"/>
                <w14:ligatures w14:val="none"/>
              </w:rPr>
              <w:t> </w:t>
            </w:r>
          </w:p>
        </w:tc>
        <w:tc>
          <w:tcPr>
            <w:tcW w:w="1140" w:type="dxa"/>
            <w:tcBorders>
              <w:top w:val="single" w:sz="4" w:space="0" w:color="8EA9DB"/>
              <w:left w:val="nil"/>
              <w:bottom w:val="single" w:sz="4" w:space="0" w:color="8EA9DB"/>
              <w:right w:val="nil"/>
            </w:tcBorders>
            <w:shd w:val="clear" w:color="000000" w:fill="DDEBF7"/>
            <w:noWrap/>
            <w:vAlign w:val="bottom"/>
            <w:hideMark/>
          </w:tcPr>
          <w:p w14:paraId="16B0B317" w14:textId="77777777" w:rsidR="00650345" w:rsidRPr="00FB1C29" w:rsidRDefault="00650345" w:rsidP="004542B1">
            <w:pPr>
              <w:spacing w:after="0" w:line="360" w:lineRule="auto"/>
              <w:rPr>
                <w:rFonts w:ascii="Arial" w:eastAsia="Times New Roman" w:hAnsi="Arial" w:cs="Arial"/>
                <w:color w:val="000000"/>
                <w:kern w:val="0"/>
                <w:sz w:val="20"/>
                <w:szCs w:val="20"/>
                <w14:ligatures w14:val="none"/>
              </w:rPr>
            </w:pPr>
            <w:r w:rsidRPr="00FB1C29">
              <w:rPr>
                <w:rFonts w:ascii="Arial" w:eastAsia="Times New Roman" w:hAnsi="Arial" w:cs="Arial"/>
                <w:color w:val="000000"/>
                <w:kern w:val="0"/>
                <w:sz w:val="20"/>
                <w:szCs w:val="20"/>
                <w14:ligatures w14:val="none"/>
              </w:rPr>
              <w:t> </w:t>
            </w:r>
          </w:p>
        </w:tc>
        <w:tc>
          <w:tcPr>
            <w:tcW w:w="1140" w:type="dxa"/>
            <w:tcBorders>
              <w:top w:val="single" w:sz="4" w:space="0" w:color="8EA9DB"/>
              <w:left w:val="nil"/>
              <w:bottom w:val="single" w:sz="4" w:space="0" w:color="8EA9DB"/>
              <w:right w:val="nil"/>
            </w:tcBorders>
            <w:shd w:val="clear" w:color="000000" w:fill="DDEBF7"/>
            <w:noWrap/>
            <w:vAlign w:val="bottom"/>
            <w:hideMark/>
          </w:tcPr>
          <w:p w14:paraId="13D3263E" w14:textId="77777777" w:rsidR="00650345" w:rsidRPr="00FB1C29" w:rsidRDefault="00650345" w:rsidP="004542B1">
            <w:pPr>
              <w:spacing w:after="0" w:line="360" w:lineRule="auto"/>
              <w:rPr>
                <w:rFonts w:ascii="Arial" w:eastAsia="Times New Roman" w:hAnsi="Arial" w:cs="Arial"/>
                <w:color w:val="000000"/>
                <w:kern w:val="0"/>
                <w:sz w:val="20"/>
                <w:szCs w:val="20"/>
                <w14:ligatures w14:val="none"/>
              </w:rPr>
            </w:pPr>
            <w:r w:rsidRPr="00FB1C29">
              <w:rPr>
                <w:rFonts w:ascii="Arial" w:eastAsia="Times New Roman" w:hAnsi="Arial" w:cs="Arial"/>
                <w:color w:val="000000"/>
                <w:kern w:val="0"/>
                <w:sz w:val="20"/>
                <w:szCs w:val="20"/>
                <w14:ligatures w14:val="none"/>
              </w:rPr>
              <w:t> </w:t>
            </w:r>
          </w:p>
        </w:tc>
        <w:tc>
          <w:tcPr>
            <w:tcW w:w="1140" w:type="dxa"/>
            <w:tcBorders>
              <w:top w:val="single" w:sz="4" w:space="0" w:color="8EA9DB"/>
              <w:left w:val="nil"/>
              <w:bottom w:val="single" w:sz="4" w:space="0" w:color="8EA9DB"/>
              <w:right w:val="single" w:sz="4" w:space="0" w:color="8EA9DB"/>
            </w:tcBorders>
            <w:shd w:val="clear" w:color="000000" w:fill="DDEBF7"/>
            <w:noWrap/>
            <w:vAlign w:val="bottom"/>
            <w:hideMark/>
          </w:tcPr>
          <w:p w14:paraId="266EC46F" w14:textId="77777777" w:rsidR="00650345" w:rsidRPr="00FB1C29" w:rsidRDefault="00650345" w:rsidP="0060718C">
            <w:pPr>
              <w:spacing w:after="0" w:line="360" w:lineRule="auto"/>
              <w:jc w:val="both"/>
              <w:rPr>
                <w:rFonts w:ascii="Arial" w:eastAsia="Times New Roman" w:hAnsi="Arial" w:cs="Arial"/>
                <w:color w:val="000000"/>
                <w:kern w:val="0"/>
                <w14:ligatures w14:val="none"/>
              </w:rPr>
            </w:pPr>
            <w:r w:rsidRPr="00FB1C29">
              <w:rPr>
                <w:rFonts w:ascii="Arial" w:eastAsia="Times New Roman" w:hAnsi="Arial" w:cs="Arial"/>
                <w:color w:val="000000"/>
                <w:kern w:val="0"/>
                <w14:ligatures w14:val="none"/>
              </w:rPr>
              <w:t> </w:t>
            </w:r>
          </w:p>
        </w:tc>
      </w:tr>
      <w:tr w:rsidR="00650345" w:rsidRPr="00FB1C29" w14:paraId="7767F96C" w14:textId="77777777" w:rsidTr="00650345">
        <w:trPr>
          <w:trHeight w:val="290"/>
        </w:trPr>
        <w:tc>
          <w:tcPr>
            <w:tcW w:w="8155" w:type="dxa"/>
            <w:gridSpan w:val="7"/>
            <w:tcBorders>
              <w:top w:val="single" w:sz="4" w:space="0" w:color="8EA9DB"/>
              <w:left w:val="single" w:sz="4" w:space="0" w:color="8EA9DB"/>
              <w:bottom w:val="single" w:sz="4" w:space="0" w:color="8EA9DB"/>
              <w:right w:val="nil"/>
            </w:tcBorders>
            <w:shd w:val="clear" w:color="000000" w:fill="DDEBF7"/>
            <w:noWrap/>
            <w:vAlign w:val="center"/>
            <w:hideMark/>
          </w:tcPr>
          <w:p w14:paraId="01A6F1EC" w14:textId="77777777" w:rsidR="00650345" w:rsidRPr="00FB1C29" w:rsidRDefault="00650345" w:rsidP="004542B1">
            <w:pPr>
              <w:spacing w:after="0" w:line="360" w:lineRule="auto"/>
              <w:ind w:firstLineChars="100" w:firstLine="200"/>
              <w:rPr>
                <w:rFonts w:ascii="Arial" w:eastAsia="Times New Roman" w:hAnsi="Arial" w:cs="Arial"/>
                <w:color w:val="000000"/>
                <w:kern w:val="0"/>
                <w:sz w:val="20"/>
                <w:szCs w:val="20"/>
                <w14:ligatures w14:val="none"/>
              </w:rPr>
            </w:pPr>
            <w:r w:rsidRPr="00FB1C29">
              <w:rPr>
                <w:rFonts w:ascii="Arial" w:eastAsia="Times New Roman" w:hAnsi="Arial" w:cs="Arial"/>
                <w:color w:val="000000"/>
                <w:kern w:val="0"/>
                <w:sz w:val="20"/>
                <w:szCs w:val="20"/>
                <w14:ligatures w14:val="none"/>
              </w:rPr>
              <w:t>13:00 – 14:30 | Panel Discussion: The Future of Diversity in Hospitality Leadership</w:t>
            </w:r>
          </w:p>
        </w:tc>
        <w:tc>
          <w:tcPr>
            <w:tcW w:w="1140" w:type="dxa"/>
            <w:tcBorders>
              <w:top w:val="single" w:sz="4" w:space="0" w:color="8EA9DB"/>
              <w:left w:val="nil"/>
              <w:bottom w:val="single" w:sz="4" w:space="0" w:color="8EA9DB"/>
              <w:right w:val="single" w:sz="4" w:space="0" w:color="8EA9DB"/>
            </w:tcBorders>
            <w:shd w:val="clear" w:color="000000" w:fill="DDEBF7"/>
            <w:noWrap/>
            <w:vAlign w:val="bottom"/>
            <w:hideMark/>
          </w:tcPr>
          <w:p w14:paraId="7C9B931F" w14:textId="77777777" w:rsidR="00650345" w:rsidRPr="00FB1C29" w:rsidRDefault="00650345" w:rsidP="0060718C">
            <w:pPr>
              <w:spacing w:after="0" w:line="360" w:lineRule="auto"/>
              <w:jc w:val="both"/>
              <w:rPr>
                <w:rFonts w:ascii="Arial" w:eastAsia="Times New Roman" w:hAnsi="Arial" w:cs="Arial"/>
                <w:color w:val="000000"/>
                <w:kern w:val="0"/>
                <w14:ligatures w14:val="none"/>
              </w:rPr>
            </w:pPr>
            <w:r w:rsidRPr="00FB1C29">
              <w:rPr>
                <w:rFonts w:ascii="Arial" w:eastAsia="Times New Roman" w:hAnsi="Arial" w:cs="Arial"/>
                <w:color w:val="000000"/>
                <w:kern w:val="0"/>
                <w14:ligatures w14:val="none"/>
              </w:rPr>
              <w:t> </w:t>
            </w:r>
          </w:p>
        </w:tc>
      </w:tr>
      <w:tr w:rsidR="00650345" w:rsidRPr="00FB1C29" w14:paraId="1509645A" w14:textId="77777777" w:rsidTr="00650345">
        <w:trPr>
          <w:trHeight w:val="290"/>
        </w:trPr>
        <w:tc>
          <w:tcPr>
            <w:tcW w:w="9295" w:type="dxa"/>
            <w:gridSpan w:val="8"/>
            <w:tcBorders>
              <w:top w:val="single" w:sz="4" w:space="0" w:color="8EA9DB"/>
              <w:left w:val="single" w:sz="4" w:space="0" w:color="8EA9DB"/>
              <w:bottom w:val="single" w:sz="4" w:space="0" w:color="8EA9DB"/>
              <w:right w:val="nil"/>
            </w:tcBorders>
            <w:shd w:val="clear" w:color="000000" w:fill="DDEBF7"/>
            <w:noWrap/>
            <w:vAlign w:val="center"/>
            <w:hideMark/>
          </w:tcPr>
          <w:p w14:paraId="6AD8AA47" w14:textId="77777777" w:rsidR="00650345" w:rsidRPr="00FB1C29" w:rsidRDefault="00650345" w:rsidP="004542B1">
            <w:pPr>
              <w:spacing w:after="0" w:line="360" w:lineRule="auto"/>
              <w:ind w:firstLineChars="100" w:firstLine="200"/>
              <w:rPr>
                <w:rFonts w:ascii="Arial" w:eastAsia="Times New Roman" w:hAnsi="Arial" w:cs="Arial"/>
                <w:color w:val="000000"/>
                <w:kern w:val="0"/>
                <w:sz w:val="20"/>
                <w:szCs w:val="20"/>
                <w14:ligatures w14:val="none"/>
              </w:rPr>
            </w:pPr>
            <w:r w:rsidRPr="00FB1C29">
              <w:rPr>
                <w:rFonts w:ascii="Arial" w:eastAsia="Times New Roman" w:hAnsi="Arial" w:cs="Arial"/>
                <w:color w:val="000000"/>
                <w:kern w:val="0"/>
                <w:sz w:val="20"/>
                <w:szCs w:val="20"/>
                <w14:ligatures w14:val="none"/>
              </w:rPr>
              <w:t>14:30 – 15:30 | Breakout Sessions: Innovative DEI Solutions for the Hospitality Industry</w:t>
            </w:r>
          </w:p>
        </w:tc>
      </w:tr>
      <w:tr w:rsidR="00650345" w:rsidRPr="00FB1C29" w14:paraId="2DE3FAF8" w14:textId="77777777" w:rsidTr="00650345">
        <w:trPr>
          <w:trHeight w:val="290"/>
        </w:trPr>
        <w:tc>
          <w:tcPr>
            <w:tcW w:w="7015" w:type="dxa"/>
            <w:gridSpan w:val="6"/>
            <w:tcBorders>
              <w:top w:val="single" w:sz="4" w:space="0" w:color="8EA9DB"/>
              <w:left w:val="single" w:sz="4" w:space="0" w:color="8EA9DB"/>
              <w:bottom w:val="single" w:sz="4" w:space="0" w:color="8EA9DB"/>
              <w:right w:val="nil"/>
            </w:tcBorders>
            <w:shd w:val="clear" w:color="000000" w:fill="DDEBF7"/>
            <w:noWrap/>
            <w:vAlign w:val="center"/>
            <w:hideMark/>
          </w:tcPr>
          <w:p w14:paraId="245B7C3B" w14:textId="77777777" w:rsidR="00650345" w:rsidRPr="00FB1C29" w:rsidRDefault="00650345" w:rsidP="004542B1">
            <w:pPr>
              <w:spacing w:after="0" w:line="360" w:lineRule="auto"/>
              <w:ind w:firstLineChars="100" w:firstLine="200"/>
              <w:rPr>
                <w:rFonts w:ascii="Arial" w:eastAsia="Times New Roman" w:hAnsi="Arial" w:cs="Arial"/>
                <w:color w:val="000000"/>
                <w:kern w:val="0"/>
                <w:sz w:val="20"/>
                <w:szCs w:val="20"/>
                <w14:ligatures w14:val="none"/>
              </w:rPr>
            </w:pPr>
            <w:r w:rsidRPr="00FB1C29">
              <w:rPr>
                <w:rFonts w:ascii="Arial" w:eastAsia="Times New Roman" w:hAnsi="Arial" w:cs="Arial"/>
                <w:color w:val="000000"/>
                <w:kern w:val="0"/>
                <w:sz w:val="20"/>
                <w:szCs w:val="20"/>
                <w14:ligatures w14:val="none"/>
              </w:rPr>
              <w:t>15:30 – 16:30 | Closing Keynote: The Path Forward – A Call to Action</w:t>
            </w:r>
          </w:p>
        </w:tc>
        <w:tc>
          <w:tcPr>
            <w:tcW w:w="1140" w:type="dxa"/>
            <w:tcBorders>
              <w:top w:val="single" w:sz="4" w:space="0" w:color="8EA9DB"/>
              <w:left w:val="nil"/>
              <w:bottom w:val="single" w:sz="4" w:space="0" w:color="8EA9DB"/>
              <w:right w:val="nil"/>
            </w:tcBorders>
            <w:shd w:val="clear" w:color="000000" w:fill="DDEBF7"/>
            <w:noWrap/>
            <w:vAlign w:val="bottom"/>
            <w:hideMark/>
          </w:tcPr>
          <w:p w14:paraId="64B9AB5D" w14:textId="77777777" w:rsidR="00650345" w:rsidRPr="00FB1C29" w:rsidRDefault="00650345" w:rsidP="004542B1">
            <w:pPr>
              <w:spacing w:after="0" w:line="360" w:lineRule="auto"/>
              <w:rPr>
                <w:rFonts w:ascii="Arial" w:eastAsia="Times New Roman" w:hAnsi="Arial" w:cs="Arial"/>
                <w:color w:val="000000"/>
                <w:kern w:val="0"/>
                <w:sz w:val="20"/>
                <w:szCs w:val="20"/>
                <w14:ligatures w14:val="none"/>
              </w:rPr>
            </w:pPr>
            <w:r w:rsidRPr="00FB1C29">
              <w:rPr>
                <w:rFonts w:ascii="Arial" w:eastAsia="Times New Roman" w:hAnsi="Arial" w:cs="Arial"/>
                <w:color w:val="000000"/>
                <w:kern w:val="0"/>
                <w:sz w:val="20"/>
                <w:szCs w:val="20"/>
                <w14:ligatures w14:val="none"/>
              </w:rPr>
              <w:t> </w:t>
            </w:r>
          </w:p>
        </w:tc>
        <w:tc>
          <w:tcPr>
            <w:tcW w:w="1140" w:type="dxa"/>
            <w:tcBorders>
              <w:top w:val="single" w:sz="4" w:space="0" w:color="8EA9DB"/>
              <w:left w:val="nil"/>
              <w:bottom w:val="single" w:sz="4" w:space="0" w:color="8EA9DB"/>
              <w:right w:val="single" w:sz="4" w:space="0" w:color="8EA9DB"/>
            </w:tcBorders>
            <w:shd w:val="clear" w:color="000000" w:fill="DDEBF7"/>
            <w:noWrap/>
            <w:vAlign w:val="bottom"/>
            <w:hideMark/>
          </w:tcPr>
          <w:p w14:paraId="41EFF703" w14:textId="77777777" w:rsidR="00650345" w:rsidRPr="00FB1C29" w:rsidRDefault="00650345" w:rsidP="0060718C">
            <w:pPr>
              <w:spacing w:after="0" w:line="360" w:lineRule="auto"/>
              <w:jc w:val="both"/>
              <w:rPr>
                <w:rFonts w:ascii="Arial" w:eastAsia="Times New Roman" w:hAnsi="Arial" w:cs="Arial"/>
                <w:color w:val="000000"/>
                <w:kern w:val="0"/>
                <w14:ligatures w14:val="none"/>
              </w:rPr>
            </w:pPr>
            <w:r w:rsidRPr="00FB1C29">
              <w:rPr>
                <w:rFonts w:ascii="Arial" w:eastAsia="Times New Roman" w:hAnsi="Arial" w:cs="Arial"/>
                <w:color w:val="000000"/>
                <w:kern w:val="0"/>
                <w14:ligatures w14:val="none"/>
              </w:rPr>
              <w:t> </w:t>
            </w:r>
          </w:p>
        </w:tc>
      </w:tr>
    </w:tbl>
    <w:p w14:paraId="772A41F1" w14:textId="37609106" w:rsidR="00C424D6" w:rsidRPr="00FB1C29" w:rsidRDefault="00C424D6" w:rsidP="0060718C">
      <w:pPr>
        <w:spacing w:line="360" w:lineRule="auto"/>
        <w:ind w:left="1440"/>
        <w:jc w:val="both"/>
        <w:rPr>
          <w:rFonts w:ascii="Arial" w:hAnsi="Arial" w:cs="Arial"/>
        </w:rPr>
      </w:pPr>
    </w:p>
    <w:p w14:paraId="227F4A6C" w14:textId="78A36865" w:rsidR="00C424D6" w:rsidRPr="00FB1C29" w:rsidRDefault="00083990" w:rsidP="0060718C">
      <w:pPr>
        <w:pStyle w:val="Heading1"/>
        <w:spacing w:line="360" w:lineRule="auto"/>
        <w:jc w:val="both"/>
        <w:rPr>
          <w:rFonts w:ascii="Arial" w:hAnsi="Arial" w:cs="Arial"/>
          <w:sz w:val="32"/>
          <w:szCs w:val="32"/>
        </w:rPr>
      </w:pPr>
      <w:bookmarkStart w:id="5" w:name="_Toc191086253"/>
      <w:r w:rsidRPr="00FB1C29">
        <w:rPr>
          <w:rFonts w:ascii="Arial" w:hAnsi="Arial" w:cs="Arial"/>
          <w:sz w:val="32"/>
          <w:szCs w:val="32"/>
        </w:rPr>
        <w:t>Aim and Objectives</w:t>
      </w:r>
      <w:bookmarkEnd w:id="5"/>
    </w:p>
    <w:p w14:paraId="7993F0BC" w14:textId="77777777" w:rsidR="00083990" w:rsidRPr="00FB1C29" w:rsidRDefault="00083990" w:rsidP="0060718C">
      <w:pPr>
        <w:spacing w:line="360" w:lineRule="auto"/>
        <w:jc w:val="both"/>
        <w:rPr>
          <w:rFonts w:ascii="Arial" w:hAnsi="Arial" w:cs="Arial"/>
        </w:rPr>
      </w:pPr>
    </w:p>
    <w:p w14:paraId="039D38DF" w14:textId="77777777" w:rsidR="00277A15" w:rsidRPr="00FB1C29" w:rsidRDefault="00277A15" w:rsidP="0060718C">
      <w:pPr>
        <w:spacing w:line="360" w:lineRule="auto"/>
        <w:jc w:val="both"/>
        <w:rPr>
          <w:rFonts w:ascii="Arial" w:hAnsi="Arial" w:cs="Arial"/>
        </w:rPr>
      </w:pPr>
      <w:r w:rsidRPr="00FB1C29">
        <w:rPr>
          <w:rFonts w:ascii="Arial" w:hAnsi="Arial" w:cs="Arial"/>
          <w:b/>
          <w:bCs/>
        </w:rPr>
        <w:t>Aim and Objectives</w:t>
      </w:r>
    </w:p>
    <w:p w14:paraId="4AAA56DE" w14:textId="21A82968" w:rsidR="00E074AB" w:rsidRPr="00FB1C29" w:rsidRDefault="00277A15" w:rsidP="0060718C">
      <w:pPr>
        <w:numPr>
          <w:ilvl w:val="0"/>
          <w:numId w:val="3"/>
        </w:numPr>
        <w:spacing w:line="360" w:lineRule="auto"/>
        <w:jc w:val="both"/>
        <w:rPr>
          <w:rFonts w:ascii="Arial" w:hAnsi="Arial" w:cs="Arial"/>
        </w:rPr>
      </w:pPr>
      <w:r w:rsidRPr="00FB1C29">
        <w:rPr>
          <w:rFonts w:ascii="Arial" w:hAnsi="Arial" w:cs="Arial"/>
          <w:b/>
          <w:bCs/>
        </w:rPr>
        <w:t>Aim:</w:t>
      </w:r>
      <w:r w:rsidRPr="00FB1C29">
        <w:rPr>
          <w:rFonts w:ascii="Arial" w:hAnsi="Arial" w:cs="Arial"/>
        </w:rPr>
        <w:t xml:space="preserve"> To promote workplace equity, diversity, and inclusion in the hospitality industry through education, strategic discussions, and collaboration.</w:t>
      </w:r>
    </w:p>
    <w:p w14:paraId="0695CEA2" w14:textId="1B8A6B9B" w:rsidR="00277A15" w:rsidRPr="00FB1C29" w:rsidRDefault="00277A15" w:rsidP="0060718C">
      <w:pPr>
        <w:numPr>
          <w:ilvl w:val="0"/>
          <w:numId w:val="3"/>
        </w:numPr>
        <w:spacing w:line="360" w:lineRule="auto"/>
        <w:jc w:val="both"/>
        <w:rPr>
          <w:rFonts w:ascii="Arial" w:hAnsi="Arial" w:cs="Arial"/>
        </w:rPr>
      </w:pPr>
      <w:r w:rsidRPr="00FB1C29">
        <w:rPr>
          <w:rFonts w:ascii="Arial" w:hAnsi="Arial" w:cs="Arial"/>
          <w:b/>
          <w:bCs/>
        </w:rPr>
        <w:t>SMART Objectives</w:t>
      </w:r>
      <w:r w:rsidR="00AE4061" w:rsidRPr="00FB1C29">
        <w:rPr>
          <w:rFonts w:ascii="Arial" w:hAnsi="Arial" w:cs="Arial"/>
          <w:b/>
          <w:bCs/>
        </w:rPr>
        <w:t xml:space="preserve">- </w:t>
      </w:r>
      <w:r w:rsidR="00AE4061" w:rsidRPr="00FB1C29">
        <w:rPr>
          <w:rFonts w:ascii="Arial" w:hAnsi="Arial" w:cs="Arial"/>
        </w:rPr>
        <w:t xml:space="preserve">in Fig </w:t>
      </w:r>
      <w:r w:rsidR="00CC7FD6" w:rsidRPr="00FB1C29">
        <w:rPr>
          <w:rFonts w:ascii="Arial" w:hAnsi="Arial" w:cs="Arial"/>
        </w:rPr>
        <w:t>2</w:t>
      </w:r>
      <w:r w:rsidR="00AE4061" w:rsidRPr="00FB1C29">
        <w:rPr>
          <w:rFonts w:ascii="Arial" w:hAnsi="Arial" w:cs="Arial"/>
        </w:rPr>
        <w:t xml:space="preserve"> </w:t>
      </w:r>
      <w:r w:rsidR="00430096" w:rsidRPr="00FB1C29">
        <w:rPr>
          <w:rFonts w:ascii="Arial" w:hAnsi="Arial" w:cs="Arial"/>
        </w:rPr>
        <w:t>the SMART analysis is applied to this specific event</w:t>
      </w:r>
      <w:r w:rsidR="00430096" w:rsidRPr="00FB1C29">
        <w:rPr>
          <w:rFonts w:ascii="Arial" w:hAnsi="Arial" w:cs="Arial"/>
          <w:b/>
          <w:bCs/>
        </w:rPr>
        <w:t xml:space="preserve"> </w:t>
      </w:r>
      <w:r w:rsidR="00293E17" w:rsidRPr="00FB1C29">
        <w:rPr>
          <w:rFonts w:ascii="Arial" w:hAnsi="Arial" w:cs="Arial"/>
        </w:rPr>
        <w:t>(Bowdin, 2011, pp.</w:t>
      </w:r>
      <w:r w:rsidR="003318F3" w:rsidRPr="00FB1C29">
        <w:rPr>
          <w:rFonts w:ascii="Arial" w:hAnsi="Arial" w:cs="Arial"/>
        </w:rPr>
        <w:t xml:space="preserve"> 205</w:t>
      </w:r>
      <w:r w:rsidR="00293E17" w:rsidRPr="00FB1C29">
        <w:rPr>
          <w:rFonts w:ascii="Arial" w:hAnsi="Arial" w:cs="Arial"/>
        </w:rPr>
        <w:t>).</w:t>
      </w:r>
      <w:r w:rsidR="00293E17" w:rsidRPr="00FB1C29">
        <w:rPr>
          <w:rFonts w:ascii="Arial" w:hAnsi="Arial" w:cs="Arial"/>
          <w:b/>
          <w:bCs/>
        </w:rPr>
        <w:t xml:space="preserve"> </w:t>
      </w:r>
    </w:p>
    <w:p w14:paraId="73A7817E" w14:textId="77777777" w:rsidR="00AE4061" w:rsidRPr="00FB1C29" w:rsidRDefault="00E074AB" w:rsidP="0060718C">
      <w:pPr>
        <w:spacing w:line="360" w:lineRule="auto"/>
        <w:ind w:left="720"/>
        <w:jc w:val="both"/>
        <w:rPr>
          <w:rFonts w:ascii="Arial" w:hAnsi="Arial" w:cs="Arial"/>
        </w:rPr>
      </w:pPr>
      <w:r w:rsidRPr="00FB1C29">
        <w:rPr>
          <w:rFonts w:ascii="Arial" w:hAnsi="Arial" w:cs="Arial"/>
          <w:noProof/>
        </w:rPr>
        <w:lastRenderedPageBreak/>
        <w:drawing>
          <wp:inline distT="0" distB="0" distL="0" distR="0" wp14:anchorId="3F983E38" wp14:editId="37AA35F0">
            <wp:extent cx="5330456" cy="7539743"/>
            <wp:effectExtent l="0" t="0" r="3810" b="4445"/>
            <wp:docPr id="688578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57857" name="Picture 68857857"/>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352516" cy="7570946"/>
                    </a:xfrm>
                    <a:prstGeom prst="rect">
                      <a:avLst/>
                    </a:prstGeom>
                  </pic:spPr>
                </pic:pic>
              </a:graphicData>
            </a:graphic>
          </wp:inline>
        </w:drawing>
      </w:r>
    </w:p>
    <w:p w14:paraId="5009925D" w14:textId="7EE9EBFF" w:rsidR="00E074AB" w:rsidRPr="00FB1C29" w:rsidRDefault="00AE4061" w:rsidP="0060718C">
      <w:pPr>
        <w:spacing w:line="360" w:lineRule="auto"/>
        <w:ind w:left="720"/>
        <w:jc w:val="both"/>
        <w:rPr>
          <w:rFonts w:ascii="Arial" w:hAnsi="Arial" w:cs="Arial"/>
        </w:rPr>
      </w:pPr>
      <w:r w:rsidRPr="00FB1C29">
        <w:rPr>
          <w:rFonts w:ascii="Arial" w:hAnsi="Arial" w:cs="Arial"/>
        </w:rPr>
        <w:t xml:space="preserve">Fig </w:t>
      </w:r>
      <w:r w:rsidR="008F6328">
        <w:rPr>
          <w:rFonts w:ascii="Arial" w:hAnsi="Arial" w:cs="Arial"/>
        </w:rPr>
        <w:t>3</w:t>
      </w:r>
      <w:r w:rsidR="00C933BB" w:rsidRPr="00FB1C29">
        <w:rPr>
          <w:rFonts w:ascii="Arial" w:hAnsi="Arial" w:cs="Arial"/>
        </w:rPr>
        <w:t xml:space="preserve"> (</w:t>
      </w:r>
      <w:r w:rsidRPr="00FB1C29">
        <w:rPr>
          <w:rFonts w:ascii="Arial" w:hAnsi="Arial" w:cs="Arial"/>
        </w:rPr>
        <w:t>Bowdin, 2011</w:t>
      </w:r>
      <w:r w:rsidR="00CC7FD6" w:rsidRPr="00FB1C29">
        <w:rPr>
          <w:rFonts w:ascii="Arial" w:hAnsi="Arial" w:cs="Arial"/>
        </w:rPr>
        <w:t>, pp. 205</w:t>
      </w:r>
      <w:r w:rsidRPr="00FB1C29">
        <w:rPr>
          <w:rFonts w:ascii="Arial" w:hAnsi="Arial" w:cs="Arial"/>
        </w:rPr>
        <w:t>).</w:t>
      </w:r>
    </w:p>
    <w:p w14:paraId="1686C1D2" w14:textId="77777777" w:rsidR="0047288D" w:rsidRPr="00FB1C29" w:rsidRDefault="0047288D" w:rsidP="0060718C">
      <w:pPr>
        <w:spacing w:line="360" w:lineRule="auto"/>
        <w:ind w:left="1440"/>
        <w:jc w:val="both"/>
        <w:rPr>
          <w:rFonts w:ascii="Arial" w:hAnsi="Arial" w:cs="Arial"/>
        </w:rPr>
      </w:pPr>
    </w:p>
    <w:p w14:paraId="535EC763" w14:textId="2B5ADC44" w:rsidR="00083990" w:rsidRPr="00FB1C29" w:rsidRDefault="00005D53" w:rsidP="0060718C">
      <w:pPr>
        <w:pStyle w:val="Heading1"/>
        <w:spacing w:line="360" w:lineRule="auto"/>
        <w:jc w:val="both"/>
        <w:rPr>
          <w:rFonts w:ascii="Arial" w:hAnsi="Arial" w:cs="Arial"/>
          <w:sz w:val="32"/>
          <w:szCs w:val="32"/>
        </w:rPr>
      </w:pPr>
      <w:bookmarkStart w:id="6" w:name="_Toc191086254"/>
      <w:r w:rsidRPr="00FB1C29">
        <w:rPr>
          <w:rFonts w:ascii="Arial" w:hAnsi="Arial" w:cs="Arial"/>
          <w:sz w:val="32"/>
          <w:szCs w:val="32"/>
        </w:rPr>
        <w:t>Event Management</w:t>
      </w:r>
      <w:bookmarkEnd w:id="6"/>
    </w:p>
    <w:p w14:paraId="03F7C1F5" w14:textId="77777777" w:rsidR="001D2BD9" w:rsidRPr="00FB1C29" w:rsidRDefault="001D2BD9" w:rsidP="0060718C">
      <w:pPr>
        <w:pStyle w:val="Heading3"/>
        <w:spacing w:line="360" w:lineRule="auto"/>
        <w:jc w:val="both"/>
        <w:rPr>
          <w:rFonts w:ascii="Arial" w:hAnsi="Arial" w:cs="Arial"/>
        </w:rPr>
      </w:pPr>
      <w:bookmarkStart w:id="7" w:name="_Toc191086255"/>
      <w:r w:rsidRPr="00FB1C29">
        <w:rPr>
          <w:rFonts w:ascii="Arial" w:hAnsi="Arial" w:cs="Arial"/>
        </w:rPr>
        <w:t>1. Operational Activities</w:t>
      </w:r>
      <w:bookmarkEnd w:id="7"/>
    </w:p>
    <w:p w14:paraId="52D8871B" w14:textId="0D073F1E" w:rsidR="001D2BD9" w:rsidRPr="001D2BD9" w:rsidRDefault="001D2BD9" w:rsidP="0060718C">
      <w:pPr>
        <w:spacing w:line="360" w:lineRule="auto"/>
        <w:jc w:val="both"/>
        <w:rPr>
          <w:rFonts w:ascii="Arial" w:hAnsi="Arial" w:cs="Arial"/>
        </w:rPr>
      </w:pPr>
      <w:r w:rsidRPr="001D2BD9">
        <w:rPr>
          <w:rFonts w:ascii="Arial" w:hAnsi="Arial" w:cs="Arial"/>
        </w:rPr>
        <w:t xml:space="preserve">Operational activities focus on </w:t>
      </w:r>
      <w:r w:rsidR="000B68BB" w:rsidRPr="00FB1C29">
        <w:rPr>
          <w:rFonts w:ascii="Arial" w:hAnsi="Arial" w:cs="Arial"/>
        </w:rPr>
        <w:t>day</w:t>
      </w:r>
      <w:r w:rsidRPr="001D2BD9">
        <w:rPr>
          <w:rFonts w:ascii="Arial" w:hAnsi="Arial" w:cs="Arial"/>
          <w:b/>
          <w:bCs/>
        </w:rPr>
        <w:t>-</w:t>
      </w:r>
      <w:r w:rsidRPr="002A29E3">
        <w:rPr>
          <w:rFonts w:ascii="Arial" w:hAnsi="Arial" w:cs="Arial"/>
        </w:rPr>
        <w:t xml:space="preserve">to-day </w:t>
      </w:r>
      <w:r w:rsidR="00227E03" w:rsidRPr="002A29E3">
        <w:rPr>
          <w:rFonts w:ascii="Arial" w:hAnsi="Arial" w:cs="Arial"/>
        </w:rPr>
        <w:t>planning</w:t>
      </w:r>
      <w:r w:rsidRPr="001D2BD9">
        <w:rPr>
          <w:rFonts w:ascii="Arial" w:hAnsi="Arial" w:cs="Arial"/>
        </w:rPr>
        <w:t xml:space="preserve"> and the execution of the event. The goal is to ensure the event runs smoothly, offering participants a seamless experience</w:t>
      </w:r>
      <w:r w:rsidR="000D7147" w:rsidRPr="00FB1C29">
        <w:rPr>
          <w:rFonts w:ascii="Arial" w:hAnsi="Arial" w:cs="Arial"/>
        </w:rPr>
        <w:t xml:space="preserve"> (Bowdin, 2011, p.189-212).</w:t>
      </w:r>
    </w:p>
    <w:p w14:paraId="57C3EC00" w14:textId="77777777" w:rsidR="001D2BD9" w:rsidRPr="001D2BD9" w:rsidRDefault="001D2BD9" w:rsidP="0060718C">
      <w:pPr>
        <w:spacing w:line="360" w:lineRule="auto"/>
        <w:jc w:val="both"/>
        <w:rPr>
          <w:rFonts w:ascii="Arial" w:hAnsi="Arial" w:cs="Arial"/>
          <w:b/>
          <w:bCs/>
        </w:rPr>
      </w:pPr>
      <w:r w:rsidRPr="001D2BD9">
        <w:rPr>
          <w:rFonts w:ascii="Arial" w:hAnsi="Arial" w:cs="Arial"/>
          <w:b/>
          <w:bCs/>
        </w:rPr>
        <w:t>Skills Required:</w:t>
      </w:r>
    </w:p>
    <w:p w14:paraId="1241A9FF" w14:textId="14612562" w:rsidR="001D2BD9" w:rsidRPr="001D2BD9" w:rsidRDefault="001D2BD9" w:rsidP="0060718C">
      <w:pPr>
        <w:numPr>
          <w:ilvl w:val="0"/>
          <w:numId w:val="11"/>
        </w:numPr>
        <w:spacing w:line="360" w:lineRule="auto"/>
        <w:jc w:val="both"/>
        <w:rPr>
          <w:rFonts w:ascii="Arial" w:hAnsi="Arial" w:cs="Arial"/>
        </w:rPr>
      </w:pPr>
      <w:r w:rsidRPr="001D2BD9">
        <w:rPr>
          <w:rFonts w:ascii="Arial" w:hAnsi="Arial" w:cs="Arial"/>
          <w:b/>
          <w:bCs/>
        </w:rPr>
        <w:t>Logistical Management:</w:t>
      </w:r>
      <w:r w:rsidRPr="001D2BD9">
        <w:rPr>
          <w:rFonts w:ascii="Arial" w:hAnsi="Arial" w:cs="Arial"/>
        </w:rPr>
        <w:t xml:space="preserve"> Ability to </w:t>
      </w:r>
      <w:r w:rsidR="00227E03" w:rsidRPr="00FB1C29">
        <w:rPr>
          <w:rFonts w:ascii="Arial" w:hAnsi="Arial" w:cs="Arial"/>
        </w:rPr>
        <w:t>manage</w:t>
      </w:r>
      <w:r w:rsidRPr="001D2BD9">
        <w:rPr>
          <w:rFonts w:ascii="Arial" w:hAnsi="Arial" w:cs="Arial"/>
        </w:rPr>
        <w:t xml:space="preserve"> scheduling, venue setup, catering, transportation, and technical requirements.</w:t>
      </w:r>
    </w:p>
    <w:p w14:paraId="7C2367FC" w14:textId="13346BC0" w:rsidR="001D2BD9" w:rsidRPr="001D2BD9" w:rsidRDefault="001D2BD9" w:rsidP="0060718C">
      <w:pPr>
        <w:numPr>
          <w:ilvl w:val="0"/>
          <w:numId w:val="11"/>
        </w:numPr>
        <w:spacing w:line="360" w:lineRule="auto"/>
        <w:jc w:val="both"/>
        <w:rPr>
          <w:rFonts w:ascii="Arial" w:hAnsi="Arial" w:cs="Arial"/>
        </w:rPr>
      </w:pPr>
      <w:r w:rsidRPr="001D2BD9">
        <w:rPr>
          <w:rFonts w:ascii="Arial" w:hAnsi="Arial" w:cs="Arial"/>
          <w:b/>
          <w:bCs/>
        </w:rPr>
        <w:t>Time Management:</w:t>
      </w:r>
      <w:r w:rsidRPr="001D2BD9">
        <w:rPr>
          <w:rFonts w:ascii="Arial" w:hAnsi="Arial" w:cs="Arial"/>
        </w:rPr>
        <w:t xml:space="preserve"> Coordination of various event elements within a set </w:t>
      </w:r>
      <w:r w:rsidR="00766778" w:rsidRPr="00FB1C29">
        <w:rPr>
          <w:rFonts w:ascii="Arial" w:hAnsi="Arial" w:cs="Arial"/>
        </w:rPr>
        <w:t>period</w:t>
      </w:r>
      <w:r w:rsidRPr="001D2BD9">
        <w:rPr>
          <w:rFonts w:ascii="Arial" w:hAnsi="Arial" w:cs="Arial"/>
        </w:rPr>
        <w:t>.</w:t>
      </w:r>
    </w:p>
    <w:p w14:paraId="75593245" w14:textId="11258B46" w:rsidR="001D2BD9" w:rsidRPr="001D2BD9" w:rsidRDefault="00227E03" w:rsidP="0060718C">
      <w:pPr>
        <w:numPr>
          <w:ilvl w:val="0"/>
          <w:numId w:val="11"/>
        </w:numPr>
        <w:spacing w:line="360" w:lineRule="auto"/>
        <w:jc w:val="both"/>
        <w:rPr>
          <w:rFonts w:ascii="Arial" w:hAnsi="Arial" w:cs="Arial"/>
        </w:rPr>
      </w:pPr>
      <w:r w:rsidRPr="00FB1C29">
        <w:rPr>
          <w:rFonts w:ascii="Arial" w:hAnsi="Arial" w:cs="Arial"/>
          <w:b/>
          <w:bCs/>
        </w:rPr>
        <w:t>Critical thinking skills</w:t>
      </w:r>
      <w:r w:rsidR="001D2BD9" w:rsidRPr="001D2BD9">
        <w:rPr>
          <w:rFonts w:ascii="Arial" w:hAnsi="Arial" w:cs="Arial"/>
          <w:b/>
          <w:bCs/>
        </w:rPr>
        <w:t>:</w:t>
      </w:r>
      <w:r w:rsidR="001D2BD9" w:rsidRPr="001D2BD9">
        <w:rPr>
          <w:rFonts w:ascii="Arial" w:hAnsi="Arial" w:cs="Arial"/>
        </w:rPr>
        <w:t xml:space="preserve"> Quick decision-making to handle on-site challenges effectively.</w:t>
      </w:r>
    </w:p>
    <w:p w14:paraId="79EA677D" w14:textId="77777777" w:rsidR="001D2BD9" w:rsidRPr="001D2BD9" w:rsidRDefault="001D2BD9" w:rsidP="0060718C">
      <w:pPr>
        <w:numPr>
          <w:ilvl w:val="0"/>
          <w:numId w:val="11"/>
        </w:numPr>
        <w:spacing w:line="360" w:lineRule="auto"/>
        <w:jc w:val="both"/>
        <w:rPr>
          <w:rFonts w:ascii="Arial" w:hAnsi="Arial" w:cs="Arial"/>
        </w:rPr>
      </w:pPr>
      <w:r w:rsidRPr="001D2BD9">
        <w:rPr>
          <w:rFonts w:ascii="Arial" w:hAnsi="Arial" w:cs="Arial"/>
          <w:b/>
          <w:bCs/>
        </w:rPr>
        <w:t>Vendor and Supplier Management:</w:t>
      </w:r>
      <w:r w:rsidRPr="001D2BD9">
        <w:rPr>
          <w:rFonts w:ascii="Arial" w:hAnsi="Arial" w:cs="Arial"/>
        </w:rPr>
        <w:t xml:space="preserve"> Negotiation and coordination with catering services, equipment providers, and other suppliers.</w:t>
      </w:r>
    </w:p>
    <w:p w14:paraId="3091324D" w14:textId="77777777" w:rsidR="001D2BD9" w:rsidRPr="001D2BD9" w:rsidRDefault="001D2BD9" w:rsidP="0060718C">
      <w:pPr>
        <w:numPr>
          <w:ilvl w:val="0"/>
          <w:numId w:val="11"/>
        </w:numPr>
        <w:spacing w:line="360" w:lineRule="auto"/>
        <w:jc w:val="both"/>
        <w:rPr>
          <w:rFonts w:ascii="Arial" w:hAnsi="Arial" w:cs="Arial"/>
        </w:rPr>
      </w:pPr>
      <w:r w:rsidRPr="001D2BD9">
        <w:rPr>
          <w:rFonts w:ascii="Arial" w:hAnsi="Arial" w:cs="Arial"/>
          <w:b/>
          <w:bCs/>
        </w:rPr>
        <w:t>Risk Management:</w:t>
      </w:r>
      <w:r w:rsidRPr="001D2BD9">
        <w:rPr>
          <w:rFonts w:ascii="Arial" w:hAnsi="Arial" w:cs="Arial"/>
        </w:rPr>
        <w:t xml:space="preserve"> Identifying and mitigating potential event disruptions.</w:t>
      </w:r>
    </w:p>
    <w:p w14:paraId="4D43929B" w14:textId="77777777" w:rsidR="001D2BD9" w:rsidRPr="001D2BD9" w:rsidRDefault="001D2BD9" w:rsidP="0060718C">
      <w:pPr>
        <w:spacing w:line="360" w:lineRule="auto"/>
        <w:jc w:val="both"/>
        <w:rPr>
          <w:rFonts w:ascii="Arial" w:hAnsi="Arial" w:cs="Arial"/>
          <w:b/>
          <w:bCs/>
        </w:rPr>
      </w:pPr>
      <w:r w:rsidRPr="001D2BD9">
        <w:rPr>
          <w:rFonts w:ascii="Arial" w:hAnsi="Arial" w:cs="Arial"/>
          <w:b/>
          <w:bCs/>
        </w:rPr>
        <w:t>Resources Needed:</w:t>
      </w:r>
    </w:p>
    <w:p w14:paraId="345C2DF5" w14:textId="77777777" w:rsidR="001D2BD9" w:rsidRPr="001D2BD9" w:rsidRDefault="001D2BD9" w:rsidP="0060718C">
      <w:pPr>
        <w:numPr>
          <w:ilvl w:val="0"/>
          <w:numId w:val="12"/>
        </w:numPr>
        <w:spacing w:line="360" w:lineRule="auto"/>
        <w:jc w:val="both"/>
        <w:rPr>
          <w:rFonts w:ascii="Arial" w:hAnsi="Arial" w:cs="Arial"/>
        </w:rPr>
      </w:pPr>
      <w:r w:rsidRPr="001D2BD9">
        <w:rPr>
          <w:rFonts w:ascii="Arial" w:hAnsi="Arial" w:cs="Arial"/>
          <w:b/>
          <w:bCs/>
        </w:rPr>
        <w:t>Venue Resources:</w:t>
      </w:r>
      <w:r w:rsidRPr="001D2BD9">
        <w:rPr>
          <w:rFonts w:ascii="Arial" w:hAnsi="Arial" w:cs="Arial"/>
        </w:rPr>
        <w:t xml:space="preserve"> Marina Bay Sands Convention Centre facilities (conference rooms, exhibition halls, technical infrastructure).</w:t>
      </w:r>
    </w:p>
    <w:p w14:paraId="4F5BEE30" w14:textId="77777777" w:rsidR="001D2BD9" w:rsidRPr="001D2BD9" w:rsidRDefault="001D2BD9" w:rsidP="0060718C">
      <w:pPr>
        <w:numPr>
          <w:ilvl w:val="0"/>
          <w:numId w:val="12"/>
        </w:numPr>
        <w:spacing w:line="360" w:lineRule="auto"/>
        <w:jc w:val="both"/>
        <w:rPr>
          <w:rFonts w:ascii="Arial" w:hAnsi="Arial" w:cs="Arial"/>
        </w:rPr>
      </w:pPr>
      <w:r w:rsidRPr="001D2BD9">
        <w:rPr>
          <w:rFonts w:ascii="Arial" w:hAnsi="Arial" w:cs="Arial"/>
          <w:b/>
          <w:bCs/>
        </w:rPr>
        <w:t>Technology and Equipment:</w:t>
      </w:r>
      <w:r w:rsidRPr="001D2BD9">
        <w:rPr>
          <w:rFonts w:ascii="Arial" w:hAnsi="Arial" w:cs="Arial"/>
        </w:rPr>
        <w:t xml:space="preserve"> Audio-visual equipment, live streaming tools, microphones, and stage lighting.</w:t>
      </w:r>
    </w:p>
    <w:p w14:paraId="14CD8DA5" w14:textId="77777777" w:rsidR="001D2BD9" w:rsidRPr="001D2BD9" w:rsidRDefault="001D2BD9" w:rsidP="0060718C">
      <w:pPr>
        <w:numPr>
          <w:ilvl w:val="0"/>
          <w:numId w:val="12"/>
        </w:numPr>
        <w:spacing w:line="360" w:lineRule="auto"/>
        <w:jc w:val="both"/>
        <w:rPr>
          <w:rFonts w:ascii="Arial" w:hAnsi="Arial" w:cs="Arial"/>
        </w:rPr>
      </w:pPr>
      <w:r w:rsidRPr="001D2BD9">
        <w:rPr>
          <w:rFonts w:ascii="Arial" w:hAnsi="Arial" w:cs="Arial"/>
          <w:b/>
          <w:bCs/>
        </w:rPr>
        <w:t>Catering Services:</w:t>
      </w:r>
      <w:r w:rsidRPr="001D2BD9">
        <w:rPr>
          <w:rFonts w:ascii="Arial" w:hAnsi="Arial" w:cs="Arial"/>
        </w:rPr>
        <w:t xml:space="preserve"> Inclusive menus accommodating dietary restrictions.</w:t>
      </w:r>
    </w:p>
    <w:p w14:paraId="2CBF9D21" w14:textId="77777777" w:rsidR="001D2BD9" w:rsidRPr="001D2BD9" w:rsidRDefault="001D2BD9" w:rsidP="0060718C">
      <w:pPr>
        <w:numPr>
          <w:ilvl w:val="0"/>
          <w:numId w:val="12"/>
        </w:numPr>
        <w:spacing w:line="360" w:lineRule="auto"/>
        <w:jc w:val="both"/>
        <w:rPr>
          <w:rFonts w:ascii="Arial" w:hAnsi="Arial" w:cs="Arial"/>
        </w:rPr>
      </w:pPr>
      <w:r w:rsidRPr="001D2BD9">
        <w:rPr>
          <w:rFonts w:ascii="Arial" w:hAnsi="Arial" w:cs="Arial"/>
          <w:b/>
          <w:bCs/>
        </w:rPr>
        <w:t>Security Services:</w:t>
      </w:r>
      <w:r w:rsidRPr="001D2BD9">
        <w:rPr>
          <w:rFonts w:ascii="Arial" w:hAnsi="Arial" w:cs="Arial"/>
        </w:rPr>
        <w:t xml:space="preserve"> On-site security personnel to ensure the safety of attendees.</w:t>
      </w:r>
    </w:p>
    <w:p w14:paraId="4DFBB894" w14:textId="77777777" w:rsidR="001D2BD9" w:rsidRPr="001D2BD9" w:rsidRDefault="001D2BD9" w:rsidP="0060718C">
      <w:pPr>
        <w:numPr>
          <w:ilvl w:val="0"/>
          <w:numId w:val="12"/>
        </w:numPr>
        <w:spacing w:line="360" w:lineRule="auto"/>
        <w:jc w:val="both"/>
        <w:rPr>
          <w:rFonts w:ascii="Arial" w:hAnsi="Arial" w:cs="Arial"/>
        </w:rPr>
      </w:pPr>
      <w:r w:rsidRPr="001D2BD9">
        <w:rPr>
          <w:rFonts w:ascii="Arial" w:hAnsi="Arial" w:cs="Arial"/>
          <w:b/>
          <w:bCs/>
        </w:rPr>
        <w:t>Accessibility Features:</w:t>
      </w:r>
      <w:r w:rsidRPr="001D2BD9">
        <w:rPr>
          <w:rFonts w:ascii="Arial" w:hAnsi="Arial" w:cs="Arial"/>
        </w:rPr>
        <w:t xml:space="preserve"> Wheelchair access, sign language interpreters, and inclusive seating arrangements.</w:t>
      </w:r>
    </w:p>
    <w:p w14:paraId="4CE4EB71" w14:textId="51831FF1" w:rsidR="001D2BD9" w:rsidRPr="001D2BD9" w:rsidRDefault="001D2BD9" w:rsidP="0060718C">
      <w:pPr>
        <w:spacing w:line="360" w:lineRule="auto"/>
        <w:jc w:val="both"/>
        <w:rPr>
          <w:rFonts w:ascii="Arial" w:hAnsi="Arial" w:cs="Arial"/>
        </w:rPr>
      </w:pPr>
    </w:p>
    <w:p w14:paraId="05293A8D" w14:textId="77777777" w:rsidR="001D2BD9" w:rsidRPr="00FB1C29" w:rsidRDefault="001D2BD9" w:rsidP="0060718C">
      <w:pPr>
        <w:pStyle w:val="Heading3"/>
        <w:spacing w:line="360" w:lineRule="auto"/>
        <w:jc w:val="both"/>
        <w:rPr>
          <w:rFonts w:ascii="Arial" w:hAnsi="Arial" w:cs="Arial"/>
        </w:rPr>
      </w:pPr>
      <w:bookmarkStart w:id="8" w:name="_Toc191086256"/>
      <w:r w:rsidRPr="00FB1C29">
        <w:rPr>
          <w:rFonts w:ascii="Arial" w:hAnsi="Arial" w:cs="Arial"/>
        </w:rPr>
        <w:t>2. Planning Activities</w:t>
      </w:r>
      <w:bookmarkEnd w:id="8"/>
    </w:p>
    <w:p w14:paraId="03B4DAC2" w14:textId="77777777" w:rsidR="00CB6FD1" w:rsidRPr="00FB1C29" w:rsidRDefault="00CB6FD1" w:rsidP="0060718C">
      <w:pPr>
        <w:spacing w:line="360" w:lineRule="auto"/>
        <w:jc w:val="both"/>
        <w:rPr>
          <w:rFonts w:ascii="Arial" w:hAnsi="Arial" w:cs="Arial"/>
        </w:rPr>
      </w:pPr>
    </w:p>
    <w:p w14:paraId="19B7E74D" w14:textId="634C1EC4" w:rsidR="001D2BD9" w:rsidRPr="001D2BD9" w:rsidRDefault="001D2BD9" w:rsidP="0060718C">
      <w:pPr>
        <w:spacing w:line="360" w:lineRule="auto"/>
        <w:jc w:val="both"/>
        <w:rPr>
          <w:rFonts w:ascii="Arial" w:hAnsi="Arial" w:cs="Arial"/>
        </w:rPr>
      </w:pPr>
      <w:r w:rsidRPr="001D2BD9">
        <w:rPr>
          <w:rFonts w:ascii="Arial" w:hAnsi="Arial" w:cs="Arial"/>
        </w:rPr>
        <w:t xml:space="preserve">The planning phase focuses on the </w:t>
      </w:r>
      <w:r w:rsidRPr="002A29E3">
        <w:rPr>
          <w:rFonts w:ascii="Arial" w:hAnsi="Arial" w:cs="Arial"/>
        </w:rPr>
        <w:t>preparation and strategy development</w:t>
      </w:r>
      <w:r w:rsidRPr="001D2BD9">
        <w:rPr>
          <w:rFonts w:ascii="Arial" w:hAnsi="Arial" w:cs="Arial"/>
        </w:rPr>
        <w:t xml:space="preserve"> for the event, including logistics, resource allocation, and stakeholder coordination</w:t>
      </w:r>
      <w:r w:rsidR="00397405" w:rsidRPr="00FB1C29">
        <w:rPr>
          <w:rFonts w:ascii="Arial" w:hAnsi="Arial" w:cs="Arial"/>
        </w:rPr>
        <w:t xml:space="preserve"> (Bowdin, 2011</w:t>
      </w:r>
      <w:r w:rsidR="000D7147" w:rsidRPr="00FB1C29">
        <w:rPr>
          <w:rFonts w:ascii="Arial" w:hAnsi="Arial" w:cs="Arial"/>
        </w:rPr>
        <w:t>, p.189-212).</w:t>
      </w:r>
    </w:p>
    <w:p w14:paraId="3F3131AA" w14:textId="77777777" w:rsidR="001D2BD9" w:rsidRPr="001D2BD9" w:rsidRDefault="001D2BD9" w:rsidP="0060718C">
      <w:pPr>
        <w:spacing w:line="360" w:lineRule="auto"/>
        <w:jc w:val="both"/>
        <w:rPr>
          <w:rFonts w:ascii="Arial" w:hAnsi="Arial" w:cs="Arial"/>
          <w:b/>
          <w:bCs/>
        </w:rPr>
      </w:pPr>
      <w:r w:rsidRPr="001D2BD9">
        <w:rPr>
          <w:rFonts w:ascii="Arial" w:hAnsi="Arial" w:cs="Arial"/>
          <w:b/>
          <w:bCs/>
        </w:rPr>
        <w:t>Skills Required:</w:t>
      </w:r>
    </w:p>
    <w:p w14:paraId="5D4B258A" w14:textId="77777777" w:rsidR="001D2BD9" w:rsidRPr="001D2BD9" w:rsidRDefault="001D2BD9" w:rsidP="0060718C">
      <w:pPr>
        <w:numPr>
          <w:ilvl w:val="0"/>
          <w:numId w:val="13"/>
        </w:numPr>
        <w:spacing w:line="360" w:lineRule="auto"/>
        <w:jc w:val="both"/>
        <w:rPr>
          <w:rFonts w:ascii="Arial" w:hAnsi="Arial" w:cs="Arial"/>
        </w:rPr>
      </w:pPr>
      <w:r w:rsidRPr="001D2BD9">
        <w:rPr>
          <w:rFonts w:ascii="Arial" w:hAnsi="Arial" w:cs="Arial"/>
          <w:b/>
          <w:bCs/>
        </w:rPr>
        <w:t>Strategic Planning:</w:t>
      </w:r>
      <w:r w:rsidRPr="001D2BD9">
        <w:rPr>
          <w:rFonts w:ascii="Arial" w:hAnsi="Arial" w:cs="Arial"/>
        </w:rPr>
        <w:t xml:space="preserve"> Ability to align the event’s goals with the overarching DEI theme.</w:t>
      </w:r>
    </w:p>
    <w:p w14:paraId="26EC16B8" w14:textId="77777777" w:rsidR="001D2BD9" w:rsidRPr="001D2BD9" w:rsidRDefault="001D2BD9" w:rsidP="0060718C">
      <w:pPr>
        <w:numPr>
          <w:ilvl w:val="0"/>
          <w:numId w:val="13"/>
        </w:numPr>
        <w:spacing w:line="360" w:lineRule="auto"/>
        <w:jc w:val="both"/>
        <w:rPr>
          <w:rFonts w:ascii="Arial" w:hAnsi="Arial" w:cs="Arial"/>
        </w:rPr>
      </w:pPr>
      <w:r w:rsidRPr="001D2BD9">
        <w:rPr>
          <w:rFonts w:ascii="Arial" w:hAnsi="Arial" w:cs="Arial"/>
          <w:b/>
          <w:bCs/>
        </w:rPr>
        <w:t>Budget Management:</w:t>
      </w:r>
      <w:r w:rsidRPr="001D2BD9">
        <w:rPr>
          <w:rFonts w:ascii="Arial" w:hAnsi="Arial" w:cs="Arial"/>
        </w:rPr>
        <w:t xml:space="preserve"> Creating and monitoring an effective budget that balances costs and revenue.</w:t>
      </w:r>
    </w:p>
    <w:p w14:paraId="4A3066C9" w14:textId="77777777" w:rsidR="001D2BD9" w:rsidRPr="001D2BD9" w:rsidRDefault="001D2BD9" w:rsidP="0060718C">
      <w:pPr>
        <w:numPr>
          <w:ilvl w:val="0"/>
          <w:numId w:val="13"/>
        </w:numPr>
        <w:spacing w:line="360" w:lineRule="auto"/>
        <w:jc w:val="both"/>
        <w:rPr>
          <w:rFonts w:ascii="Arial" w:hAnsi="Arial" w:cs="Arial"/>
        </w:rPr>
      </w:pPr>
      <w:r w:rsidRPr="001D2BD9">
        <w:rPr>
          <w:rFonts w:ascii="Arial" w:hAnsi="Arial" w:cs="Arial"/>
          <w:b/>
          <w:bCs/>
        </w:rPr>
        <w:t>Scheduling and Time Allocation:</w:t>
      </w:r>
      <w:r w:rsidRPr="001D2BD9">
        <w:rPr>
          <w:rFonts w:ascii="Arial" w:hAnsi="Arial" w:cs="Arial"/>
        </w:rPr>
        <w:t xml:space="preserve"> Developing a detailed event agenda that fits the MICE (Meetings, Incentives, Conferences, Exhibitions) format.</w:t>
      </w:r>
    </w:p>
    <w:p w14:paraId="3DE413F9" w14:textId="77777777" w:rsidR="001D2BD9" w:rsidRPr="001D2BD9" w:rsidRDefault="001D2BD9" w:rsidP="0060718C">
      <w:pPr>
        <w:numPr>
          <w:ilvl w:val="0"/>
          <w:numId w:val="13"/>
        </w:numPr>
        <w:spacing w:line="360" w:lineRule="auto"/>
        <w:jc w:val="both"/>
        <w:rPr>
          <w:rFonts w:ascii="Arial" w:hAnsi="Arial" w:cs="Arial"/>
        </w:rPr>
      </w:pPr>
      <w:r w:rsidRPr="001D2BD9">
        <w:rPr>
          <w:rFonts w:ascii="Arial" w:hAnsi="Arial" w:cs="Arial"/>
          <w:b/>
          <w:bCs/>
        </w:rPr>
        <w:t>Team Coordination:</w:t>
      </w:r>
      <w:r w:rsidRPr="001D2BD9">
        <w:rPr>
          <w:rFonts w:ascii="Arial" w:hAnsi="Arial" w:cs="Arial"/>
        </w:rPr>
        <w:t xml:space="preserve"> Leading diverse teams responsible for different aspects of the event.</w:t>
      </w:r>
    </w:p>
    <w:p w14:paraId="71DF00F5" w14:textId="77777777" w:rsidR="001D2BD9" w:rsidRPr="001D2BD9" w:rsidRDefault="001D2BD9" w:rsidP="0060718C">
      <w:pPr>
        <w:numPr>
          <w:ilvl w:val="0"/>
          <w:numId w:val="13"/>
        </w:numPr>
        <w:spacing w:line="360" w:lineRule="auto"/>
        <w:jc w:val="both"/>
        <w:rPr>
          <w:rFonts w:ascii="Arial" w:hAnsi="Arial" w:cs="Arial"/>
        </w:rPr>
      </w:pPr>
      <w:r w:rsidRPr="001D2BD9">
        <w:rPr>
          <w:rFonts w:ascii="Arial" w:hAnsi="Arial" w:cs="Arial"/>
          <w:b/>
          <w:bCs/>
        </w:rPr>
        <w:t>Contract Negotiation:</w:t>
      </w:r>
      <w:r w:rsidRPr="001D2BD9">
        <w:rPr>
          <w:rFonts w:ascii="Arial" w:hAnsi="Arial" w:cs="Arial"/>
        </w:rPr>
        <w:t xml:space="preserve"> Managing contracts with vendors, sponsors, and service providers.</w:t>
      </w:r>
    </w:p>
    <w:p w14:paraId="1334BE7A" w14:textId="77777777" w:rsidR="001D2BD9" w:rsidRPr="001D2BD9" w:rsidRDefault="001D2BD9" w:rsidP="0060718C">
      <w:pPr>
        <w:spacing w:line="360" w:lineRule="auto"/>
        <w:jc w:val="both"/>
        <w:rPr>
          <w:rFonts w:ascii="Arial" w:hAnsi="Arial" w:cs="Arial"/>
          <w:b/>
          <w:bCs/>
        </w:rPr>
      </w:pPr>
      <w:r w:rsidRPr="001D2BD9">
        <w:rPr>
          <w:rFonts w:ascii="Arial" w:hAnsi="Arial" w:cs="Arial"/>
          <w:b/>
          <w:bCs/>
        </w:rPr>
        <w:t>Resources Needed:</w:t>
      </w:r>
    </w:p>
    <w:p w14:paraId="697C1161" w14:textId="77777777" w:rsidR="001D2BD9" w:rsidRPr="001D2BD9" w:rsidRDefault="001D2BD9" w:rsidP="0060718C">
      <w:pPr>
        <w:numPr>
          <w:ilvl w:val="0"/>
          <w:numId w:val="14"/>
        </w:numPr>
        <w:spacing w:line="360" w:lineRule="auto"/>
        <w:jc w:val="both"/>
        <w:rPr>
          <w:rFonts w:ascii="Arial" w:hAnsi="Arial" w:cs="Arial"/>
        </w:rPr>
      </w:pPr>
      <w:r w:rsidRPr="001D2BD9">
        <w:rPr>
          <w:rFonts w:ascii="Arial" w:hAnsi="Arial" w:cs="Arial"/>
          <w:b/>
          <w:bCs/>
        </w:rPr>
        <w:t>Event Management Software:</w:t>
      </w:r>
      <w:r w:rsidRPr="001D2BD9">
        <w:rPr>
          <w:rFonts w:ascii="Arial" w:hAnsi="Arial" w:cs="Arial"/>
        </w:rPr>
        <w:t xml:space="preserve"> For scheduling, ticketing, and tracking registration.</w:t>
      </w:r>
    </w:p>
    <w:p w14:paraId="57B3A5E1" w14:textId="77777777" w:rsidR="001D2BD9" w:rsidRPr="001D2BD9" w:rsidRDefault="001D2BD9" w:rsidP="0060718C">
      <w:pPr>
        <w:numPr>
          <w:ilvl w:val="0"/>
          <w:numId w:val="14"/>
        </w:numPr>
        <w:spacing w:line="360" w:lineRule="auto"/>
        <w:jc w:val="both"/>
        <w:rPr>
          <w:rFonts w:ascii="Arial" w:hAnsi="Arial" w:cs="Arial"/>
        </w:rPr>
      </w:pPr>
      <w:r w:rsidRPr="001D2BD9">
        <w:rPr>
          <w:rFonts w:ascii="Arial" w:hAnsi="Arial" w:cs="Arial"/>
          <w:b/>
          <w:bCs/>
        </w:rPr>
        <w:t>Financial Resources:</w:t>
      </w:r>
      <w:r w:rsidRPr="001D2BD9">
        <w:rPr>
          <w:rFonts w:ascii="Arial" w:hAnsi="Arial" w:cs="Arial"/>
        </w:rPr>
        <w:t xml:space="preserve"> Funding from sponsorships, ticket sales, and government grants.</w:t>
      </w:r>
    </w:p>
    <w:p w14:paraId="21EF9B4E" w14:textId="77777777" w:rsidR="001D2BD9" w:rsidRPr="001D2BD9" w:rsidRDefault="001D2BD9" w:rsidP="0060718C">
      <w:pPr>
        <w:numPr>
          <w:ilvl w:val="0"/>
          <w:numId w:val="14"/>
        </w:numPr>
        <w:spacing w:line="360" w:lineRule="auto"/>
        <w:jc w:val="both"/>
        <w:rPr>
          <w:rFonts w:ascii="Arial" w:hAnsi="Arial" w:cs="Arial"/>
        </w:rPr>
      </w:pPr>
      <w:r w:rsidRPr="001D2BD9">
        <w:rPr>
          <w:rFonts w:ascii="Arial" w:hAnsi="Arial" w:cs="Arial"/>
          <w:b/>
          <w:bCs/>
        </w:rPr>
        <w:t>Human Resources:</w:t>
      </w:r>
      <w:r w:rsidRPr="001D2BD9">
        <w:rPr>
          <w:rFonts w:ascii="Arial" w:hAnsi="Arial" w:cs="Arial"/>
        </w:rPr>
        <w:t xml:space="preserve"> Event coordinators, volunteers, technical support staff, and guest services.</w:t>
      </w:r>
    </w:p>
    <w:p w14:paraId="0025CEC4" w14:textId="77777777" w:rsidR="001D2BD9" w:rsidRPr="001D2BD9" w:rsidRDefault="001D2BD9" w:rsidP="0060718C">
      <w:pPr>
        <w:numPr>
          <w:ilvl w:val="0"/>
          <w:numId w:val="14"/>
        </w:numPr>
        <w:spacing w:line="360" w:lineRule="auto"/>
        <w:jc w:val="both"/>
        <w:rPr>
          <w:rFonts w:ascii="Arial" w:hAnsi="Arial" w:cs="Arial"/>
        </w:rPr>
      </w:pPr>
      <w:r w:rsidRPr="001D2BD9">
        <w:rPr>
          <w:rFonts w:ascii="Arial" w:hAnsi="Arial" w:cs="Arial"/>
          <w:b/>
          <w:bCs/>
        </w:rPr>
        <w:t>Documentation:</w:t>
      </w:r>
      <w:r w:rsidRPr="001D2BD9">
        <w:rPr>
          <w:rFonts w:ascii="Arial" w:hAnsi="Arial" w:cs="Arial"/>
        </w:rPr>
        <w:t xml:space="preserve"> Contracts, permits, and legal documentation necessary for event approval.</w:t>
      </w:r>
    </w:p>
    <w:p w14:paraId="4579D6FF" w14:textId="77777777" w:rsidR="001D2BD9" w:rsidRPr="001D2BD9" w:rsidRDefault="001D2BD9" w:rsidP="0060718C">
      <w:pPr>
        <w:numPr>
          <w:ilvl w:val="0"/>
          <w:numId w:val="14"/>
        </w:numPr>
        <w:spacing w:line="360" w:lineRule="auto"/>
        <w:jc w:val="both"/>
        <w:rPr>
          <w:rFonts w:ascii="Arial" w:hAnsi="Arial" w:cs="Arial"/>
        </w:rPr>
      </w:pPr>
      <w:r w:rsidRPr="001D2BD9">
        <w:rPr>
          <w:rFonts w:ascii="Arial" w:hAnsi="Arial" w:cs="Arial"/>
          <w:b/>
          <w:bCs/>
        </w:rPr>
        <w:lastRenderedPageBreak/>
        <w:t>Risk Assessment Reports:</w:t>
      </w:r>
      <w:r w:rsidRPr="001D2BD9">
        <w:rPr>
          <w:rFonts w:ascii="Arial" w:hAnsi="Arial" w:cs="Arial"/>
        </w:rPr>
        <w:t xml:space="preserve"> Health and safety plans, including contingency strategies.</w:t>
      </w:r>
    </w:p>
    <w:p w14:paraId="6E39CB67" w14:textId="2E4FECDB" w:rsidR="001D2BD9" w:rsidRPr="001D2BD9" w:rsidRDefault="001D2BD9" w:rsidP="0060718C">
      <w:pPr>
        <w:spacing w:line="360" w:lineRule="auto"/>
        <w:jc w:val="both"/>
        <w:rPr>
          <w:rFonts w:ascii="Arial" w:hAnsi="Arial" w:cs="Arial"/>
        </w:rPr>
      </w:pPr>
    </w:p>
    <w:p w14:paraId="3A3D23AE" w14:textId="77777777" w:rsidR="001D2BD9" w:rsidRPr="00FB1C29" w:rsidRDefault="001D2BD9" w:rsidP="008C5DB2">
      <w:pPr>
        <w:pStyle w:val="Heading3"/>
      </w:pPr>
      <w:bookmarkStart w:id="9" w:name="_Toc191086257"/>
      <w:r w:rsidRPr="00FB1C29">
        <w:t>3. Marketing Activities</w:t>
      </w:r>
      <w:bookmarkEnd w:id="9"/>
    </w:p>
    <w:p w14:paraId="0B410A3A" w14:textId="77777777" w:rsidR="008C5DB2" w:rsidRPr="00FB1C29" w:rsidRDefault="008C5DB2" w:rsidP="008C5DB2"/>
    <w:p w14:paraId="568EAE64" w14:textId="1A1FC0E7" w:rsidR="001D2BD9" w:rsidRPr="001D2BD9" w:rsidRDefault="001D2BD9" w:rsidP="0060718C">
      <w:pPr>
        <w:spacing w:line="360" w:lineRule="auto"/>
        <w:jc w:val="both"/>
        <w:rPr>
          <w:rFonts w:ascii="Arial" w:hAnsi="Arial" w:cs="Arial"/>
        </w:rPr>
      </w:pPr>
      <w:r w:rsidRPr="001D2BD9">
        <w:rPr>
          <w:rFonts w:ascii="Arial" w:hAnsi="Arial" w:cs="Arial"/>
        </w:rPr>
        <w:t xml:space="preserve">Marketing activities are designed to </w:t>
      </w:r>
      <w:r w:rsidRPr="002A29E3">
        <w:rPr>
          <w:rFonts w:ascii="Arial" w:hAnsi="Arial" w:cs="Arial"/>
        </w:rPr>
        <w:t>attract attendees</w:t>
      </w:r>
      <w:r w:rsidRPr="001D2BD9">
        <w:rPr>
          <w:rFonts w:ascii="Arial" w:hAnsi="Arial" w:cs="Arial"/>
        </w:rPr>
        <w:t>, raise awareness, and ensure the event has a strong presence in the hospitality sector. A strategic marketing campaign will maximize attendance and drive engagement before, during, and after the event</w:t>
      </w:r>
      <w:r w:rsidR="000D7147" w:rsidRPr="00FB1C29">
        <w:rPr>
          <w:rFonts w:ascii="Arial" w:hAnsi="Arial" w:cs="Arial"/>
        </w:rPr>
        <w:t xml:space="preserve"> (Bowdin, 2011, p.189-212).</w:t>
      </w:r>
    </w:p>
    <w:p w14:paraId="3AC5068C" w14:textId="77777777" w:rsidR="001D2BD9" w:rsidRPr="001D2BD9" w:rsidRDefault="001D2BD9" w:rsidP="0060718C">
      <w:pPr>
        <w:spacing w:line="360" w:lineRule="auto"/>
        <w:jc w:val="both"/>
        <w:rPr>
          <w:rFonts w:ascii="Arial" w:hAnsi="Arial" w:cs="Arial"/>
          <w:b/>
          <w:bCs/>
        </w:rPr>
      </w:pPr>
      <w:r w:rsidRPr="001D2BD9">
        <w:rPr>
          <w:rFonts w:ascii="Arial" w:hAnsi="Arial" w:cs="Arial"/>
          <w:b/>
          <w:bCs/>
        </w:rPr>
        <w:t>Skills Required:</w:t>
      </w:r>
    </w:p>
    <w:p w14:paraId="339908FE" w14:textId="407D9E32" w:rsidR="001D2BD9" w:rsidRPr="001D2BD9" w:rsidRDefault="001D2BD9" w:rsidP="0060718C">
      <w:pPr>
        <w:numPr>
          <w:ilvl w:val="0"/>
          <w:numId w:val="15"/>
        </w:numPr>
        <w:spacing w:line="360" w:lineRule="auto"/>
        <w:jc w:val="both"/>
        <w:rPr>
          <w:rFonts w:ascii="Arial" w:hAnsi="Arial" w:cs="Arial"/>
        </w:rPr>
      </w:pPr>
      <w:r w:rsidRPr="001D2BD9">
        <w:rPr>
          <w:rFonts w:ascii="Arial" w:hAnsi="Arial" w:cs="Arial"/>
          <w:b/>
          <w:bCs/>
        </w:rPr>
        <w:t>Digital Marketing Expertise:</w:t>
      </w:r>
      <w:r w:rsidRPr="001D2BD9">
        <w:rPr>
          <w:rFonts w:ascii="Arial" w:hAnsi="Arial" w:cs="Arial"/>
        </w:rPr>
        <w:t xml:space="preserve"> </w:t>
      </w:r>
      <w:r w:rsidR="000100EF">
        <w:rPr>
          <w:rFonts w:ascii="Arial" w:hAnsi="Arial" w:cs="Arial"/>
        </w:rPr>
        <w:t>t</w:t>
      </w:r>
      <w:r w:rsidR="000100EF" w:rsidRPr="000100EF">
        <w:rPr>
          <w:rFonts w:ascii="Arial" w:hAnsi="Arial" w:cs="Arial"/>
        </w:rPr>
        <w:t xml:space="preserve">o reach out to more potential customers, the </w:t>
      </w:r>
      <w:r w:rsidR="000100EF">
        <w:rPr>
          <w:rFonts w:ascii="Arial" w:hAnsi="Arial" w:cs="Arial"/>
        </w:rPr>
        <w:t xml:space="preserve">event </w:t>
      </w:r>
      <w:r w:rsidR="000100EF" w:rsidRPr="000100EF">
        <w:rPr>
          <w:rFonts w:ascii="Arial" w:hAnsi="Arial" w:cs="Arial"/>
        </w:rPr>
        <w:t>should promote its offerings through various forms of media, such as social media and email newsletters.</w:t>
      </w:r>
    </w:p>
    <w:p w14:paraId="10FAD3D7" w14:textId="77777777" w:rsidR="001D2BD9" w:rsidRPr="001D2BD9" w:rsidRDefault="001D2BD9" w:rsidP="0060718C">
      <w:pPr>
        <w:numPr>
          <w:ilvl w:val="0"/>
          <w:numId w:val="15"/>
        </w:numPr>
        <w:spacing w:line="360" w:lineRule="auto"/>
        <w:jc w:val="both"/>
        <w:rPr>
          <w:rFonts w:ascii="Arial" w:hAnsi="Arial" w:cs="Arial"/>
        </w:rPr>
      </w:pPr>
      <w:r w:rsidRPr="001D2BD9">
        <w:rPr>
          <w:rFonts w:ascii="Arial" w:hAnsi="Arial" w:cs="Arial"/>
          <w:b/>
          <w:bCs/>
        </w:rPr>
        <w:t>Public Relations:</w:t>
      </w:r>
      <w:r w:rsidRPr="001D2BD9">
        <w:rPr>
          <w:rFonts w:ascii="Arial" w:hAnsi="Arial" w:cs="Arial"/>
        </w:rPr>
        <w:t xml:space="preserve"> Managing media outreach, press releases, and speaker engagement to build credibility.</w:t>
      </w:r>
    </w:p>
    <w:p w14:paraId="019D913D" w14:textId="77777777" w:rsidR="001D2BD9" w:rsidRPr="001D2BD9" w:rsidRDefault="001D2BD9" w:rsidP="0060718C">
      <w:pPr>
        <w:numPr>
          <w:ilvl w:val="0"/>
          <w:numId w:val="15"/>
        </w:numPr>
        <w:spacing w:line="360" w:lineRule="auto"/>
        <w:jc w:val="both"/>
        <w:rPr>
          <w:rFonts w:ascii="Arial" w:hAnsi="Arial" w:cs="Arial"/>
        </w:rPr>
      </w:pPr>
      <w:r w:rsidRPr="001D2BD9">
        <w:rPr>
          <w:rFonts w:ascii="Arial" w:hAnsi="Arial" w:cs="Arial"/>
          <w:b/>
          <w:bCs/>
        </w:rPr>
        <w:t>Content Creation:</w:t>
      </w:r>
      <w:r w:rsidRPr="001D2BD9">
        <w:rPr>
          <w:rFonts w:ascii="Arial" w:hAnsi="Arial" w:cs="Arial"/>
        </w:rPr>
        <w:t xml:space="preserve"> Designing engaging content (blog posts, infographics, promotional videos) that highlights the event’s DEI focus.</w:t>
      </w:r>
    </w:p>
    <w:p w14:paraId="14D97222" w14:textId="77777777" w:rsidR="001D2BD9" w:rsidRPr="001D2BD9" w:rsidRDefault="001D2BD9" w:rsidP="0060718C">
      <w:pPr>
        <w:numPr>
          <w:ilvl w:val="0"/>
          <w:numId w:val="15"/>
        </w:numPr>
        <w:spacing w:line="360" w:lineRule="auto"/>
        <w:jc w:val="both"/>
        <w:rPr>
          <w:rFonts w:ascii="Arial" w:hAnsi="Arial" w:cs="Arial"/>
        </w:rPr>
      </w:pPr>
      <w:r w:rsidRPr="001D2BD9">
        <w:rPr>
          <w:rFonts w:ascii="Arial" w:hAnsi="Arial" w:cs="Arial"/>
          <w:b/>
          <w:bCs/>
        </w:rPr>
        <w:t>Graphic Design:</w:t>
      </w:r>
      <w:r w:rsidRPr="001D2BD9">
        <w:rPr>
          <w:rFonts w:ascii="Arial" w:hAnsi="Arial" w:cs="Arial"/>
        </w:rPr>
        <w:t xml:space="preserve"> Creating visually appealing materials for social media, websites, and physical banners.</w:t>
      </w:r>
    </w:p>
    <w:p w14:paraId="74FC32D4" w14:textId="77777777" w:rsidR="001D2BD9" w:rsidRPr="001D2BD9" w:rsidRDefault="001D2BD9" w:rsidP="0060718C">
      <w:pPr>
        <w:numPr>
          <w:ilvl w:val="0"/>
          <w:numId w:val="15"/>
        </w:numPr>
        <w:spacing w:line="360" w:lineRule="auto"/>
        <w:jc w:val="both"/>
        <w:rPr>
          <w:rFonts w:ascii="Arial" w:hAnsi="Arial" w:cs="Arial"/>
        </w:rPr>
      </w:pPr>
      <w:r w:rsidRPr="001D2BD9">
        <w:rPr>
          <w:rFonts w:ascii="Arial" w:hAnsi="Arial" w:cs="Arial"/>
          <w:b/>
          <w:bCs/>
        </w:rPr>
        <w:t>Communication Skills:</w:t>
      </w:r>
      <w:r w:rsidRPr="001D2BD9">
        <w:rPr>
          <w:rFonts w:ascii="Arial" w:hAnsi="Arial" w:cs="Arial"/>
        </w:rPr>
        <w:t xml:space="preserve"> Clear and persuasive messaging to appeal to various audience segments.</w:t>
      </w:r>
    </w:p>
    <w:p w14:paraId="0A36E85E" w14:textId="77777777" w:rsidR="001D2BD9" w:rsidRPr="001D2BD9" w:rsidRDefault="001D2BD9" w:rsidP="0060718C">
      <w:pPr>
        <w:spacing w:line="360" w:lineRule="auto"/>
        <w:jc w:val="both"/>
        <w:rPr>
          <w:rFonts w:ascii="Arial" w:hAnsi="Arial" w:cs="Arial"/>
          <w:b/>
          <w:bCs/>
        </w:rPr>
      </w:pPr>
      <w:r w:rsidRPr="001D2BD9">
        <w:rPr>
          <w:rFonts w:ascii="Arial" w:hAnsi="Arial" w:cs="Arial"/>
          <w:b/>
          <w:bCs/>
        </w:rPr>
        <w:t>Resources Needed:</w:t>
      </w:r>
    </w:p>
    <w:p w14:paraId="777D04E2" w14:textId="45F64314" w:rsidR="001D2BD9" w:rsidRPr="001D2BD9" w:rsidRDefault="001D2BD9" w:rsidP="0060718C">
      <w:pPr>
        <w:numPr>
          <w:ilvl w:val="0"/>
          <w:numId w:val="16"/>
        </w:numPr>
        <w:spacing w:line="360" w:lineRule="auto"/>
        <w:jc w:val="both"/>
        <w:rPr>
          <w:rFonts w:ascii="Arial" w:hAnsi="Arial" w:cs="Arial"/>
        </w:rPr>
      </w:pPr>
      <w:r w:rsidRPr="001D2BD9">
        <w:rPr>
          <w:rFonts w:ascii="Arial" w:hAnsi="Arial" w:cs="Arial"/>
          <w:b/>
          <w:bCs/>
        </w:rPr>
        <w:t>Marketing Budget:</w:t>
      </w:r>
      <w:r w:rsidRPr="001D2BD9">
        <w:rPr>
          <w:rFonts w:ascii="Arial" w:hAnsi="Arial" w:cs="Arial"/>
        </w:rPr>
        <w:t xml:space="preserve"> Allocation for advertising, promotions, and </w:t>
      </w:r>
      <w:r w:rsidRPr="00FB1C29">
        <w:rPr>
          <w:rFonts w:ascii="Arial" w:hAnsi="Arial" w:cs="Arial"/>
        </w:rPr>
        <w:t>influence</w:t>
      </w:r>
      <w:r w:rsidRPr="001D2BD9">
        <w:rPr>
          <w:rFonts w:ascii="Arial" w:hAnsi="Arial" w:cs="Arial"/>
        </w:rPr>
        <w:t xml:space="preserve"> partnerships.</w:t>
      </w:r>
    </w:p>
    <w:p w14:paraId="12314EC9" w14:textId="77777777" w:rsidR="001D2BD9" w:rsidRPr="001D2BD9" w:rsidRDefault="001D2BD9" w:rsidP="0060718C">
      <w:pPr>
        <w:numPr>
          <w:ilvl w:val="0"/>
          <w:numId w:val="16"/>
        </w:numPr>
        <w:spacing w:line="360" w:lineRule="auto"/>
        <w:jc w:val="both"/>
        <w:rPr>
          <w:rFonts w:ascii="Arial" w:hAnsi="Arial" w:cs="Arial"/>
        </w:rPr>
      </w:pPr>
      <w:r w:rsidRPr="001D2BD9">
        <w:rPr>
          <w:rFonts w:ascii="Arial" w:hAnsi="Arial" w:cs="Arial"/>
          <w:b/>
          <w:bCs/>
        </w:rPr>
        <w:t>Social Media Platforms:</w:t>
      </w:r>
      <w:r w:rsidRPr="001D2BD9">
        <w:rPr>
          <w:rFonts w:ascii="Arial" w:hAnsi="Arial" w:cs="Arial"/>
        </w:rPr>
        <w:t xml:space="preserve"> Channels like LinkedIn, Twitter, Instagram, and Facebook for digital outreach.</w:t>
      </w:r>
    </w:p>
    <w:p w14:paraId="08A83217" w14:textId="77777777" w:rsidR="001D2BD9" w:rsidRPr="001D2BD9" w:rsidRDefault="001D2BD9" w:rsidP="0060718C">
      <w:pPr>
        <w:numPr>
          <w:ilvl w:val="0"/>
          <w:numId w:val="16"/>
        </w:numPr>
        <w:spacing w:line="360" w:lineRule="auto"/>
        <w:jc w:val="both"/>
        <w:rPr>
          <w:rFonts w:ascii="Arial" w:hAnsi="Arial" w:cs="Arial"/>
        </w:rPr>
      </w:pPr>
      <w:r w:rsidRPr="001D2BD9">
        <w:rPr>
          <w:rFonts w:ascii="Arial" w:hAnsi="Arial" w:cs="Arial"/>
          <w:b/>
          <w:bCs/>
        </w:rPr>
        <w:lastRenderedPageBreak/>
        <w:t>Promotional Materials:</w:t>
      </w:r>
      <w:r w:rsidRPr="001D2BD9">
        <w:rPr>
          <w:rFonts w:ascii="Arial" w:hAnsi="Arial" w:cs="Arial"/>
        </w:rPr>
        <w:t xml:space="preserve"> Flyers, banners, press kits, branded merchandise.</w:t>
      </w:r>
    </w:p>
    <w:p w14:paraId="37965141" w14:textId="77777777" w:rsidR="001D2BD9" w:rsidRPr="001D2BD9" w:rsidRDefault="001D2BD9" w:rsidP="0060718C">
      <w:pPr>
        <w:numPr>
          <w:ilvl w:val="0"/>
          <w:numId w:val="16"/>
        </w:numPr>
        <w:spacing w:line="360" w:lineRule="auto"/>
        <w:jc w:val="both"/>
        <w:rPr>
          <w:rFonts w:ascii="Arial" w:hAnsi="Arial" w:cs="Arial"/>
        </w:rPr>
      </w:pPr>
      <w:r w:rsidRPr="001D2BD9">
        <w:rPr>
          <w:rFonts w:ascii="Arial" w:hAnsi="Arial" w:cs="Arial"/>
          <w:b/>
          <w:bCs/>
        </w:rPr>
        <w:t>Partnerships:</w:t>
      </w:r>
      <w:r w:rsidRPr="001D2BD9">
        <w:rPr>
          <w:rFonts w:ascii="Arial" w:hAnsi="Arial" w:cs="Arial"/>
        </w:rPr>
        <w:t xml:space="preserve"> Collaborations with hospitality associations, corporate sponsors, and DEI advocates.</w:t>
      </w:r>
    </w:p>
    <w:p w14:paraId="1CB80D99" w14:textId="77777777" w:rsidR="001D2BD9" w:rsidRPr="001D2BD9" w:rsidRDefault="001D2BD9" w:rsidP="0060718C">
      <w:pPr>
        <w:numPr>
          <w:ilvl w:val="0"/>
          <w:numId w:val="16"/>
        </w:numPr>
        <w:spacing w:line="360" w:lineRule="auto"/>
        <w:jc w:val="both"/>
        <w:rPr>
          <w:rFonts w:ascii="Arial" w:hAnsi="Arial" w:cs="Arial"/>
        </w:rPr>
      </w:pPr>
      <w:r w:rsidRPr="001D2BD9">
        <w:rPr>
          <w:rFonts w:ascii="Arial" w:hAnsi="Arial" w:cs="Arial"/>
          <w:b/>
          <w:bCs/>
        </w:rPr>
        <w:t>Media Contacts:</w:t>
      </w:r>
      <w:r w:rsidRPr="001D2BD9">
        <w:rPr>
          <w:rFonts w:ascii="Arial" w:hAnsi="Arial" w:cs="Arial"/>
        </w:rPr>
        <w:t xml:space="preserve"> Access to hospitality journalists and industry publications for event promotion.</w:t>
      </w:r>
    </w:p>
    <w:p w14:paraId="6DB49C31" w14:textId="77777777" w:rsidR="001D2BD9" w:rsidRPr="00FB1C29" w:rsidRDefault="001D2BD9" w:rsidP="0060718C">
      <w:pPr>
        <w:spacing w:line="360" w:lineRule="auto"/>
        <w:jc w:val="both"/>
        <w:rPr>
          <w:rFonts w:ascii="Arial" w:hAnsi="Arial" w:cs="Arial"/>
        </w:rPr>
      </w:pPr>
    </w:p>
    <w:p w14:paraId="362A6D80" w14:textId="5709FD8A" w:rsidR="009F6DB3" w:rsidRPr="00FB1C29" w:rsidRDefault="009F6DB3" w:rsidP="0060718C">
      <w:pPr>
        <w:pStyle w:val="Heading1"/>
        <w:spacing w:line="360" w:lineRule="auto"/>
        <w:jc w:val="both"/>
        <w:rPr>
          <w:rFonts w:ascii="Arial" w:hAnsi="Arial" w:cs="Arial"/>
          <w:sz w:val="32"/>
          <w:szCs w:val="32"/>
        </w:rPr>
      </w:pPr>
      <w:bookmarkStart w:id="10" w:name="_Toc191086258"/>
      <w:r w:rsidRPr="00FB1C29">
        <w:rPr>
          <w:rFonts w:ascii="Arial" w:hAnsi="Arial" w:cs="Arial"/>
          <w:sz w:val="32"/>
          <w:szCs w:val="32"/>
        </w:rPr>
        <w:t>Event Budget</w:t>
      </w:r>
      <w:bookmarkEnd w:id="10"/>
      <w:r w:rsidRPr="00FB1C29">
        <w:rPr>
          <w:rFonts w:ascii="Arial" w:hAnsi="Arial" w:cs="Arial"/>
          <w:sz w:val="32"/>
          <w:szCs w:val="32"/>
        </w:rPr>
        <w:t xml:space="preserve"> </w:t>
      </w:r>
    </w:p>
    <w:p w14:paraId="571C5103" w14:textId="77777777" w:rsidR="00A327A3" w:rsidRDefault="0071202B" w:rsidP="00A327A3">
      <w:pPr>
        <w:spacing w:line="360" w:lineRule="auto"/>
        <w:jc w:val="both"/>
        <w:rPr>
          <w:rFonts w:ascii="Arial" w:hAnsi="Arial" w:cs="Arial"/>
        </w:rPr>
      </w:pPr>
      <w:r w:rsidRPr="00FB1C29">
        <w:rPr>
          <w:rFonts w:ascii="Arial" w:hAnsi="Arial" w:cs="Arial"/>
        </w:rPr>
        <w:t xml:space="preserve">A clear understanding of the </w:t>
      </w:r>
      <w:r w:rsidRPr="002A29E3">
        <w:rPr>
          <w:rFonts w:ascii="Arial" w:hAnsi="Arial" w:cs="Arial"/>
        </w:rPr>
        <w:t>financial structure</w:t>
      </w:r>
      <w:r w:rsidRPr="00FB1C29">
        <w:rPr>
          <w:rFonts w:ascii="Arial" w:hAnsi="Arial" w:cs="Arial"/>
        </w:rPr>
        <w:t xml:space="preserve"> is essential to ensure </w:t>
      </w:r>
      <w:r w:rsidR="00903F3A" w:rsidRPr="00FB1C29">
        <w:rPr>
          <w:rFonts w:ascii="Arial" w:hAnsi="Arial" w:cs="Arial"/>
        </w:rPr>
        <w:t>the event is</w:t>
      </w:r>
      <w:r w:rsidRPr="00FB1C29">
        <w:rPr>
          <w:rFonts w:ascii="Arial" w:hAnsi="Arial" w:cs="Arial"/>
        </w:rPr>
        <w:t xml:space="preserve"> both feasible and profitable. This section provides a detailed breakdown of the event’s </w:t>
      </w:r>
      <w:r w:rsidRPr="002A29E3">
        <w:rPr>
          <w:rFonts w:ascii="Arial" w:hAnsi="Arial" w:cs="Arial"/>
        </w:rPr>
        <w:t>income and expenditure</w:t>
      </w:r>
      <w:r w:rsidRPr="00FB1C29">
        <w:rPr>
          <w:rFonts w:ascii="Arial" w:hAnsi="Arial" w:cs="Arial"/>
        </w:rPr>
        <w:t>, including an analysis of costs, funding sources, and income generation strategies</w:t>
      </w:r>
      <w:r w:rsidR="00AC06D4" w:rsidRPr="00FB1C29">
        <w:rPr>
          <w:rFonts w:ascii="Arial" w:hAnsi="Arial" w:cs="Arial"/>
        </w:rPr>
        <w:t xml:space="preserve"> (</w:t>
      </w:r>
      <w:r w:rsidR="00DA5ED7" w:rsidRPr="00FB1C29">
        <w:rPr>
          <w:rFonts w:ascii="Arial" w:hAnsi="Arial" w:cs="Arial"/>
        </w:rPr>
        <w:t>Event Budgeting Tips, 2018).</w:t>
      </w:r>
      <w:bookmarkStart w:id="11" w:name="_Toc191086259"/>
    </w:p>
    <w:p w14:paraId="10D7BD15" w14:textId="325895B4" w:rsidR="002352DC" w:rsidRPr="00A327A3" w:rsidRDefault="00A327A3" w:rsidP="00A327A3">
      <w:pPr>
        <w:pStyle w:val="Heading3"/>
        <w:rPr>
          <w:rFonts w:ascii="Arial" w:hAnsi="Arial" w:cs="Arial"/>
        </w:rPr>
      </w:pPr>
      <w:r w:rsidRPr="00A327A3">
        <w:rPr>
          <w:rFonts w:ascii="Arial" w:hAnsi="Arial" w:cs="Arial"/>
        </w:rPr>
        <w:t>1.</w:t>
      </w:r>
      <w:r>
        <w:t xml:space="preserve"> </w:t>
      </w:r>
      <w:r w:rsidR="002352DC" w:rsidRPr="00FB1C29">
        <w:t>Expenditure Breakdown</w:t>
      </w:r>
      <w:bookmarkEnd w:id="11"/>
    </w:p>
    <w:p w14:paraId="03A94F53" w14:textId="77777777" w:rsidR="002352DC" w:rsidRPr="00FB1C29" w:rsidRDefault="002352DC" w:rsidP="002352DC">
      <w:pPr>
        <w:pStyle w:val="ListParagraph"/>
        <w:ind w:left="1440"/>
      </w:pPr>
    </w:p>
    <w:p w14:paraId="3F7D839B" w14:textId="2717BB6C" w:rsidR="002352DC" w:rsidRPr="002352DC" w:rsidRDefault="002352DC" w:rsidP="002352DC">
      <w:pPr>
        <w:spacing w:line="360" w:lineRule="auto"/>
        <w:jc w:val="both"/>
        <w:rPr>
          <w:rFonts w:ascii="Arial" w:hAnsi="Arial" w:cs="Arial"/>
        </w:rPr>
      </w:pPr>
      <w:r w:rsidRPr="002352DC">
        <w:rPr>
          <w:rFonts w:ascii="Arial" w:hAnsi="Arial" w:cs="Arial"/>
        </w:rPr>
        <w:t xml:space="preserve">The event's total estimated cost is projected to be </w:t>
      </w:r>
      <w:r w:rsidRPr="002352DC">
        <w:rPr>
          <w:rFonts w:ascii="Arial" w:hAnsi="Arial" w:cs="Arial"/>
          <w:b/>
          <w:bCs/>
        </w:rPr>
        <w:t>£160,000</w:t>
      </w:r>
      <w:r w:rsidRPr="002352DC">
        <w:rPr>
          <w:rFonts w:ascii="Arial" w:hAnsi="Arial" w:cs="Arial"/>
        </w:rPr>
        <w:t>. These costs are divided across several key categories essential for the successful execution of the event</w:t>
      </w:r>
      <w:r w:rsidR="00A327A3">
        <w:rPr>
          <w:rFonts w:ascii="Arial" w:hAnsi="Arial" w:cs="Arial"/>
        </w:rPr>
        <w:t xml:space="preserve"> (</w:t>
      </w:r>
      <w:r w:rsidR="00244B7A">
        <w:rPr>
          <w:rFonts w:ascii="Arial" w:hAnsi="Arial" w:cs="Arial"/>
        </w:rPr>
        <w:t>Fig 4).</w:t>
      </w:r>
    </w:p>
    <w:p w14:paraId="47EC6508" w14:textId="77777777" w:rsidR="0060718C" w:rsidRPr="00FB1C29" w:rsidRDefault="0060718C" w:rsidP="00F84165">
      <w:pPr>
        <w:pStyle w:val="Heading3"/>
      </w:pPr>
    </w:p>
    <w:p w14:paraId="3E2FDB79" w14:textId="77777777" w:rsidR="00F84165" w:rsidRPr="00FB1C29" w:rsidRDefault="00F84165" w:rsidP="00F84165">
      <w:pPr>
        <w:pStyle w:val="Heading3"/>
      </w:pPr>
      <w:bookmarkStart w:id="12" w:name="_Toc191086260"/>
      <w:r w:rsidRPr="00FB1C29">
        <w:t>2. Income Generation Strategies</w:t>
      </w:r>
      <w:bookmarkEnd w:id="12"/>
    </w:p>
    <w:p w14:paraId="00A7170F" w14:textId="77777777" w:rsidR="00F84165" w:rsidRPr="00FB1C29" w:rsidRDefault="00F84165" w:rsidP="00F84165"/>
    <w:p w14:paraId="0EF3E823" w14:textId="1616B872" w:rsidR="00C87842" w:rsidRDefault="00F84165" w:rsidP="009B5B5A">
      <w:pPr>
        <w:spacing w:line="360" w:lineRule="auto"/>
        <w:jc w:val="both"/>
        <w:rPr>
          <w:rFonts w:ascii="Arial" w:hAnsi="Arial" w:cs="Arial"/>
        </w:rPr>
      </w:pPr>
      <w:r w:rsidRPr="00F84165">
        <w:rPr>
          <w:rFonts w:ascii="Arial" w:hAnsi="Arial" w:cs="Arial"/>
        </w:rPr>
        <w:t xml:space="preserve">The projected total revenue for the event is estimated at </w:t>
      </w:r>
      <w:r w:rsidRPr="00F84165">
        <w:rPr>
          <w:rFonts w:ascii="Arial" w:hAnsi="Arial" w:cs="Arial"/>
          <w:b/>
          <w:bCs/>
        </w:rPr>
        <w:t>£184,000</w:t>
      </w:r>
      <w:r w:rsidRPr="00F84165">
        <w:rPr>
          <w:rFonts w:ascii="Arial" w:hAnsi="Arial" w:cs="Arial"/>
        </w:rPr>
        <w:t xml:space="preserve">, ensuring a net surplus of </w:t>
      </w:r>
      <w:r w:rsidRPr="00F84165">
        <w:rPr>
          <w:rFonts w:ascii="Arial" w:hAnsi="Arial" w:cs="Arial"/>
          <w:b/>
          <w:bCs/>
        </w:rPr>
        <w:t>£24,000.</w:t>
      </w:r>
      <w:r w:rsidRPr="00F84165">
        <w:rPr>
          <w:rFonts w:ascii="Arial" w:hAnsi="Arial" w:cs="Arial"/>
        </w:rPr>
        <w:t xml:space="preserve"> Multiple income streams will be utilized to cover expenses and ensure profitability</w:t>
      </w:r>
      <w:r w:rsidR="00EB10CE">
        <w:rPr>
          <w:rFonts w:ascii="Arial" w:hAnsi="Arial" w:cs="Arial"/>
        </w:rPr>
        <w:t xml:space="preserve"> (Fi</w:t>
      </w:r>
      <w:r w:rsidR="009B5B5A">
        <w:rPr>
          <w:rFonts w:ascii="Arial" w:hAnsi="Arial" w:cs="Arial"/>
        </w:rPr>
        <w:t>g 5).</w:t>
      </w:r>
    </w:p>
    <w:p w14:paraId="47A9ADA1" w14:textId="77777777" w:rsidR="009B5B5A" w:rsidRPr="009B5B5A" w:rsidRDefault="009B5B5A" w:rsidP="009B5B5A">
      <w:pPr>
        <w:spacing w:line="360" w:lineRule="auto"/>
        <w:jc w:val="both"/>
        <w:rPr>
          <w:rFonts w:ascii="Arial" w:hAnsi="Arial" w:cs="Arial"/>
        </w:rPr>
      </w:pPr>
    </w:p>
    <w:p w14:paraId="1C35BB5C" w14:textId="77777777" w:rsidR="00A82D5B" w:rsidRPr="00FB1C29" w:rsidRDefault="00A82D5B" w:rsidP="00A82D5B">
      <w:pPr>
        <w:pStyle w:val="Heading3"/>
      </w:pPr>
      <w:bookmarkStart w:id="13" w:name="_Toc191086261"/>
      <w:r w:rsidRPr="00FB1C29">
        <w:t>3. Analysis of Costs</w:t>
      </w:r>
      <w:bookmarkEnd w:id="13"/>
    </w:p>
    <w:p w14:paraId="0498B051" w14:textId="77777777" w:rsidR="00A82D5B" w:rsidRPr="00FB1C29" w:rsidRDefault="00A82D5B" w:rsidP="00A82D5B"/>
    <w:p w14:paraId="546185F9" w14:textId="77777777" w:rsidR="00A82D5B" w:rsidRPr="00A82D5B" w:rsidRDefault="00A82D5B" w:rsidP="00A82D5B">
      <w:pPr>
        <w:spacing w:line="360" w:lineRule="auto"/>
        <w:jc w:val="both"/>
        <w:rPr>
          <w:rFonts w:ascii="Arial" w:hAnsi="Arial" w:cs="Arial"/>
        </w:rPr>
      </w:pPr>
      <w:r w:rsidRPr="00A82D5B">
        <w:rPr>
          <w:rFonts w:ascii="Arial" w:hAnsi="Arial" w:cs="Arial"/>
        </w:rPr>
        <w:t xml:space="preserve">The most significant expenditures are expected to be the venue rental, speaker fees, and technical support. These costs are justified due to the premium nature of the venue, the </w:t>
      </w:r>
      <w:r w:rsidRPr="00A82D5B">
        <w:rPr>
          <w:rFonts w:ascii="Arial" w:hAnsi="Arial" w:cs="Arial"/>
        </w:rPr>
        <w:lastRenderedPageBreak/>
        <w:t>need for high-quality DEI expertise, and the technology requirements for hosting an impactful event.</w:t>
      </w:r>
    </w:p>
    <w:p w14:paraId="3C5D7B39" w14:textId="77777777" w:rsidR="00A82D5B" w:rsidRPr="00A82D5B" w:rsidRDefault="00A82D5B" w:rsidP="00A82D5B">
      <w:pPr>
        <w:numPr>
          <w:ilvl w:val="0"/>
          <w:numId w:val="17"/>
        </w:numPr>
        <w:spacing w:line="360" w:lineRule="auto"/>
        <w:jc w:val="both"/>
        <w:rPr>
          <w:rFonts w:ascii="Arial" w:hAnsi="Arial" w:cs="Arial"/>
        </w:rPr>
      </w:pPr>
      <w:r w:rsidRPr="00A82D5B">
        <w:rPr>
          <w:rFonts w:ascii="Arial" w:hAnsi="Arial" w:cs="Arial"/>
          <w:b/>
          <w:bCs/>
        </w:rPr>
        <w:t>Venue Rental</w:t>
      </w:r>
      <w:r w:rsidRPr="00A82D5B">
        <w:rPr>
          <w:rFonts w:ascii="Arial" w:hAnsi="Arial" w:cs="Arial"/>
        </w:rPr>
        <w:t xml:space="preserve"> (£40,000): Choosing the prestigious Marina Bay Sands adds credibility and offers state-of-the-art facilities.</w:t>
      </w:r>
    </w:p>
    <w:p w14:paraId="694D0469" w14:textId="77777777" w:rsidR="00A82D5B" w:rsidRPr="00A82D5B" w:rsidRDefault="00A82D5B" w:rsidP="00A82D5B">
      <w:pPr>
        <w:numPr>
          <w:ilvl w:val="0"/>
          <w:numId w:val="17"/>
        </w:numPr>
        <w:spacing w:line="360" w:lineRule="auto"/>
        <w:jc w:val="both"/>
        <w:rPr>
          <w:rFonts w:ascii="Arial" w:hAnsi="Arial" w:cs="Arial"/>
        </w:rPr>
      </w:pPr>
      <w:r w:rsidRPr="00A82D5B">
        <w:rPr>
          <w:rFonts w:ascii="Arial" w:hAnsi="Arial" w:cs="Arial"/>
          <w:b/>
          <w:bCs/>
        </w:rPr>
        <w:t>Speaker Fees &amp; Travel</w:t>
      </w:r>
      <w:r w:rsidRPr="00A82D5B">
        <w:rPr>
          <w:rFonts w:ascii="Arial" w:hAnsi="Arial" w:cs="Arial"/>
        </w:rPr>
        <w:t xml:space="preserve"> (£32,000): Hosting international DEI experts ensures high-quality content and attracts attendees from around the world.</w:t>
      </w:r>
    </w:p>
    <w:p w14:paraId="4AAF0DA8" w14:textId="77777777" w:rsidR="00A82D5B" w:rsidRPr="00A82D5B" w:rsidRDefault="00A82D5B" w:rsidP="00A82D5B">
      <w:pPr>
        <w:numPr>
          <w:ilvl w:val="0"/>
          <w:numId w:val="17"/>
        </w:numPr>
        <w:spacing w:line="360" w:lineRule="auto"/>
        <w:jc w:val="both"/>
        <w:rPr>
          <w:rFonts w:ascii="Arial" w:hAnsi="Arial" w:cs="Arial"/>
        </w:rPr>
      </w:pPr>
      <w:r w:rsidRPr="00A82D5B">
        <w:rPr>
          <w:rFonts w:ascii="Arial" w:hAnsi="Arial" w:cs="Arial"/>
          <w:b/>
          <w:bCs/>
        </w:rPr>
        <w:t>Technical Support</w:t>
      </w:r>
      <w:r w:rsidRPr="00A82D5B">
        <w:rPr>
          <w:rFonts w:ascii="Arial" w:hAnsi="Arial" w:cs="Arial"/>
        </w:rPr>
        <w:t xml:space="preserve"> (£20,000): Necessary to facilitate hybrid event options and ensure a seamless presentation experience.</w:t>
      </w:r>
    </w:p>
    <w:p w14:paraId="38ABB3E2" w14:textId="77777777" w:rsidR="00A82D5B" w:rsidRPr="00FB1C29" w:rsidRDefault="00A82D5B" w:rsidP="00A82D5B">
      <w:pPr>
        <w:numPr>
          <w:ilvl w:val="0"/>
          <w:numId w:val="17"/>
        </w:numPr>
        <w:spacing w:line="360" w:lineRule="auto"/>
        <w:jc w:val="both"/>
        <w:rPr>
          <w:rFonts w:ascii="Arial" w:hAnsi="Arial" w:cs="Arial"/>
        </w:rPr>
      </w:pPr>
      <w:r w:rsidRPr="00A82D5B">
        <w:rPr>
          <w:rFonts w:ascii="Arial" w:hAnsi="Arial" w:cs="Arial"/>
          <w:b/>
          <w:bCs/>
        </w:rPr>
        <w:t xml:space="preserve">Marketing </w:t>
      </w:r>
      <w:r w:rsidRPr="00A82D5B">
        <w:rPr>
          <w:rFonts w:ascii="Arial" w:hAnsi="Arial" w:cs="Arial"/>
        </w:rPr>
        <w:t>(£16,000): A substantial portion of the budget will be used for targeted campaigns to maximize event reach and participation.</w:t>
      </w:r>
    </w:p>
    <w:p w14:paraId="171C4184" w14:textId="77777777" w:rsidR="00E25982" w:rsidRPr="00FB1C29" w:rsidRDefault="00E25982" w:rsidP="00E25982">
      <w:pPr>
        <w:pStyle w:val="Heading3"/>
      </w:pPr>
      <w:bookmarkStart w:id="14" w:name="_Toc191086262"/>
      <w:r w:rsidRPr="00FB1C29">
        <w:t>4. Funding Sources</w:t>
      </w:r>
      <w:bookmarkEnd w:id="14"/>
    </w:p>
    <w:p w14:paraId="39672C6E" w14:textId="77777777" w:rsidR="00E25982" w:rsidRPr="00FB1C29" w:rsidRDefault="00E25982" w:rsidP="00E25982"/>
    <w:p w14:paraId="320A2D43" w14:textId="77777777" w:rsidR="00E25982" w:rsidRPr="00E25982" w:rsidRDefault="00E25982" w:rsidP="00E25982">
      <w:pPr>
        <w:spacing w:line="360" w:lineRule="auto"/>
        <w:ind w:left="360"/>
        <w:jc w:val="both"/>
        <w:rPr>
          <w:rFonts w:ascii="Arial" w:hAnsi="Arial" w:cs="Arial"/>
        </w:rPr>
      </w:pPr>
      <w:r w:rsidRPr="00E25982">
        <w:rPr>
          <w:rFonts w:ascii="Arial" w:hAnsi="Arial" w:cs="Arial"/>
        </w:rPr>
        <w:t>The event will be funded through multiple streams to diversify risk and ensure financial viability:</w:t>
      </w:r>
    </w:p>
    <w:p w14:paraId="4B7721AE" w14:textId="77777777" w:rsidR="00E25982" w:rsidRPr="00E25982" w:rsidRDefault="00E25982" w:rsidP="00E25982">
      <w:pPr>
        <w:numPr>
          <w:ilvl w:val="0"/>
          <w:numId w:val="18"/>
        </w:numPr>
        <w:spacing w:line="360" w:lineRule="auto"/>
        <w:jc w:val="both"/>
        <w:rPr>
          <w:rFonts w:ascii="Arial" w:hAnsi="Arial" w:cs="Arial"/>
        </w:rPr>
      </w:pPr>
      <w:r w:rsidRPr="00E25982">
        <w:rPr>
          <w:rFonts w:ascii="Arial" w:hAnsi="Arial" w:cs="Arial"/>
          <w:b/>
          <w:bCs/>
        </w:rPr>
        <w:t>Corporate Sponsorships:</w:t>
      </w:r>
    </w:p>
    <w:p w14:paraId="3453EED9" w14:textId="1BBB2EE5" w:rsidR="00E25982" w:rsidRPr="00E25982" w:rsidRDefault="00E25982" w:rsidP="00E25982">
      <w:pPr>
        <w:numPr>
          <w:ilvl w:val="1"/>
          <w:numId w:val="18"/>
        </w:numPr>
        <w:spacing w:line="360" w:lineRule="auto"/>
        <w:jc w:val="both"/>
        <w:rPr>
          <w:rFonts w:ascii="Arial" w:hAnsi="Arial" w:cs="Arial"/>
        </w:rPr>
      </w:pPr>
      <w:r w:rsidRPr="00E25982">
        <w:rPr>
          <w:rFonts w:ascii="Arial" w:hAnsi="Arial" w:cs="Arial"/>
        </w:rPr>
        <w:t xml:space="preserve">Key hospitality brands and DEI-focused organizations will be approached for </w:t>
      </w:r>
      <w:r w:rsidR="000B0DB7" w:rsidRPr="00FB1C29">
        <w:rPr>
          <w:rFonts w:ascii="Arial" w:hAnsi="Arial" w:cs="Arial"/>
        </w:rPr>
        <w:t>sponsorship</w:t>
      </w:r>
      <w:r w:rsidRPr="00E25982">
        <w:rPr>
          <w:rFonts w:ascii="Arial" w:hAnsi="Arial" w:cs="Arial"/>
        </w:rPr>
        <w:t>.</w:t>
      </w:r>
    </w:p>
    <w:p w14:paraId="12FEBE1F" w14:textId="77777777" w:rsidR="00E25982" w:rsidRPr="00E25982" w:rsidRDefault="00E25982" w:rsidP="00E25982">
      <w:pPr>
        <w:numPr>
          <w:ilvl w:val="1"/>
          <w:numId w:val="18"/>
        </w:numPr>
        <w:spacing w:line="360" w:lineRule="auto"/>
        <w:jc w:val="both"/>
        <w:rPr>
          <w:rFonts w:ascii="Arial" w:hAnsi="Arial" w:cs="Arial"/>
        </w:rPr>
      </w:pPr>
      <w:r w:rsidRPr="00E25982">
        <w:rPr>
          <w:rFonts w:ascii="Arial" w:hAnsi="Arial" w:cs="Arial"/>
        </w:rPr>
        <w:t>Different sponsorship tiers (Gold, Silver, Bronze) will offer various benefits, including brand visibility, speaker slots, and exhibition spaces.</w:t>
      </w:r>
    </w:p>
    <w:p w14:paraId="51D06315" w14:textId="77777777" w:rsidR="00E25982" w:rsidRPr="00E25982" w:rsidRDefault="00E25982" w:rsidP="00E25982">
      <w:pPr>
        <w:numPr>
          <w:ilvl w:val="0"/>
          <w:numId w:val="18"/>
        </w:numPr>
        <w:spacing w:line="360" w:lineRule="auto"/>
        <w:jc w:val="both"/>
        <w:rPr>
          <w:rFonts w:ascii="Arial" w:hAnsi="Arial" w:cs="Arial"/>
        </w:rPr>
      </w:pPr>
      <w:r w:rsidRPr="00E25982">
        <w:rPr>
          <w:rFonts w:ascii="Arial" w:hAnsi="Arial" w:cs="Arial"/>
          <w:b/>
          <w:bCs/>
        </w:rPr>
        <w:t>Ticket Sales:</w:t>
      </w:r>
    </w:p>
    <w:p w14:paraId="427602D5" w14:textId="77777777" w:rsidR="00E25982" w:rsidRPr="00E25982" w:rsidRDefault="00E25982" w:rsidP="00E25982">
      <w:pPr>
        <w:numPr>
          <w:ilvl w:val="1"/>
          <w:numId w:val="18"/>
        </w:numPr>
        <w:spacing w:line="360" w:lineRule="auto"/>
        <w:jc w:val="both"/>
        <w:rPr>
          <w:rFonts w:ascii="Arial" w:hAnsi="Arial" w:cs="Arial"/>
        </w:rPr>
      </w:pPr>
      <w:r w:rsidRPr="00E25982">
        <w:rPr>
          <w:rFonts w:ascii="Arial" w:hAnsi="Arial" w:cs="Arial"/>
        </w:rPr>
        <w:t>Early bird offers, VIP packages, and group discounts will incentivize attendance and boost revenue.</w:t>
      </w:r>
    </w:p>
    <w:p w14:paraId="445775ED" w14:textId="77777777" w:rsidR="00E25982" w:rsidRPr="00E25982" w:rsidRDefault="00E25982" w:rsidP="00E25982">
      <w:pPr>
        <w:numPr>
          <w:ilvl w:val="1"/>
          <w:numId w:val="18"/>
        </w:numPr>
        <w:spacing w:line="360" w:lineRule="auto"/>
        <w:jc w:val="both"/>
        <w:rPr>
          <w:rFonts w:ascii="Arial" w:hAnsi="Arial" w:cs="Arial"/>
        </w:rPr>
      </w:pPr>
      <w:r w:rsidRPr="00E25982">
        <w:rPr>
          <w:rFonts w:ascii="Arial" w:hAnsi="Arial" w:cs="Arial"/>
        </w:rPr>
        <w:t>Special rates will be available for students and non-profit organizations to encourage diverse participation.</w:t>
      </w:r>
    </w:p>
    <w:p w14:paraId="6A53E90D" w14:textId="77777777" w:rsidR="00E25982" w:rsidRPr="00E25982" w:rsidRDefault="00E25982" w:rsidP="00E25982">
      <w:pPr>
        <w:numPr>
          <w:ilvl w:val="0"/>
          <w:numId w:val="18"/>
        </w:numPr>
        <w:spacing w:line="360" w:lineRule="auto"/>
        <w:jc w:val="both"/>
        <w:rPr>
          <w:rFonts w:ascii="Arial" w:hAnsi="Arial" w:cs="Arial"/>
        </w:rPr>
      </w:pPr>
      <w:r w:rsidRPr="00E25982">
        <w:rPr>
          <w:rFonts w:ascii="Arial" w:hAnsi="Arial" w:cs="Arial"/>
          <w:b/>
          <w:bCs/>
        </w:rPr>
        <w:t>Exhibition Booth Rentals:</w:t>
      </w:r>
    </w:p>
    <w:p w14:paraId="30207D67" w14:textId="77777777" w:rsidR="00E25982" w:rsidRPr="00E25982" w:rsidRDefault="00E25982" w:rsidP="00E25982">
      <w:pPr>
        <w:numPr>
          <w:ilvl w:val="1"/>
          <w:numId w:val="18"/>
        </w:numPr>
        <w:spacing w:line="360" w:lineRule="auto"/>
        <w:jc w:val="both"/>
        <w:rPr>
          <w:rFonts w:ascii="Arial" w:hAnsi="Arial" w:cs="Arial"/>
        </w:rPr>
      </w:pPr>
      <w:r w:rsidRPr="00E25982">
        <w:rPr>
          <w:rFonts w:ascii="Arial" w:hAnsi="Arial" w:cs="Arial"/>
        </w:rPr>
        <w:lastRenderedPageBreak/>
        <w:t>Organizations will pay for space to showcase innovative solutions and services related to DEI and hospitality.</w:t>
      </w:r>
    </w:p>
    <w:p w14:paraId="02517374" w14:textId="77777777" w:rsidR="00E25982" w:rsidRPr="00E25982" w:rsidRDefault="00E25982" w:rsidP="00E25982">
      <w:pPr>
        <w:numPr>
          <w:ilvl w:val="0"/>
          <w:numId w:val="18"/>
        </w:numPr>
        <w:spacing w:line="360" w:lineRule="auto"/>
        <w:jc w:val="both"/>
        <w:rPr>
          <w:rFonts w:ascii="Arial" w:hAnsi="Arial" w:cs="Arial"/>
        </w:rPr>
      </w:pPr>
      <w:r w:rsidRPr="00E25982">
        <w:rPr>
          <w:rFonts w:ascii="Arial" w:hAnsi="Arial" w:cs="Arial"/>
          <w:b/>
          <w:bCs/>
        </w:rPr>
        <w:t>Advertising Revenue:</w:t>
      </w:r>
    </w:p>
    <w:p w14:paraId="09C6E191" w14:textId="77777777" w:rsidR="00E25982" w:rsidRPr="00FB1C29" w:rsidRDefault="00E25982" w:rsidP="00E25982">
      <w:pPr>
        <w:numPr>
          <w:ilvl w:val="1"/>
          <w:numId w:val="18"/>
        </w:numPr>
        <w:spacing w:line="360" w:lineRule="auto"/>
        <w:jc w:val="both"/>
        <w:rPr>
          <w:rFonts w:ascii="Arial" w:hAnsi="Arial" w:cs="Arial"/>
        </w:rPr>
      </w:pPr>
      <w:r w:rsidRPr="00E25982">
        <w:rPr>
          <w:rFonts w:ascii="Arial" w:hAnsi="Arial" w:cs="Arial"/>
        </w:rPr>
        <w:t>Sponsored content in event programs, banners, and live-streamed sessions will generate additional income.</w:t>
      </w:r>
    </w:p>
    <w:p w14:paraId="5498065A" w14:textId="0C3A6BFE" w:rsidR="000B0DB7" w:rsidRPr="00FB1C29" w:rsidRDefault="000B0DB7" w:rsidP="000B0DB7">
      <w:pPr>
        <w:pStyle w:val="Heading3"/>
        <w:numPr>
          <w:ilvl w:val="0"/>
          <w:numId w:val="18"/>
        </w:numPr>
        <w:rPr>
          <w:rStyle w:val="Strong"/>
          <w:b w:val="0"/>
          <w:bCs w:val="0"/>
        </w:rPr>
      </w:pPr>
      <w:bookmarkStart w:id="15" w:name="_Toc191086263"/>
      <w:r w:rsidRPr="00FB1C29">
        <w:rPr>
          <w:rStyle w:val="Strong"/>
          <w:b w:val="0"/>
          <w:bCs w:val="0"/>
        </w:rPr>
        <w:t>Financial Sustainability and Profitability</w:t>
      </w:r>
      <w:bookmarkEnd w:id="15"/>
    </w:p>
    <w:p w14:paraId="3A774262" w14:textId="77777777" w:rsidR="000B0DB7" w:rsidRPr="00FB1C29" w:rsidRDefault="000B0DB7" w:rsidP="000B0DB7">
      <w:pPr>
        <w:pStyle w:val="ListParagraph"/>
      </w:pPr>
    </w:p>
    <w:p w14:paraId="673881FC" w14:textId="77777777" w:rsidR="000B0DB7" w:rsidRPr="00FB1C29" w:rsidRDefault="000B0DB7" w:rsidP="000B0DB7">
      <w:pPr>
        <w:pStyle w:val="NormalWeb"/>
        <w:spacing w:line="360" w:lineRule="auto"/>
        <w:jc w:val="both"/>
        <w:rPr>
          <w:rFonts w:ascii="Arial" w:hAnsi="Arial" w:cs="Arial"/>
        </w:rPr>
      </w:pPr>
      <w:r w:rsidRPr="00FB1C29">
        <w:rPr>
          <w:rFonts w:ascii="Arial" w:hAnsi="Arial" w:cs="Arial"/>
        </w:rPr>
        <w:t xml:space="preserve">The event is designed to be financially self-sustaining. With a projected </w:t>
      </w:r>
      <w:r w:rsidRPr="002A29E3">
        <w:rPr>
          <w:rStyle w:val="Strong"/>
          <w:rFonts w:ascii="Arial" w:hAnsi="Arial" w:cs="Arial"/>
          <w:b w:val="0"/>
          <w:bCs w:val="0"/>
        </w:rPr>
        <w:t>total revenue of £184,000</w:t>
      </w:r>
      <w:r w:rsidRPr="002A29E3">
        <w:rPr>
          <w:rFonts w:ascii="Arial" w:hAnsi="Arial" w:cs="Arial"/>
        </w:rPr>
        <w:t xml:space="preserve"> and expenses capped at </w:t>
      </w:r>
      <w:r w:rsidRPr="002A29E3">
        <w:rPr>
          <w:rStyle w:val="Strong"/>
          <w:rFonts w:ascii="Arial" w:hAnsi="Arial" w:cs="Arial"/>
          <w:b w:val="0"/>
          <w:bCs w:val="0"/>
        </w:rPr>
        <w:t>£160,000</w:t>
      </w:r>
      <w:r w:rsidRPr="002A29E3">
        <w:rPr>
          <w:rFonts w:ascii="Arial" w:hAnsi="Arial" w:cs="Arial"/>
        </w:rPr>
        <w:t xml:space="preserve">, the expected </w:t>
      </w:r>
      <w:r w:rsidRPr="002A29E3">
        <w:rPr>
          <w:rStyle w:val="Strong"/>
          <w:rFonts w:ascii="Arial" w:hAnsi="Arial" w:cs="Arial"/>
          <w:b w:val="0"/>
          <w:bCs w:val="0"/>
        </w:rPr>
        <w:t>net profit of £24,000</w:t>
      </w:r>
      <w:r w:rsidRPr="00FB1C29">
        <w:rPr>
          <w:rFonts w:ascii="Arial" w:hAnsi="Arial" w:cs="Arial"/>
        </w:rPr>
        <w:t xml:space="preserve"> will be reinvested into future initiatives promoting diversity and inclusion in hospitality.</w:t>
      </w:r>
    </w:p>
    <w:p w14:paraId="7DDF91D6" w14:textId="77777777" w:rsidR="000B0DB7" w:rsidRPr="00FB1C29" w:rsidRDefault="000B0DB7" w:rsidP="000B0DB7">
      <w:pPr>
        <w:pStyle w:val="NormalWeb"/>
        <w:spacing w:line="360" w:lineRule="auto"/>
        <w:jc w:val="both"/>
        <w:rPr>
          <w:rFonts w:ascii="Arial" w:hAnsi="Arial" w:cs="Arial"/>
        </w:rPr>
      </w:pPr>
      <w:r w:rsidRPr="00FB1C29">
        <w:rPr>
          <w:rFonts w:ascii="Arial" w:hAnsi="Arial" w:cs="Arial"/>
        </w:rPr>
        <w:t>The surplus ensures the event’s long-term viability and supports post-event activities, such as releasing post-event reports, offering follow-up training, and organizing future DEI initiatives within the hospitality sector.</w:t>
      </w:r>
    </w:p>
    <w:p w14:paraId="5728B6AE" w14:textId="77777777" w:rsidR="009F6DB3" w:rsidRPr="00FB1C29" w:rsidRDefault="009F6DB3" w:rsidP="0060718C">
      <w:pPr>
        <w:spacing w:line="360" w:lineRule="auto"/>
        <w:jc w:val="both"/>
        <w:rPr>
          <w:rFonts w:ascii="Arial" w:hAnsi="Arial" w:cs="Arial"/>
        </w:rPr>
      </w:pPr>
    </w:p>
    <w:p w14:paraId="32A81C88" w14:textId="77777777" w:rsidR="008846DD" w:rsidRPr="00FB1C29" w:rsidRDefault="008846DD" w:rsidP="0060718C">
      <w:pPr>
        <w:pStyle w:val="Heading1"/>
        <w:spacing w:line="360" w:lineRule="auto"/>
        <w:jc w:val="both"/>
        <w:rPr>
          <w:rFonts w:ascii="Arial" w:hAnsi="Arial" w:cs="Arial"/>
          <w:sz w:val="32"/>
          <w:szCs w:val="32"/>
        </w:rPr>
      </w:pPr>
      <w:bookmarkStart w:id="16" w:name="_Toc191086264"/>
      <w:r w:rsidRPr="00FB1C29">
        <w:rPr>
          <w:rFonts w:ascii="Arial" w:hAnsi="Arial" w:cs="Arial"/>
          <w:sz w:val="32"/>
          <w:szCs w:val="32"/>
        </w:rPr>
        <w:t>Industry Trends / Issues / Impacts</w:t>
      </w:r>
      <w:bookmarkEnd w:id="16"/>
    </w:p>
    <w:p w14:paraId="2E1E79A7" w14:textId="3C80A4C6" w:rsidR="007B72D0" w:rsidRDefault="007B72D0" w:rsidP="00B326CA">
      <w:pPr>
        <w:spacing w:line="360" w:lineRule="auto"/>
        <w:jc w:val="both"/>
        <w:rPr>
          <w:rFonts w:ascii="Arial" w:hAnsi="Arial" w:cs="Arial"/>
        </w:rPr>
      </w:pPr>
      <w:r w:rsidRPr="007B72D0">
        <w:rPr>
          <w:rFonts w:ascii="Arial" w:hAnsi="Arial" w:cs="Arial"/>
        </w:rPr>
        <w:t>Over the past decade, the MICE industry has gone through significant transformations due to various factors. These include technological advancements, global disruptions, and societal shifts. Instead of being about gathering people, events now function as platforms for networking and innovation.</w:t>
      </w:r>
    </w:p>
    <w:p w14:paraId="2918984B" w14:textId="7211C0CD" w:rsidR="00B326CA" w:rsidRPr="00B326CA" w:rsidRDefault="00B326CA" w:rsidP="00B326CA">
      <w:pPr>
        <w:spacing w:line="360" w:lineRule="auto"/>
        <w:jc w:val="both"/>
        <w:rPr>
          <w:rFonts w:ascii="Arial" w:hAnsi="Arial" w:cs="Arial"/>
        </w:rPr>
      </w:pPr>
      <w:r w:rsidRPr="00B326CA">
        <w:rPr>
          <w:rFonts w:ascii="Arial" w:hAnsi="Arial" w:cs="Arial"/>
        </w:rPr>
        <w:t xml:space="preserve">For </w:t>
      </w:r>
      <w:r w:rsidRPr="00B326CA">
        <w:rPr>
          <w:rFonts w:ascii="Arial" w:hAnsi="Arial" w:cs="Arial"/>
          <w:i/>
          <w:iCs/>
        </w:rPr>
        <w:t>"Unlocking Opportunities: Building Inclusive and Diverse Careers in Hospitality,"</w:t>
      </w:r>
      <w:r w:rsidRPr="00B326CA">
        <w:rPr>
          <w:rFonts w:ascii="Arial" w:hAnsi="Arial" w:cs="Arial"/>
        </w:rPr>
        <w:t xml:space="preserve"> understanding these trends, issues, and impacts is essential for ensuring relevance, competitiveness, and maximum engagement. Below is an analysis of the most influential trends and challenges shaping the event industry and how they directly affect this DEI-focused hospitality conference.</w:t>
      </w:r>
    </w:p>
    <w:p w14:paraId="2F973A42" w14:textId="262C69ED" w:rsidR="00B326CA" w:rsidRPr="00B326CA" w:rsidRDefault="00B326CA" w:rsidP="00B326CA">
      <w:pPr>
        <w:spacing w:line="360" w:lineRule="auto"/>
        <w:jc w:val="both"/>
        <w:rPr>
          <w:rFonts w:ascii="Arial" w:hAnsi="Arial" w:cs="Arial"/>
        </w:rPr>
      </w:pPr>
    </w:p>
    <w:p w14:paraId="57A2B49E" w14:textId="14526551" w:rsidR="00B326CA" w:rsidRPr="00FB1C29" w:rsidRDefault="00B326CA" w:rsidP="00605E08">
      <w:pPr>
        <w:pStyle w:val="IntenseQuote"/>
      </w:pPr>
      <w:r w:rsidRPr="00FB1C29">
        <w:lastRenderedPageBreak/>
        <w:t>Latest Industry Trends</w:t>
      </w:r>
    </w:p>
    <w:p w14:paraId="6F34B166" w14:textId="77777777" w:rsidR="00605E08" w:rsidRPr="00FB1C29" w:rsidRDefault="00605E08" w:rsidP="00605E08"/>
    <w:p w14:paraId="17F7E58C" w14:textId="77777777" w:rsidR="00B326CA" w:rsidRPr="00B326CA" w:rsidRDefault="00B326CA" w:rsidP="00B326CA">
      <w:pPr>
        <w:numPr>
          <w:ilvl w:val="0"/>
          <w:numId w:val="19"/>
        </w:numPr>
        <w:spacing w:line="360" w:lineRule="auto"/>
        <w:jc w:val="both"/>
        <w:rPr>
          <w:rFonts w:ascii="Arial" w:hAnsi="Arial" w:cs="Arial"/>
        </w:rPr>
      </w:pPr>
      <w:r w:rsidRPr="00B326CA">
        <w:rPr>
          <w:rFonts w:ascii="Arial" w:hAnsi="Arial" w:cs="Arial"/>
          <w:b/>
          <w:bCs/>
        </w:rPr>
        <w:t>Emphasis on Diversity, Equity, and Inclusion (DEI) Initiatives</w:t>
      </w:r>
    </w:p>
    <w:p w14:paraId="1C2DDEAA" w14:textId="1D1FC1AB" w:rsidR="00B326CA" w:rsidRPr="00FB1C29" w:rsidRDefault="007B72D0" w:rsidP="00DB18DF">
      <w:pPr>
        <w:pStyle w:val="ListParagraph"/>
        <w:numPr>
          <w:ilvl w:val="0"/>
          <w:numId w:val="24"/>
        </w:numPr>
        <w:spacing w:line="360" w:lineRule="auto"/>
        <w:jc w:val="both"/>
        <w:rPr>
          <w:rFonts w:ascii="Arial" w:hAnsi="Arial" w:cs="Arial"/>
        </w:rPr>
      </w:pPr>
      <w:r w:rsidRPr="007B72D0">
        <w:rPr>
          <w:rFonts w:ascii="Arial" w:hAnsi="Arial" w:cs="Arial"/>
        </w:rPr>
        <w:t>Due to the various factors that have affected the industry, many companies and individuals are now demanding that events adopt the values of inclusion, fairness, and equity. This can be achieved through the development of effective marketing content, speaker lineups, and accessibility.</w:t>
      </w:r>
      <w:r w:rsidR="00D34972" w:rsidRPr="00FB1C29">
        <w:rPr>
          <w:rFonts w:ascii="Arial" w:hAnsi="Arial" w:cs="Arial"/>
        </w:rPr>
        <w:t>(Li, 2024).</w:t>
      </w:r>
    </w:p>
    <w:p w14:paraId="45837C0A" w14:textId="77777777" w:rsidR="00DB18DF" w:rsidRPr="00FB1C29" w:rsidRDefault="00DB18DF" w:rsidP="00DB18DF">
      <w:pPr>
        <w:pStyle w:val="ListParagraph"/>
        <w:spacing w:line="360" w:lineRule="auto"/>
        <w:jc w:val="both"/>
        <w:rPr>
          <w:rFonts w:ascii="Arial" w:hAnsi="Arial" w:cs="Arial"/>
        </w:rPr>
      </w:pPr>
    </w:p>
    <w:p w14:paraId="22CCE897" w14:textId="3662D744" w:rsidR="0086318E" w:rsidRPr="00FB1C29" w:rsidRDefault="0086318E" w:rsidP="0086318E">
      <w:pPr>
        <w:pStyle w:val="ListParagraph"/>
        <w:numPr>
          <w:ilvl w:val="0"/>
          <w:numId w:val="19"/>
        </w:numPr>
        <w:spacing w:line="360" w:lineRule="auto"/>
        <w:jc w:val="both"/>
        <w:rPr>
          <w:rFonts w:ascii="Arial" w:hAnsi="Arial" w:cs="Arial"/>
        </w:rPr>
      </w:pPr>
      <w:r w:rsidRPr="00FB1C29">
        <w:rPr>
          <w:rFonts w:ascii="Arial" w:hAnsi="Arial" w:cs="Arial"/>
          <w:b/>
          <w:bCs/>
        </w:rPr>
        <w:t>Hybrid and Virtual Event Formats</w:t>
      </w:r>
    </w:p>
    <w:p w14:paraId="2A03AA0B" w14:textId="43BFF5C9" w:rsidR="0086318E" w:rsidRPr="0086318E" w:rsidRDefault="007B72D0" w:rsidP="0086318E">
      <w:pPr>
        <w:numPr>
          <w:ilvl w:val="0"/>
          <w:numId w:val="20"/>
        </w:numPr>
        <w:spacing w:line="360" w:lineRule="auto"/>
        <w:jc w:val="both"/>
        <w:rPr>
          <w:rFonts w:ascii="Arial" w:hAnsi="Arial" w:cs="Arial"/>
        </w:rPr>
      </w:pPr>
      <w:r w:rsidRPr="007B72D0">
        <w:rPr>
          <w:rFonts w:ascii="Arial" w:hAnsi="Arial" w:cs="Arial"/>
        </w:rPr>
        <w:t>The COVID-19 pandemic expedited the shift toward virtual and hybrid events, facilitating smoother access for global participants.</w:t>
      </w:r>
      <w:r w:rsidR="00C427D3" w:rsidRPr="00FB1C29">
        <w:rPr>
          <w:rFonts w:ascii="Arial" w:hAnsi="Arial" w:cs="Arial"/>
        </w:rPr>
        <w:t>(Rogers, 2008).</w:t>
      </w:r>
    </w:p>
    <w:p w14:paraId="699F42E2" w14:textId="77777777" w:rsidR="0086318E" w:rsidRPr="00FB1C29" w:rsidRDefault="0086318E" w:rsidP="0086318E">
      <w:pPr>
        <w:numPr>
          <w:ilvl w:val="0"/>
          <w:numId w:val="20"/>
        </w:numPr>
        <w:spacing w:line="360" w:lineRule="auto"/>
        <w:jc w:val="both"/>
        <w:rPr>
          <w:rFonts w:ascii="Arial" w:hAnsi="Arial" w:cs="Arial"/>
        </w:rPr>
      </w:pPr>
      <w:r w:rsidRPr="0086318E">
        <w:rPr>
          <w:rFonts w:ascii="Arial" w:hAnsi="Arial" w:cs="Arial"/>
        </w:rPr>
        <w:t>Incorporating virtual components for this event will allow for greater global participation, including attendees from regions where travel may be restricted or financially challenging.</w:t>
      </w:r>
    </w:p>
    <w:p w14:paraId="51B7F019" w14:textId="3DBFEC46" w:rsidR="004C24DE" w:rsidRPr="004C24DE" w:rsidRDefault="004C24DE" w:rsidP="004C24DE">
      <w:pPr>
        <w:spacing w:line="360" w:lineRule="auto"/>
        <w:ind w:left="720"/>
        <w:jc w:val="both"/>
        <w:rPr>
          <w:rFonts w:ascii="Arial" w:hAnsi="Arial" w:cs="Arial"/>
        </w:rPr>
      </w:pPr>
      <w:r w:rsidRPr="00FB1C29">
        <w:rPr>
          <w:rFonts w:ascii="Arial" w:hAnsi="Arial" w:cs="Arial"/>
        </w:rPr>
        <w:t xml:space="preserve">3. </w:t>
      </w:r>
      <w:r w:rsidRPr="00FB1C29">
        <w:rPr>
          <w:rFonts w:ascii="Arial" w:hAnsi="Arial" w:cs="Arial"/>
          <w:b/>
          <w:bCs/>
        </w:rPr>
        <w:t>Sustainability</w:t>
      </w:r>
      <w:r w:rsidRPr="004C24DE">
        <w:rPr>
          <w:rFonts w:ascii="Arial" w:hAnsi="Arial" w:cs="Arial"/>
          <w:b/>
          <w:bCs/>
        </w:rPr>
        <w:t xml:space="preserve"> and Eco-Friendly Event Practices</w:t>
      </w:r>
    </w:p>
    <w:p w14:paraId="1882BD9C" w14:textId="2F12A07B" w:rsidR="004C24DE" w:rsidRPr="004C24DE" w:rsidRDefault="004C24DE" w:rsidP="004C24DE">
      <w:pPr>
        <w:numPr>
          <w:ilvl w:val="0"/>
          <w:numId w:val="21"/>
        </w:numPr>
        <w:spacing w:line="360" w:lineRule="auto"/>
        <w:jc w:val="both"/>
        <w:rPr>
          <w:rFonts w:ascii="Arial" w:hAnsi="Arial" w:cs="Arial"/>
        </w:rPr>
      </w:pPr>
      <w:r w:rsidRPr="004C24DE">
        <w:rPr>
          <w:rFonts w:ascii="Arial" w:hAnsi="Arial" w:cs="Arial"/>
        </w:rPr>
        <w:t>The industry is moving toward sustainable event planning, with a focus on reducing carbon footprints, minimizing waste, and using eco-friendly materials</w:t>
      </w:r>
      <w:r w:rsidR="00DB18DF" w:rsidRPr="00FB1C29">
        <w:rPr>
          <w:rFonts w:ascii="Arial" w:hAnsi="Arial" w:cs="Arial"/>
        </w:rPr>
        <w:t xml:space="preserve"> (Santos, </w:t>
      </w:r>
      <w:r w:rsidR="00DB18DF" w:rsidRPr="00FB1C29">
        <w:rPr>
          <w:rFonts w:ascii="Arial" w:hAnsi="Arial" w:cs="Arial"/>
          <w:i/>
          <w:iCs/>
        </w:rPr>
        <w:t>et al.</w:t>
      </w:r>
      <w:r w:rsidR="00DB18DF" w:rsidRPr="00FB1C29">
        <w:rPr>
          <w:rFonts w:ascii="Arial" w:hAnsi="Arial" w:cs="Arial"/>
        </w:rPr>
        <w:t>, 2024).</w:t>
      </w:r>
    </w:p>
    <w:p w14:paraId="6AB0CAEF" w14:textId="77777777" w:rsidR="004C24DE" w:rsidRPr="00FB1C29" w:rsidRDefault="004C24DE" w:rsidP="004C24DE">
      <w:pPr>
        <w:numPr>
          <w:ilvl w:val="0"/>
          <w:numId w:val="21"/>
        </w:numPr>
        <w:spacing w:line="360" w:lineRule="auto"/>
        <w:jc w:val="both"/>
        <w:rPr>
          <w:rFonts w:ascii="Arial" w:hAnsi="Arial" w:cs="Arial"/>
        </w:rPr>
      </w:pPr>
      <w:r w:rsidRPr="004C24DE">
        <w:rPr>
          <w:rFonts w:ascii="Arial" w:hAnsi="Arial" w:cs="Arial"/>
        </w:rPr>
        <w:t>This event will integrate sustainability practices by using digital materials, offering plant-based catering options, and encouraging the use of public transportation.</w:t>
      </w:r>
    </w:p>
    <w:p w14:paraId="3A11B31D" w14:textId="77777777" w:rsidR="00DB18DF" w:rsidRPr="004C24DE" w:rsidRDefault="00DB18DF" w:rsidP="00DB18DF">
      <w:pPr>
        <w:spacing w:line="360" w:lineRule="auto"/>
        <w:ind w:left="720"/>
        <w:jc w:val="both"/>
        <w:rPr>
          <w:rFonts w:ascii="Arial" w:hAnsi="Arial" w:cs="Arial"/>
        </w:rPr>
      </w:pPr>
    </w:p>
    <w:p w14:paraId="1B6614AF" w14:textId="36D83206" w:rsidR="004C24DE" w:rsidRPr="004C24DE" w:rsidRDefault="004C24DE" w:rsidP="004C24DE">
      <w:pPr>
        <w:spacing w:line="360" w:lineRule="auto"/>
        <w:ind w:left="720"/>
        <w:jc w:val="both"/>
        <w:rPr>
          <w:rFonts w:ascii="Arial" w:hAnsi="Arial" w:cs="Arial"/>
        </w:rPr>
      </w:pPr>
      <w:r w:rsidRPr="00FB1C29">
        <w:rPr>
          <w:rFonts w:ascii="Arial" w:hAnsi="Arial" w:cs="Arial"/>
        </w:rPr>
        <w:t>4.</w:t>
      </w:r>
      <w:r w:rsidRPr="004C24DE">
        <w:rPr>
          <w:rFonts w:ascii="Arial" w:hAnsi="Arial" w:cs="Arial"/>
        </w:rPr>
        <w:t xml:space="preserve"> </w:t>
      </w:r>
      <w:r w:rsidRPr="004C24DE">
        <w:rPr>
          <w:rFonts w:ascii="Arial" w:hAnsi="Arial" w:cs="Arial"/>
          <w:b/>
          <w:bCs/>
        </w:rPr>
        <w:t>Personalization and Data-Driven Engagement</w:t>
      </w:r>
    </w:p>
    <w:p w14:paraId="5127E4E4" w14:textId="167D647A" w:rsidR="00DB18DF" w:rsidRPr="00FB1C29" w:rsidRDefault="007B72D0" w:rsidP="00C10AAF">
      <w:pPr>
        <w:numPr>
          <w:ilvl w:val="0"/>
          <w:numId w:val="22"/>
        </w:numPr>
        <w:spacing w:line="360" w:lineRule="auto"/>
        <w:jc w:val="both"/>
        <w:rPr>
          <w:rFonts w:ascii="Arial" w:hAnsi="Arial" w:cs="Arial"/>
        </w:rPr>
      </w:pPr>
      <w:r w:rsidRPr="007B72D0">
        <w:rPr>
          <w:rFonts w:ascii="Arial" w:hAnsi="Arial" w:cs="Arial"/>
        </w:rPr>
        <w:t>The expectations of attendees have changed. They want experiences that are customized to their specific needs and goals. Event organizers are now using data analytics to create personalized schedules and suggestions for networking opportunities</w:t>
      </w:r>
      <w:r>
        <w:rPr>
          <w:rFonts w:ascii="Arial" w:hAnsi="Arial" w:cs="Arial"/>
        </w:rPr>
        <w:t xml:space="preserve"> </w:t>
      </w:r>
      <w:r w:rsidR="00E1376F" w:rsidRPr="00FB1C29">
        <w:rPr>
          <w:rFonts w:ascii="Arial" w:hAnsi="Arial" w:cs="Arial"/>
        </w:rPr>
        <w:t>(Mohapatra</w:t>
      </w:r>
      <w:r w:rsidR="005A250A" w:rsidRPr="00FB1C29">
        <w:rPr>
          <w:rFonts w:ascii="Arial" w:hAnsi="Arial" w:cs="Arial"/>
        </w:rPr>
        <w:t xml:space="preserve"> et. al., 2024).</w:t>
      </w:r>
    </w:p>
    <w:p w14:paraId="0C9242A8" w14:textId="29C6F814" w:rsidR="004C24DE" w:rsidRPr="004C24DE" w:rsidRDefault="004C24DE" w:rsidP="00C10AAF">
      <w:pPr>
        <w:numPr>
          <w:ilvl w:val="0"/>
          <w:numId w:val="22"/>
        </w:numPr>
        <w:spacing w:line="360" w:lineRule="auto"/>
        <w:jc w:val="both"/>
        <w:rPr>
          <w:rFonts w:ascii="Arial" w:hAnsi="Arial" w:cs="Arial"/>
        </w:rPr>
      </w:pPr>
      <w:r w:rsidRPr="004C24DE">
        <w:rPr>
          <w:rFonts w:ascii="Arial" w:hAnsi="Arial" w:cs="Arial"/>
        </w:rPr>
        <w:lastRenderedPageBreak/>
        <w:t>Implementing an event app will allow attendees to personalize their agendas, receive updates, and connect with other participants based on shared interests in DEI and hospitality.</w:t>
      </w:r>
    </w:p>
    <w:p w14:paraId="6213D09D" w14:textId="5FEF3834" w:rsidR="004C24DE" w:rsidRPr="004C24DE" w:rsidRDefault="00F93A11" w:rsidP="004C24DE">
      <w:pPr>
        <w:spacing w:line="360" w:lineRule="auto"/>
        <w:ind w:left="720"/>
        <w:jc w:val="both"/>
        <w:rPr>
          <w:rFonts w:ascii="Arial" w:hAnsi="Arial" w:cs="Arial"/>
        </w:rPr>
      </w:pPr>
      <w:r w:rsidRPr="00FB1C29">
        <w:rPr>
          <w:rFonts w:ascii="Arial" w:hAnsi="Arial" w:cs="Arial"/>
        </w:rPr>
        <w:t>5.</w:t>
      </w:r>
      <w:r w:rsidR="004C24DE" w:rsidRPr="004C24DE">
        <w:rPr>
          <w:rFonts w:ascii="Arial" w:hAnsi="Arial" w:cs="Arial"/>
        </w:rPr>
        <w:t xml:space="preserve"> </w:t>
      </w:r>
      <w:r w:rsidR="004C24DE" w:rsidRPr="004C24DE">
        <w:rPr>
          <w:rFonts w:ascii="Arial" w:hAnsi="Arial" w:cs="Arial"/>
          <w:b/>
          <w:bCs/>
        </w:rPr>
        <w:t>Technology Integration and Event Innovation</w:t>
      </w:r>
    </w:p>
    <w:p w14:paraId="2D370FF9" w14:textId="6058319D" w:rsidR="004C24DE" w:rsidRPr="004C24DE" w:rsidRDefault="004C24DE" w:rsidP="004C24DE">
      <w:pPr>
        <w:numPr>
          <w:ilvl w:val="0"/>
          <w:numId w:val="23"/>
        </w:numPr>
        <w:spacing w:line="360" w:lineRule="auto"/>
        <w:jc w:val="both"/>
        <w:rPr>
          <w:rFonts w:ascii="Arial" w:hAnsi="Arial" w:cs="Arial"/>
        </w:rPr>
      </w:pPr>
      <w:r w:rsidRPr="004C24DE">
        <w:rPr>
          <w:rFonts w:ascii="Arial" w:hAnsi="Arial" w:cs="Arial"/>
        </w:rPr>
        <w:t>Innovations such as AI-powered chatbots, live polling, augmented reality (AR), and virtual networking platforms are enhancing engagement and attendee satisfaction</w:t>
      </w:r>
      <w:r w:rsidR="00F93A11" w:rsidRPr="00FB1C29">
        <w:rPr>
          <w:rFonts w:ascii="Arial" w:hAnsi="Arial" w:cs="Arial"/>
        </w:rPr>
        <w:t xml:space="preserve"> (Abdul Hamid Abdul Halim, Norol Hamiza Zamzuri and Ayu Rohaidah Ghazali, 2023).</w:t>
      </w:r>
    </w:p>
    <w:p w14:paraId="346C7D61" w14:textId="77777777" w:rsidR="004C24DE" w:rsidRPr="00FB1C29" w:rsidRDefault="004C24DE" w:rsidP="004C24DE">
      <w:pPr>
        <w:numPr>
          <w:ilvl w:val="0"/>
          <w:numId w:val="23"/>
        </w:numPr>
        <w:spacing w:line="360" w:lineRule="auto"/>
        <w:jc w:val="both"/>
        <w:rPr>
          <w:rFonts w:ascii="Arial" w:hAnsi="Arial" w:cs="Arial"/>
        </w:rPr>
      </w:pPr>
      <w:r w:rsidRPr="004C24DE">
        <w:rPr>
          <w:rFonts w:ascii="Arial" w:hAnsi="Arial" w:cs="Arial"/>
        </w:rPr>
        <w:t>The use of interactive technologies like live polls during panel discussions will increase audience participation and improve the overall event experience.</w:t>
      </w:r>
    </w:p>
    <w:p w14:paraId="79616F83" w14:textId="77777777" w:rsidR="00EF1861" w:rsidRPr="00FB1C29" w:rsidRDefault="00EF1861" w:rsidP="00EF1861">
      <w:pPr>
        <w:pStyle w:val="IntenseQuote"/>
      </w:pPr>
      <w:r w:rsidRPr="00FB1C29">
        <w:t>Current Issues Affecting the Meetings and Events Industry</w:t>
      </w:r>
    </w:p>
    <w:p w14:paraId="29FFE92E" w14:textId="77777777" w:rsidR="00EF1861" w:rsidRPr="00EF1861" w:rsidRDefault="00EF1861" w:rsidP="00EF1861">
      <w:pPr>
        <w:numPr>
          <w:ilvl w:val="0"/>
          <w:numId w:val="25"/>
        </w:numPr>
        <w:spacing w:line="360" w:lineRule="auto"/>
        <w:jc w:val="both"/>
        <w:rPr>
          <w:rFonts w:ascii="Arial" w:hAnsi="Arial" w:cs="Arial"/>
        </w:rPr>
      </w:pPr>
      <w:r w:rsidRPr="00EF1861">
        <w:rPr>
          <w:rFonts w:ascii="Arial" w:hAnsi="Arial" w:cs="Arial"/>
          <w:b/>
          <w:bCs/>
        </w:rPr>
        <w:t>Economic Uncertainty and Budget Constraints</w:t>
      </w:r>
    </w:p>
    <w:p w14:paraId="59A15576" w14:textId="10448B21" w:rsidR="00EF1861" w:rsidRPr="00FB1C29" w:rsidRDefault="00EF1861" w:rsidP="005E7F06">
      <w:pPr>
        <w:pStyle w:val="ListParagraph"/>
        <w:numPr>
          <w:ilvl w:val="0"/>
          <w:numId w:val="24"/>
        </w:numPr>
        <w:spacing w:line="360" w:lineRule="auto"/>
        <w:jc w:val="both"/>
        <w:rPr>
          <w:rFonts w:ascii="Arial" w:hAnsi="Arial" w:cs="Arial"/>
        </w:rPr>
      </w:pPr>
      <w:r w:rsidRPr="00FB1C29">
        <w:rPr>
          <w:rFonts w:ascii="Arial" w:hAnsi="Arial" w:cs="Arial"/>
        </w:rPr>
        <w:t xml:space="preserve">Rising inflation, fluctuating exchange rates, and global economic downturns are influencing how businesses allocate budgets for event participation and sponsorship </w:t>
      </w:r>
      <w:r w:rsidR="005E7F06" w:rsidRPr="00FB1C29">
        <w:rPr>
          <w:rFonts w:ascii="Arial" w:hAnsi="Arial" w:cs="Arial"/>
        </w:rPr>
        <w:t>(</w:t>
      </w:r>
      <w:r w:rsidR="002A29E3" w:rsidRPr="00FB1C29">
        <w:rPr>
          <w:rFonts w:ascii="Arial" w:hAnsi="Arial" w:cs="Arial"/>
        </w:rPr>
        <w:t>ESQUIVIAS, et al.</w:t>
      </w:r>
      <w:r w:rsidR="005E7F06" w:rsidRPr="00FB1C29">
        <w:rPr>
          <w:rFonts w:ascii="Arial" w:hAnsi="Arial" w:cs="Arial"/>
        </w:rPr>
        <w:t>, 2021).</w:t>
      </w:r>
    </w:p>
    <w:p w14:paraId="1D588236" w14:textId="358FF1EC" w:rsidR="00EF1861" w:rsidRPr="00EF1861" w:rsidRDefault="005E7F06" w:rsidP="005E7F06">
      <w:pPr>
        <w:numPr>
          <w:ilvl w:val="0"/>
          <w:numId w:val="24"/>
        </w:numPr>
        <w:spacing w:line="360" w:lineRule="auto"/>
        <w:jc w:val="both"/>
        <w:rPr>
          <w:rFonts w:ascii="Arial" w:hAnsi="Arial" w:cs="Arial"/>
        </w:rPr>
      </w:pPr>
      <w:r w:rsidRPr="00FB1C29">
        <w:rPr>
          <w:rFonts w:ascii="Arial" w:hAnsi="Arial" w:cs="Arial"/>
        </w:rPr>
        <w:t xml:space="preserve">This event </w:t>
      </w:r>
      <w:r w:rsidR="00EF1861" w:rsidRPr="00EF1861">
        <w:rPr>
          <w:rFonts w:ascii="Arial" w:hAnsi="Arial" w:cs="Arial"/>
        </w:rPr>
        <w:t>will offer flexible pricing models, including early-bird rates, group discounts, and accessible ticket options for non-profit organizations and underrepresented groups.</w:t>
      </w:r>
    </w:p>
    <w:p w14:paraId="67880C22" w14:textId="77777777" w:rsidR="00EF1861" w:rsidRPr="00EF1861" w:rsidRDefault="00EF1861" w:rsidP="00EF1861">
      <w:pPr>
        <w:numPr>
          <w:ilvl w:val="0"/>
          <w:numId w:val="25"/>
        </w:numPr>
        <w:spacing w:line="360" w:lineRule="auto"/>
        <w:jc w:val="both"/>
        <w:rPr>
          <w:rFonts w:ascii="Arial" w:hAnsi="Arial" w:cs="Arial"/>
        </w:rPr>
      </w:pPr>
      <w:r w:rsidRPr="00EF1861">
        <w:rPr>
          <w:rFonts w:ascii="Arial" w:hAnsi="Arial" w:cs="Arial"/>
          <w:b/>
          <w:bCs/>
        </w:rPr>
        <w:t>Post-Pandemic Health and Safety Concerns</w:t>
      </w:r>
    </w:p>
    <w:p w14:paraId="69466F3B" w14:textId="3FFD6E7B" w:rsidR="00EF1861" w:rsidRPr="00FB1C29" w:rsidRDefault="00EF1861" w:rsidP="005E7F06">
      <w:pPr>
        <w:pStyle w:val="ListParagraph"/>
        <w:numPr>
          <w:ilvl w:val="0"/>
          <w:numId w:val="26"/>
        </w:numPr>
        <w:spacing w:line="360" w:lineRule="auto"/>
        <w:jc w:val="both"/>
        <w:rPr>
          <w:rFonts w:ascii="Arial" w:hAnsi="Arial" w:cs="Arial"/>
        </w:rPr>
      </w:pPr>
      <w:r w:rsidRPr="00FB1C29">
        <w:rPr>
          <w:rFonts w:ascii="Arial" w:hAnsi="Arial" w:cs="Arial"/>
        </w:rPr>
        <w:t xml:space="preserve">Even as restrictions ease, many attendees still expect strict health and safety measures, including sanitization protocols, adequate spacing, and accessible health services </w:t>
      </w:r>
      <w:r w:rsidR="00BC6902" w:rsidRPr="00FB1C29">
        <w:rPr>
          <w:rFonts w:ascii="Arial" w:hAnsi="Arial" w:cs="Arial"/>
        </w:rPr>
        <w:t>(Simpeh and Amoah, 2022).</w:t>
      </w:r>
    </w:p>
    <w:p w14:paraId="4E262670" w14:textId="296AC4F1" w:rsidR="00EF1861" w:rsidRPr="00FB1C29" w:rsidRDefault="00EF1861" w:rsidP="005E7F06">
      <w:pPr>
        <w:pStyle w:val="ListParagraph"/>
        <w:numPr>
          <w:ilvl w:val="0"/>
          <w:numId w:val="26"/>
        </w:numPr>
        <w:spacing w:line="360" w:lineRule="auto"/>
        <w:jc w:val="both"/>
        <w:rPr>
          <w:rFonts w:ascii="Arial" w:hAnsi="Arial" w:cs="Arial"/>
        </w:rPr>
      </w:pPr>
      <w:r w:rsidRPr="00FB1C29">
        <w:rPr>
          <w:rFonts w:ascii="Arial" w:hAnsi="Arial" w:cs="Arial"/>
        </w:rPr>
        <w:t>The event will adhere to all</w:t>
      </w:r>
      <w:r w:rsidR="005E7F06" w:rsidRPr="00FB1C29">
        <w:rPr>
          <w:rFonts w:ascii="Arial" w:hAnsi="Arial" w:cs="Arial"/>
        </w:rPr>
        <w:t xml:space="preserve"> </w:t>
      </w:r>
      <w:r w:rsidRPr="00FB1C29">
        <w:rPr>
          <w:rFonts w:ascii="Arial" w:hAnsi="Arial" w:cs="Arial"/>
        </w:rPr>
        <w:t>health regulations and offer hybrid participation options for those unable or unwilling to travel in person.</w:t>
      </w:r>
    </w:p>
    <w:p w14:paraId="289D8821" w14:textId="77777777" w:rsidR="00EF1861" w:rsidRPr="00EF1861" w:rsidRDefault="00EF1861" w:rsidP="00EF1861">
      <w:pPr>
        <w:numPr>
          <w:ilvl w:val="0"/>
          <w:numId w:val="25"/>
        </w:numPr>
        <w:spacing w:line="360" w:lineRule="auto"/>
        <w:jc w:val="both"/>
        <w:rPr>
          <w:rFonts w:ascii="Arial" w:hAnsi="Arial" w:cs="Arial"/>
        </w:rPr>
      </w:pPr>
      <w:r w:rsidRPr="00EF1861">
        <w:rPr>
          <w:rFonts w:ascii="Arial" w:hAnsi="Arial" w:cs="Arial"/>
          <w:b/>
          <w:bCs/>
        </w:rPr>
        <w:t>Environmental Impact of Events</w:t>
      </w:r>
    </w:p>
    <w:p w14:paraId="44204517" w14:textId="21B730A2" w:rsidR="00BC6902" w:rsidRPr="00FB1C29" w:rsidRDefault="00EF1861" w:rsidP="00BC6902">
      <w:pPr>
        <w:pStyle w:val="ListParagraph"/>
        <w:numPr>
          <w:ilvl w:val="0"/>
          <w:numId w:val="27"/>
        </w:numPr>
        <w:spacing w:line="360" w:lineRule="auto"/>
        <w:jc w:val="both"/>
        <w:rPr>
          <w:rFonts w:ascii="Arial" w:hAnsi="Arial" w:cs="Arial"/>
        </w:rPr>
      </w:pPr>
      <w:r w:rsidRPr="00FB1C29">
        <w:rPr>
          <w:rFonts w:ascii="Arial" w:hAnsi="Arial" w:cs="Arial"/>
        </w:rPr>
        <w:lastRenderedPageBreak/>
        <w:t xml:space="preserve">With increased awareness of the carbon footprint generated by international travel and large-scale events, there is a heightened focus on sustainability </w:t>
      </w:r>
      <w:r w:rsidR="00FA2870" w:rsidRPr="00FB1C29">
        <w:rPr>
          <w:rFonts w:ascii="Arial" w:hAnsi="Arial" w:cs="Arial"/>
        </w:rPr>
        <w:t>(Santos, </w:t>
      </w:r>
      <w:r w:rsidR="00FA2870" w:rsidRPr="00FB1C29">
        <w:rPr>
          <w:rFonts w:ascii="Arial" w:hAnsi="Arial" w:cs="Arial"/>
          <w:i/>
          <w:iCs/>
        </w:rPr>
        <w:t>et al.</w:t>
      </w:r>
      <w:r w:rsidR="00FA2870" w:rsidRPr="00FB1C29">
        <w:rPr>
          <w:rFonts w:ascii="Arial" w:hAnsi="Arial" w:cs="Arial"/>
        </w:rPr>
        <w:t>, 2024).</w:t>
      </w:r>
    </w:p>
    <w:p w14:paraId="3DE2DD6E" w14:textId="13072130" w:rsidR="00EF1861" w:rsidRPr="00FB1C29" w:rsidRDefault="00EF1861" w:rsidP="00BC6902">
      <w:pPr>
        <w:pStyle w:val="ListParagraph"/>
        <w:numPr>
          <w:ilvl w:val="0"/>
          <w:numId w:val="27"/>
        </w:numPr>
        <w:spacing w:line="360" w:lineRule="auto"/>
        <w:jc w:val="both"/>
        <w:rPr>
          <w:rFonts w:ascii="Arial" w:hAnsi="Arial" w:cs="Arial"/>
        </w:rPr>
      </w:pPr>
      <w:r w:rsidRPr="00FB1C29">
        <w:rPr>
          <w:rFonts w:ascii="Arial" w:hAnsi="Arial" w:cs="Arial"/>
        </w:rPr>
        <w:t>Strategies for this event include promoting carbon offset initiatives, minimi</w:t>
      </w:r>
      <w:r w:rsidR="00BC6902" w:rsidRPr="00FB1C29">
        <w:rPr>
          <w:rFonts w:ascii="Arial" w:hAnsi="Arial" w:cs="Arial"/>
        </w:rPr>
        <w:t>s</w:t>
      </w:r>
      <w:r w:rsidRPr="00FB1C29">
        <w:rPr>
          <w:rFonts w:ascii="Arial" w:hAnsi="Arial" w:cs="Arial"/>
        </w:rPr>
        <w:t>ing printed materials, and encouraging attendees to use eco-friendly travel options.</w:t>
      </w:r>
    </w:p>
    <w:p w14:paraId="4355961C" w14:textId="77777777" w:rsidR="00EF1861" w:rsidRPr="00EF1861" w:rsidRDefault="00EF1861" w:rsidP="00EF1861">
      <w:pPr>
        <w:numPr>
          <w:ilvl w:val="0"/>
          <w:numId w:val="25"/>
        </w:numPr>
        <w:spacing w:line="360" w:lineRule="auto"/>
        <w:jc w:val="both"/>
        <w:rPr>
          <w:rFonts w:ascii="Arial" w:hAnsi="Arial" w:cs="Arial"/>
        </w:rPr>
      </w:pPr>
      <w:r w:rsidRPr="00EF1861">
        <w:rPr>
          <w:rFonts w:ascii="Arial" w:hAnsi="Arial" w:cs="Arial"/>
          <w:b/>
          <w:bCs/>
        </w:rPr>
        <w:t>Technological Accessibility Gaps</w:t>
      </w:r>
    </w:p>
    <w:p w14:paraId="6B63FE26" w14:textId="77777777" w:rsidR="00FA2870" w:rsidRPr="00FB1C29" w:rsidRDefault="00EF1861" w:rsidP="00FA2870">
      <w:pPr>
        <w:pStyle w:val="ListParagraph"/>
        <w:numPr>
          <w:ilvl w:val="0"/>
          <w:numId w:val="28"/>
        </w:numPr>
        <w:spacing w:line="360" w:lineRule="auto"/>
        <w:jc w:val="both"/>
        <w:rPr>
          <w:rFonts w:ascii="Arial" w:hAnsi="Arial" w:cs="Arial"/>
        </w:rPr>
      </w:pPr>
      <w:r w:rsidRPr="00FB1C29">
        <w:rPr>
          <w:rFonts w:ascii="Arial" w:hAnsi="Arial" w:cs="Arial"/>
        </w:rPr>
        <w:t>Not all attendees may have access to the latest technology required for virtual or hybrid event participation</w:t>
      </w:r>
      <w:r w:rsidR="00FA2870" w:rsidRPr="00FB1C29">
        <w:rPr>
          <w:rFonts w:ascii="Arial" w:hAnsi="Arial" w:cs="Arial"/>
        </w:rPr>
        <w:t>.</w:t>
      </w:r>
    </w:p>
    <w:p w14:paraId="6E569983" w14:textId="23FE3C82" w:rsidR="00EF1861" w:rsidRPr="00FB1C29" w:rsidRDefault="00EF1861" w:rsidP="00FA2870">
      <w:pPr>
        <w:pStyle w:val="ListParagraph"/>
        <w:numPr>
          <w:ilvl w:val="0"/>
          <w:numId w:val="28"/>
        </w:numPr>
        <w:spacing w:line="360" w:lineRule="auto"/>
        <w:jc w:val="both"/>
        <w:rPr>
          <w:rFonts w:ascii="Arial" w:hAnsi="Arial" w:cs="Arial"/>
        </w:rPr>
      </w:pPr>
      <w:r w:rsidRPr="00FB1C29">
        <w:rPr>
          <w:rFonts w:ascii="Arial" w:hAnsi="Arial" w:cs="Arial"/>
        </w:rPr>
        <w:t>To ensure inclusivity, the event will offer technical support and simple user interfaces for its digital platforms.</w:t>
      </w:r>
    </w:p>
    <w:p w14:paraId="0B4C2616" w14:textId="77777777" w:rsidR="00EF1861" w:rsidRPr="00EF1861" w:rsidRDefault="00EF1861" w:rsidP="00EF1861">
      <w:pPr>
        <w:numPr>
          <w:ilvl w:val="0"/>
          <w:numId w:val="25"/>
        </w:numPr>
        <w:spacing w:line="360" w:lineRule="auto"/>
        <w:jc w:val="both"/>
        <w:rPr>
          <w:rFonts w:ascii="Arial" w:hAnsi="Arial" w:cs="Arial"/>
        </w:rPr>
      </w:pPr>
      <w:r w:rsidRPr="00EF1861">
        <w:rPr>
          <w:rFonts w:ascii="Arial" w:hAnsi="Arial" w:cs="Arial"/>
          <w:b/>
          <w:bCs/>
        </w:rPr>
        <w:t>Competition from Established Global Events</w:t>
      </w:r>
    </w:p>
    <w:p w14:paraId="035DD843" w14:textId="77777777" w:rsidR="00EF1861" w:rsidRPr="00FB1C29" w:rsidRDefault="00EF1861" w:rsidP="00FB1C29">
      <w:pPr>
        <w:pStyle w:val="ListParagraph"/>
        <w:numPr>
          <w:ilvl w:val="0"/>
          <w:numId w:val="29"/>
        </w:numPr>
        <w:spacing w:line="360" w:lineRule="auto"/>
        <w:jc w:val="both"/>
        <w:rPr>
          <w:rFonts w:ascii="Arial" w:hAnsi="Arial" w:cs="Arial"/>
        </w:rPr>
      </w:pPr>
      <w:r w:rsidRPr="00FB1C29">
        <w:rPr>
          <w:rFonts w:ascii="Arial" w:hAnsi="Arial" w:cs="Arial"/>
        </w:rPr>
        <w:t>The global market is saturated with DEI-focused events, many of which cover multiple industries, including hospitality.</w:t>
      </w:r>
    </w:p>
    <w:p w14:paraId="423E33A5" w14:textId="77777777" w:rsidR="00EF1861" w:rsidRDefault="00EF1861" w:rsidP="00FB1C29">
      <w:pPr>
        <w:pStyle w:val="ListParagraph"/>
        <w:numPr>
          <w:ilvl w:val="0"/>
          <w:numId w:val="29"/>
        </w:numPr>
        <w:spacing w:line="360" w:lineRule="auto"/>
        <w:jc w:val="both"/>
        <w:rPr>
          <w:rFonts w:ascii="Arial" w:hAnsi="Arial" w:cs="Arial"/>
        </w:rPr>
      </w:pPr>
      <w:r w:rsidRPr="00FB1C29">
        <w:rPr>
          <w:rFonts w:ascii="Arial" w:hAnsi="Arial" w:cs="Arial"/>
        </w:rPr>
        <w:t xml:space="preserve">To differentiate itself, this event will focus on </w:t>
      </w:r>
      <w:r w:rsidRPr="002A29E3">
        <w:rPr>
          <w:rFonts w:ascii="Arial" w:hAnsi="Arial" w:cs="Arial"/>
        </w:rPr>
        <w:t>industry-specific strategies,</w:t>
      </w:r>
      <w:r w:rsidRPr="00FB1C29">
        <w:rPr>
          <w:rFonts w:ascii="Arial" w:hAnsi="Arial" w:cs="Arial"/>
        </w:rPr>
        <w:t xml:space="preserve"> offering content uniquely tailored to the hospitality sector’s challenges and opportunities.</w:t>
      </w:r>
    </w:p>
    <w:p w14:paraId="1CC61B55" w14:textId="77777777" w:rsidR="00EE5B10" w:rsidRPr="00EE5B10" w:rsidRDefault="00EE5B10" w:rsidP="00EE5B10">
      <w:pPr>
        <w:pStyle w:val="IntenseQuote"/>
        <w:rPr>
          <w:lang w:val="en-US"/>
        </w:rPr>
      </w:pPr>
      <w:r w:rsidRPr="00EE5B10">
        <w:rPr>
          <w:lang w:val="en-US"/>
        </w:rPr>
        <w:t>Impacts on "Unlocking Opportunities: Building Inclusive and Diverse Careers in Hospitality"</w:t>
      </w:r>
    </w:p>
    <w:p w14:paraId="77133B9B" w14:textId="77777777" w:rsidR="00EE5B10" w:rsidRPr="00EE5B10" w:rsidRDefault="00EE5B10" w:rsidP="00EE5B10">
      <w:pPr>
        <w:numPr>
          <w:ilvl w:val="0"/>
          <w:numId w:val="30"/>
        </w:numPr>
        <w:spacing w:line="360" w:lineRule="auto"/>
        <w:jc w:val="both"/>
        <w:rPr>
          <w:rFonts w:ascii="Arial" w:hAnsi="Arial" w:cs="Arial"/>
          <w:lang w:val="en-US"/>
        </w:rPr>
      </w:pPr>
      <w:r w:rsidRPr="00EE5B10">
        <w:rPr>
          <w:rFonts w:ascii="Arial" w:hAnsi="Arial" w:cs="Arial"/>
          <w:b/>
          <w:bCs/>
          <w:lang w:val="en-US"/>
        </w:rPr>
        <w:t>Increased Global Reach Through Hybrid Accessibility</w:t>
      </w:r>
    </w:p>
    <w:p w14:paraId="37E29E33" w14:textId="77777777" w:rsidR="00EE5B10" w:rsidRPr="00EE5B10" w:rsidRDefault="00EE5B10" w:rsidP="00EE5B10">
      <w:pPr>
        <w:pStyle w:val="ListParagraph"/>
        <w:numPr>
          <w:ilvl w:val="0"/>
          <w:numId w:val="31"/>
        </w:numPr>
        <w:spacing w:line="360" w:lineRule="auto"/>
        <w:jc w:val="both"/>
        <w:rPr>
          <w:rFonts w:ascii="Arial" w:hAnsi="Arial" w:cs="Arial"/>
          <w:lang w:val="en-US"/>
        </w:rPr>
      </w:pPr>
      <w:r w:rsidRPr="00EE5B10">
        <w:rPr>
          <w:rFonts w:ascii="Arial" w:hAnsi="Arial" w:cs="Arial"/>
          <w:lang w:val="en-US"/>
        </w:rPr>
        <w:t>By incorporating hybrid elements, the event can reach a broader international audience, encouraging participation from professionals who might otherwise face geographic or financial limitations.</w:t>
      </w:r>
    </w:p>
    <w:p w14:paraId="0BDBCBCB" w14:textId="77777777" w:rsidR="00EE5B10" w:rsidRPr="00EE5B10" w:rsidRDefault="00EE5B10" w:rsidP="00EE5B10">
      <w:pPr>
        <w:numPr>
          <w:ilvl w:val="0"/>
          <w:numId w:val="30"/>
        </w:numPr>
        <w:spacing w:line="360" w:lineRule="auto"/>
        <w:jc w:val="both"/>
        <w:rPr>
          <w:rFonts w:ascii="Arial" w:hAnsi="Arial" w:cs="Arial"/>
          <w:lang w:val="en-US"/>
        </w:rPr>
      </w:pPr>
      <w:r w:rsidRPr="00EE5B10">
        <w:rPr>
          <w:rFonts w:ascii="Arial" w:hAnsi="Arial" w:cs="Arial"/>
          <w:b/>
          <w:bCs/>
          <w:lang w:val="en-US"/>
        </w:rPr>
        <w:t>Enhanced Industry Reputation Through DEI Commitment</w:t>
      </w:r>
    </w:p>
    <w:p w14:paraId="0A25E63E" w14:textId="77777777" w:rsidR="00EE5B10" w:rsidRPr="00EE5B10" w:rsidRDefault="00EE5B10" w:rsidP="00EE5B10">
      <w:pPr>
        <w:pStyle w:val="ListParagraph"/>
        <w:numPr>
          <w:ilvl w:val="0"/>
          <w:numId w:val="31"/>
        </w:numPr>
        <w:spacing w:line="360" w:lineRule="auto"/>
        <w:jc w:val="both"/>
        <w:rPr>
          <w:rFonts w:ascii="Arial" w:hAnsi="Arial" w:cs="Arial"/>
          <w:lang w:val="en-US"/>
        </w:rPr>
      </w:pPr>
      <w:r w:rsidRPr="00EE5B10">
        <w:rPr>
          <w:rFonts w:ascii="Arial" w:hAnsi="Arial" w:cs="Arial"/>
          <w:lang w:val="en-US"/>
        </w:rPr>
        <w:lastRenderedPageBreak/>
        <w:t>Hosting a DEI-focused event positions the organizers as leaders in promoting inclusive practices within the hospitality industry, attracting attention from global stakeholders.</w:t>
      </w:r>
    </w:p>
    <w:p w14:paraId="6AFE948A" w14:textId="77777777" w:rsidR="00EE5B10" w:rsidRPr="00EE5B10" w:rsidRDefault="00EE5B10" w:rsidP="00EE5B10">
      <w:pPr>
        <w:numPr>
          <w:ilvl w:val="0"/>
          <w:numId w:val="30"/>
        </w:numPr>
        <w:spacing w:line="360" w:lineRule="auto"/>
        <w:jc w:val="both"/>
        <w:rPr>
          <w:rFonts w:ascii="Arial" w:hAnsi="Arial" w:cs="Arial"/>
          <w:lang w:val="en-US"/>
        </w:rPr>
      </w:pPr>
      <w:r w:rsidRPr="00EE5B10">
        <w:rPr>
          <w:rFonts w:ascii="Arial" w:hAnsi="Arial" w:cs="Arial"/>
          <w:b/>
          <w:bCs/>
          <w:lang w:val="en-US"/>
        </w:rPr>
        <w:t>Higher Expectations for Sustainability</w:t>
      </w:r>
    </w:p>
    <w:p w14:paraId="43955EEE" w14:textId="6D3CBA47" w:rsidR="00EE5B10" w:rsidRPr="00EE5B10" w:rsidRDefault="00EE5B10" w:rsidP="00EE5B10">
      <w:pPr>
        <w:pStyle w:val="ListParagraph"/>
        <w:numPr>
          <w:ilvl w:val="0"/>
          <w:numId w:val="31"/>
        </w:numPr>
        <w:spacing w:line="360" w:lineRule="auto"/>
        <w:jc w:val="both"/>
        <w:rPr>
          <w:rFonts w:ascii="Arial" w:hAnsi="Arial" w:cs="Arial"/>
          <w:lang w:val="en-US"/>
        </w:rPr>
      </w:pPr>
      <w:r w:rsidRPr="00EE5B10">
        <w:rPr>
          <w:rFonts w:ascii="Arial" w:hAnsi="Arial" w:cs="Arial"/>
          <w:lang w:val="en-US"/>
        </w:rPr>
        <w:t xml:space="preserve">Embracing eco-friendly event practices will strengthen the event’s reputation and align with </w:t>
      </w:r>
      <w:r>
        <w:rPr>
          <w:rFonts w:ascii="Arial" w:hAnsi="Arial" w:cs="Arial"/>
          <w:lang w:val="en-US"/>
        </w:rPr>
        <w:t xml:space="preserve">the </w:t>
      </w:r>
      <w:r w:rsidRPr="00EE5B10">
        <w:rPr>
          <w:rFonts w:ascii="Arial" w:hAnsi="Arial" w:cs="Arial"/>
          <w:lang w:val="en-US"/>
        </w:rPr>
        <w:t>corporate social responsibility (CSR) values of participating businesses.</w:t>
      </w:r>
    </w:p>
    <w:p w14:paraId="5467A069" w14:textId="77777777" w:rsidR="00EE5B10" w:rsidRPr="00EE5B10" w:rsidRDefault="00EE5B10" w:rsidP="00EE5B10">
      <w:pPr>
        <w:numPr>
          <w:ilvl w:val="0"/>
          <w:numId w:val="30"/>
        </w:numPr>
        <w:spacing w:line="360" w:lineRule="auto"/>
        <w:jc w:val="both"/>
        <w:rPr>
          <w:rFonts w:ascii="Arial" w:hAnsi="Arial" w:cs="Arial"/>
          <w:lang w:val="en-US"/>
        </w:rPr>
      </w:pPr>
      <w:r w:rsidRPr="00EE5B10">
        <w:rPr>
          <w:rFonts w:ascii="Arial" w:hAnsi="Arial" w:cs="Arial"/>
          <w:b/>
          <w:bCs/>
          <w:lang w:val="en-US"/>
        </w:rPr>
        <w:t>Potential Financial Constraints</w:t>
      </w:r>
    </w:p>
    <w:p w14:paraId="2681AEB8" w14:textId="77777777" w:rsidR="00EE5B10" w:rsidRPr="00EE5B10" w:rsidRDefault="00EE5B10" w:rsidP="00EE5B10">
      <w:pPr>
        <w:pStyle w:val="ListParagraph"/>
        <w:numPr>
          <w:ilvl w:val="0"/>
          <w:numId w:val="31"/>
        </w:numPr>
        <w:spacing w:line="360" w:lineRule="auto"/>
        <w:jc w:val="both"/>
        <w:rPr>
          <w:rFonts w:ascii="Arial" w:hAnsi="Arial" w:cs="Arial"/>
          <w:lang w:val="en-US"/>
        </w:rPr>
      </w:pPr>
      <w:r w:rsidRPr="00EE5B10">
        <w:rPr>
          <w:rFonts w:ascii="Arial" w:hAnsi="Arial" w:cs="Arial"/>
          <w:lang w:val="en-US"/>
        </w:rPr>
        <w:t>Economic instability may affect sponsorship deals and ticket sales, requiring strategic pricing and flexible partnership models to maximize participation and revenue.</w:t>
      </w:r>
    </w:p>
    <w:p w14:paraId="581882C3" w14:textId="77777777" w:rsidR="00EE5B10" w:rsidRPr="00EE5B10" w:rsidRDefault="00EE5B10" w:rsidP="00EE5B10">
      <w:pPr>
        <w:numPr>
          <w:ilvl w:val="0"/>
          <w:numId w:val="30"/>
        </w:numPr>
        <w:spacing w:line="360" w:lineRule="auto"/>
        <w:jc w:val="both"/>
        <w:rPr>
          <w:rFonts w:ascii="Arial" w:hAnsi="Arial" w:cs="Arial"/>
          <w:lang w:val="en-US"/>
        </w:rPr>
      </w:pPr>
      <w:r w:rsidRPr="00EE5B10">
        <w:rPr>
          <w:rFonts w:ascii="Arial" w:hAnsi="Arial" w:cs="Arial"/>
          <w:b/>
          <w:bCs/>
          <w:lang w:val="en-US"/>
        </w:rPr>
        <w:t>Technological Advancements Driving Engagement</w:t>
      </w:r>
    </w:p>
    <w:p w14:paraId="1653EAA8" w14:textId="24A6535F" w:rsidR="008846DD" w:rsidRPr="00EE5B10" w:rsidRDefault="00EE5B10" w:rsidP="0060718C">
      <w:pPr>
        <w:pStyle w:val="ListParagraph"/>
        <w:numPr>
          <w:ilvl w:val="0"/>
          <w:numId w:val="31"/>
        </w:numPr>
        <w:spacing w:line="360" w:lineRule="auto"/>
        <w:jc w:val="both"/>
        <w:rPr>
          <w:rFonts w:ascii="Arial" w:hAnsi="Arial" w:cs="Arial"/>
          <w:lang w:val="en-US"/>
        </w:rPr>
      </w:pPr>
      <w:r w:rsidRPr="00EE5B10">
        <w:rPr>
          <w:rFonts w:ascii="Arial" w:hAnsi="Arial" w:cs="Arial"/>
          <w:lang w:val="en-US"/>
        </w:rPr>
        <w:t>Leveraging cutting-edge technology for interactive sessions, networking, and personalized event experiences will enhance attendee satisfaction and differentiate the event from competitors</w:t>
      </w:r>
      <w:r w:rsidR="006430C2">
        <w:rPr>
          <w:rFonts w:ascii="Arial" w:hAnsi="Arial" w:cs="Arial"/>
          <w:lang w:val="en-US"/>
        </w:rPr>
        <w:t>.</w:t>
      </w:r>
    </w:p>
    <w:p w14:paraId="38528BD4" w14:textId="3193CCCF" w:rsidR="008846DD" w:rsidRPr="00FB1C29" w:rsidRDefault="008846DD" w:rsidP="00B326CA">
      <w:pPr>
        <w:spacing w:line="360" w:lineRule="auto"/>
        <w:jc w:val="both"/>
        <w:rPr>
          <w:rFonts w:ascii="Arial" w:hAnsi="Arial" w:cs="Arial"/>
        </w:rPr>
      </w:pPr>
      <w:r w:rsidRPr="00FB1C29">
        <w:rPr>
          <w:rFonts w:ascii="Arial" w:hAnsi="Arial" w:cs="Arial"/>
        </w:rPr>
        <w:t xml:space="preserve"> </w:t>
      </w:r>
    </w:p>
    <w:p w14:paraId="3C27B1F9" w14:textId="51105E7E" w:rsidR="00B61403" w:rsidRPr="00FB1C29" w:rsidRDefault="00B61403" w:rsidP="0060718C">
      <w:pPr>
        <w:pStyle w:val="Heading1"/>
        <w:spacing w:line="360" w:lineRule="auto"/>
        <w:jc w:val="both"/>
        <w:rPr>
          <w:rFonts w:ascii="Arial" w:hAnsi="Arial" w:cs="Arial"/>
          <w:sz w:val="32"/>
          <w:szCs w:val="32"/>
        </w:rPr>
      </w:pPr>
      <w:r w:rsidRPr="00FB1C29">
        <w:rPr>
          <w:rFonts w:ascii="Arial" w:hAnsi="Arial" w:cs="Arial"/>
          <w:sz w:val="32"/>
          <w:szCs w:val="32"/>
        </w:rPr>
        <w:t xml:space="preserve"> </w:t>
      </w:r>
      <w:bookmarkStart w:id="17" w:name="_Toc191086265"/>
      <w:r w:rsidRPr="00FB1C29">
        <w:rPr>
          <w:rFonts w:ascii="Arial" w:hAnsi="Arial" w:cs="Arial"/>
          <w:sz w:val="32"/>
          <w:szCs w:val="32"/>
        </w:rPr>
        <w:t>Situational and Cultural Considerations</w:t>
      </w:r>
      <w:bookmarkEnd w:id="17"/>
      <w:r w:rsidRPr="00FB1C29">
        <w:rPr>
          <w:rFonts w:ascii="Arial" w:hAnsi="Arial" w:cs="Arial"/>
          <w:sz w:val="32"/>
          <w:szCs w:val="32"/>
        </w:rPr>
        <w:t xml:space="preserve"> </w:t>
      </w:r>
    </w:p>
    <w:p w14:paraId="7834F553" w14:textId="77777777" w:rsidR="00B73831" w:rsidRPr="00FB1C29" w:rsidRDefault="00B73831" w:rsidP="0060718C">
      <w:pPr>
        <w:spacing w:line="360" w:lineRule="auto"/>
        <w:jc w:val="both"/>
        <w:rPr>
          <w:rFonts w:ascii="Arial" w:hAnsi="Arial" w:cs="Arial"/>
        </w:rPr>
      </w:pPr>
    </w:p>
    <w:p w14:paraId="1E30D6F9" w14:textId="21AD7548" w:rsidR="00B61403" w:rsidRPr="00FB1C29" w:rsidRDefault="00B61403" w:rsidP="0060718C">
      <w:pPr>
        <w:spacing w:line="360" w:lineRule="auto"/>
        <w:jc w:val="both"/>
        <w:rPr>
          <w:rFonts w:ascii="Arial" w:hAnsi="Arial" w:cs="Arial"/>
        </w:rPr>
      </w:pPr>
      <w:bookmarkStart w:id="18" w:name="_Toc191086266"/>
      <w:r w:rsidRPr="00FB1C29">
        <w:rPr>
          <w:rStyle w:val="Heading3Char"/>
        </w:rPr>
        <w:t>PESTEL analysis</w:t>
      </w:r>
      <w:bookmarkEnd w:id="18"/>
      <w:r w:rsidRPr="00FB1C29">
        <w:rPr>
          <w:rFonts w:ascii="Arial" w:hAnsi="Arial" w:cs="Arial"/>
        </w:rPr>
        <w:t xml:space="preserve"> provides insight into external factors influencing the event:</w:t>
      </w:r>
    </w:p>
    <w:p w14:paraId="1269F9B5" w14:textId="77777777" w:rsidR="00D663A2" w:rsidRPr="00D663A2" w:rsidRDefault="00D663A2" w:rsidP="0060718C">
      <w:pPr>
        <w:spacing w:line="360" w:lineRule="auto"/>
        <w:ind w:left="720"/>
        <w:jc w:val="both"/>
        <w:rPr>
          <w:rFonts w:ascii="Arial" w:hAnsi="Arial" w:cs="Arial"/>
          <w:u w:val="single"/>
        </w:rPr>
      </w:pPr>
      <w:r w:rsidRPr="00D663A2">
        <w:rPr>
          <w:rFonts w:ascii="Arial" w:hAnsi="Arial" w:cs="Arial"/>
          <w:u w:val="single"/>
        </w:rPr>
        <w:t>Political Factors</w:t>
      </w:r>
    </w:p>
    <w:p w14:paraId="069D5BF1" w14:textId="52076095" w:rsidR="00D663A2" w:rsidRPr="00D663A2" w:rsidRDefault="00D663A2" w:rsidP="0060718C">
      <w:pPr>
        <w:spacing w:line="360" w:lineRule="auto"/>
        <w:ind w:left="720"/>
        <w:jc w:val="both"/>
        <w:rPr>
          <w:rFonts w:ascii="Arial" w:hAnsi="Arial" w:cs="Arial"/>
        </w:rPr>
      </w:pPr>
      <w:r w:rsidRPr="00D663A2">
        <w:rPr>
          <w:rFonts w:ascii="Arial" w:hAnsi="Arial" w:cs="Arial"/>
        </w:rPr>
        <w:t>The political stability of Singapore is an ideal foundation for international events to be held in the country. Its government's efforts toward promoting DEI through various policies can help raise the event's credibility</w:t>
      </w:r>
      <w:r w:rsidR="002C53F9" w:rsidRPr="00FB1C29">
        <w:rPr>
          <w:rFonts w:ascii="Arial" w:hAnsi="Arial" w:cs="Arial"/>
        </w:rPr>
        <w:t xml:space="preserve"> (Ann, 2003).</w:t>
      </w:r>
    </w:p>
    <w:p w14:paraId="5DDCCF17" w14:textId="63BFC47A" w:rsidR="00D663A2" w:rsidRPr="00D663A2" w:rsidRDefault="00D663A2" w:rsidP="0060718C">
      <w:pPr>
        <w:spacing w:line="360" w:lineRule="auto"/>
        <w:ind w:left="720"/>
        <w:jc w:val="both"/>
        <w:rPr>
          <w:rFonts w:ascii="Arial" w:hAnsi="Arial" w:cs="Arial"/>
        </w:rPr>
      </w:pPr>
      <w:r w:rsidRPr="00D663A2">
        <w:rPr>
          <w:rFonts w:ascii="Arial" w:hAnsi="Arial" w:cs="Arial"/>
        </w:rPr>
        <w:t xml:space="preserve">The city-state's international relations can also help facilitate the participation of hospitality workers from other countries. In addition, the event's execution and </w:t>
      </w:r>
      <w:r w:rsidRPr="00D663A2">
        <w:rPr>
          <w:rFonts w:ascii="Arial" w:hAnsi="Arial" w:cs="Arial"/>
        </w:rPr>
        <w:lastRenderedPageBreak/>
        <w:t xml:space="preserve">planning should be </w:t>
      </w:r>
      <w:r w:rsidR="00314BE6" w:rsidRPr="00FB1C29">
        <w:rPr>
          <w:rFonts w:ascii="Arial" w:hAnsi="Arial" w:cs="Arial"/>
        </w:rPr>
        <w:t>conducted</w:t>
      </w:r>
      <w:r w:rsidRPr="00D663A2">
        <w:rPr>
          <w:rFonts w:ascii="Arial" w:hAnsi="Arial" w:cs="Arial"/>
        </w:rPr>
        <w:t xml:space="preserve"> in compliance with local </w:t>
      </w:r>
      <w:r w:rsidR="001C31F5" w:rsidRPr="00FB1C29">
        <w:rPr>
          <w:rFonts w:ascii="Arial" w:hAnsi="Arial" w:cs="Arial"/>
        </w:rPr>
        <w:t>labour</w:t>
      </w:r>
      <w:r w:rsidRPr="00D663A2">
        <w:rPr>
          <w:rFonts w:ascii="Arial" w:hAnsi="Arial" w:cs="Arial"/>
        </w:rPr>
        <w:t xml:space="preserve"> laws and safety regulations.</w:t>
      </w:r>
    </w:p>
    <w:p w14:paraId="7B019B70" w14:textId="77777777" w:rsidR="00D663A2" w:rsidRPr="00D663A2" w:rsidRDefault="00D663A2" w:rsidP="0060718C">
      <w:pPr>
        <w:spacing w:line="360" w:lineRule="auto"/>
        <w:ind w:left="720"/>
        <w:jc w:val="both"/>
        <w:rPr>
          <w:rFonts w:ascii="Arial" w:hAnsi="Arial" w:cs="Arial"/>
          <w:u w:val="single"/>
        </w:rPr>
      </w:pPr>
      <w:r w:rsidRPr="00D663A2">
        <w:rPr>
          <w:rFonts w:ascii="Arial" w:hAnsi="Arial" w:cs="Arial"/>
          <w:u w:val="single"/>
        </w:rPr>
        <w:t>Economic Factors</w:t>
      </w:r>
    </w:p>
    <w:p w14:paraId="07B52215" w14:textId="5ACFFFB4" w:rsidR="00D663A2" w:rsidRPr="00D663A2" w:rsidRDefault="00D663A2" w:rsidP="0060718C">
      <w:pPr>
        <w:spacing w:line="360" w:lineRule="auto"/>
        <w:ind w:left="720"/>
        <w:jc w:val="both"/>
        <w:rPr>
          <w:rFonts w:ascii="Arial" w:hAnsi="Arial" w:cs="Arial"/>
        </w:rPr>
      </w:pPr>
      <w:r w:rsidRPr="00D663A2">
        <w:rPr>
          <w:rFonts w:ascii="Arial" w:hAnsi="Arial" w:cs="Arial"/>
        </w:rPr>
        <w:t>The stable and prosperous economy of Singapore is an ideal backdrop for large-scale events to be held in the country</w:t>
      </w:r>
      <w:r w:rsidR="00E6025A" w:rsidRPr="00FB1C29">
        <w:rPr>
          <w:rFonts w:ascii="Arial" w:hAnsi="Arial" w:cs="Arial"/>
        </w:rPr>
        <w:t xml:space="preserve">, </w:t>
      </w:r>
      <w:r w:rsidRPr="00D663A2">
        <w:rPr>
          <w:rFonts w:ascii="Arial" w:hAnsi="Arial" w:cs="Arial"/>
        </w:rPr>
        <w:t>it has one of the most resilient economies in the world</w:t>
      </w:r>
      <w:r w:rsidR="00E6025A" w:rsidRPr="00FB1C29">
        <w:rPr>
          <w:rFonts w:ascii="Arial" w:hAnsi="Arial" w:cs="Arial"/>
        </w:rPr>
        <w:t xml:space="preserve"> (TEO, 2021).</w:t>
      </w:r>
    </w:p>
    <w:p w14:paraId="4AE945FC" w14:textId="3F731AB5" w:rsidR="00D663A2" w:rsidRPr="00D663A2" w:rsidRDefault="00D663A2" w:rsidP="0060718C">
      <w:pPr>
        <w:spacing w:line="360" w:lineRule="auto"/>
        <w:ind w:left="720"/>
        <w:jc w:val="both"/>
        <w:rPr>
          <w:rFonts w:ascii="Arial" w:hAnsi="Arial" w:cs="Arial"/>
        </w:rPr>
      </w:pPr>
      <w:r w:rsidRPr="00D663A2">
        <w:rPr>
          <w:rFonts w:ascii="Arial" w:hAnsi="Arial" w:cs="Arial"/>
        </w:rPr>
        <w:t xml:space="preserve">However, the rising cost of living and currency fluctuations can affect the travel, lodging, marketing, and catering expenses of international guests. In addition, uncertainties regarding the global economic outlook could restrict the budgets of potential sponsors and participants, especially small and </w:t>
      </w:r>
      <w:r w:rsidR="00E6025A" w:rsidRPr="00FB1C29">
        <w:rPr>
          <w:rFonts w:ascii="Arial" w:hAnsi="Arial" w:cs="Arial"/>
        </w:rPr>
        <w:t>medium-sized</w:t>
      </w:r>
      <w:r w:rsidRPr="00D663A2">
        <w:rPr>
          <w:rFonts w:ascii="Arial" w:hAnsi="Arial" w:cs="Arial"/>
        </w:rPr>
        <w:t xml:space="preserve"> enterprises. Despite the various obstacles that can prevent businesses from participating in DEI initiatives, the increasing number of companies recognizing the value of these events shows that they are still willing to invest in them</w:t>
      </w:r>
      <w:r w:rsidR="001C31F5" w:rsidRPr="00FB1C29">
        <w:rPr>
          <w:rFonts w:ascii="Arial" w:hAnsi="Arial" w:cs="Arial"/>
        </w:rPr>
        <w:t xml:space="preserve"> (</w:t>
      </w:r>
      <w:r w:rsidR="002A29E3" w:rsidRPr="00FB1C29">
        <w:rPr>
          <w:rFonts w:ascii="Arial" w:hAnsi="Arial" w:cs="Arial"/>
        </w:rPr>
        <w:t>ESQUIVIAS, et al.</w:t>
      </w:r>
      <w:r w:rsidR="001C31F5" w:rsidRPr="00FB1C29">
        <w:rPr>
          <w:rFonts w:ascii="Arial" w:hAnsi="Arial" w:cs="Arial"/>
        </w:rPr>
        <w:t>, 2021).</w:t>
      </w:r>
    </w:p>
    <w:p w14:paraId="722EC3E3" w14:textId="77777777" w:rsidR="00D663A2" w:rsidRPr="00D663A2" w:rsidRDefault="00D663A2" w:rsidP="0060718C">
      <w:pPr>
        <w:spacing w:line="360" w:lineRule="auto"/>
        <w:ind w:left="720"/>
        <w:jc w:val="both"/>
        <w:rPr>
          <w:rFonts w:ascii="Arial" w:hAnsi="Arial" w:cs="Arial"/>
          <w:u w:val="single"/>
        </w:rPr>
      </w:pPr>
      <w:r w:rsidRPr="00D663A2">
        <w:rPr>
          <w:rFonts w:ascii="Arial" w:hAnsi="Arial" w:cs="Arial"/>
          <w:u w:val="single"/>
        </w:rPr>
        <w:t>Socio-Cultural Factors</w:t>
      </w:r>
    </w:p>
    <w:p w14:paraId="071DD886" w14:textId="5FACDF05" w:rsidR="00D663A2" w:rsidRPr="00D663A2" w:rsidRDefault="00D663A2" w:rsidP="0060718C">
      <w:pPr>
        <w:spacing w:line="360" w:lineRule="auto"/>
        <w:ind w:left="720"/>
        <w:jc w:val="both"/>
        <w:rPr>
          <w:rFonts w:ascii="Arial" w:hAnsi="Arial" w:cs="Arial"/>
        </w:rPr>
      </w:pPr>
      <w:r w:rsidRPr="00D663A2">
        <w:rPr>
          <w:rFonts w:ascii="Arial" w:hAnsi="Arial" w:cs="Arial"/>
        </w:rPr>
        <w:t xml:space="preserve">As the world focuses on promoting inclusive workplaces, the hospitality industry is expected to continue its efforts toward DEI. This event is also relevant due to the </w:t>
      </w:r>
      <w:r w:rsidR="007B72D0" w:rsidRPr="00D663A2">
        <w:rPr>
          <w:rFonts w:ascii="Arial" w:hAnsi="Arial" w:cs="Arial"/>
        </w:rPr>
        <w:t>rising</w:t>
      </w:r>
      <w:r w:rsidRPr="00D663A2">
        <w:rPr>
          <w:rFonts w:ascii="Arial" w:hAnsi="Arial" w:cs="Arial"/>
        </w:rPr>
        <w:t xml:space="preserve"> awareness of these issues among consumers and businesses.</w:t>
      </w:r>
    </w:p>
    <w:p w14:paraId="1F08464D" w14:textId="0C59D09B" w:rsidR="00D663A2" w:rsidRDefault="00D663A2" w:rsidP="0060718C">
      <w:pPr>
        <w:spacing w:line="360" w:lineRule="auto"/>
        <w:ind w:left="720"/>
        <w:jc w:val="both"/>
        <w:rPr>
          <w:rFonts w:ascii="Arial" w:hAnsi="Arial" w:cs="Arial"/>
        </w:rPr>
      </w:pPr>
      <w:r w:rsidRPr="00D663A2">
        <w:rPr>
          <w:rFonts w:ascii="Arial" w:hAnsi="Arial" w:cs="Arial"/>
        </w:rPr>
        <w:t xml:space="preserve">The increasing number of people with different cultural backgrounds and sexual </w:t>
      </w:r>
      <w:r w:rsidR="00AB3191" w:rsidRPr="00FB1C29">
        <w:rPr>
          <w:rFonts w:ascii="Arial" w:hAnsi="Arial" w:cs="Arial"/>
        </w:rPr>
        <w:t>orientations</w:t>
      </w:r>
      <w:r w:rsidRPr="00D663A2">
        <w:rPr>
          <w:rFonts w:ascii="Arial" w:hAnsi="Arial" w:cs="Arial"/>
        </w:rPr>
        <w:t xml:space="preserve"> makes it more important for the hospitality industry to promote inclusive hiring practices and leadership representation</w:t>
      </w:r>
      <w:r w:rsidR="00E24686" w:rsidRPr="00FB1C29">
        <w:rPr>
          <w:rFonts w:ascii="Arial" w:hAnsi="Arial" w:cs="Arial"/>
        </w:rPr>
        <w:t xml:space="preserve"> (Gursoy and Maier, 2023)</w:t>
      </w:r>
      <w:r w:rsidR="002166D0" w:rsidRPr="00FB1C29">
        <w:rPr>
          <w:rFonts w:ascii="Arial" w:hAnsi="Arial" w:cs="Arial"/>
        </w:rPr>
        <w:t xml:space="preserve">. </w:t>
      </w:r>
      <w:r w:rsidRPr="00D663A2">
        <w:rPr>
          <w:rFonts w:ascii="Arial" w:hAnsi="Arial" w:cs="Arial"/>
        </w:rPr>
        <w:t>Also, the emergence of new lifestyle trends such as increasing flexibility and remote working can help attract a global audience. In addition, the income distribution disparities among professionals can affect their attendance. Individuals from lower socio-economic groups might require government-sponsored participation</w:t>
      </w:r>
      <w:r w:rsidR="000A074F" w:rsidRPr="00FB1C29">
        <w:rPr>
          <w:rFonts w:ascii="Arial" w:hAnsi="Arial" w:cs="Arial"/>
        </w:rPr>
        <w:t xml:space="preserve"> (Rainoldi, Ladkin and Buhalis, 2024).</w:t>
      </w:r>
    </w:p>
    <w:p w14:paraId="18953EE0" w14:textId="77777777" w:rsidR="002A29E3" w:rsidRDefault="002A29E3" w:rsidP="0060718C">
      <w:pPr>
        <w:spacing w:line="360" w:lineRule="auto"/>
        <w:ind w:left="720"/>
        <w:jc w:val="both"/>
        <w:rPr>
          <w:rFonts w:ascii="Arial" w:hAnsi="Arial" w:cs="Arial"/>
        </w:rPr>
      </w:pPr>
    </w:p>
    <w:p w14:paraId="1B912A9F" w14:textId="77777777" w:rsidR="002A29E3" w:rsidRPr="00D663A2" w:rsidRDefault="002A29E3" w:rsidP="0060718C">
      <w:pPr>
        <w:spacing w:line="360" w:lineRule="auto"/>
        <w:ind w:left="720"/>
        <w:jc w:val="both"/>
        <w:rPr>
          <w:rFonts w:ascii="Arial" w:hAnsi="Arial" w:cs="Arial"/>
        </w:rPr>
      </w:pPr>
    </w:p>
    <w:p w14:paraId="1B7DC59A" w14:textId="77777777" w:rsidR="00D663A2" w:rsidRPr="00D663A2" w:rsidRDefault="00D663A2" w:rsidP="0060718C">
      <w:pPr>
        <w:spacing w:line="360" w:lineRule="auto"/>
        <w:ind w:left="720"/>
        <w:jc w:val="both"/>
        <w:rPr>
          <w:rFonts w:ascii="Arial" w:hAnsi="Arial" w:cs="Arial"/>
          <w:u w:val="single"/>
        </w:rPr>
      </w:pPr>
      <w:r w:rsidRPr="00D663A2">
        <w:rPr>
          <w:rFonts w:ascii="Arial" w:hAnsi="Arial" w:cs="Arial"/>
          <w:u w:val="single"/>
        </w:rPr>
        <w:lastRenderedPageBreak/>
        <w:t>Technological Factors</w:t>
      </w:r>
    </w:p>
    <w:p w14:paraId="43125F51" w14:textId="0E0E4681" w:rsidR="00D663A2" w:rsidRPr="00D663A2" w:rsidRDefault="00D663A2" w:rsidP="0060718C">
      <w:pPr>
        <w:spacing w:line="360" w:lineRule="auto"/>
        <w:ind w:left="720"/>
        <w:jc w:val="both"/>
        <w:rPr>
          <w:rFonts w:ascii="Arial" w:hAnsi="Arial" w:cs="Arial"/>
        </w:rPr>
      </w:pPr>
      <w:r w:rsidRPr="00D663A2">
        <w:rPr>
          <w:rFonts w:ascii="Arial" w:hAnsi="Arial" w:cs="Arial"/>
        </w:rPr>
        <w:t xml:space="preserve">Technological advancements have the potential to enhance accessibility and engagement for events. Hybrid and virtual event technologies allow for more flexible participation, allowing individuals who </w:t>
      </w:r>
      <w:r w:rsidR="006E4FB2" w:rsidRPr="00FB1C29">
        <w:rPr>
          <w:rFonts w:ascii="Arial" w:hAnsi="Arial" w:cs="Arial"/>
        </w:rPr>
        <w:t>cannot</w:t>
      </w:r>
      <w:r w:rsidRPr="00D663A2">
        <w:rPr>
          <w:rFonts w:ascii="Arial" w:hAnsi="Arial" w:cs="Arial"/>
        </w:rPr>
        <w:t xml:space="preserve"> go to Singapore to participate. In addition, it can help event organi</w:t>
      </w:r>
      <w:r w:rsidR="009A5E49" w:rsidRPr="00FB1C29">
        <w:rPr>
          <w:rFonts w:ascii="Arial" w:hAnsi="Arial" w:cs="Arial"/>
        </w:rPr>
        <w:t>s</w:t>
      </w:r>
      <w:r w:rsidRPr="00D663A2">
        <w:rPr>
          <w:rFonts w:ascii="Arial" w:hAnsi="Arial" w:cs="Arial"/>
        </w:rPr>
        <w:t>ers manage travel-related risks</w:t>
      </w:r>
      <w:r w:rsidR="006E4FB2" w:rsidRPr="00FB1C29">
        <w:rPr>
          <w:rFonts w:ascii="Arial" w:hAnsi="Arial" w:cs="Arial"/>
        </w:rPr>
        <w:t xml:space="preserve"> (Rogers, 2008).</w:t>
      </w:r>
    </w:p>
    <w:p w14:paraId="32DF6D02" w14:textId="548B8C7F" w:rsidR="00D663A2" w:rsidRPr="00D663A2" w:rsidRDefault="00D663A2" w:rsidP="0060718C">
      <w:pPr>
        <w:spacing w:line="360" w:lineRule="auto"/>
        <w:ind w:left="720"/>
        <w:jc w:val="both"/>
        <w:rPr>
          <w:rFonts w:ascii="Arial" w:hAnsi="Arial" w:cs="Arial"/>
        </w:rPr>
      </w:pPr>
      <w:r w:rsidRPr="00D663A2">
        <w:rPr>
          <w:rFonts w:ascii="Arial" w:hAnsi="Arial" w:cs="Arial"/>
        </w:rPr>
        <w:t>Artificial intelligence (AI)-based tools and data analytics can help improve the experience of event participants. Event apps can also be used to manage various aspects of the event, such as feedback collection, networking, and scheduling</w:t>
      </w:r>
      <w:r w:rsidR="006E7DD8" w:rsidRPr="00FB1C29">
        <w:rPr>
          <w:rFonts w:ascii="Arial" w:hAnsi="Arial" w:cs="Arial"/>
        </w:rPr>
        <w:t xml:space="preserve"> (Abdul Hamid Abdul Halim, Norol Hamiza Zamzuri and Ayu Rohaidah Ghazali</w:t>
      </w:r>
      <w:r w:rsidR="009A5E49" w:rsidRPr="00FB1C29">
        <w:rPr>
          <w:rFonts w:ascii="Arial" w:hAnsi="Arial" w:cs="Arial"/>
        </w:rPr>
        <w:t xml:space="preserve">, </w:t>
      </w:r>
      <w:r w:rsidR="006E7DD8" w:rsidRPr="00FB1C29">
        <w:rPr>
          <w:rFonts w:ascii="Arial" w:hAnsi="Arial" w:cs="Arial"/>
        </w:rPr>
        <w:t>2023)</w:t>
      </w:r>
      <w:r w:rsidR="009A5E49" w:rsidRPr="00FB1C29">
        <w:rPr>
          <w:rFonts w:ascii="Arial" w:hAnsi="Arial" w:cs="Arial"/>
        </w:rPr>
        <w:t xml:space="preserve">. </w:t>
      </w:r>
      <w:r w:rsidRPr="00D663A2">
        <w:rPr>
          <w:rFonts w:ascii="Arial" w:hAnsi="Arial" w:cs="Arial"/>
        </w:rPr>
        <w:t xml:space="preserve">Since technological innovations are constantly being introduced in the field of event management, </w:t>
      </w:r>
      <w:r w:rsidR="009A5E49" w:rsidRPr="00FB1C29">
        <w:rPr>
          <w:rFonts w:ascii="Arial" w:hAnsi="Arial" w:cs="Arial"/>
        </w:rPr>
        <w:t>organisations must use</w:t>
      </w:r>
      <w:r w:rsidRPr="00D663A2">
        <w:rPr>
          <w:rFonts w:ascii="Arial" w:hAnsi="Arial" w:cs="Arial"/>
        </w:rPr>
        <w:t xml:space="preserve"> the latest tools to maintain their relevance.</w:t>
      </w:r>
    </w:p>
    <w:p w14:paraId="4065C39D" w14:textId="77777777" w:rsidR="00D663A2" w:rsidRPr="00D663A2" w:rsidRDefault="00D663A2" w:rsidP="0060718C">
      <w:pPr>
        <w:spacing w:line="360" w:lineRule="auto"/>
        <w:ind w:left="720"/>
        <w:jc w:val="both"/>
        <w:rPr>
          <w:rFonts w:ascii="Arial" w:hAnsi="Arial" w:cs="Arial"/>
          <w:u w:val="single"/>
        </w:rPr>
      </w:pPr>
      <w:r w:rsidRPr="00D663A2">
        <w:rPr>
          <w:rFonts w:ascii="Arial" w:hAnsi="Arial" w:cs="Arial"/>
          <w:u w:val="single"/>
        </w:rPr>
        <w:t>Environmental Factors</w:t>
      </w:r>
    </w:p>
    <w:p w14:paraId="1B0E285E" w14:textId="3F7050DF" w:rsidR="00D663A2" w:rsidRPr="00D663A2" w:rsidRDefault="00D663A2" w:rsidP="0060718C">
      <w:pPr>
        <w:spacing w:line="360" w:lineRule="auto"/>
        <w:ind w:left="720"/>
        <w:jc w:val="both"/>
        <w:rPr>
          <w:rFonts w:ascii="Arial" w:hAnsi="Arial" w:cs="Arial"/>
        </w:rPr>
      </w:pPr>
      <w:r w:rsidRPr="00D663A2">
        <w:rPr>
          <w:rFonts w:ascii="Arial" w:hAnsi="Arial" w:cs="Arial"/>
        </w:rPr>
        <w:t>Due to the increasing importance of sustainability in planning an event, both the attendees and the organi</w:t>
      </w:r>
      <w:r w:rsidR="00314BE6" w:rsidRPr="00FB1C29">
        <w:rPr>
          <w:rFonts w:ascii="Arial" w:hAnsi="Arial" w:cs="Arial"/>
        </w:rPr>
        <w:t>s</w:t>
      </w:r>
      <w:r w:rsidRPr="00D663A2">
        <w:rPr>
          <w:rFonts w:ascii="Arial" w:hAnsi="Arial" w:cs="Arial"/>
        </w:rPr>
        <w:t>ations are demanding more eco-friendly practices. To minimize its carbon footprint, an event should consider adopting digital resources and catering options that are made from renewable materials</w:t>
      </w:r>
      <w:r w:rsidR="002D3FA2" w:rsidRPr="00FB1C29">
        <w:rPr>
          <w:rFonts w:ascii="Arial" w:hAnsi="Arial" w:cs="Arial"/>
        </w:rPr>
        <w:t xml:space="preserve"> (Santos, </w:t>
      </w:r>
      <w:r w:rsidR="002D3FA2" w:rsidRPr="00FB1C29">
        <w:rPr>
          <w:rFonts w:ascii="Arial" w:hAnsi="Arial" w:cs="Arial"/>
          <w:i/>
          <w:iCs/>
        </w:rPr>
        <w:t>et al</w:t>
      </w:r>
      <w:r w:rsidR="009F3197" w:rsidRPr="00FB1C29">
        <w:rPr>
          <w:rFonts w:ascii="Arial" w:hAnsi="Arial" w:cs="Arial"/>
          <w:i/>
          <w:iCs/>
        </w:rPr>
        <w:t>.</w:t>
      </w:r>
      <w:r w:rsidR="009F3197" w:rsidRPr="00FB1C29">
        <w:rPr>
          <w:rFonts w:ascii="Arial" w:hAnsi="Arial" w:cs="Arial"/>
        </w:rPr>
        <w:t xml:space="preserve">, </w:t>
      </w:r>
      <w:r w:rsidR="002D3FA2" w:rsidRPr="00FB1C29">
        <w:rPr>
          <w:rFonts w:ascii="Arial" w:hAnsi="Arial" w:cs="Arial"/>
        </w:rPr>
        <w:t>2024)</w:t>
      </w:r>
      <w:r w:rsidR="009F3197" w:rsidRPr="00FB1C29">
        <w:rPr>
          <w:rFonts w:ascii="Arial" w:hAnsi="Arial" w:cs="Arial"/>
        </w:rPr>
        <w:t>.</w:t>
      </w:r>
    </w:p>
    <w:p w14:paraId="092F58D2" w14:textId="6D42EE54" w:rsidR="00D663A2" w:rsidRPr="00D663A2" w:rsidRDefault="00D663A2" w:rsidP="0060718C">
      <w:pPr>
        <w:spacing w:line="360" w:lineRule="auto"/>
        <w:ind w:left="720"/>
        <w:jc w:val="both"/>
        <w:rPr>
          <w:rFonts w:ascii="Arial" w:hAnsi="Arial" w:cs="Arial"/>
        </w:rPr>
      </w:pPr>
      <w:r w:rsidRPr="00D663A2">
        <w:rPr>
          <w:rFonts w:ascii="Arial" w:hAnsi="Arial" w:cs="Arial"/>
        </w:rPr>
        <w:t xml:space="preserve">The convention </w:t>
      </w:r>
      <w:r w:rsidR="009A5E49" w:rsidRPr="00FB1C29">
        <w:rPr>
          <w:rFonts w:ascii="Arial" w:hAnsi="Arial" w:cs="Arial"/>
        </w:rPr>
        <w:t>centre</w:t>
      </w:r>
      <w:r w:rsidRPr="00D663A2">
        <w:rPr>
          <w:rFonts w:ascii="Arial" w:hAnsi="Arial" w:cs="Arial"/>
        </w:rPr>
        <w:t xml:space="preserve"> of Singapore's Marina Bay Sands is known for its commitment to sustainability. This facility can serve as an ideal venue when it hosts an event that values inclusivity and the environment. The use of green practices can help the event develop a stronger brand image and align itself with global social responsibility trends</w:t>
      </w:r>
      <w:r w:rsidR="00731C6B" w:rsidRPr="00FB1C29">
        <w:rPr>
          <w:rFonts w:ascii="Arial" w:hAnsi="Arial" w:cs="Arial"/>
        </w:rPr>
        <w:t xml:space="preserve"> (Marina Bay Sands, 2023).</w:t>
      </w:r>
    </w:p>
    <w:p w14:paraId="786F2C61" w14:textId="77777777" w:rsidR="00D663A2" w:rsidRPr="00D663A2" w:rsidRDefault="00D663A2" w:rsidP="0060718C">
      <w:pPr>
        <w:spacing w:line="360" w:lineRule="auto"/>
        <w:ind w:left="720"/>
        <w:jc w:val="both"/>
        <w:rPr>
          <w:rFonts w:ascii="Arial" w:hAnsi="Arial" w:cs="Arial"/>
          <w:u w:val="single"/>
        </w:rPr>
      </w:pPr>
      <w:r w:rsidRPr="00D663A2">
        <w:rPr>
          <w:rFonts w:ascii="Arial" w:hAnsi="Arial" w:cs="Arial"/>
          <w:u w:val="single"/>
        </w:rPr>
        <w:t>Legal Factors</w:t>
      </w:r>
    </w:p>
    <w:p w14:paraId="5C067900" w14:textId="32517E1F" w:rsidR="00D663A2" w:rsidRPr="00D663A2" w:rsidRDefault="00D663A2" w:rsidP="0060718C">
      <w:pPr>
        <w:spacing w:line="360" w:lineRule="auto"/>
        <w:ind w:left="720"/>
        <w:jc w:val="both"/>
        <w:rPr>
          <w:rFonts w:ascii="Arial" w:hAnsi="Arial" w:cs="Arial"/>
        </w:rPr>
      </w:pPr>
      <w:r w:rsidRPr="00D663A2">
        <w:rPr>
          <w:rFonts w:ascii="Arial" w:hAnsi="Arial" w:cs="Arial"/>
        </w:rPr>
        <w:t xml:space="preserve">It must abide by Singapore's laws </w:t>
      </w:r>
      <w:r w:rsidR="00E24EB7" w:rsidRPr="00FB1C29">
        <w:rPr>
          <w:rFonts w:ascii="Arial" w:hAnsi="Arial" w:cs="Arial"/>
        </w:rPr>
        <w:t>about</w:t>
      </w:r>
      <w:r w:rsidRPr="00D663A2">
        <w:rPr>
          <w:rFonts w:ascii="Arial" w:hAnsi="Arial" w:cs="Arial"/>
        </w:rPr>
        <w:t xml:space="preserve"> safety, anti-discrimination regulations, and employment. A group that promotes fair </w:t>
      </w:r>
      <w:r w:rsidR="00E24EB7" w:rsidRPr="00FB1C29">
        <w:rPr>
          <w:rFonts w:ascii="Arial" w:hAnsi="Arial" w:cs="Arial"/>
        </w:rPr>
        <w:t>labour</w:t>
      </w:r>
      <w:r w:rsidRPr="00D663A2">
        <w:rPr>
          <w:rFonts w:ascii="Arial" w:hAnsi="Arial" w:cs="Arial"/>
        </w:rPr>
        <w:t xml:space="preserve"> practices in Singapore ensures that events abide by the nation's </w:t>
      </w:r>
      <w:r w:rsidR="00E24EB7" w:rsidRPr="00FB1C29">
        <w:rPr>
          <w:rFonts w:ascii="Arial" w:hAnsi="Arial" w:cs="Arial"/>
        </w:rPr>
        <w:t>labour</w:t>
      </w:r>
      <w:r w:rsidRPr="00D663A2">
        <w:rPr>
          <w:rFonts w:ascii="Arial" w:hAnsi="Arial" w:cs="Arial"/>
        </w:rPr>
        <w:t xml:space="preserve"> laws</w:t>
      </w:r>
      <w:r w:rsidR="00DB1420" w:rsidRPr="00FB1C29">
        <w:rPr>
          <w:rFonts w:ascii="Arial" w:hAnsi="Arial" w:cs="Arial"/>
        </w:rPr>
        <w:t xml:space="preserve"> (Senevirathne, </w:t>
      </w:r>
      <w:r w:rsidR="00DC4F79" w:rsidRPr="00FB1C29">
        <w:rPr>
          <w:rFonts w:ascii="Arial" w:hAnsi="Arial" w:cs="Arial"/>
        </w:rPr>
        <w:t>2021).</w:t>
      </w:r>
    </w:p>
    <w:p w14:paraId="38DE4C84" w14:textId="04C68570" w:rsidR="00731C6B" w:rsidRPr="006430C2" w:rsidRDefault="00D663A2" w:rsidP="006430C2">
      <w:pPr>
        <w:spacing w:line="360" w:lineRule="auto"/>
        <w:ind w:left="720"/>
        <w:jc w:val="both"/>
        <w:rPr>
          <w:rFonts w:ascii="Arial" w:hAnsi="Arial" w:cs="Arial"/>
        </w:rPr>
      </w:pPr>
      <w:r w:rsidRPr="00D663A2">
        <w:rPr>
          <w:rFonts w:ascii="Arial" w:hAnsi="Arial" w:cs="Arial"/>
        </w:rPr>
        <w:lastRenderedPageBreak/>
        <w:t xml:space="preserve">Certain policies and laws regarding partnerships and sponsorships should be followed to avoid potential legal issues. In addition, certain regulations, such as those related to COVID-19 protocols, should be </w:t>
      </w:r>
      <w:r w:rsidR="007B72D0" w:rsidRPr="00D663A2">
        <w:rPr>
          <w:rFonts w:ascii="Arial" w:hAnsi="Arial" w:cs="Arial"/>
        </w:rPr>
        <w:t>pursued</w:t>
      </w:r>
      <w:r w:rsidRPr="00D663A2">
        <w:rPr>
          <w:rFonts w:ascii="Arial" w:hAnsi="Arial" w:cs="Arial"/>
        </w:rPr>
        <w:t xml:space="preserve"> to ensure the safety and well-being of attendees, as well as the smooth execution of events</w:t>
      </w:r>
      <w:r w:rsidR="001E073E" w:rsidRPr="00FB1C29">
        <w:rPr>
          <w:rFonts w:ascii="Arial" w:hAnsi="Arial" w:cs="Arial"/>
        </w:rPr>
        <w:t xml:space="preserve"> (Ramely,</w:t>
      </w:r>
      <w:r w:rsidR="00807A79">
        <w:rPr>
          <w:rFonts w:ascii="Arial" w:hAnsi="Arial" w:cs="Arial"/>
        </w:rPr>
        <w:t xml:space="preserve"> </w:t>
      </w:r>
      <w:r w:rsidR="001E073E" w:rsidRPr="00FB1C29">
        <w:rPr>
          <w:rFonts w:ascii="Arial" w:hAnsi="Arial" w:cs="Arial"/>
        </w:rPr>
        <w:t xml:space="preserve">Ab Talib,  Ahmad, and Yusof, 2023). </w:t>
      </w:r>
    </w:p>
    <w:p w14:paraId="7A81161D" w14:textId="68B3C84C" w:rsidR="00A77406" w:rsidRPr="00FB1C29" w:rsidRDefault="00A77406" w:rsidP="0060718C">
      <w:pPr>
        <w:pStyle w:val="Heading1"/>
        <w:spacing w:line="360" w:lineRule="auto"/>
        <w:jc w:val="both"/>
        <w:rPr>
          <w:rFonts w:ascii="Arial" w:hAnsi="Arial" w:cs="Arial"/>
          <w:sz w:val="32"/>
          <w:szCs w:val="32"/>
        </w:rPr>
      </w:pPr>
      <w:bookmarkStart w:id="19" w:name="_Toc191086267"/>
      <w:r w:rsidRPr="00FB1C29">
        <w:rPr>
          <w:rFonts w:ascii="Arial" w:hAnsi="Arial" w:cs="Arial"/>
          <w:sz w:val="32"/>
          <w:szCs w:val="32"/>
        </w:rPr>
        <w:t>Conclusion</w:t>
      </w:r>
      <w:bookmarkEnd w:id="19"/>
    </w:p>
    <w:p w14:paraId="7DF3480B" w14:textId="77777777" w:rsidR="00B1040D" w:rsidRPr="00FB1C29" w:rsidRDefault="00B1040D" w:rsidP="0060718C">
      <w:pPr>
        <w:spacing w:line="360" w:lineRule="auto"/>
        <w:ind w:left="720"/>
        <w:jc w:val="both"/>
        <w:rPr>
          <w:rFonts w:ascii="Arial" w:hAnsi="Arial" w:cs="Arial"/>
        </w:rPr>
      </w:pPr>
    </w:p>
    <w:p w14:paraId="09C907E0" w14:textId="77777777" w:rsidR="00C92DCA" w:rsidRPr="00C92DCA" w:rsidRDefault="00C92DCA" w:rsidP="00C92DCA">
      <w:pPr>
        <w:spacing w:line="360" w:lineRule="auto"/>
        <w:jc w:val="both"/>
        <w:rPr>
          <w:rFonts w:ascii="Arial" w:hAnsi="Arial" w:cs="Arial"/>
          <w:lang w:val="en-US"/>
        </w:rPr>
      </w:pPr>
      <w:r w:rsidRPr="00C92DCA">
        <w:rPr>
          <w:rFonts w:ascii="Arial" w:hAnsi="Arial" w:cs="Arial"/>
          <w:lang w:val="en-US"/>
        </w:rPr>
        <w:t xml:space="preserve">In conclusion, </w:t>
      </w:r>
      <w:r w:rsidRPr="00C92DCA">
        <w:rPr>
          <w:rFonts w:ascii="Arial" w:hAnsi="Arial" w:cs="Arial"/>
          <w:i/>
          <w:iCs/>
          <w:lang w:val="en-US"/>
        </w:rPr>
        <w:t>"Unlocking Opportunities: Building Inclusive and Diverse Careers in Hospitality"</w:t>
      </w:r>
      <w:r w:rsidRPr="00C92DCA">
        <w:rPr>
          <w:rFonts w:ascii="Arial" w:hAnsi="Arial" w:cs="Arial"/>
          <w:lang w:val="en-US"/>
        </w:rPr>
        <w:t xml:space="preserve"> represents a strategic response to the growing need for Equality, Diversity, and Inclusion (EDI) within the global hospitality industry. Through a carefully structured program of keynote speeches, panel discussions, workshops, and networking sessions, the event aims to empower professionals, foster collaboration, and drive meaningful change within the sector. By addressing systemic barriers such as unconscious bias, limited leadership representation, and non-inclusive hiring practices, this event seeks to inspire actionable strategies for creating more equitable workplaces.</w:t>
      </w:r>
    </w:p>
    <w:p w14:paraId="003FC9C9" w14:textId="77777777" w:rsidR="00C92DCA" w:rsidRPr="00C92DCA" w:rsidRDefault="00C92DCA" w:rsidP="00C92DCA">
      <w:pPr>
        <w:spacing w:line="360" w:lineRule="auto"/>
        <w:jc w:val="both"/>
        <w:rPr>
          <w:rFonts w:ascii="Arial" w:hAnsi="Arial" w:cs="Arial"/>
          <w:lang w:val="en-US"/>
        </w:rPr>
      </w:pPr>
      <w:r w:rsidRPr="00C92DCA">
        <w:rPr>
          <w:rFonts w:ascii="Arial" w:hAnsi="Arial" w:cs="Arial"/>
          <w:lang w:val="en-US"/>
        </w:rPr>
        <w:t>The event’s design and execution, supported by the Dowson and Bassett (2015) Event Cycle Model, ensures a well-planned and impactful experience that aligns with current industry trends, including the rise of hybrid events, growing environmental consciousness, and the increasing importance of personalized, technology-driven experiences. Financial projections demonstrate the event’s feasibility and sustainability, with a surplus that can be reinvested into future DEI initiatives.</w:t>
      </w:r>
    </w:p>
    <w:p w14:paraId="2A2CDA58" w14:textId="77777777" w:rsidR="00C92DCA" w:rsidRDefault="00C92DCA" w:rsidP="00C92DCA">
      <w:pPr>
        <w:spacing w:line="360" w:lineRule="auto"/>
        <w:jc w:val="both"/>
        <w:rPr>
          <w:rFonts w:ascii="Arial" w:hAnsi="Arial" w:cs="Arial"/>
          <w:lang w:val="en-US"/>
        </w:rPr>
      </w:pPr>
      <w:r w:rsidRPr="00C92DCA">
        <w:rPr>
          <w:rFonts w:ascii="Arial" w:hAnsi="Arial" w:cs="Arial"/>
          <w:lang w:val="en-US"/>
        </w:rPr>
        <w:t>Moreover, the PESTLE analysis highlights the significance of broader socio-economic, political, and technological factors, positioning Singapore as an ideal host location. Ultimately, this event offers an opportunity for the hospitality industry to champion diversity, foster inclusivity, and redefine leadership for a more equitable future.</w:t>
      </w:r>
    </w:p>
    <w:p w14:paraId="701521B8" w14:textId="77777777" w:rsidR="009B5B5A" w:rsidRPr="00C92DCA" w:rsidRDefault="009B5B5A" w:rsidP="00C92DCA">
      <w:pPr>
        <w:spacing w:line="360" w:lineRule="auto"/>
        <w:jc w:val="both"/>
        <w:rPr>
          <w:rFonts w:ascii="Arial" w:hAnsi="Arial" w:cs="Arial"/>
          <w:lang w:val="en-US"/>
        </w:rPr>
      </w:pPr>
    </w:p>
    <w:p w14:paraId="1BC18185" w14:textId="77777777" w:rsidR="002D3FA2" w:rsidRDefault="002D3FA2" w:rsidP="0060718C">
      <w:pPr>
        <w:spacing w:line="360" w:lineRule="auto"/>
        <w:jc w:val="both"/>
        <w:rPr>
          <w:rFonts w:ascii="Arial" w:hAnsi="Arial" w:cs="Arial"/>
        </w:rPr>
      </w:pPr>
    </w:p>
    <w:p w14:paraId="4421160B" w14:textId="77777777" w:rsidR="00C92DCA" w:rsidRDefault="00C92DCA" w:rsidP="0060718C">
      <w:pPr>
        <w:spacing w:line="360" w:lineRule="auto"/>
        <w:jc w:val="both"/>
        <w:rPr>
          <w:rFonts w:ascii="Arial" w:hAnsi="Arial" w:cs="Arial"/>
        </w:rPr>
      </w:pPr>
    </w:p>
    <w:p w14:paraId="4753DD70" w14:textId="6498A70F" w:rsidR="00C92DCA" w:rsidRDefault="009B5B5A" w:rsidP="00244B7A">
      <w:pPr>
        <w:pStyle w:val="Heading1"/>
      </w:pPr>
      <w:r>
        <w:lastRenderedPageBreak/>
        <w:t xml:space="preserve">Appendix </w:t>
      </w:r>
    </w:p>
    <w:p w14:paraId="25F63853" w14:textId="77777777" w:rsidR="00D95DC9" w:rsidRPr="00D95DC9" w:rsidRDefault="00D95DC9" w:rsidP="00D95DC9"/>
    <w:p w14:paraId="5D70D7C8" w14:textId="435CEC2B" w:rsidR="00244B7A" w:rsidRDefault="00244B7A" w:rsidP="00D95DC9">
      <w:pPr>
        <w:pStyle w:val="Heading3"/>
      </w:pPr>
      <w:r>
        <w:t>Fig 4- expenditure breakdown</w:t>
      </w:r>
    </w:p>
    <w:tbl>
      <w:tblPr>
        <w:tblW w:w="7000" w:type="dxa"/>
        <w:tblLook w:val="04A0" w:firstRow="1" w:lastRow="0" w:firstColumn="1" w:lastColumn="0" w:noHBand="0" w:noVBand="1"/>
      </w:tblPr>
      <w:tblGrid>
        <w:gridCol w:w="2585"/>
        <w:gridCol w:w="1726"/>
        <w:gridCol w:w="2689"/>
      </w:tblGrid>
      <w:tr w:rsidR="00244B7A" w:rsidRPr="008C5DB2" w14:paraId="1D396A10" w14:textId="77777777" w:rsidTr="00596640">
        <w:trPr>
          <w:trHeight w:val="1160"/>
        </w:trPr>
        <w:tc>
          <w:tcPr>
            <w:tcW w:w="2585" w:type="dxa"/>
            <w:tcBorders>
              <w:top w:val="single" w:sz="4" w:space="0" w:color="44B3E1"/>
              <w:left w:val="single" w:sz="4" w:space="0" w:color="44B3E1"/>
              <w:bottom w:val="single" w:sz="4" w:space="0" w:color="44B3E1"/>
              <w:right w:val="nil"/>
            </w:tcBorders>
            <w:shd w:val="clear" w:color="C0E6F5" w:fill="C0E6F5"/>
            <w:noWrap/>
            <w:vAlign w:val="center"/>
            <w:hideMark/>
          </w:tcPr>
          <w:p w14:paraId="33A549EE" w14:textId="77777777" w:rsidR="00244B7A" w:rsidRPr="008C5DB2" w:rsidRDefault="00244B7A" w:rsidP="00596640">
            <w:pPr>
              <w:spacing w:after="0" w:line="240" w:lineRule="auto"/>
              <w:rPr>
                <w:rFonts w:ascii="Aptos Narrow" w:eastAsia="Times New Roman" w:hAnsi="Aptos Narrow" w:cs="Times New Roman"/>
                <w:b/>
                <w:bCs/>
                <w:color w:val="000000"/>
                <w:kern w:val="0"/>
                <w:sz w:val="22"/>
                <w:szCs w:val="22"/>
                <w14:ligatures w14:val="none"/>
              </w:rPr>
            </w:pPr>
            <w:r w:rsidRPr="008C5DB2">
              <w:rPr>
                <w:rFonts w:ascii="Aptos Narrow" w:eastAsia="Times New Roman" w:hAnsi="Aptos Narrow" w:cs="Times New Roman"/>
                <w:b/>
                <w:bCs/>
                <w:color w:val="000000"/>
                <w:kern w:val="0"/>
                <w:sz w:val="22"/>
                <w:szCs w:val="22"/>
                <w14:ligatures w14:val="none"/>
              </w:rPr>
              <w:t>Venue Rental</w:t>
            </w:r>
          </w:p>
        </w:tc>
        <w:tc>
          <w:tcPr>
            <w:tcW w:w="1726" w:type="dxa"/>
            <w:tcBorders>
              <w:top w:val="single" w:sz="4" w:space="0" w:color="44B3E1"/>
              <w:left w:val="nil"/>
              <w:bottom w:val="single" w:sz="4" w:space="0" w:color="44B3E1"/>
              <w:right w:val="nil"/>
            </w:tcBorders>
            <w:shd w:val="clear" w:color="C0E6F5" w:fill="C0E6F5"/>
            <w:vAlign w:val="center"/>
            <w:hideMark/>
          </w:tcPr>
          <w:p w14:paraId="6711FDD5" w14:textId="77777777" w:rsidR="00244B7A" w:rsidRPr="008C5DB2" w:rsidRDefault="00244B7A" w:rsidP="00596640">
            <w:pPr>
              <w:spacing w:after="0" w:line="240" w:lineRule="auto"/>
              <w:jc w:val="right"/>
              <w:rPr>
                <w:rFonts w:ascii="Aptos Narrow" w:eastAsia="Times New Roman" w:hAnsi="Aptos Narrow" w:cs="Times New Roman"/>
                <w:color w:val="000000"/>
                <w:kern w:val="0"/>
                <w:sz w:val="22"/>
                <w:szCs w:val="22"/>
                <w14:ligatures w14:val="none"/>
              </w:rPr>
            </w:pPr>
            <w:r w:rsidRPr="008C5DB2">
              <w:rPr>
                <w:rFonts w:ascii="Aptos Narrow" w:eastAsia="Times New Roman" w:hAnsi="Aptos Narrow" w:cs="Times New Roman"/>
                <w:color w:val="000000"/>
                <w:kern w:val="0"/>
                <w:sz w:val="22"/>
                <w:szCs w:val="22"/>
                <w14:ligatures w14:val="none"/>
              </w:rPr>
              <w:t>£40,000</w:t>
            </w:r>
          </w:p>
        </w:tc>
        <w:tc>
          <w:tcPr>
            <w:tcW w:w="2689" w:type="dxa"/>
            <w:tcBorders>
              <w:top w:val="single" w:sz="4" w:space="0" w:color="44B3E1"/>
              <w:left w:val="nil"/>
              <w:bottom w:val="single" w:sz="4" w:space="0" w:color="44B3E1"/>
              <w:right w:val="single" w:sz="4" w:space="0" w:color="44B3E1"/>
            </w:tcBorders>
            <w:shd w:val="clear" w:color="C0E6F5" w:fill="C0E6F5"/>
            <w:vAlign w:val="center"/>
            <w:hideMark/>
          </w:tcPr>
          <w:p w14:paraId="3843D46F" w14:textId="77777777" w:rsidR="00244B7A" w:rsidRPr="008C5DB2" w:rsidRDefault="00244B7A" w:rsidP="00596640">
            <w:pPr>
              <w:spacing w:after="0" w:line="240" w:lineRule="auto"/>
              <w:rPr>
                <w:rFonts w:ascii="Aptos Narrow" w:eastAsia="Times New Roman" w:hAnsi="Aptos Narrow" w:cs="Times New Roman"/>
                <w:color w:val="000000"/>
                <w:kern w:val="0"/>
                <w:sz w:val="22"/>
                <w:szCs w:val="22"/>
                <w14:ligatures w14:val="none"/>
              </w:rPr>
            </w:pPr>
            <w:r w:rsidRPr="008C5DB2">
              <w:rPr>
                <w:rFonts w:ascii="Aptos Narrow" w:eastAsia="Times New Roman" w:hAnsi="Aptos Narrow" w:cs="Times New Roman"/>
                <w:color w:val="000000"/>
                <w:kern w:val="0"/>
                <w:sz w:val="22"/>
                <w:szCs w:val="22"/>
                <w14:ligatures w14:val="none"/>
              </w:rPr>
              <w:t>Rental of Marina Bay Sands Convention Centre, including conference halls, breakout rooms, and exhibition space.</w:t>
            </w:r>
          </w:p>
        </w:tc>
      </w:tr>
      <w:tr w:rsidR="00244B7A" w:rsidRPr="008C5DB2" w14:paraId="05BEA923" w14:textId="77777777" w:rsidTr="00596640">
        <w:trPr>
          <w:trHeight w:val="870"/>
        </w:trPr>
        <w:tc>
          <w:tcPr>
            <w:tcW w:w="2585" w:type="dxa"/>
            <w:tcBorders>
              <w:top w:val="single" w:sz="4" w:space="0" w:color="44B3E1"/>
              <w:left w:val="single" w:sz="4" w:space="0" w:color="44B3E1"/>
              <w:bottom w:val="single" w:sz="4" w:space="0" w:color="44B3E1"/>
              <w:right w:val="nil"/>
            </w:tcBorders>
            <w:shd w:val="clear" w:color="auto" w:fill="auto"/>
            <w:noWrap/>
            <w:vAlign w:val="center"/>
            <w:hideMark/>
          </w:tcPr>
          <w:p w14:paraId="3EA6A315" w14:textId="77777777" w:rsidR="00244B7A" w:rsidRPr="008C5DB2" w:rsidRDefault="00244B7A" w:rsidP="00596640">
            <w:pPr>
              <w:spacing w:after="0" w:line="240" w:lineRule="auto"/>
              <w:rPr>
                <w:rFonts w:ascii="Aptos Narrow" w:eastAsia="Times New Roman" w:hAnsi="Aptos Narrow" w:cs="Times New Roman"/>
                <w:b/>
                <w:bCs/>
                <w:color w:val="000000"/>
                <w:kern w:val="0"/>
                <w:sz w:val="22"/>
                <w:szCs w:val="22"/>
                <w14:ligatures w14:val="none"/>
              </w:rPr>
            </w:pPr>
            <w:r w:rsidRPr="008C5DB2">
              <w:rPr>
                <w:rFonts w:ascii="Aptos Narrow" w:eastAsia="Times New Roman" w:hAnsi="Aptos Narrow" w:cs="Times New Roman"/>
                <w:b/>
                <w:bCs/>
                <w:color w:val="000000"/>
                <w:kern w:val="0"/>
                <w:sz w:val="22"/>
                <w:szCs w:val="22"/>
                <w14:ligatures w14:val="none"/>
              </w:rPr>
              <w:t>Catering Services</w:t>
            </w:r>
          </w:p>
        </w:tc>
        <w:tc>
          <w:tcPr>
            <w:tcW w:w="1726" w:type="dxa"/>
            <w:tcBorders>
              <w:top w:val="single" w:sz="4" w:space="0" w:color="44B3E1"/>
              <w:left w:val="nil"/>
              <w:bottom w:val="single" w:sz="4" w:space="0" w:color="44B3E1"/>
              <w:right w:val="nil"/>
            </w:tcBorders>
            <w:shd w:val="clear" w:color="auto" w:fill="auto"/>
            <w:vAlign w:val="center"/>
            <w:hideMark/>
          </w:tcPr>
          <w:p w14:paraId="19CB2A1B" w14:textId="77777777" w:rsidR="00244B7A" w:rsidRPr="008C5DB2" w:rsidRDefault="00244B7A" w:rsidP="00596640">
            <w:pPr>
              <w:spacing w:after="0" w:line="240" w:lineRule="auto"/>
              <w:jc w:val="right"/>
              <w:rPr>
                <w:rFonts w:ascii="Aptos Narrow" w:eastAsia="Times New Roman" w:hAnsi="Aptos Narrow" w:cs="Times New Roman"/>
                <w:color w:val="000000"/>
                <w:kern w:val="0"/>
                <w:sz w:val="22"/>
                <w:szCs w:val="22"/>
                <w14:ligatures w14:val="none"/>
              </w:rPr>
            </w:pPr>
            <w:r w:rsidRPr="008C5DB2">
              <w:rPr>
                <w:rFonts w:ascii="Aptos Narrow" w:eastAsia="Times New Roman" w:hAnsi="Aptos Narrow" w:cs="Times New Roman"/>
                <w:color w:val="000000"/>
                <w:kern w:val="0"/>
                <w:sz w:val="22"/>
                <w:szCs w:val="22"/>
                <w14:ligatures w14:val="none"/>
              </w:rPr>
              <w:t>£24,000</w:t>
            </w:r>
          </w:p>
        </w:tc>
        <w:tc>
          <w:tcPr>
            <w:tcW w:w="2689" w:type="dxa"/>
            <w:tcBorders>
              <w:top w:val="single" w:sz="4" w:space="0" w:color="44B3E1"/>
              <w:left w:val="nil"/>
              <w:bottom w:val="single" w:sz="4" w:space="0" w:color="44B3E1"/>
              <w:right w:val="single" w:sz="4" w:space="0" w:color="44B3E1"/>
            </w:tcBorders>
            <w:shd w:val="clear" w:color="auto" w:fill="auto"/>
            <w:vAlign w:val="center"/>
            <w:hideMark/>
          </w:tcPr>
          <w:p w14:paraId="221B209B" w14:textId="77777777" w:rsidR="00244B7A" w:rsidRPr="008C5DB2" w:rsidRDefault="00244B7A" w:rsidP="00596640">
            <w:pPr>
              <w:spacing w:after="0" w:line="240" w:lineRule="auto"/>
              <w:rPr>
                <w:rFonts w:ascii="Aptos Narrow" w:eastAsia="Times New Roman" w:hAnsi="Aptos Narrow" w:cs="Times New Roman"/>
                <w:color w:val="000000"/>
                <w:kern w:val="0"/>
                <w:sz w:val="22"/>
                <w:szCs w:val="22"/>
                <w14:ligatures w14:val="none"/>
              </w:rPr>
            </w:pPr>
            <w:r w:rsidRPr="008C5DB2">
              <w:rPr>
                <w:rFonts w:ascii="Aptos Narrow" w:eastAsia="Times New Roman" w:hAnsi="Aptos Narrow" w:cs="Times New Roman"/>
                <w:color w:val="000000"/>
                <w:kern w:val="0"/>
                <w:sz w:val="22"/>
                <w:szCs w:val="22"/>
                <w14:ligatures w14:val="none"/>
              </w:rPr>
              <w:t>Inclusive food and beverage services covering refreshments, lunches, and networking breaks.</w:t>
            </w:r>
          </w:p>
        </w:tc>
      </w:tr>
      <w:tr w:rsidR="00244B7A" w:rsidRPr="008C5DB2" w14:paraId="64EAC04B" w14:textId="77777777" w:rsidTr="00596640">
        <w:trPr>
          <w:trHeight w:val="1160"/>
        </w:trPr>
        <w:tc>
          <w:tcPr>
            <w:tcW w:w="2585" w:type="dxa"/>
            <w:tcBorders>
              <w:top w:val="single" w:sz="4" w:space="0" w:color="44B3E1"/>
              <w:left w:val="single" w:sz="4" w:space="0" w:color="44B3E1"/>
              <w:bottom w:val="single" w:sz="4" w:space="0" w:color="44B3E1"/>
              <w:right w:val="nil"/>
            </w:tcBorders>
            <w:shd w:val="clear" w:color="C0E6F5" w:fill="C0E6F5"/>
            <w:noWrap/>
            <w:vAlign w:val="center"/>
            <w:hideMark/>
          </w:tcPr>
          <w:p w14:paraId="7E6B5A7C" w14:textId="77777777" w:rsidR="00244B7A" w:rsidRPr="008C5DB2" w:rsidRDefault="00244B7A" w:rsidP="00596640">
            <w:pPr>
              <w:spacing w:after="0" w:line="240" w:lineRule="auto"/>
              <w:rPr>
                <w:rFonts w:ascii="Aptos Narrow" w:eastAsia="Times New Roman" w:hAnsi="Aptos Narrow" w:cs="Times New Roman"/>
                <w:b/>
                <w:bCs/>
                <w:color w:val="000000"/>
                <w:kern w:val="0"/>
                <w:sz w:val="22"/>
                <w:szCs w:val="22"/>
                <w14:ligatures w14:val="none"/>
              </w:rPr>
            </w:pPr>
            <w:r w:rsidRPr="008C5DB2">
              <w:rPr>
                <w:rFonts w:ascii="Aptos Narrow" w:eastAsia="Times New Roman" w:hAnsi="Aptos Narrow" w:cs="Times New Roman"/>
                <w:b/>
                <w:bCs/>
                <w:color w:val="000000"/>
                <w:kern w:val="0"/>
                <w:sz w:val="22"/>
                <w:szCs w:val="22"/>
                <w14:ligatures w14:val="none"/>
              </w:rPr>
              <w:t>Speaker Fees &amp; Travel</w:t>
            </w:r>
          </w:p>
        </w:tc>
        <w:tc>
          <w:tcPr>
            <w:tcW w:w="1726" w:type="dxa"/>
            <w:tcBorders>
              <w:top w:val="single" w:sz="4" w:space="0" w:color="44B3E1"/>
              <w:left w:val="nil"/>
              <w:bottom w:val="single" w:sz="4" w:space="0" w:color="44B3E1"/>
              <w:right w:val="nil"/>
            </w:tcBorders>
            <w:shd w:val="clear" w:color="C0E6F5" w:fill="C0E6F5"/>
            <w:vAlign w:val="center"/>
            <w:hideMark/>
          </w:tcPr>
          <w:p w14:paraId="777B3EC7" w14:textId="77777777" w:rsidR="00244B7A" w:rsidRPr="008C5DB2" w:rsidRDefault="00244B7A" w:rsidP="00596640">
            <w:pPr>
              <w:spacing w:after="0" w:line="240" w:lineRule="auto"/>
              <w:jc w:val="right"/>
              <w:rPr>
                <w:rFonts w:ascii="Aptos Narrow" w:eastAsia="Times New Roman" w:hAnsi="Aptos Narrow" w:cs="Times New Roman"/>
                <w:color w:val="000000"/>
                <w:kern w:val="0"/>
                <w:sz w:val="22"/>
                <w:szCs w:val="22"/>
                <w14:ligatures w14:val="none"/>
              </w:rPr>
            </w:pPr>
            <w:r w:rsidRPr="008C5DB2">
              <w:rPr>
                <w:rFonts w:ascii="Aptos Narrow" w:eastAsia="Times New Roman" w:hAnsi="Aptos Narrow" w:cs="Times New Roman"/>
                <w:color w:val="000000"/>
                <w:kern w:val="0"/>
                <w:sz w:val="22"/>
                <w:szCs w:val="22"/>
                <w14:ligatures w14:val="none"/>
              </w:rPr>
              <w:t>£32,000</w:t>
            </w:r>
          </w:p>
        </w:tc>
        <w:tc>
          <w:tcPr>
            <w:tcW w:w="2689" w:type="dxa"/>
            <w:tcBorders>
              <w:top w:val="single" w:sz="4" w:space="0" w:color="44B3E1"/>
              <w:left w:val="nil"/>
              <w:bottom w:val="single" w:sz="4" w:space="0" w:color="44B3E1"/>
              <w:right w:val="single" w:sz="4" w:space="0" w:color="44B3E1"/>
            </w:tcBorders>
            <w:shd w:val="clear" w:color="C0E6F5" w:fill="C0E6F5"/>
            <w:vAlign w:val="center"/>
            <w:hideMark/>
          </w:tcPr>
          <w:p w14:paraId="4E2462AF" w14:textId="77777777" w:rsidR="00244B7A" w:rsidRPr="008C5DB2" w:rsidRDefault="00244B7A" w:rsidP="00596640">
            <w:pPr>
              <w:spacing w:after="0" w:line="240" w:lineRule="auto"/>
              <w:rPr>
                <w:rFonts w:ascii="Aptos Narrow" w:eastAsia="Times New Roman" w:hAnsi="Aptos Narrow" w:cs="Times New Roman"/>
                <w:color w:val="000000"/>
                <w:kern w:val="0"/>
                <w:sz w:val="22"/>
                <w:szCs w:val="22"/>
                <w14:ligatures w14:val="none"/>
              </w:rPr>
            </w:pPr>
            <w:r w:rsidRPr="008C5DB2">
              <w:rPr>
                <w:rFonts w:ascii="Aptos Narrow" w:eastAsia="Times New Roman" w:hAnsi="Aptos Narrow" w:cs="Times New Roman"/>
                <w:color w:val="000000"/>
                <w:kern w:val="0"/>
                <w:sz w:val="22"/>
                <w:szCs w:val="22"/>
                <w14:ligatures w14:val="none"/>
              </w:rPr>
              <w:t>Compensation for international and local DEI experts, including travel, accommodation, and honorariums.</w:t>
            </w:r>
          </w:p>
        </w:tc>
      </w:tr>
      <w:tr w:rsidR="00244B7A" w:rsidRPr="008C5DB2" w14:paraId="48458939" w14:textId="77777777" w:rsidTr="00596640">
        <w:trPr>
          <w:trHeight w:val="1160"/>
        </w:trPr>
        <w:tc>
          <w:tcPr>
            <w:tcW w:w="2585" w:type="dxa"/>
            <w:tcBorders>
              <w:top w:val="single" w:sz="4" w:space="0" w:color="44B3E1"/>
              <w:left w:val="single" w:sz="4" w:space="0" w:color="44B3E1"/>
              <w:bottom w:val="single" w:sz="4" w:space="0" w:color="44B3E1"/>
              <w:right w:val="nil"/>
            </w:tcBorders>
            <w:shd w:val="clear" w:color="auto" w:fill="auto"/>
            <w:noWrap/>
            <w:vAlign w:val="center"/>
            <w:hideMark/>
          </w:tcPr>
          <w:p w14:paraId="1CDFEC98" w14:textId="77777777" w:rsidR="00244B7A" w:rsidRPr="008C5DB2" w:rsidRDefault="00244B7A" w:rsidP="00596640">
            <w:pPr>
              <w:spacing w:after="0" w:line="240" w:lineRule="auto"/>
              <w:rPr>
                <w:rFonts w:ascii="Aptos Narrow" w:eastAsia="Times New Roman" w:hAnsi="Aptos Narrow" w:cs="Times New Roman"/>
                <w:b/>
                <w:bCs/>
                <w:color w:val="000000"/>
                <w:kern w:val="0"/>
                <w:sz w:val="22"/>
                <w:szCs w:val="22"/>
                <w14:ligatures w14:val="none"/>
              </w:rPr>
            </w:pPr>
            <w:r w:rsidRPr="008C5DB2">
              <w:rPr>
                <w:rFonts w:ascii="Aptos Narrow" w:eastAsia="Times New Roman" w:hAnsi="Aptos Narrow" w:cs="Times New Roman"/>
                <w:b/>
                <w:bCs/>
                <w:color w:val="000000"/>
                <w:kern w:val="0"/>
                <w:sz w:val="22"/>
                <w:szCs w:val="22"/>
                <w14:ligatures w14:val="none"/>
              </w:rPr>
              <w:t>Marketing &amp; Promotion</w:t>
            </w:r>
          </w:p>
        </w:tc>
        <w:tc>
          <w:tcPr>
            <w:tcW w:w="1726" w:type="dxa"/>
            <w:tcBorders>
              <w:top w:val="single" w:sz="4" w:space="0" w:color="44B3E1"/>
              <w:left w:val="nil"/>
              <w:bottom w:val="single" w:sz="4" w:space="0" w:color="44B3E1"/>
              <w:right w:val="nil"/>
            </w:tcBorders>
            <w:shd w:val="clear" w:color="auto" w:fill="auto"/>
            <w:vAlign w:val="center"/>
            <w:hideMark/>
          </w:tcPr>
          <w:p w14:paraId="5584338C" w14:textId="77777777" w:rsidR="00244B7A" w:rsidRPr="008C5DB2" w:rsidRDefault="00244B7A" w:rsidP="00596640">
            <w:pPr>
              <w:spacing w:after="0" w:line="240" w:lineRule="auto"/>
              <w:jc w:val="right"/>
              <w:rPr>
                <w:rFonts w:ascii="Aptos Narrow" w:eastAsia="Times New Roman" w:hAnsi="Aptos Narrow" w:cs="Times New Roman"/>
                <w:color w:val="000000"/>
                <w:kern w:val="0"/>
                <w:sz w:val="22"/>
                <w:szCs w:val="22"/>
                <w14:ligatures w14:val="none"/>
              </w:rPr>
            </w:pPr>
            <w:r w:rsidRPr="008C5DB2">
              <w:rPr>
                <w:rFonts w:ascii="Aptos Narrow" w:eastAsia="Times New Roman" w:hAnsi="Aptos Narrow" w:cs="Times New Roman"/>
                <w:color w:val="000000"/>
                <w:kern w:val="0"/>
                <w:sz w:val="22"/>
                <w:szCs w:val="22"/>
                <w14:ligatures w14:val="none"/>
              </w:rPr>
              <w:t>£16,000</w:t>
            </w:r>
          </w:p>
        </w:tc>
        <w:tc>
          <w:tcPr>
            <w:tcW w:w="2689" w:type="dxa"/>
            <w:tcBorders>
              <w:top w:val="single" w:sz="4" w:space="0" w:color="44B3E1"/>
              <w:left w:val="nil"/>
              <w:bottom w:val="single" w:sz="4" w:space="0" w:color="44B3E1"/>
              <w:right w:val="single" w:sz="4" w:space="0" w:color="44B3E1"/>
            </w:tcBorders>
            <w:shd w:val="clear" w:color="auto" w:fill="auto"/>
            <w:vAlign w:val="center"/>
            <w:hideMark/>
          </w:tcPr>
          <w:p w14:paraId="4BBA61C4" w14:textId="77777777" w:rsidR="00244B7A" w:rsidRPr="008C5DB2" w:rsidRDefault="00244B7A" w:rsidP="00596640">
            <w:pPr>
              <w:spacing w:after="0" w:line="240" w:lineRule="auto"/>
              <w:rPr>
                <w:rFonts w:ascii="Aptos Narrow" w:eastAsia="Times New Roman" w:hAnsi="Aptos Narrow" w:cs="Times New Roman"/>
                <w:color w:val="000000"/>
                <w:kern w:val="0"/>
                <w:sz w:val="22"/>
                <w:szCs w:val="22"/>
                <w14:ligatures w14:val="none"/>
              </w:rPr>
            </w:pPr>
            <w:r w:rsidRPr="008C5DB2">
              <w:rPr>
                <w:rFonts w:ascii="Aptos Narrow" w:eastAsia="Times New Roman" w:hAnsi="Aptos Narrow" w:cs="Times New Roman"/>
                <w:color w:val="000000"/>
                <w:kern w:val="0"/>
                <w:sz w:val="22"/>
                <w:szCs w:val="22"/>
                <w14:ligatures w14:val="none"/>
              </w:rPr>
              <w:t>Online campaigns, social media ads, promotional materials, press releases, and influencer partnerships.</w:t>
            </w:r>
          </w:p>
        </w:tc>
      </w:tr>
      <w:tr w:rsidR="00244B7A" w:rsidRPr="008C5DB2" w14:paraId="033F7925" w14:textId="77777777" w:rsidTr="00596640">
        <w:trPr>
          <w:trHeight w:val="1160"/>
        </w:trPr>
        <w:tc>
          <w:tcPr>
            <w:tcW w:w="2585" w:type="dxa"/>
            <w:tcBorders>
              <w:top w:val="single" w:sz="4" w:space="0" w:color="44B3E1"/>
              <w:left w:val="single" w:sz="4" w:space="0" w:color="44B3E1"/>
              <w:bottom w:val="single" w:sz="4" w:space="0" w:color="44B3E1"/>
              <w:right w:val="nil"/>
            </w:tcBorders>
            <w:shd w:val="clear" w:color="C0E6F5" w:fill="C0E6F5"/>
            <w:noWrap/>
            <w:vAlign w:val="center"/>
            <w:hideMark/>
          </w:tcPr>
          <w:p w14:paraId="2EAE3490" w14:textId="77777777" w:rsidR="00244B7A" w:rsidRPr="008C5DB2" w:rsidRDefault="00244B7A" w:rsidP="00596640">
            <w:pPr>
              <w:spacing w:after="0" w:line="240" w:lineRule="auto"/>
              <w:rPr>
                <w:rFonts w:ascii="Aptos Narrow" w:eastAsia="Times New Roman" w:hAnsi="Aptos Narrow" w:cs="Times New Roman"/>
                <w:b/>
                <w:bCs/>
                <w:color w:val="000000"/>
                <w:kern w:val="0"/>
                <w:sz w:val="22"/>
                <w:szCs w:val="22"/>
                <w14:ligatures w14:val="none"/>
              </w:rPr>
            </w:pPr>
            <w:r w:rsidRPr="008C5DB2">
              <w:rPr>
                <w:rFonts w:ascii="Aptos Narrow" w:eastAsia="Times New Roman" w:hAnsi="Aptos Narrow" w:cs="Times New Roman"/>
                <w:b/>
                <w:bCs/>
                <w:color w:val="000000"/>
                <w:kern w:val="0"/>
                <w:sz w:val="22"/>
                <w:szCs w:val="22"/>
                <w14:ligatures w14:val="none"/>
              </w:rPr>
              <w:t>Technical &amp; AV Support</w:t>
            </w:r>
          </w:p>
        </w:tc>
        <w:tc>
          <w:tcPr>
            <w:tcW w:w="1726" w:type="dxa"/>
            <w:tcBorders>
              <w:top w:val="single" w:sz="4" w:space="0" w:color="44B3E1"/>
              <w:left w:val="nil"/>
              <w:bottom w:val="single" w:sz="4" w:space="0" w:color="44B3E1"/>
              <w:right w:val="nil"/>
            </w:tcBorders>
            <w:shd w:val="clear" w:color="C0E6F5" w:fill="C0E6F5"/>
            <w:vAlign w:val="center"/>
            <w:hideMark/>
          </w:tcPr>
          <w:p w14:paraId="6C233E85" w14:textId="77777777" w:rsidR="00244B7A" w:rsidRPr="008C5DB2" w:rsidRDefault="00244B7A" w:rsidP="00596640">
            <w:pPr>
              <w:spacing w:after="0" w:line="240" w:lineRule="auto"/>
              <w:jc w:val="right"/>
              <w:rPr>
                <w:rFonts w:ascii="Aptos Narrow" w:eastAsia="Times New Roman" w:hAnsi="Aptos Narrow" w:cs="Times New Roman"/>
                <w:color w:val="000000"/>
                <w:kern w:val="0"/>
                <w:sz w:val="22"/>
                <w:szCs w:val="22"/>
                <w14:ligatures w14:val="none"/>
              </w:rPr>
            </w:pPr>
            <w:r w:rsidRPr="008C5DB2">
              <w:rPr>
                <w:rFonts w:ascii="Aptos Narrow" w:eastAsia="Times New Roman" w:hAnsi="Aptos Narrow" w:cs="Times New Roman"/>
                <w:color w:val="000000"/>
                <w:kern w:val="0"/>
                <w:sz w:val="22"/>
                <w:szCs w:val="22"/>
                <w14:ligatures w14:val="none"/>
              </w:rPr>
              <w:t>£20,000</w:t>
            </w:r>
          </w:p>
        </w:tc>
        <w:tc>
          <w:tcPr>
            <w:tcW w:w="2689" w:type="dxa"/>
            <w:tcBorders>
              <w:top w:val="single" w:sz="4" w:space="0" w:color="44B3E1"/>
              <w:left w:val="nil"/>
              <w:bottom w:val="single" w:sz="4" w:space="0" w:color="44B3E1"/>
              <w:right w:val="single" w:sz="4" w:space="0" w:color="44B3E1"/>
            </w:tcBorders>
            <w:shd w:val="clear" w:color="C0E6F5" w:fill="C0E6F5"/>
            <w:vAlign w:val="center"/>
            <w:hideMark/>
          </w:tcPr>
          <w:p w14:paraId="1F2255BA" w14:textId="77777777" w:rsidR="00244B7A" w:rsidRPr="008C5DB2" w:rsidRDefault="00244B7A" w:rsidP="00596640">
            <w:pPr>
              <w:spacing w:after="0" w:line="240" w:lineRule="auto"/>
              <w:rPr>
                <w:rFonts w:ascii="Aptos Narrow" w:eastAsia="Times New Roman" w:hAnsi="Aptos Narrow" w:cs="Times New Roman"/>
                <w:color w:val="000000"/>
                <w:kern w:val="0"/>
                <w:sz w:val="22"/>
                <w:szCs w:val="22"/>
                <w14:ligatures w14:val="none"/>
              </w:rPr>
            </w:pPr>
            <w:r w:rsidRPr="008C5DB2">
              <w:rPr>
                <w:rFonts w:ascii="Aptos Narrow" w:eastAsia="Times New Roman" w:hAnsi="Aptos Narrow" w:cs="Times New Roman"/>
                <w:color w:val="000000"/>
                <w:kern w:val="0"/>
                <w:sz w:val="22"/>
                <w:szCs w:val="22"/>
                <w14:ligatures w14:val="none"/>
              </w:rPr>
              <w:t>Audio-visual equipment rental, including microphones, lighting, live-streaming tools, and technical support.</w:t>
            </w:r>
          </w:p>
        </w:tc>
      </w:tr>
      <w:tr w:rsidR="00244B7A" w:rsidRPr="008C5DB2" w14:paraId="3C7E8DE2" w14:textId="77777777" w:rsidTr="00596640">
        <w:trPr>
          <w:trHeight w:val="870"/>
        </w:trPr>
        <w:tc>
          <w:tcPr>
            <w:tcW w:w="2585" w:type="dxa"/>
            <w:tcBorders>
              <w:top w:val="single" w:sz="4" w:space="0" w:color="44B3E1"/>
              <w:left w:val="single" w:sz="4" w:space="0" w:color="44B3E1"/>
              <w:bottom w:val="single" w:sz="4" w:space="0" w:color="44B3E1"/>
              <w:right w:val="nil"/>
            </w:tcBorders>
            <w:shd w:val="clear" w:color="auto" w:fill="auto"/>
            <w:noWrap/>
            <w:vAlign w:val="center"/>
            <w:hideMark/>
          </w:tcPr>
          <w:p w14:paraId="3517393D" w14:textId="77777777" w:rsidR="00244B7A" w:rsidRPr="008C5DB2" w:rsidRDefault="00244B7A" w:rsidP="00596640">
            <w:pPr>
              <w:spacing w:after="0" w:line="240" w:lineRule="auto"/>
              <w:rPr>
                <w:rFonts w:ascii="Aptos Narrow" w:eastAsia="Times New Roman" w:hAnsi="Aptos Narrow" w:cs="Times New Roman"/>
                <w:b/>
                <w:bCs/>
                <w:color w:val="000000"/>
                <w:kern w:val="0"/>
                <w:sz w:val="22"/>
                <w:szCs w:val="22"/>
                <w14:ligatures w14:val="none"/>
              </w:rPr>
            </w:pPr>
            <w:r w:rsidRPr="008C5DB2">
              <w:rPr>
                <w:rFonts w:ascii="Aptos Narrow" w:eastAsia="Times New Roman" w:hAnsi="Aptos Narrow" w:cs="Times New Roman"/>
                <w:b/>
                <w:bCs/>
                <w:color w:val="000000"/>
                <w:kern w:val="0"/>
                <w:sz w:val="22"/>
                <w:szCs w:val="22"/>
                <w14:ligatures w14:val="none"/>
              </w:rPr>
              <w:t>Staffing &amp; Security</w:t>
            </w:r>
          </w:p>
        </w:tc>
        <w:tc>
          <w:tcPr>
            <w:tcW w:w="1726" w:type="dxa"/>
            <w:tcBorders>
              <w:top w:val="single" w:sz="4" w:space="0" w:color="44B3E1"/>
              <w:left w:val="nil"/>
              <w:bottom w:val="single" w:sz="4" w:space="0" w:color="44B3E1"/>
              <w:right w:val="nil"/>
            </w:tcBorders>
            <w:shd w:val="clear" w:color="auto" w:fill="auto"/>
            <w:vAlign w:val="center"/>
            <w:hideMark/>
          </w:tcPr>
          <w:p w14:paraId="56FBA6DD" w14:textId="77777777" w:rsidR="00244B7A" w:rsidRPr="008C5DB2" w:rsidRDefault="00244B7A" w:rsidP="00596640">
            <w:pPr>
              <w:spacing w:after="0" w:line="240" w:lineRule="auto"/>
              <w:jc w:val="right"/>
              <w:rPr>
                <w:rFonts w:ascii="Aptos Narrow" w:eastAsia="Times New Roman" w:hAnsi="Aptos Narrow" w:cs="Times New Roman"/>
                <w:color w:val="000000"/>
                <w:kern w:val="0"/>
                <w:sz w:val="22"/>
                <w:szCs w:val="22"/>
                <w14:ligatures w14:val="none"/>
              </w:rPr>
            </w:pPr>
            <w:r w:rsidRPr="008C5DB2">
              <w:rPr>
                <w:rFonts w:ascii="Aptos Narrow" w:eastAsia="Times New Roman" w:hAnsi="Aptos Narrow" w:cs="Times New Roman"/>
                <w:color w:val="000000"/>
                <w:kern w:val="0"/>
                <w:sz w:val="22"/>
                <w:szCs w:val="22"/>
                <w14:ligatures w14:val="none"/>
              </w:rPr>
              <w:t>£12,000</w:t>
            </w:r>
          </w:p>
        </w:tc>
        <w:tc>
          <w:tcPr>
            <w:tcW w:w="2689" w:type="dxa"/>
            <w:tcBorders>
              <w:top w:val="single" w:sz="4" w:space="0" w:color="44B3E1"/>
              <w:left w:val="nil"/>
              <w:bottom w:val="single" w:sz="4" w:space="0" w:color="44B3E1"/>
              <w:right w:val="single" w:sz="4" w:space="0" w:color="44B3E1"/>
            </w:tcBorders>
            <w:shd w:val="clear" w:color="auto" w:fill="auto"/>
            <w:vAlign w:val="center"/>
            <w:hideMark/>
          </w:tcPr>
          <w:p w14:paraId="0F3D44A1" w14:textId="77777777" w:rsidR="00244B7A" w:rsidRPr="008C5DB2" w:rsidRDefault="00244B7A" w:rsidP="00596640">
            <w:pPr>
              <w:spacing w:after="0" w:line="240" w:lineRule="auto"/>
              <w:rPr>
                <w:rFonts w:ascii="Aptos Narrow" w:eastAsia="Times New Roman" w:hAnsi="Aptos Narrow" w:cs="Times New Roman"/>
                <w:color w:val="000000"/>
                <w:kern w:val="0"/>
                <w:sz w:val="22"/>
                <w:szCs w:val="22"/>
                <w14:ligatures w14:val="none"/>
              </w:rPr>
            </w:pPr>
            <w:r w:rsidRPr="008C5DB2">
              <w:rPr>
                <w:rFonts w:ascii="Aptos Narrow" w:eastAsia="Times New Roman" w:hAnsi="Aptos Narrow" w:cs="Times New Roman"/>
                <w:color w:val="000000"/>
                <w:kern w:val="0"/>
                <w:sz w:val="22"/>
                <w:szCs w:val="22"/>
                <w14:ligatures w14:val="none"/>
              </w:rPr>
              <w:t>Hiring of event coordinators, security personnel, and guest support staff.</w:t>
            </w:r>
          </w:p>
        </w:tc>
      </w:tr>
      <w:tr w:rsidR="00244B7A" w:rsidRPr="008C5DB2" w14:paraId="1A582681" w14:textId="77777777" w:rsidTr="00596640">
        <w:trPr>
          <w:trHeight w:val="870"/>
        </w:trPr>
        <w:tc>
          <w:tcPr>
            <w:tcW w:w="2585" w:type="dxa"/>
            <w:tcBorders>
              <w:top w:val="single" w:sz="4" w:space="0" w:color="44B3E1"/>
              <w:left w:val="single" w:sz="4" w:space="0" w:color="44B3E1"/>
              <w:bottom w:val="single" w:sz="4" w:space="0" w:color="44B3E1"/>
              <w:right w:val="nil"/>
            </w:tcBorders>
            <w:shd w:val="clear" w:color="C0E6F5" w:fill="C0E6F5"/>
            <w:noWrap/>
            <w:vAlign w:val="center"/>
            <w:hideMark/>
          </w:tcPr>
          <w:p w14:paraId="5E15F62F" w14:textId="77777777" w:rsidR="00244B7A" w:rsidRPr="008C5DB2" w:rsidRDefault="00244B7A" w:rsidP="00596640">
            <w:pPr>
              <w:spacing w:after="0" w:line="240" w:lineRule="auto"/>
              <w:rPr>
                <w:rFonts w:ascii="Aptos Narrow" w:eastAsia="Times New Roman" w:hAnsi="Aptos Narrow" w:cs="Times New Roman"/>
                <w:b/>
                <w:bCs/>
                <w:color w:val="000000"/>
                <w:kern w:val="0"/>
                <w:sz w:val="22"/>
                <w:szCs w:val="22"/>
                <w14:ligatures w14:val="none"/>
              </w:rPr>
            </w:pPr>
            <w:r w:rsidRPr="008C5DB2">
              <w:rPr>
                <w:rFonts w:ascii="Aptos Narrow" w:eastAsia="Times New Roman" w:hAnsi="Aptos Narrow" w:cs="Times New Roman"/>
                <w:b/>
                <w:bCs/>
                <w:color w:val="000000"/>
                <w:kern w:val="0"/>
                <w:sz w:val="22"/>
                <w:szCs w:val="22"/>
                <w14:ligatures w14:val="none"/>
              </w:rPr>
              <w:t>Workshop Materials</w:t>
            </w:r>
          </w:p>
        </w:tc>
        <w:tc>
          <w:tcPr>
            <w:tcW w:w="1726" w:type="dxa"/>
            <w:tcBorders>
              <w:top w:val="single" w:sz="4" w:space="0" w:color="44B3E1"/>
              <w:left w:val="nil"/>
              <w:bottom w:val="single" w:sz="4" w:space="0" w:color="44B3E1"/>
              <w:right w:val="nil"/>
            </w:tcBorders>
            <w:shd w:val="clear" w:color="C0E6F5" w:fill="C0E6F5"/>
            <w:vAlign w:val="center"/>
            <w:hideMark/>
          </w:tcPr>
          <w:p w14:paraId="0B92562C" w14:textId="77777777" w:rsidR="00244B7A" w:rsidRPr="008C5DB2" w:rsidRDefault="00244B7A" w:rsidP="00596640">
            <w:pPr>
              <w:spacing w:after="0" w:line="240" w:lineRule="auto"/>
              <w:jc w:val="right"/>
              <w:rPr>
                <w:rFonts w:ascii="Aptos Narrow" w:eastAsia="Times New Roman" w:hAnsi="Aptos Narrow" w:cs="Times New Roman"/>
                <w:color w:val="000000"/>
                <w:kern w:val="0"/>
                <w:sz w:val="22"/>
                <w:szCs w:val="22"/>
                <w14:ligatures w14:val="none"/>
              </w:rPr>
            </w:pPr>
            <w:r w:rsidRPr="008C5DB2">
              <w:rPr>
                <w:rFonts w:ascii="Aptos Narrow" w:eastAsia="Times New Roman" w:hAnsi="Aptos Narrow" w:cs="Times New Roman"/>
                <w:color w:val="000000"/>
                <w:kern w:val="0"/>
                <w:sz w:val="22"/>
                <w:szCs w:val="22"/>
                <w14:ligatures w14:val="none"/>
              </w:rPr>
              <w:t>£8,000</w:t>
            </w:r>
          </w:p>
        </w:tc>
        <w:tc>
          <w:tcPr>
            <w:tcW w:w="2689" w:type="dxa"/>
            <w:tcBorders>
              <w:top w:val="single" w:sz="4" w:space="0" w:color="44B3E1"/>
              <w:left w:val="nil"/>
              <w:bottom w:val="single" w:sz="4" w:space="0" w:color="44B3E1"/>
              <w:right w:val="single" w:sz="4" w:space="0" w:color="44B3E1"/>
            </w:tcBorders>
            <w:shd w:val="clear" w:color="C0E6F5" w:fill="C0E6F5"/>
            <w:vAlign w:val="center"/>
            <w:hideMark/>
          </w:tcPr>
          <w:p w14:paraId="08009B72" w14:textId="77777777" w:rsidR="00244B7A" w:rsidRPr="008C5DB2" w:rsidRDefault="00244B7A" w:rsidP="00596640">
            <w:pPr>
              <w:spacing w:after="0" w:line="240" w:lineRule="auto"/>
              <w:rPr>
                <w:rFonts w:ascii="Aptos Narrow" w:eastAsia="Times New Roman" w:hAnsi="Aptos Narrow" w:cs="Times New Roman"/>
                <w:color w:val="000000"/>
                <w:kern w:val="0"/>
                <w:sz w:val="22"/>
                <w:szCs w:val="22"/>
                <w14:ligatures w14:val="none"/>
              </w:rPr>
            </w:pPr>
            <w:r w:rsidRPr="008C5DB2">
              <w:rPr>
                <w:rFonts w:ascii="Aptos Narrow" w:eastAsia="Times New Roman" w:hAnsi="Aptos Narrow" w:cs="Times New Roman"/>
                <w:color w:val="000000"/>
                <w:kern w:val="0"/>
                <w:sz w:val="22"/>
                <w:szCs w:val="22"/>
                <w14:ligatures w14:val="none"/>
              </w:rPr>
              <w:t>Conference kits, branded merchandise, printed materials, and training resources.</w:t>
            </w:r>
          </w:p>
        </w:tc>
      </w:tr>
      <w:tr w:rsidR="00244B7A" w:rsidRPr="008C5DB2" w14:paraId="6EE098CA" w14:textId="77777777" w:rsidTr="00596640">
        <w:trPr>
          <w:trHeight w:val="870"/>
        </w:trPr>
        <w:tc>
          <w:tcPr>
            <w:tcW w:w="2585" w:type="dxa"/>
            <w:tcBorders>
              <w:top w:val="single" w:sz="4" w:space="0" w:color="44B3E1"/>
              <w:left w:val="single" w:sz="4" w:space="0" w:color="44B3E1"/>
              <w:bottom w:val="single" w:sz="4" w:space="0" w:color="44B3E1"/>
              <w:right w:val="nil"/>
            </w:tcBorders>
            <w:shd w:val="clear" w:color="auto" w:fill="auto"/>
            <w:noWrap/>
            <w:vAlign w:val="center"/>
            <w:hideMark/>
          </w:tcPr>
          <w:p w14:paraId="42C9DE48" w14:textId="77777777" w:rsidR="00244B7A" w:rsidRPr="008C5DB2" w:rsidRDefault="00244B7A" w:rsidP="00596640">
            <w:pPr>
              <w:spacing w:after="0" w:line="240" w:lineRule="auto"/>
              <w:rPr>
                <w:rFonts w:ascii="Aptos Narrow" w:eastAsia="Times New Roman" w:hAnsi="Aptos Narrow" w:cs="Times New Roman"/>
                <w:b/>
                <w:bCs/>
                <w:color w:val="000000"/>
                <w:kern w:val="0"/>
                <w:sz w:val="22"/>
                <w:szCs w:val="22"/>
                <w14:ligatures w14:val="none"/>
              </w:rPr>
            </w:pPr>
            <w:r w:rsidRPr="008C5DB2">
              <w:rPr>
                <w:rFonts w:ascii="Aptos Narrow" w:eastAsia="Times New Roman" w:hAnsi="Aptos Narrow" w:cs="Times New Roman"/>
                <w:b/>
                <w:bCs/>
                <w:color w:val="000000"/>
                <w:kern w:val="0"/>
                <w:sz w:val="22"/>
                <w:szCs w:val="22"/>
                <w14:ligatures w14:val="none"/>
              </w:rPr>
              <w:t>Miscellaneous</w:t>
            </w:r>
          </w:p>
        </w:tc>
        <w:tc>
          <w:tcPr>
            <w:tcW w:w="1726" w:type="dxa"/>
            <w:tcBorders>
              <w:top w:val="single" w:sz="4" w:space="0" w:color="44B3E1"/>
              <w:left w:val="nil"/>
              <w:bottom w:val="single" w:sz="4" w:space="0" w:color="44B3E1"/>
              <w:right w:val="nil"/>
            </w:tcBorders>
            <w:shd w:val="clear" w:color="auto" w:fill="auto"/>
            <w:vAlign w:val="center"/>
            <w:hideMark/>
          </w:tcPr>
          <w:p w14:paraId="55614B91" w14:textId="77777777" w:rsidR="00244B7A" w:rsidRPr="008C5DB2" w:rsidRDefault="00244B7A" w:rsidP="00596640">
            <w:pPr>
              <w:spacing w:after="0" w:line="240" w:lineRule="auto"/>
              <w:jc w:val="right"/>
              <w:rPr>
                <w:rFonts w:ascii="Aptos Narrow" w:eastAsia="Times New Roman" w:hAnsi="Aptos Narrow" w:cs="Times New Roman"/>
                <w:color w:val="000000"/>
                <w:kern w:val="0"/>
                <w:sz w:val="22"/>
                <w:szCs w:val="22"/>
                <w14:ligatures w14:val="none"/>
              </w:rPr>
            </w:pPr>
            <w:r w:rsidRPr="008C5DB2">
              <w:rPr>
                <w:rFonts w:ascii="Aptos Narrow" w:eastAsia="Times New Roman" w:hAnsi="Aptos Narrow" w:cs="Times New Roman"/>
                <w:color w:val="000000"/>
                <w:kern w:val="0"/>
                <w:sz w:val="22"/>
                <w:szCs w:val="22"/>
                <w14:ligatures w14:val="none"/>
              </w:rPr>
              <w:t>£8,000</w:t>
            </w:r>
          </w:p>
        </w:tc>
        <w:tc>
          <w:tcPr>
            <w:tcW w:w="2689" w:type="dxa"/>
            <w:tcBorders>
              <w:top w:val="single" w:sz="4" w:space="0" w:color="44B3E1"/>
              <w:left w:val="nil"/>
              <w:bottom w:val="single" w:sz="4" w:space="0" w:color="44B3E1"/>
              <w:right w:val="single" w:sz="4" w:space="0" w:color="44B3E1"/>
            </w:tcBorders>
            <w:shd w:val="clear" w:color="auto" w:fill="auto"/>
            <w:vAlign w:val="center"/>
            <w:hideMark/>
          </w:tcPr>
          <w:p w14:paraId="109CEA99" w14:textId="77777777" w:rsidR="00244B7A" w:rsidRPr="008C5DB2" w:rsidRDefault="00244B7A" w:rsidP="00596640">
            <w:pPr>
              <w:spacing w:after="0" w:line="240" w:lineRule="auto"/>
              <w:rPr>
                <w:rFonts w:ascii="Aptos Narrow" w:eastAsia="Times New Roman" w:hAnsi="Aptos Narrow" w:cs="Times New Roman"/>
                <w:color w:val="000000"/>
                <w:kern w:val="0"/>
                <w:sz w:val="22"/>
                <w:szCs w:val="22"/>
                <w14:ligatures w14:val="none"/>
              </w:rPr>
            </w:pPr>
            <w:r w:rsidRPr="008C5DB2">
              <w:rPr>
                <w:rFonts w:ascii="Aptos Narrow" w:eastAsia="Times New Roman" w:hAnsi="Aptos Narrow" w:cs="Times New Roman"/>
                <w:color w:val="000000"/>
                <w:kern w:val="0"/>
                <w:sz w:val="22"/>
                <w:szCs w:val="22"/>
                <w14:ligatures w14:val="none"/>
              </w:rPr>
              <w:t>Contingency fund for unexpected costs (permits, insurance, last-minute changes).</w:t>
            </w:r>
          </w:p>
        </w:tc>
      </w:tr>
      <w:tr w:rsidR="00244B7A" w:rsidRPr="008C5DB2" w14:paraId="3AE79F48" w14:textId="77777777" w:rsidTr="00596640">
        <w:trPr>
          <w:trHeight w:val="290"/>
        </w:trPr>
        <w:tc>
          <w:tcPr>
            <w:tcW w:w="2585" w:type="dxa"/>
            <w:tcBorders>
              <w:top w:val="single" w:sz="4" w:space="0" w:color="44B3E1"/>
              <w:left w:val="single" w:sz="4" w:space="0" w:color="44B3E1"/>
              <w:bottom w:val="single" w:sz="4" w:space="0" w:color="44B3E1"/>
              <w:right w:val="nil"/>
            </w:tcBorders>
            <w:shd w:val="clear" w:color="C0E6F5" w:fill="C0E6F5"/>
            <w:noWrap/>
            <w:vAlign w:val="center"/>
            <w:hideMark/>
          </w:tcPr>
          <w:p w14:paraId="395279D7" w14:textId="77777777" w:rsidR="00244B7A" w:rsidRPr="008C5DB2" w:rsidRDefault="00244B7A" w:rsidP="00596640">
            <w:pPr>
              <w:spacing w:after="0" w:line="240" w:lineRule="auto"/>
              <w:rPr>
                <w:rFonts w:ascii="Aptos Narrow" w:eastAsia="Times New Roman" w:hAnsi="Aptos Narrow" w:cs="Times New Roman"/>
                <w:b/>
                <w:bCs/>
                <w:color w:val="000000"/>
                <w:kern w:val="0"/>
                <w:sz w:val="22"/>
                <w:szCs w:val="22"/>
                <w14:ligatures w14:val="none"/>
              </w:rPr>
            </w:pPr>
            <w:r w:rsidRPr="008C5DB2">
              <w:rPr>
                <w:rFonts w:ascii="Aptos Narrow" w:eastAsia="Times New Roman" w:hAnsi="Aptos Narrow" w:cs="Times New Roman"/>
                <w:b/>
                <w:bCs/>
                <w:color w:val="000000"/>
                <w:kern w:val="0"/>
                <w:sz w:val="22"/>
                <w:szCs w:val="22"/>
                <w14:ligatures w14:val="none"/>
              </w:rPr>
              <w:t>Total Estimated Expenditure</w:t>
            </w:r>
          </w:p>
        </w:tc>
        <w:tc>
          <w:tcPr>
            <w:tcW w:w="1726" w:type="dxa"/>
            <w:tcBorders>
              <w:top w:val="single" w:sz="4" w:space="0" w:color="44B3E1"/>
              <w:left w:val="nil"/>
              <w:bottom w:val="single" w:sz="4" w:space="0" w:color="44B3E1"/>
              <w:right w:val="nil"/>
            </w:tcBorders>
            <w:shd w:val="clear" w:color="C0E6F5" w:fill="C0E6F5"/>
            <w:vAlign w:val="center"/>
            <w:hideMark/>
          </w:tcPr>
          <w:p w14:paraId="2C18FBB5" w14:textId="77777777" w:rsidR="00244B7A" w:rsidRPr="008C5DB2" w:rsidRDefault="00244B7A" w:rsidP="00596640">
            <w:pPr>
              <w:spacing w:after="0" w:line="240" w:lineRule="auto"/>
              <w:jc w:val="right"/>
              <w:rPr>
                <w:rFonts w:ascii="Aptos Narrow" w:eastAsia="Times New Roman" w:hAnsi="Aptos Narrow" w:cs="Times New Roman"/>
                <w:b/>
                <w:bCs/>
                <w:color w:val="000000"/>
                <w:kern w:val="0"/>
                <w:sz w:val="22"/>
                <w:szCs w:val="22"/>
                <w14:ligatures w14:val="none"/>
              </w:rPr>
            </w:pPr>
            <w:r w:rsidRPr="008C5DB2">
              <w:rPr>
                <w:rFonts w:ascii="Aptos Narrow" w:eastAsia="Times New Roman" w:hAnsi="Aptos Narrow" w:cs="Times New Roman"/>
                <w:b/>
                <w:bCs/>
                <w:color w:val="000000"/>
                <w:kern w:val="0"/>
                <w:sz w:val="22"/>
                <w:szCs w:val="22"/>
                <w14:ligatures w14:val="none"/>
              </w:rPr>
              <w:t>£160,000</w:t>
            </w:r>
          </w:p>
        </w:tc>
        <w:tc>
          <w:tcPr>
            <w:tcW w:w="2689" w:type="dxa"/>
            <w:tcBorders>
              <w:top w:val="single" w:sz="4" w:space="0" w:color="44B3E1"/>
              <w:left w:val="nil"/>
              <w:bottom w:val="single" w:sz="4" w:space="0" w:color="44B3E1"/>
              <w:right w:val="single" w:sz="4" w:space="0" w:color="44B3E1"/>
            </w:tcBorders>
            <w:shd w:val="clear" w:color="C0E6F5" w:fill="C0E6F5"/>
            <w:vAlign w:val="center"/>
            <w:hideMark/>
          </w:tcPr>
          <w:p w14:paraId="557D16FC" w14:textId="77777777" w:rsidR="00244B7A" w:rsidRPr="008C5DB2" w:rsidRDefault="00244B7A" w:rsidP="00596640">
            <w:pPr>
              <w:spacing w:after="0" w:line="240" w:lineRule="auto"/>
              <w:jc w:val="right"/>
              <w:rPr>
                <w:rFonts w:ascii="Aptos Narrow" w:eastAsia="Times New Roman" w:hAnsi="Aptos Narrow" w:cs="Times New Roman"/>
                <w:b/>
                <w:bCs/>
                <w:color w:val="000000"/>
                <w:kern w:val="0"/>
                <w:sz w:val="22"/>
                <w:szCs w:val="22"/>
                <w14:ligatures w14:val="none"/>
              </w:rPr>
            </w:pPr>
          </w:p>
        </w:tc>
      </w:tr>
    </w:tbl>
    <w:p w14:paraId="10A8B7F1" w14:textId="77777777" w:rsidR="00244B7A" w:rsidRDefault="00244B7A" w:rsidP="0060718C">
      <w:pPr>
        <w:spacing w:line="360" w:lineRule="auto"/>
        <w:jc w:val="both"/>
        <w:rPr>
          <w:rFonts w:ascii="Arial" w:hAnsi="Arial" w:cs="Arial"/>
        </w:rPr>
      </w:pPr>
    </w:p>
    <w:p w14:paraId="7AC33AB3" w14:textId="77777777" w:rsidR="00244B7A" w:rsidRDefault="00244B7A" w:rsidP="0060718C">
      <w:pPr>
        <w:spacing w:line="360" w:lineRule="auto"/>
        <w:jc w:val="both"/>
        <w:rPr>
          <w:rFonts w:ascii="Arial" w:hAnsi="Arial" w:cs="Arial"/>
        </w:rPr>
      </w:pPr>
    </w:p>
    <w:p w14:paraId="77478758" w14:textId="6240720D" w:rsidR="009B5B5A" w:rsidRDefault="009B5B5A" w:rsidP="00D95DC9">
      <w:pPr>
        <w:pStyle w:val="Heading3"/>
      </w:pPr>
      <w:r>
        <w:lastRenderedPageBreak/>
        <w:t>Fig 5</w:t>
      </w:r>
      <w:r w:rsidR="00244B7A">
        <w:t xml:space="preserve">- income generation strategies </w:t>
      </w:r>
    </w:p>
    <w:tbl>
      <w:tblPr>
        <w:tblW w:w="8200" w:type="dxa"/>
        <w:tblLook w:val="04A0" w:firstRow="1" w:lastRow="0" w:firstColumn="1" w:lastColumn="0" w:noHBand="0" w:noVBand="1"/>
      </w:tblPr>
      <w:tblGrid>
        <w:gridCol w:w="2420"/>
        <w:gridCol w:w="2380"/>
        <w:gridCol w:w="3400"/>
      </w:tblGrid>
      <w:tr w:rsidR="007258E1" w:rsidRPr="00C87842" w14:paraId="2B54AC9E" w14:textId="77777777" w:rsidTr="00596640">
        <w:trPr>
          <w:trHeight w:val="2030"/>
        </w:trPr>
        <w:tc>
          <w:tcPr>
            <w:tcW w:w="2420" w:type="dxa"/>
            <w:tcBorders>
              <w:top w:val="single" w:sz="4" w:space="0" w:color="44B3E1"/>
              <w:left w:val="single" w:sz="4" w:space="0" w:color="44B3E1"/>
              <w:bottom w:val="single" w:sz="4" w:space="0" w:color="44B3E1"/>
              <w:right w:val="nil"/>
            </w:tcBorders>
            <w:shd w:val="clear" w:color="C0E6F5" w:fill="C0E6F5"/>
            <w:noWrap/>
            <w:vAlign w:val="center"/>
            <w:hideMark/>
          </w:tcPr>
          <w:p w14:paraId="336B7730" w14:textId="77777777" w:rsidR="007258E1" w:rsidRPr="00C87842" w:rsidRDefault="007258E1" w:rsidP="00596640">
            <w:pPr>
              <w:spacing w:after="0" w:line="240" w:lineRule="auto"/>
              <w:rPr>
                <w:rFonts w:ascii="Aptos Narrow" w:eastAsia="Times New Roman" w:hAnsi="Aptos Narrow" w:cs="Times New Roman"/>
                <w:b/>
                <w:bCs/>
                <w:color w:val="000000"/>
                <w:kern w:val="0"/>
                <w:sz w:val="22"/>
                <w:szCs w:val="22"/>
                <w14:ligatures w14:val="none"/>
              </w:rPr>
            </w:pPr>
            <w:r w:rsidRPr="00C87842">
              <w:rPr>
                <w:rFonts w:ascii="Aptos Narrow" w:eastAsia="Times New Roman" w:hAnsi="Aptos Narrow" w:cs="Times New Roman"/>
                <w:b/>
                <w:bCs/>
                <w:color w:val="000000"/>
                <w:kern w:val="0"/>
                <w:sz w:val="22"/>
                <w:szCs w:val="22"/>
                <w14:ligatures w14:val="none"/>
              </w:rPr>
              <w:t>Sponsorship Packages</w:t>
            </w:r>
          </w:p>
        </w:tc>
        <w:tc>
          <w:tcPr>
            <w:tcW w:w="2380" w:type="dxa"/>
            <w:tcBorders>
              <w:top w:val="single" w:sz="4" w:space="0" w:color="44B3E1"/>
              <w:left w:val="nil"/>
              <w:bottom w:val="single" w:sz="4" w:space="0" w:color="44B3E1"/>
              <w:right w:val="nil"/>
            </w:tcBorders>
            <w:shd w:val="clear" w:color="C0E6F5" w:fill="C0E6F5"/>
            <w:noWrap/>
            <w:vAlign w:val="center"/>
            <w:hideMark/>
          </w:tcPr>
          <w:p w14:paraId="3CC8417B" w14:textId="77777777" w:rsidR="007258E1" w:rsidRPr="00C87842" w:rsidRDefault="007258E1" w:rsidP="00596640">
            <w:pPr>
              <w:spacing w:after="0" w:line="240" w:lineRule="auto"/>
              <w:jc w:val="right"/>
              <w:rPr>
                <w:rFonts w:ascii="Aptos Narrow" w:eastAsia="Times New Roman" w:hAnsi="Aptos Narrow" w:cs="Times New Roman"/>
                <w:color w:val="000000"/>
                <w:kern w:val="0"/>
                <w:sz w:val="22"/>
                <w:szCs w:val="22"/>
                <w14:ligatures w14:val="none"/>
              </w:rPr>
            </w:pPr>
            <w:r w:rsidRPr="00C87842">
              <w:rPr>
                <w:rFonts w:ascii="Aptos Narrow" w:eastAsia="Times New Roman" w:hAnsi="Aptos Narrow" w:cs="Times New Roman"/>
                <w:color w:val="000000"/>
                <w:kern w:val="0"/>
                <w:sz w:val="22"/>
                <w:szCs w:val="22"/>
                <w14:ligatures w14:val="none"/>
              </w:rPr>
              <w:t>£80,000</w:t>
            </w:r>
          </w:p>
        </w:tc>
        <w:tc>
          <w:tcPr>
            <w:tcW w:w="3400" w:type="dxa"/>
            <w:tcBorders>
              <w:top w:val="single" w:sz="4" w:space="0" w:color="44B3E1"/>
              <w:left w:val="nil"/>
              <w:bottom w:val="single" w:sz="4" w:space="0" w:color="44B3E1"/>
              <w:right w:val="single" w:sz="4" w:space="0" w:color="44B3E1"/>
            </w:tcBorders>
            <w:shd w:val="clear" w:color="C0E6F5" w:fill="C0E6F5"/>
            <w:vAlign w:val="center"/>
            <w:hideMark/>
          </w:tcPr>
          <w:p w14:paraId="6984EBBD" w14:textId="77777777" w:rsidR="007258E1" w:rsidRPr="00C87842" w:rsidRDefault="007258E1" w:rsidP="00596640">
            <w:pPr>
              <w:spacing w:after="0" w:line="240" w:lineRule="auto"/>
              <w:rPr>
                <w:rFonts w:ascii="Aptos Narrow" w:eastAsia="Times New Roman" w:hAnsi="Aptos Narrow" w:cs="Times New Roman"/>
                <w:color w:val="000000"/>
                <w:kern w:val="0"/>
                <w:sz w:val="22"/>
                <w:szCs w:val="22"/>
                <w14:ligatures w14:val="none"/>
              </w:rPr>
            </w:pPr>
            <w:r w:rsidRPr="00C87842">
              <w:rPr>
                <w:rFonts w:ascii="Aptos Narrow" w:eastAsia="Times New Roman" w:hAnsi="Aptos Narrow" w:cs="Times New Roman"/>
                <w:color w:val="000000"/>
                <w:kern w:val="0"/>
                <w:sz w:val="22"/>
                <w:szCs w:val="22"/>
                <w14:ligatures w14:val="none"/>
              </w:rPr>
              <w:t>Partnerships with hospitality brands, DEI-focused organizations, and recruitment agencies. Sponsorship tiers will offer branding opportunities, speaker slots, and exhibition spaces.</w:t>
            </w:r>
          </w:p>
        </w:tc>
      </w:tr>
      <w:tr w:rsidR="007258E1" w:rsidRPr="00C87842" w14:paraId="262E8B4C" w14:textId="77777777" w:rsidTr="00596640">
        <w:trPr>
          <w:trHeight w:val="1740"/>
        </w:trPr>
        <w:tc>
          <w:tcPr>
            <w:tcW w:w="2420" w:type="dxa"/>
            <w:tcBorders>
              <w:top w:val="single" w:sz="4" w:space="0" w:color="44B3E1"/>
              <w:left w:val="single" w:sz="4" w:space="0" w:color="44B3E1"/>
              <w:bottom w:val="single" w:sz="4" w:space="0" w:color="44B3E1"/>
              <w:right w:val="nil"/>
            </w:tcBorders>
            <w:shd w:val="clear" w:color="auto" w:fill="auto"/>
            <w:vAlign w:val="center"/>
            <w:hideMark/>
          </w:tcPr>
          <w:p w14:paraId="6A6F0602" w14:textId="77777777" w:rsidR="007258E1" w:rsidRPr="00C87842" w:rsidRDefault="007258E1" w:rsidP="00596640">
            <w:pPr>
              <w:spacing w:after="0" w:line="240" w:lineRule="auto"/>
              <w:rPr>
                <w:rFonts w:ascii="Aptos Narrow" w:eastAsia="Times New Roman" w:hAnsi="Aptos Narrow" w:cs="Times New Roman"/>
                <w:b/>
                <w:bCs/>
                <w:color w:val="000000"/>
                <w:kern w:val="0"/>
                <w:sz w:val="22"/>
                <w:szCs w:val="22"/>
                <w14:ligatures w14:val="none"/>
              </w:rPr>
            </w:pPr>
            <w:r w:rsidRPr="00C87842">
              <w:rPr>
                <w:rFonts w:ascii="Aptos Narrow" w:eastAsia="Times New Roman" w:hAnsi="Aptos Narrow" w:cs="Times New Roman"/>
                <w:b/>
                <w:bCs/>
                <w:color w:val="000000"/>
                <w:kern w:val="0"/>
                <w:sz w:val="22"/>
                <w:szCs w:val="22"/>
                <w14:ligatures w14:val="none"/>
              </w:rPr>
              <w:t>Ticket Sales</w:t>
            </w:r>
          </w:p>
        </w:tc>
        <w:tc>
          <w:tcPr>
            <w:tcW w:w="2380" w:type="dxa"/>
            <w:tcBorders>
              <w:top w:val="single" w:sz="4" w:space="0" w:color="44B3E1"/>
              <w:left w:val="nil"/>
              <w:bottom w:val="single" w:sz="4" w:space="0" w:color="44B3E1"/>
              <w:right w:val="nil"/>
            </w:tcBorders>
            <w:shd w:val="clear" w:color="auto" w:fill="auto"/>
            <w:vAlign w:val="center"/>
            <w:hideMark/>
          </w:tcPr>
          <w:p w14:paraId="4046680C" w14:textId="77777777" w:rsidR="007258E1" w:rsidRPr="00C87842" w:rsidRDefault="007258E1" w:rsidP="00596640">
            <w:pPr>
              <w:spacing w:after="0" w:line="240" w:lineRule="auto"/>
              <w:jc w:val="right"/>
              <w:rPr>
                <w:rFonts w:ascii="Aptos Narrow" w:eastAsia="Times New Roman" w:hAnsi="Aptos Narrow" w:cs="Times New Roman"/>
                <w:color w:val="000000"/>
                <w:kern w:val="0"/>
                <w:sz w:val="22"/>
                <w:szCs w:val="22"/>
                <w14:ligatures w14:val="none"/>
              </w:rPr>
            </w:pPr>
            <w:r w:rsidRPr="00C87842">
              <w:rPr>
                <w:rFonts w:ascii="Aptos Narrow" w:eastAsia="Times New Roman" w:hAnsi="Aptos Narrow" w:cs="Times New Roman"/>
                <w:color w:val="000000"/>
                <w:kern w:val="0"/>
                <w:sz w:val="22"/>
                <w:szCs w:val="22"/>
                <w14:ligatures w14:val="none"/>
              </w:rPr>
              <w:t>£56,000</w:t>
            </w:r>
          </w:p>
        </w:tc>
        <w:tc>
          <w:tcPr>
            <w:tcW w:w="3400" w:type="dxa"/>
            <w:tcBorders>
              <w:top w:val="single" w:sz="4" w:space="0" w:color="44B3E1"/>
              <w:left w:val="nil"/>
              <w:bottom w:val="single" w:sz="4" w:space="0" w:color="44B3E1"/>
              <w:right w:val="single" w:sz="4" w:space="0" w:color="44B3E1"/>
            </w:tcBorders>
            <w:shd w:val="clear" w:color="auto" w:fill="auto"/>
            <w:vAlign w:val="center"/>
            <w:hideMark/>
          </w:tcPr>
          <w:p w14:paraId="68126EB9" w14:textId="77777777" w:rsidR="007258E1" w:rsidRPr="00C87842" w:rsidRDefault="007258E1" w:rsidP="00596640">
            <w:pPr>
              <w:spacing w:after="0" w:line="240" w:lineRule="auto"/>
              <w:rPr>
                <w:rFonts w:ascii="Aptos Narrow" w:eastAsia="Times New Roman" w:hAnsi="Aptos Narrow" w:cs="Times New Roman"/>
                <w:color w:val="000000"/>
                <w:kern w:val="0"/>
                <w:sz w:val="22"/>
                <w:szCs w:val="22"/>
                <w14:ligatures w14:val="none"/>
              </w:rPr>
            </w:pPr>
            <w:r w:rsidRPr="00C87842">
              <w:rPr>
                <w:rFonts w:ascii="Aptos Narrow" w:eastAsia="Times New Roman" w:hAnsi="Aptos Narrow" w:cs="Times New Roman"/>
                <w:color w:val="000000"/>
                <w:kern w:val="0"/>
                <w:sz w:val="22"/>
                <w:szCs w:val="22"/>
                <w14:ligatures w14:val="none"/>
              </w:rPr>
              <w:t>Revenue from general admission, early-bird discounts, VIP packages, and group bookings. Expected pricing structure ranges from £100 to £400 per ticket.</w:t>
            </w:r>
          </w:p>
        </w:tc>
      </w:tr>
      <w:tr w:rsidR="007258E1" w:rsidRPr="00C87842" w14:paraId="13CF4291" w14:textId="77777777" w:rsidTr="00596640">
        <w:trPr>
          <w:trHeight w:val="1450"/>
        </w:trPr>
        <w:tc>
          <w:tcPr>
            <w:tcW w:w="2420" w:type="dxa"/>
            <w:tcBorders>
              <w:top w:val="single" w:sz="4" w:space="0" w:color="44B3E1"/>
              <w:left w:val="single" w:sz="4" w:space="0" w:color="44B3E1"/>
              <w:bottom w:val="single" w:sz="4" w:space="0" w:color="44B3E1"/>
              <w:right w:val="nil"/>
            </w:tcBorders>
            <w:shd w:val="clear" w:color="C0E6F5" w:fill="C0E6F5"/>
            <w:vAlign w:val="center"/>
            <w:hideMark/>
          </w:tcPr>
          <w:p w14:paraId="62A29F26" w14:textId="77777777" w:rsidR="007258E1" w:rsidRPr="00C87842" w:rsidRDefault="007258E1" w:rsidP="00596640">
            <w:pPr>
              <w:spacing w:after="0" w:line="240" w:lineRule="auto"/>
              <w:rPr>
                <w:rFonts w:ascii="Aptos Narrow" w:eastAsia="Times New Roman" w:hAnsi="Aptos Narrow" w:cs="Times New Roman"/>
                <w:b/>
                <w:bCs/>
                <w:color w:val="000000"/>
                <w:kern w:val="0"/>
                <w:sz w:val="22"/>
                <w:szCs w:val="22"/>
                <w14:ligatures w14:val="none"/>
              </w:rPr>
            </w:pPr>
            <w:r w:rsidRPr="00C87842">
              <w:rPr>
                <w:rFonts w:ascii="Aptos Narrow" w:eastAsia="Times New Roman" w:hAnsi="Aptos Narrow" w:cs="Times New Roman"/>
                <w:b/>
                <w:bCs/>
                <w:color w:val="000000"/>
                <w:kern w:val="0"/>
                <w:sz w:val="22"/>
                <w:szCs w:val="22"/>
                <w14:ligatures w14:val="none"/>
              </w:rPr>
              <w:t>Exhibition Booth Rentals</w:t>
            </w:r>
          </w:p>
        </w:tc>
        <w:tc>
          <w:tcPr>
            <w:tcW w:w="2380" w:type="dxa"/>
            <w:tcBorders>
              <w:top w:val="single" w:sz="4" w:space="0" w:color="44B3E1"/>
              <w:left w:val="nil"/>
              <w:bottom w:val="single" w:sz="4" w:space="0" w:color="44B3E1"/>
              <w:right w:val="nil"/>
            </w:tcBorders>
            <w:shd w:val="clear" w:color="C0E6F5" w:fill="C0E6F5"/>
            <w:vAlign w:val="center"/>
            <w:hideMark/>
          </w:tcPr>
          <w:p w14:paraId="13C06C05" w14:textId="77777777" w:rsidR="007258E1" w:rsidRPr="00C87842" w:rsidRDefault="007258E1" w:rsidP="00596640">
            <w:pPr>
              <w:spacing w:after="0" w:line="240" w:lineRule="auto"/>
              <w:jc w:val="right"/>
              <w:rPr>
                <w:rFonts w:ascii="Aptos Narrow" w:eastAsia="Times New Roman" w:hAnsi="Aptos Narrow" w:cs="Times New Roman"/>
                <w:color w:val="000000"/>
                <w:kern w:val="0"/>
                <w:sz w:val="22"/>
                <w:szCs w:val="22"/>
                <w14:ligatures w14:val="none"/>
              </w:rPr>
            </w:pPr>
            <w:r w:rsidRPr="00C87842">
              <w:rPr>
                <w:rFonts w:ascii="Aptos Narrow" w:eastAsia="Times New Roman" w:hAnsi="Aptos Narrow" w:cs="Times New Roman"/>
                <w:color w:val="000000"/>
                <w:kern w:val="0"/>
                <w:sz w:val="22"/>
                <w:szCs w:val="22"/>
                <w14:ligatures w14:val="none"/>
              </w:rPr>
              <w:t>£32,000</w:t>
            </w:r>
          </w:p>
        </w:tc>
        <w:tc>
          <w:tcPr>
            <w:tcW w:w="3400" w:type="dxa"/>
            <w:tcBorders>
              <w:top w:val="single" w:sz="4" w:space="0" w:color="44B3E1"/>
              <w:left w:val="nil"/>
              <w:bottom w:val="single" w:sz="4" w:space="0" w:color="44B3E1"/>
              <w:right w:val="single" w:sz="4" w:space="0" w:color="44B3E1"/>
            </w:tcBorders>
            <w:shd w:val="clear" w:color="C0E6F5" w:fill="C0E6F5"/>
            <w:vAlign w:val="center"/>
            <w:hideMark/>
          </w:tcPr>
          <w:p w14:paraId="57FCAEEB" w14:textId="77777777" w:rsidR="007258E1" w:rsidRPr="00C87842" w:rsidRDefault="007258E1" w:rsidP="00596640">
            <w:pPr>
              <w:spacing w:after="0" w:line="240" w:lineRule="auto"/>
              <w:rPr>
                <w:rFonts w:ascii="Aptos Narrow" w:eastAsia="Times New Roman" w:hAnsi="Aptos Narrow" w:cs="Times New Roman"/>
                <w:color w:val="000000"/>
                <w:kern w:val="0"/>
                <w:sz w:val="22"/>
                <w:szCs w:val="22"/>
                <w14:ligatures w14:val="none"/>
              </w:rPr>
            </w:pPr>
            <w:r w:rsidRPr="00C87842">
              <w:rPr>
                <w:rFonts w:ascii="Aptos Narrow" w:eastAsia="Times New Roman" w:hAnsi="Aptos Narrow" w:cs="Times New Roman"/>
                <w:color w:val="000000"/>
                <w:kern w:val="0"/>
                <w:sz w:val="22"/>
                <w:szCs w:val="22"/>
                <w14:ligatures w14:val="none"/>
              </w:rPr>
              <w:t>Companies will pay to showcase products and services, particularly those offering DEI solutions or career development resources.</w:t>
            </w:r>
          </w:p>
        </w:tc>
      </w:tr>
      <w:tr w:rsidR="007258E1" w:rsidRPr="00C87842" w14:paraId="290002E8" w14:textId="77777777" w:rsidTr="00596640">
        <w:trPr>
          <w:trHeight w:val="1160"/>
        </w:trPr>
        <w:tc>
          <w:tcPr>
            <w:tcW w:w="2420" w:type="dxa"/>
            <w:tcBorders>
              <w:top w:val="single" w:sz="4" w:space="0" w:color="44B3E1"/>
              <w:left w:val="single" w:sz="4" w:space="0" w:color="44B3E1"/>
              <w:bottom w:val="single" w:sz="4" w:space="0" w:color="44B3E1"/>
              <w:right w:val="nil"/>
            </w:tcBorders>
            <w:shd w:val="clear" w:color="auto" w:fill="auto"/>
            <w:vAlign w:val="center"/>
            <w:hideMark/>
          </w:tcPr>
          <w:p w14:paraId="11397C4F" w14:textId="77777777" w:rsidR="007258E1" w:rsidRPr="00C87842" w:rsidRDefault="007258E1" w:rsidP="00596640">
            <w:pPr>
              <w:spacing w:after="0" w:line="240" w:lineRule="auto"/>
              <w:rPr>
                <w:rFonts w:ascii="Aptos Narrow" w:eastAsia="Times New Roman" w:hAnsi="Aptos Narrow" w:cs="Times New Roman"/>
                <w:b/>
                <w:bCs/>
                <w:color w:val="000000"/>
                <w:kern w:val="0"/>
                <w:sz w:val="22"/>
                <w:szCs w:val="22"/>
                <w14:ligatures w14:val="none"/>
              </w:rPr>
            </w:pPr>
            <w:r w:rsidRPr="00C87842">
              <w:rPr>
                <w:rFonts w:ascii="Aptos Narrow" w:eastAsia="Times New Roman" w:hAnsi="Aptos Narrow" w:cs="Times New Roman"/>
                <w:b/>
                <w:bCs/>
                <w:color w:val="000000"/>
                <w:kern w:val="0"/>
                <w:sz w:val="22"/>
                <w:szCs w:val="22"/>
                <w14:ligatures w14:val="none"/>
              </w:rPr>
              <w:t>Advertising &amp; Media Partnerships</w:t>
            </w:r>
          </w:p>
        </w:tc>
        <w:tc>
          <w:tcPr>
            <w:tcW w:w="2380" w:type="dxa"/>
            <w:tcBorders>
              <w:top w:val="single" w:sz="4" w:space="0" w:color="44B3E1"/>
              <w:left w:val="nil"/>
              <w:bottom w:val="single" w:sz="4" w:space="0" w:color="44B3E1"/>
              <w:right w:val="nil"/>
            </w:tcBorders>
            <w:shd w:val="clear" w:color="auto" w:fill="auto"/>
            <w:vAlign w:val="center"/>
            <w:hideMark/>
          </w:tcPr>
          <w:p w14:paraId="6562AF0D" w14:textId="77777777" w:rsidR="007258E1" w:rsidRPr="00C87842" w:rsidRDefault="007258E1" w:rsidP="00596640">
            <w:pPr>
              <w:spacing w:after="0" w:line="240" w:lineRule="auto"/>
              <w:jc w:val="right"/>
              <w:rPr>
                <w:rFonts w:ascii="Aptos Narrow" w:eastAsia="Times New Roman" w:hAnsi="Aptos Narrow" w:cs="Times New Roman"/>
                <w:color w:val="000000"/>
                <w:kern w:val="0"/>
                <w:sz w:val="22"/>
                <w:szCs w:val="22"/>
                <w14:ligatures w14:val="none"/>
              </w:rPr>
            </w:pPr>
            <w:r w:rsidRPr="00C87842">
              <w:rPr>
                <w:rFonts w:ascii="Aptos Narrow" w:eastAsia="Times New Roman" w:hAnsi="Aptos Narrow" w:cs="Times New Roman"/>
                <w:color w:val="000000"/>
                <w:kern w:val="0"/>
                <w:sz w:val="22"/>
                <w:szCs w:val="22"/>
                <w14:ligatures w14:val="none"/>
              </w:rPr>
              <w:t>£16,000</w:t>
            </w:r>
          </w:p>
        </w:tc>
        <w:tc>
          <w:tcPr>
            <w:tcW w:w="3400" w:type="dxa"/>
            <w:tcBorders>
              <w:top w:val="single" w:sz="4" w:space="0" w:color="44B3E1"/>
              <w:left w:val="nil"/>
              <w:bottom w:val="single" w:sz="4" w:space="0" w:color="44B3E1"/>
              <w:right w:val="single" w:sz="4" w:space="0" w:color="44B3E1"/>
            </w:tcBorders>
            <w:shd w:val="clear" w:color="auto" w:fill="auto"/>
            <w:vAlign w:val="center"/>
            <w:hideMark/>
          </w:tcPr>
          <w:p w14:paraId="15E26316" w14:textId="77777777" w:rsidR="007258E1" w:rsidRPr="00C87842" w:rsidRDefault="007258E1" w:rsidP="00596640">
            <w:pPr>
              <w:spacing w:after="0" w:line="240" w:lineRule="auto"/>
              <w:rPr>
                <w:rFonts w:ascii="Aptos Narrow" w:eastAsia="Times New Roman" w:hAnsi="Aptos Narrow" w:cs="Times New Roman"/>
                <w:color w:val="000000"/>
                <w:kern w:val="0"/>
                <w:sz w:val="22"/>
                <w:szCs w:val="22"/>
                <w14:ligatures w14:val="none"/>
              </w:rPr>
            </w:pPr>
            <w:r w:rsidRPr="00C87842">
              <w:rPr>
                <w:rFonts w:ascii="Aptos Narrow" w:eastAsia="Times New Roman" w:hAnsi="Aptos Narrow" w:cs="Times New Roman"/>
                <w:color w:val="000000"/>
                <w:kern w:val="0"/>
                <w:sz w:val="22"/>
                <w:szCs w:val="22"/>
                <w14:ligatures w14:val="none"/>
              </w:rPr>
              <w:t>Revenue from sponsored content in event materials, online platforms, and during live-streamed sessions.</w:t>
            </w:r>
          </w:p>
        </w:tc>
      </w:tr>
      <w:tr w:rsidR="007258E1" w:rsidRPr="00C87842" w14:paraId="2CC28163" w14:textId="77777777" w:rsidTr="00596640">
        <w:trPr>
          <w:trHeight w:val="580"/>
        </w:trPr>
        <w:tc>
          <w:tcPr>
            <w:tcW w:w="2420" w:type="dxa"/>
            <w:tcBorders>
              <w:top w:val="single" w:sz="4" w:space="0" w:color="44B3E1"/>
              <w:left w:val="single" w:sz="4" w:space="0" w:color="44B3E1"/>
              <w:bottom w:val="single" w:sz="4" w:space="0" w:color="44B3E1"/>
              <w:right w:val="nil"/>
            </w:tcBorders>
            <w:shd w:val="clear" w:color="C0E6F5" w:fill="C0E6F5"/>
            <w:vAlign w:val="center"/>
            <w:hideMark/>
          </w:tcPr>
          <w:p w14:paraId="007C55CD" w14:textId="77777777" w:rsidR="007258E1" w:rsidRPr="00C87842" w:rsidRDefault="007258E1" w:rsidP="00596640">
            <w:pPr>
              <w:spacing w:after="0" w:line="240" w:lineRule="auto"/>
              <w:rPr>
                <w:rFonts w:ascii="Aptos Narrow" w:eastAsia="Times New Roman" w:hAnsi="Aptos Narrow" w:cs="Times New Roman"/>
                <w:b/>
                <w:bCs/>
                <w:color w:val="000000"/>
                <w:kern w:val="0"/>
                <w:sz w:val="22"/>
                <w:szCs w:val="22"/>
                <w14:ligatures w14:val="none"/>
              </w:rPr>
            </w:pPr>
            <w:r w:rsidRPr="00C87842">
              <w:rPr>
                <w:rFonts w:ascii="Aptos Narrow" w:eastAsia="Times New Roman" w:hAnsi="Aptos Narrow" w:cs="Times New Roman"/>
                <w:b/>
                <w:bCs/>
                <w:color w:val="000000"/>
                <w:kern w:val="0"/>
                <w:sz w:val="22"/>
                <w:szCs w:val="22"/>
                <w14:ligatures w14:val="none"/>
              </w:rPr>
              <w:t>Total Estimated Revenue</w:t>
            </w:r>
          </w:p>
        </w:tc>
        <w:tc>
          <w:tcPr>
            <w:tcW w:w="2380" w:type="dxa"/>
            <w:tcBorders>
              <w:top w:val="single" w:sz="4" w:space="0" w:color="44B3E1"/>
              <w:left w:val="nil"/>
              <w:bottom w:val="single" w:sz="4" w:space="0" w:color="44B3E1"/>
              <w:right w:val="nil"/>
            </w:tcBorders>
            <w:shd w:val="clear" w:color="C0E6F5" w:fill="C0E6F5"/>
            <w:vAlign w:val="center"/>
            <w:hideMark/>
          </w:tcPr>
          <w:p w14:paraId="3CF452F1" w14:textId="77777777" w:rsidR="007258E1" w:rsidRPr="00C87842" w:rsidRDefault="007258E1" w:rsidP="00596640">
            <w:pPr>
              <w:spacing w:after="0" w:line="240" w:lineRule="auto"/>
              <w:jc w:val="right"/>
              <w:rPr>
                <w:rFonts w:ascii="Aptos Narrow" w:eastAsia="Times New Roman" w:hAnsi="Aptos Narrow" w:cs="Times New Roman"/>
                <w:b/>
                <w:bCs/>
                <w:color w:val="000000"/>
                <w:kern w:val="0"/>
                <w:sz w:val="22"/>
                <w:szCs w:val="22"/>
                <w14:ligatures w14:val="none"/>
              </w:rPr>
            </w:pPr>
            <w:r w:rsidRPr="00C87842">
              <w:rPr>
                <w:rFonts w:ascii="Aptos Narrow" w:eastAsia="Times New Roman" w:hAnsi="Aptos Narrow" w:cs="Times New Roman"/>
                <w:b/>
                <w:bCs/>
                <w:color w:val="000000"/>
                <w:kern w:val="0"/>
                <w:sz w:val="22"/>
                <w:szCs w:val="22"/>
                <w14:ligatures w14:val="none"/>
              </w:rPr>
              <w:t>£184,000</w:t>
            </w:r>
          </w:p>
        </w:tc>
        <w:tc>
          <w:tcPr>
            <w:tcW w:w="3400" w:type="dxa"/>
            <w:tcBorders>
              <w:top w:val="single" w:sz="4" w:space="0" w:color="44B3E1"/>
              <w:left w:val="nil"/>
              <w:bottom w:val="single" w:sz="4" w:space="0" w:color="44B3E1"/>
              <w:right w:val="single" w:sz="4" w:space="0" w:color="44B3E1"/>
            </w:tcBorders>
            <w:shd w:val="clear" w:color="C0E6F5" w:fill="C0E6F5"/>
            <w:vAlign w:val="center"/>
            <w:hideMark/>
          </w:tcPr>
          <w:p w14:paraId="041ECD9C" w14:textId="77777777" w:rsidR="007258E1" w:rsidRPr="00C87842" w:rsidRDefault="007258E1" w:rsidP="00596640">
            <w:pPr>
              <w:spacing w:after="0" w:line="240" w:lineRule="auto"/>
              <w:jc w:val="right"/>
              <w:rPr>
                <w:rFonts w:ascii="Aptos Narrow" w:eastAsia="Times New Roman" w:hAnsi="Aptos Narrow" w:cs="Times New Roman"/>
                <w:b/>
                <w:bCs/>
                <w:color w:val="000000"/>
                <w:kern w:val="0"/>
                <w:sz w:val="22"/>
                <w:szCs w:val="22"/>
                <w14:ligatures w14:val="none"/>
              </w:rPr>
            </w:pPr>
          </w:p>
        </w:tc>
      </w:tr>
    </w:tbl>
    <w:p w14:paraId="54FAC52F" w14:textId="77777777" w:rsidR="007258E1" w:rsidRDefault="007258E1" w:rsidP="0060718C">
      <w:pPr>
        <w:spacing w:line="360" w:lineRule="auto"/>
        <w:jc w:val="both"/>
        <w:rPr>
          <w:rFonts w:ascii="Arial" w:hAnsi="Arial" w:cs="Arial"/>
        </w:rPr>
      </w:pPr>
    </w:p>
    <w:p w14:paraId="3ADBCEE1" w14:textId="77777777" w:rsidR="00C92DCA" w:rsidRDefault="00C92DCA" w:rsidP="0060718C">
      <w:pPr>
        <w:spacing w:line="360" w:lineRule="auto"/>
        <w:jc w:val="both"/>
        <w:rPr>
          <w:rFonts w:ascii="Arial" w:hAnsi="Arial" w:cs="Arial"/>
        </w:rPr>
      </w:pPr>
    </w:p>
    <w:p w14:paraId="37614309" w14:textId="77777777" w:rsidR="00C92DCA" w:rsidRDefault="00C92DCA" w:rsidP="0060718C">
      <w:pPr>
        <w:spacing w:line="360" w:lineRule="auto"/>
        <w:jc w:val="both"/>
        <w:rPr>
          <w:rFonts w:ascii="Arial" w:hAnsi="Arial" w:cs="Arial"/>
        </w:rPr>
      </w:pPr>
    </w:p>
    <w:p w14:paraId="616561DC" w14:textId="77777777" w:rsidR="00C92DCA" w:rsidRDefault="00C92DCA" w:rsidP="0060718C">
      <w:pPr>
        <w:spacing w:line="360" w:lineRule="auto"/>
        <w:jc w:val="both"/>
        <w:rPr>
          <w:rFonts w:ascii="Arial" w:hAnsi="Arial" w:cs="Arial"/>
        </w:rPr>
      </w:pPr>
    </w:p>
    <w:p w14:paraId="668CC31C" w14:textId="77777777" w:rsidR="00C92DCA" w:rsidRDefault="00C92DCA" w:rsidP="0060718C">
      <w:pPr>
        <w:spacing w:line="360" w:lineRule="auto"/>
        <w:jc w:val="both"/>
        <w:rPr>
          <w:rFonts w:ascii="Arial" w:hAnsi="Arial" w:cs="Arial"/>
        </w:rPr>
      </w:pPr>
    </w:p>
    <w:p w14:paraId="54F676CA" w14:textId="77777777" w:rsidR="00C92DCA" w:rsidRDefault="00C92DCA" w:rsidP="0060718C">
      <w:pPr>
        <w:spacing w:line="360" w:lineRule="auto"/>
        <w:jc w:val="both"/>
        <w:rPr>
          <w:rFonts w:ascii="Arial" w:hAnsi="Arial" w:cs="Arial"/>
        </w:rPr>
      </w:pPr>
    </w:p>
    <w:p w14:paraId="3CF2C7B4" w14:textId="77777777" w:rsidR="00C92DCA" w:rsidRDefault="00C92DCA" w:rsidP="0060718C">
      <w:pPr>
        <w:spacing w:line="360" w:lineRule="auto"/>
        <w:jc w:val="both"/>
        <w:rPr>
          <w:rFonts w:ascii="Arial" w:hAnsi="Arial" w:cs="Arial"/>
        </w:rPr>
      </w:pPr>
    </w:p>
    <w:p w14:paraId="6DF35C14" w14:textId="77777777" w:rsidR="00C92DCA" w:rsidRPr="00C92DCA" w:rsidRDefault="00C92DCA" w:rsidP="0060718C">
      <w:pPr>
        <w:spacing w:line="360" w:lineRule="auto"/>
        <w:jc w:val="both"/>
        <w:rPr>
          <w:rFonts w:ascii="Arial" w:hAnsi="Arial" w:cs="Arial"/>
        </w:rPr>
      </w:pPr>
    </w:p>
    <w:p w14:paraId="38DC69CC" w14:textId="6A000F0E" w:rsidR="00782C3A" w:rsidRPr="00FB1C29" w:rsidRDefault="00A77406" w:rsidP="0060718C">
      <w:pPr>
        <w:pStyle w:val="Heading1"/>
        <w:spacing w:line="360" w:lineRule="auto"/>
        <w:jc w:val="both"/>
        <w:rPr>
          <w:rFonts w:ascii="Arial" w:hAnsi="Arial" w:cs="Arial"/>
          <w:sz w:val="32"/>
          <w:szCs w:val="32"/>
        </w:rPr>
      </w:pPr>
      <w:bookmarkStart w:id="20" w:name="_Toc191086268"/>
      <w:r w:rsidRPr="00FB1C29">
        <w:rPr>
          <w:rFonts w:ascii="Arial" w:hAnsi="Arial" w:cs="Arial"/>
          <w:sz w:val="32"/>
          <w:szCs w:val="32"/>
        </w:rPr>
        <w:lastRenderedPageBreak/>
        <w:t>References List</w:t>
      </w:r>
      <w:bookmarkEnd w:id="20"/>
      <w:r w:rsidRPr="00FB1C29">
        <w:rPr>
          <w:rFonts w:ascii="Arial" w:hAnsi="Arial" w:cs="Arial"/>
          <w:sz w:val="32"/>
          <w:szCs w:val="32"/>
        </w:rPr>
        <w:t xml:space="preserve"> </w:t>
      </w:r>
    </w:p>
    <w:p w14:paraId="52C71E11" w14:textId="77777777" w:rsidR="002D3FA2" w:rsidRPr="00FB1C29" w:rsidRDefault="002D3FA2" w:rsidP="0060718C">
      <w:pPr>
        <w:spacing w:line="360" w:lineRule="auto"/>
        <w:jc w:val="both"/>
        <w:rPr>
          <w:rFonts w:ascii="Arial" w:hAnsi="Arial" w:cs="Arial"/>
        </w:rPr>
      </w:pPr>
    </w:p>
    <w:p w14:paraId="042B943B" w14:textId="305BF5B2" w:rsidR="00A25186" w:rsidRPr="00FB1C29" w:rsidRDefault="00177A57" w:rsidP="0060718C">
      <w:pPr>
        <w:spacing w:line="360" w:lineRule="auto"/>
        <w:jc w:val="both"/>
        <w:rPr>
          <w:rFonts w:ascii="Arial" w:hAnsi="Arial" w:cs="Arial"/>
        </w:rPr>
      </w:pPr>
      <w:r w:rsidRPr="00FB1C29">
        <w:rPr>
          <w:rFonts w:ascii="Arial" w:hAnsi="Arial" w:cs="Arial"/>
        </w:rPr>
        <w:t>Abdul Hamid Abdul Halim, Norol Hamiza Zamzuri and Ayu Rohaidah Ghazali (2023) ‘The Transformative Role of Artificial Intelligence in the Event Management Industry’, </w:t>
      </w:r>
      <w:r w:rsidRPr="00FB1C29">
        <w:rPr>
          <w:rFonts w:ascii="Arial" w:hAnsi="Arial" w:cs="Arial"/>
          <w:i/>
          <w:iCs/>
        </w:rPr>
        <w:t>Journal of International Business, Economics and Entrepreneurship</w:t>
      </w:r>
      <w:r w:rsidRPr="00FB1C29">
        <w:rPr>
          <w:rFonts w:ascii="Arial" w:hAnsi="Arial" w:cs="Arial"/>
        </w:rPr>
        <w:t>, 8(2), pp. 98–106. Available at: https://doi.org/10.24191/jibe.v8i2.24045.</w:t>
      </w:r>
    </w:p>
    <w:p w14:paraId="0AB8A982" w14:textId="77777777" w:rsidR="002B5264" w:rsidRPr="00FB1C29" w:rsidRDefault="002B5264" w:rsidP="0060718C">
      <w:pPr>
        <w:spacing w:line="360" w:lineRule="auto"/>
        <w:jc w:val="both"/>
        <w:rPr>
          <w:rFonts w:ascii="Arial" w:hAnsi="Arial" w:cs="Arial"/>
        </w:rPr>
      </w:pPr>
      <w:r w:rsidRPr="00FB1C29">
        <w:rPr>
          <w:rFonts w:ascii="Arial" w:hAnsi="Arial" w:cs="Arial"/>
        </w:rPr>
        <w:t>Anon (2012) New venue for Asian Work Boat 2013 - Marina Bay Sands, Ausmarine. Melbourne: Baird Publications Pty. Ltd, pp. 13–13.</w:t>
      </w:r>
    </w:p>
    <w:p w14:paraId="314FBEC6" w14:textId="4607E2C4" w:rsidR="002C53F9" w:rsidRPr="00FB1C29" w:rsidRDefault="002C53F9" w:rsidP="0060718C">
      <w:pPr>
        <w:spacing w:line="360" w:lineRule="auto"/>
        <w:jc w:val="both"/>
        <w:rPr>
          <w:rFonts w:ascii="Arial" w:hAnsi="Arial" w:cs="Arial"/>
        </w:rPr>
      </w:pPr>
      <w:r w:rsidRPr="00FB1C29">
        <w:rPr>
          <w:rFonts w:ascii="Arial" w:hAnsi="Arial" w:cs="Arial"/>
        </w:rPr>
        <w:t>Ann, K.T. (2003) ‘Theatre and the Politics of Culture in Contemporary Singapore’, </w:t>
      </w:r>
      <w:r w:rsidRPr="00FB1C29">
        <w:rPr>
          <w:rFonts w:ascii="Arial" w:hAnsi="Arial" w:cs="Arial"/>
          <w:i/>
          <w:iCs/>
        </w:rPr>
        <w:t>Australasian drama studies</w:t>
      </w:r>
      <w:r w:rsidRPr="00FB1C29">
        <w:rPr>
          <w:rFonts w:ascii="Arial" w:hAnsi="Arial" w:cs="Arial"/>
        </w:rPr>
        <w:t>. St. Lucia: La Trobe University at Bundorra, pp. 193-.</w:t>
      </w:r>
    </w:p>
    <w:p w14:paraId="694BA2FC" w14:textId="77777777" w:rsidR="002B5264" w:rsidRPr="00FB1C29" w:rsidRDefault="002B5264" w:rsidP="0060718C">
      <w:pPr>
        <w:spacing w:line="360" w:lineRule="auto"/>
        <w:jc w:val="both"/>
        <w:rPr>
          <w:rFonts w:ascii="Arial" w:hAnsi="Arial" w:cs="Arial"/>
        </w:rPr>
      </w:pPr>
      <w:r w:rsidRPr="00FB1C29">
        <w:rPr>
          <w:rFonts w:ascii="Arial" w:hAnsi="Arial" w:cs="Arial"/>
        </w:rPr>
        <w:t xml:space="preserve"> Bernauer, V.S., Bhati, A. and Thirumaran, K. (2023) ‘Guest editorial: (In)equalities in hospitality and tourism – exploring diversity and equity issues’, </w:t>
      </w:r>
      <w:r w:rsidRPr="00FB1C29">
        <w:rPr>
          <w:rFonts w:ascii="Arial" w:hAnsi="Arial" w:cs="Arial"/>
          <w:i/>
          <w:iCs/>
        </w:rPr>
        <w:t>Equality, Diversity and Inclusion: An International Journal,</w:t>
      </w:r>
      <w:r w:rsidRPr="00FB1C29">
        <w:rPr>
          <w:rFonts w:ascii="Arial" w:hAnsi="Arial" w:cs="Arial"/>
        </w:rPr>
        <w:t xml:space="preserve"> 42(4), pp. 465–468. Available at: https://doi.org/10.1108/EDI-05-2023-378.</w:t>
      </w:r>
    </w:p>
    <w:p w14:paraId="203E0EBD" w14:textId="17328725" w:rsidR="000A074F" w:rsidRPr="00FB1C29" w:rsidRDefault="002B5264" w:rsidP="0060718C">
      <w:pPr>
        <w:spacing w:line="360" w:lineRule="auto"/>
        <w:jc w:val="both"/>
        <w:rPr>
          <w:rFonts w:ascii="Arial" w:hAnsi="Arial" w:cs="Arial"/>
        </w:rPr>
      </w:pPr>
      <w:r w:rsidRPr="00FB1C29">
        <w:rPr>
          <w:rFonts w:ascii="Arial" w:hAnsi="Arial" w:cs="Arial"/>
        </w:rPr>
        <w:t xml:space="preserve">Bowdin, G.A.J. (2011) </w:t>
      </w:r>
      <w:r w:rsidRPr="00FB1C29">
        <w:rPr>
          <w:rFonts w:ascii="Arial" w:hAnsi="Arial" w:cs="Arial"/>
          <w:i/>
          <w:iCs/>
        </w:rPr>
        <w:t>Events management</w:t>
      </w:r>
      <w:r w:rsidRPr="00FB1C29">
        <w:rPr>
          <w:rFonts w:ascii="Arial" w:hAnsi="Arial" w:cs="Arial"/>
        </w:rPr>
        <w:t>. 3rd ed. Oxford: Elsevier Butterworth-Heinemann</w:t>
      </w:r>
      <w:r w:rsidR="008C0FF5" w:rsidRPr="00FB1C29">
        <w:rPr>
          <w:rFonts w:ascii="Arial" w:hAnsi="Arial" w:cs="Arial"/>
        </w:rPr>
        <w:t>.</w:t>
      </w:r>
    </w:p>
    <w:p w14:paraId="659FCAE5" w14:textId="4F05A65F" w:rsidR="002B5264" w:rsidRPr="00FB1C29" w:rsidRDefault="002B5264" w:rsidP="0060718C">
      <w:pPr>
        <w:spacing w:line="360" w:lineRule="auto"/>
        <w:jc w:val="both"/>
        <w:rPr>
          <w:rFonts w:ascii="Arial" w:hAnsi="Arial" w:cs="Arial"/>
        </w:rPr>
      </w:pPr>
      <w:r w:rsidRPr="00FB1C29">
        <w:rPr>
          <w:rFonts w:ascii="Arial" w:hAnsi="Arial" w:cs="Arial"/>
        </w:rPr>
        <w:t>Dashper, K. and Finkel, R. (2020) ‘Accessibility, diversity, and inclusion in the UK meetings industry’, </w:t>
      </w:r>
      <w:r w:rsidRPr="00FB1C29">
        <w:rPr>
          <w:rFonts w:ascii="Arial" w:hAnsi="Arial" w:cs="Arial"/>
          <w:i/>
          <w:iCs/>
        </w:rPr>
        <w:t xml:space="preserve">Journal of </w:t>
      </w:r>
      <w:r w:rsidR="00BA7D9C" w:rsidRPr="00FB1C29">
        <w:rPr>
          <w:rFonts w:ascii="Arial" w:hAnsi="Arial" w:cs="Arial"/>
          <w:i/>
          <w:iCs/>
        </w:rPr>
        <w:t>Convention</w:t>
      </w:r>
      <w:r w:rsidRPr="00FB1C29">
        <w:rPr>
          <w:rFonts w:ascii="Arial" w:hAnsi="Arial" w:cs="Arial"/>
          <w:i/>
          <w:iCs/>
        </w:rPr>
        <w:t xml:space="preserve"> &amp; </w:t>
      </w:r>
      <w:r w:rsidR="00204E5F" w:rsidRPr="00FB1C29">
        <w:rPr>
          <w:rFonts w:ascii="Arial" w:hAnsi="Arial" w:cs="Arial"/>
          <w:i/>
          <w:iCs/>
        </w:rPr>
        <w:t>Event Tourism</w:t>
      </w:r>
      <w:r w:rsidRPr="00FB1C29">
        <w:rPr>
          <w:rFonts w:ascii="Arial" w:hAnsi="Arial" w:cs="Arial"/>
        </w:rPr>
        <w:t xml:space="preserve">, 21(4), pp. 283–307. Available at: </w:t>
      </w:r>
      <w:hyperlink r:id="rId16" w:history="1">
        <w:r w:rsidR="009F75A5" w:rsidRPr="00FB1C29">
          <w:rPr>
            <w:rStyle w:val="Hyperlink"/>
            <w:rFonts w:ascii="Arial" w:hAnsi="Arial" w:cs="Arial"/>
          </w:rPr>
          <w:t>https://doi.org/10.1080/15470148.2020.1814472</w:t>
        </w:r>
      </w:hyperlink>
      <w:r w:rsidRPr="00FB1C29">
        <w:rPr>
          <w:rFonts w:ascii="Arial" w:hAnsi="Arial" w:cs="Arial"/>
        </w:rPr>
        <w:t>.</w:t>
      </w:r>
    </w:p>
    <w:p w14:paraId="0AFEA687" w14:textId="7BB0FB6B" w:rsidR="009F75A5" w:rsidRPr="00FB1C29" w:rsidRDefault="00C933BB" w:rsidP="0060718C">
      <w:pPr>
        <w:spacing w:line="360" w:lineRule="auto"/>
        <w:jc w:val="both"/>
        <w:rPr>
          <w:rFonts w:ascii="Arial" w:hAnsi="Arial" w:cs="Arial"/>
        </w:rPr>
      </w:pPr>
      <w:r w:rsidRPr="00FB1C29">
        <w:rPr>
          <w:rFonts w:ascii="Arial" w:hAnsi="Arial" w:cs="Arial"/>
        </w:rPr>
        <w:t>Dowson, R.</w:t>
      </w:r>
      <w:r w:rsidR="009F75A5" w:rsidRPr="00FB1C29">
        <w:rPr>
          <w:rFonts w:ascii="Arial" w:hAnsi="Arial" w:cs="Arial"/>
        </w:rPr>
        <w:t xml:space="preserve"> </w:t>
      </w:r>
      <w:r w:rsidR="00D329F5" w:rsidRPr="00FB1C29">
        <w:rPr>
          <w:rFonts w:ascii="Arial" w:hAnsi="Arial" w:cs="Arial"/>
        </w:rPr>
        <w:t>and Bassett, D. (2015)</w:t>
      </w:r>
      <w:r w:rsidR="009F75A5" w:rsidRPr="00FB1C29">
        <w:rPr>
          <w:rFonts w:ascii="Arial" w:hAnsi="Arial" w:cs="Arial"/>
        </w:rPr>
        <w:t> </w:t>
      </w:r>
      <w:r w:rsidR="009F75A5" w:rsidRPr="00FB1C29">
        <w:rPr>
          <w:rFonts w:ascii="Arial" w:hAnsi="Arial" w:cs="Arial"/>
          <w:i/>
          <w:iCs/>
        </w:rPr>
        <w:t>Event Planning and Management</w:t>
      </w:r>
      <w:r w:rsidR="009F75A5" w:rsidRPr="00FB1C29">
        <w:rPr>
          <w:rFonts w:ascii="Arial" w:hAnsi="Arial" w:cs="Arial"/>
        </w:rPr>
        <w:t>. 1 ed.</w:t>
      </w:r>
    </w:p>
    <w:p w14:paraId="3E37A77B" w14:textId="77777777" w:rsidR="002B5264" w:rsidRPr="00FB1C29" w:rsidRDefault="002B5264" w:rsidP="0060718C">
      <w:pPr>
        <w:spacing w:line="360" w:lineRule="auto"/>
        <w:jc w:val="both"/>
        <w:rPr>
          <w:rFonts w:ascii="Arial" w:hAnsi="Arial" w:cs="Arial"/>
        </w:rPr>
      </w:pPr>
      <w:r w:rsidRPr="00FB1C29">
        <w:rPr>
          <w:rFonts w:ascii="Arial" w:hAnsi="Arial" w:cs="Arial"/>
        </w:rPr>
        <w:t xml:space="preserve"> Elliott, B. and Elliott, J. (2013) </w:t>
      </w:r>
      <w:r w:rsidRPr="00FB1C29">
        <w:rPr>
          <w:rFonts w:ascii="Arial" w:hAnsi="Arial" w:cs="Arial"/>
          <w:i/>
          <w:iCs/>
        </w:rPr>
        <w:t>Financial accounting and reporting</w:t>
      </w:r>
      <w:r w:rsidRPr="00FB1C29">
        <w:rPr>
          <w:rFonts w:ascii="Arial" w:hAnsi="Arial" w:cs="Arial"/>
        </w:rPr>
        <w:t>. Sixteenth edition. Harlow, England; Pearson Education.</w:t>
      </w:r>
    </w:p>
    <w:p w14:paraId="635FF9AF" w14:textId="2AADEFDC" w:rsidR="001C31F5" w:rsidRPr="00FB1C29" w:rsidRDefault="001C31F5" w:rsidP="0060718C">
      <w:pPr>
        <w:spacing w:line="360" w:lineRule="auto"/>
        <w:jc w:val="both"/>
        <w:rPr>
          <w:rFonts w:ascii="Arial" w:hAnsi="Arial" w:cs="Arial"/>
        </w:rPr>
      </w:pPr>
      <w:r w:rsidRPr="00FB1C29">
        <w:rPr>
          <w:rFonts w:ascii="Arial" w:hAnsi="Arial" w:cs="Arial"/>
        </w:rPr>
        <w:t>ESQUIVIAS, M.A. </w:t>
      </w:r>
      <w:r w:rsidRPr="00FB1C29">
        <w:rPr>
          <w:rFonts w:ascii="Arial" w:hAnsi="Arial" w:cs="Arial"/>
          <w:i/>
          <w:iCs/>
        </w:rPr>
        <w:t>et al.</w:t>
      </w:r>
      <w:r w:rsidRPr="00FB1C29">
        <w:rPr>
          <w:rFonts w:ascii="Arial" w:hAnsi="Arial" w:cs="Arial"/>
        </w:rPr>
        <w:t> (2021) ‘TOURISM DEMAND IN INDONESIA: IMPLICATIONS IN A POST-PANDEMIC PERIOD’, </w:t>
      </w:r>
      <w:r w:rsidRPr="00FB1C29">
        <w:rPr>
          <w:rFonts w:ascii="Arial" w:hAnsi="Arial" w:cs="Arial"/>
          <w:i/>
          <w:iCs/>
        </w:rPr>
        <w:t>Geo Journal of Tourism and Geosites</w:t>
      </w:r>
      <w:r w:rsidRPr="00FB1C29">
        <w:rPr>
          <w:rFonts w:ascii="Arial" w:hAnsi="Arial" w:cs="Arial"/>
        </w:rPr>
        <w:t xml:space="preserve">, 37(3), pp. 951–958. Available at: </w:t>
      </w:r>
      <w:hyperlink r:id="rId17" w:history="1">
        <w:r w:rsidR="00BC6902" w:rsidRPr="00FB1C29">
          <w:rPr>
            <w:rStyle w:val="Hyperlink"/>
            <w:rFonts w:ascii="Arial" w:hAnsi="Arial" w:cs="Arial"/>
          </w:rPr>
          <w:t>https://doi.org/10.30892/gtg.37329-731</w:t>
        </w:r>
      </w:hyperlink>
      <w:r w:rsidRPr="00FB1C29">
        <w:rPr>
          <w:rFonts w:ascii="Arial" w:hAnsi="Arial" w:cs="Arial"/>
        </w:rPr>
        <w:t>.</w:t>
      </w:r>
    </w:p>
    <w:p w14:paraId="66033401" w14:textId="22DC7DDA" w:rsidR="00BC6902" w:rsidRPr="00FB1C29" w:rsidRDefault="00BC6902" w:rsidP="0060718C">
      <w:pPr>
        <w:spacing w:line="360" w:lineRule="auto"/>
        <w:jc w:val="both"/>
        <w:rPr>
          <w:rFonts w:ascii="Arial" w:hAnsi="Arial" w:cs="Arial"/>
        </w:rPr>
      </w:pPr>
      <w:r w:rsidRPr="00FB1C29">
        <w:rPr>
          <w:rFonts w:ascii="Arial" w:hAnsi="Arial" w:cs="Arial"/>
        </w:rPr>
        <w:lastRenderedPageBreak/>
        <w:t>Event Budgeting Tips’ (2018) </w:t>
      </w:r>
      <w:r w:rsidRPr="00FB1C29">
        <w:rPr>
          <w:rFonts w:ascii="Arial" w:hAnsi="Arial" w:cs="Arial"/>
          <w:i/>
          <w:iCs/>
        </w:rPr>
        <w:t>Special Events Galore</w:t>
      </w:r>
      <w:r w:rsidRPr="00FB1C29">
        <w:rPr>
          <w:rFonts w:ascii="Arial" w:hAnsi="Arial" w:cs="Arial"/>
        </w:rPr>
        <w:t>, 18(5), pp. 5–5. Available at: https://doi.org/10.1002/speg.30824.</w:t>
      </w:r>
    </w:p>
    <w:p w14:paraId="7820EFEC" w14:textId="77777777" w:rsidR="002B5264" w:rsidRPr="00FB1C29" w:rsidRDefault="002B5264" w:rsidP="0060718C">
      <w:pPr>
        <w:spacing w:line="360" w:lineRule="auto"/>
        <w:jc w:val="both"/>
        <w:rPr>
          <w:rFonts w:ascii="Arial" w:hAnsi="Arial" w:cs="Arial"/>
        </w:rPr>
      </w:pPr>
      <w:r w:rsidRPr="00FB1C29">
        <w:rPr>
          <w:rFonts w:ascii="Arial" w:hAnsi="Arial" w:cs="Arial"/>
        </w:rPr>
        <w:t xml:space="preserve"> Ferraro, C., Hemsley, A. and Sands, S. (2023) ‘Embracing diversity, equity, and inclusion (DEI): Considerations and opportunities for brand managers’, </w:t>
      </w:r>
      <w:r w:rsidRPr="00FB1C29">
        <w:rPr>
          <w:rFonts w:ascii="Arial" w:hAnsi="Arial" w:cs="Arial"/>
          <w:i/>
          <w:iCs/>
        </w:rPr>
        <w:t>Business Horizons</w:t>
      </w:r>
      <w:r w:rsidRPr="00FB1C29">
        <w:rPr>
          <w:rFonts w:ascii="Arial" w:hAnsi="Arial" w:cs="Arial"/>
        </w:rPr>
        <w:t>, 66(4), pp. 463–479. Available at: https://doi.org/10.1016/j.bushor.2022.09.005.</w:t>
      </w:r>
    </w:p>
    <w:p w14:paraId="22A13390" w14:textId="77777777" w:rsidR="002B5264" w:rsidRPr="00FB1C29" w:rsidRDefault="002B5264" w:rsidP="0060718C">
      <w:pPr>
        <w:spacing w:line="360" w:lineRule="auto"/>
        <w:jc w:val="both"/>
        <w:rPr>
          <w:rFonts w:ascii="Arial" w:hAnsi="Arial" w:cs="Arial"/>
        </w:rPr>
      </w:pPr>
      <w:r w:rsidRPr="00FB1C29">
        <w:rPr>
          <w:rFonts w:ascii="Arial" w:hAnsi="Arial" w:cs="Arial"/>
        </w:rPr>
        <w:t xml:space="preserve">FHA HoReCa (2024) </w:t>
      </w:r>
      <w:r w:rsidRPr="00FB1C29">
        <w:rPr>
          <w:rFonts w:ascii="Arial" w:hAnsi="Arial" w:cs="Arial"/>
          <w:i/>
          <w:iCs/>
        </w:rPr>
        <w:t>Diversity, Equality, and Inclusion (DEI) in Hospitality</w:t>
      </w:r>
      <w:r w:rsidRPr="00FB1C29">
        <w:rPr>
          <w:rFonts w:ascii="Arial" w:hAnsi="Arial" w:cs="Arial"/>
        </w:rPr>
        <w:t>[blog].29 October. Available at: https://fhahoreca.com/blog/dei-in-hospitality-industry/ (Accessed: 29 January 2025).</w:t>
      </w:r>
    </w:p>
    <w:p w14:paraId="2AA68B14" w14:textId="5999C4AD" w:rsidR="00EA16C4" w:rsidRPr="00FB1C29" w:rsidRDefault="002B5264" w:rsidP="0060718C">
      <w:pPr>
        <w:spacing w:line="360" w:lineRule="auto"/>
        <w:jc w:val="both"/>
        <w:rPr>
          <w:rFonts w:ascii="Arial" w:hAnsi="Arial" w:cs="Arial"/>
        </w:rPr>
      </w:pPr>
      <w:r w:rsidRPr="00FB1C29">
        <w:rPr>
          <w:rFonts w:ascii="Arial" w:hAnsi="Arial" w:cs="Arial"/>
        </w:rPr>
        <w:t xml:space="preserve">Getz, D. and Page, S. (2024) </w:t>
      </w:r>
      <w:r w:rsidRPr="00FB1C29">
        <w:rPr>
          <w:rFonts w:ascii="Arial" w:hAnsi="Arial" w:cs="Arial"/>
          <w:i/>
          <w:iCs/>
        </w:rPr>
        <w:t>Event studies: theory and management for planned events</w:t>
      </w:r>
      <w:r w:rsidRPr="00FB1C29">
        <w:rPr>
          <w:rFonts w:ascii="Arial" w:hAnsi="Arial" w:cs="Arial"/>
        </w:rPr>
        <w:t>. Fifth edition / Donald Getz and Stephen J. Page. London: Routledge.</w:t>
      </w:r>
    </w:p>
    <w:p w14:paraId="56B3B0BA" w14:textId="49D3C4F3" w:rsidR="00875273" w:rsidRPr="00FB1C29" w:rsidRDefault="00875273" w:rsidP="0060718C">
      <w:pPr>
        <w:spacing w:line="360" w:lineRule="auto"/>
        <w:jc w:val="both"/>
        <w:rPr>
          <w:rFonts w:ascii="Arial" w:hAnsi="Arial" w:cs="Arial"/>
        </w:rPr>
      </w:pPr>
      <w:r w:rsidRPr="00FB1C29">
        <w:rPr>
          <w:rFonts w:ascii="Arial" w:hAnsi="Arial" w:cs="Arial"/>
        </w:rPr>
        <w:t xml:space="preserve">Gursoy, D. and Maier, T. (2023) ‘Diversity, equity and inclusion in hospitality: Value </w:t>
      </w:r>
      <w:r w:rsidR="00E24686" w:rsidRPr="00FB1C29">
        <w:rPr>
          <w:rFonts w:ascii="Arial" w:hAnsi="Arial" w:cs="Arial"/>
        </w:rPr>
        <w:t>centred</w:t>
      </w:r>
      <w:r w:rsidRPr="00FB1C29">
        <w:rPr>
          <w:rFonts w:ascii="Arial" w:hAnsi="Arial" w:cs="Arial"/>
        </w:rPr>
        <w:t xml:space="preserve"> leadership as a conduit for change’, </w:t>
      </w:r>
      <w:r w:rsidRPr="00FB1C29">
        <w:rPr>
          <w:rFonts w:ascii="Arial" w:hAnsi="Arial" w:cs="Arial"/>
          <w:i/>
          <w:iCs/>
        </w:rPr>
        <w:t>Journal of hospitality marketing &amp; management</w:t>
      </w:r>
      <w:r w:rsidRPr="00FB1C29">
        <w:rPr>
          <w:rFonts w:ascii="Arial" w:hAnsi="Arial" w:cs="Arial"/>
        </w:rPr>
        <w:t>, 32(4), pp. 445–453. Available at: https://doi.org/10.1080/19368623.2023.2196282.</w:t>
      </w:r>
    </w:p>
    <w:p w14:paraId="16A69AE8" w14:textId="27709183" w:rsidR="002B5264" w:rsidRPr="00FB1C29" w:rsidRDefault="002B5264" w:rsidP="0060718C">
      <w:pPr>
        <w:spacing w:line="360" w:lineRule="auto"/>
        <w:jc w:val="both"/>
        <w:rPr>
          <w:rFonts w:ascii="Arial" w:hAnsi="Arial" w:cs="Arial"/>
        </w:rPr>
      </w:pPr>
      <w:r w:rsidRPr="00FB1C29">
        <w:rPr>
          <w:rFonts w:ascii="Arial" w:hAnsi="Arial" w:cs="Arial"/>
        </w:rPr>
        <w:t xml:space="preserve"> Hand, J.R.M. (2024) McKinsey’s Diversity Matters/Delivers/Wins Results Revisited’, </w:t>
      </w:r>
      <w:r w:rsidRPr="00FB1C29">
        <w:rPr>
          <w:rFonts w:ascii="Arial" w:hAnsi="Arial" w:cs="Arial"/>
          <w:i/>
          <w:iCs/>
        </w:rPr>
        <w:t>Econ journal watch</w:t>
      </w:r>
      <w:r w:rsidRPr="00FB1C29">
        <w:rPr>
          <w:rFonts w:ascii="Arial" w:hAnsi="Arial" w:cs="Arial"/>
        </w:rPr>
        <w:t>, 21(1), pp. 5.</w:t>
      </w:r>
    </w:p>
    <w:p w14:paraId="109165DD" w14:textId="4B8F3D5A" w:rsidR="002B5264" w:rsidRPr="00FB1C29" w:rsidRDefault="002B5264" w:rsidP="0060718C">
      <w:pPr>
        <w:spacing w:line="360" w:lineRule="auto"/>
        <w:jc w:val="both"/>
        <w:rPr>
          <w:rFonts w:ascii="Arial" w:hAnsi="Arial" w:cs="Arial"/>
        </w:rPr>
      </w:pPr>
      <w:r w:rsidRPr="00FB1C29">
        <w:rPr>
          <w:rFonts w:ascii="Arial" w:hAnsi="Arial" w:cs="Arial"/>
        </w:rPr>
        <w:t xml:space="preserve">Kalargyrou, V. and Costen, W. (2017) ‘Diversity management research in hospitality and tourism: past, present and future’, </w:t>
      </w:r>
      <w:r w:rsidRPr="00FB1C29">
        <w:rPr>
          <w:rFonts w:ascii="Arial" w:hAnsi="Arial" w:cs="Arial"/>
          <w:i/>
          <w:iCs/>
        </w:rPr>
        <w:t>International Journal of Contemporary Hospitality Management</w:t>
      </w:r>
      <w:r w:rsidRPr="00FB1C29">
        <w:rPr>
          <w:rFonts w:ascii="Arial" w:hAnsi="Arial" w:cs="Arial"/>
        </w:rPr>
        <w:t xml:space="preserve">, 29(1), pp. 68–114. Available at: </w:t>
      </w:r>
      <w:hyperlink r:id="rId18" w:history="1">
        <w:r w:rsidR="006674D7" w:rsidRPr="00FB1C29">
          <w:rPr>
            <w:rStyle w:val="Hyperlink"/>
            <w:rFonts w:ascii="Arial" w:hAnsi="Arial" w:cs="Arial"/>
          </w:rPr>
          <w:t>https://doi.org/10.1108/IJCHM-09-2015-0470</w:t>
        </w:r>
      </w:hyperlink>
      <w:r w:rsidRPr="00FB1C29">
        <w:rPr>
          <w:rFonts w:ascii="Arial" w:hAnsi="Arial" w:cs="Arial"/>
        </w:rPr>
        <w:t>.</w:t>
      </w:r>
    </w:p>
    <w:p w14:paraId="2C05062C" w14:textId="38EB7A31" w:rsidR="00D34972" w:rsidRPr="00FB1C29" w:rsidRDefault="00D34972" w:rsidP="0060718C">
      <w:pPr>
        <w:spacing w:line="360" w:lineRule="auto"/>
        <w:jc w:val="both"/>
        <w:rPr>
          <w:rFonts w:ascii="Arial" w:hAnsi="Arial" w:cs="Arial"/>
        </w:rPr>
      </w:pPr>
      <w:r w:rsidRPr="00FB1C29">
        <w:rPr>
          <w:rFonts w:ascii="Arial" w:hAnsi="Arial" w:cs="Arial"/>
        </w:rPr>
        <w:t>Li, F. </w:t>
      </w:r>
      <w:r w:rsidRPr="00FB1C29">
        <w:rPr>
          <w:rFonts w:ascii="Arial" w:hAnsi="Arial" w:cs="Arial"/>
          <w:i/>
          <w:iCs/>
        </w:rPr>
        <w:t>et al.</w:t>
      </w:r>
      <w:r w:rsidRPr="00FB1C29">
        <w:rPr>
          <w:rFonts w:ascii="Arial" w:hAnsi="Arial" w:cs="Arial"/>
        </w:rPr>
        <w:t> (2024) ‘Will Diversity, Equity, and Inclusion Commitment Improve Manufacturing Firms’ Market Performance? A Signalling Theory Perspective on DEI Announcements’, </w:t>
      </w:r>
      <w:r w:rsidRPr="00FB1C29">
        <w:rPr>
          <w:rFonts w:ascii="Arial" w:hAnsi="Arial" w:cs="Arial"/>
          <w:i/>
          <w:iCs/>
        </w:rPr>
        <w:t xml:space="preserve">Production and </w:t>
      </w:r>
      <w:r w:rsidR="005C5455" w:rsidRPr="00FB1C29">
        <w:rPr>
          <w:rFonts w:ascii="Arial" w:hAnsi="Arial" w:cs="Arial"/>
          <w:i/>
          <w:iCs/>
        </w:rPr>
        <w:t>Operations Management</w:t>
      </w:r>
      <w:r w:rsidRPr="00FB1C29">
        <w:rPr>
          <w:rFonts w:ascii="Arial" w:hAnsi="Arial" w:cs="Arial"/>
        </w:rPr>
        <w:t> [Preprint]. Available at: https://doi.org/10.1177/10591478241265479.</w:t>
      </w:r>
    </w:p>
    <w:p w14:paraId="70AC5E76" w14:textId="1FB0CB42" w:rsidR="00460030" w:rsidRPr="00FB1C29" w:rsidRDefault="006674D7" w:rsidP="0060718C">
      <w:pPr>
        <w:spacing w:line="360" w:lineRule="auto"/>
        <w:jc w:val="both"/>
        <w:rPr>
          <w:rFonts w:ascii="Arial" w:hAnsi="Arial" w:cs="Arial"/>
        </w:rPr>
      </w:pPr>
      <w:r w:rsidRPr="00FB1C29">
        <w:rPr>
          <w:rFonts w:ascii="Arial" w:hAnsi="Arial" w:cs="Arial"/>
        </w:rPr>
        <w:t>Lynch, R. (2018) Strategic Management, Pearson Education, Limited, Harlow, United Kingdom</w:t>
      </w:r>
      <w:r w:rsidR="00460030" w:rsidRPr="00FB1C29">
        <w:rPr>
          <w:rFonts w:ascii="Arial" w:hAnsi="Arial" w:cs="Arial"/>
        </w:rPr>
        <w:t>.</w:t>
      </w:r>
    </w:p>
    <w:p w14:paraId="34FD8FE0" w14:textId="122D5897" w:rsidR="002B5264" w:rsidRPr="00FB1C29" w:rsidRDefault="002B5264" w:rsidP="0060718C">
      <w:pPr>
        <w:spacing w:line="360" w:lineRule="auto"/>
        <w:jc w:val="both"/>
        <w:rPr>
          <w:rFonts w:ascii="Arial" w:hAnsi="Arial" w:cs="Arial"/>
        </w:rPr>
      </w:pPr>
      <w:r w:rsidRPr="00FB1C29">
        <w:rPr>
          <w:rFonts w:ascii="Arial" w:hAnsi="Arial" w:cs="Arial"/>
        </w:rPr>
        <w:t xml:space="preserve"> Marina Bay Sands (2025) </w:t>
      </w:r>
      <w:r w:rsidRPr="00FB1C29">
        <w:rPr>
          <w:rFonts w:ascii="Arial" w:hAnsi="Arial" w:cs="Arial"/>
          <w:i/>
          <w:iCs/>
        </w:rPr>
        <w:t>Meeting and Conventions</w:t>
      </w:r>
      <w:r w:rsidRPr="00FB1C29">
        <w:rPr>
          <w:rFonts w:ascii="Arial" w:hAnsi="Arial" w:cs="Arial"/>
        </w:rPr>
        <w:t xml:space="preserve">. Available at: https://www.marinabaysands.com/expo-and-convention/spaces/meetings-and-conventions.html (Accessed: 28 January 2025). </w:t>
      </w:r>
    </w:p>
    <w:p w14:paraId="7E854DE0" w14:textId="7FBED61F" w:rsidR="002B5264" w:rsidRPr="00FB1C29" w:rsidRDefault="002B5264" w:rsidP="0060718C">
      <w:pPr>
        <w:spacing w:line="360" w:lineRule="auto"/>
        <w:jc w:val="both"/>
        <w:rPr>
          <w:rFonts w:ascii="Arial" w:hAnsi="Arial" w:cs="Arial"/>
        </w:rPr>
      </w:pPr>
      <w:r w:rsidRPr="00FB1C29">
        <w:rPr>
          <w:rFonts w:ascii="Arial" w:hAnsi="Arial" w:cs="Arial"/>
        </w:rPr>
        <w:lastRenderedPageBreak/>
        <w:t>Marina Bay Sands: one integrated resort, endless possibilities: captivating to the eye, Marina Bay Sands also reaches the heart of every event held here (2011) Meetings &amp; conventions. NorthStar Travel Media, LLC, pp.</w:t>
      </w:r>
      <w:r w:rsidR="00E24EB7" w:rsidRPr="00FB1C29">
        <w:rPr>
          <w:rFonts w:ascii="Arial" w:hAnsi="Arial" w:cs="Arial"/>
        </w:rPr>
        <w:t xml:space="preserve"> </w:t>
      </w:r>
      <w:r w:rsidRPr="00FB1C29">
        <w:rPr>
          <w:rFonts w:ascii="Arial" w:hAnsi="Arial" w:cs="Arial"/>
        </w:rPr>
        <w:t>24-.</w:t>
      </w:r>
    </w:p>
    <w:p w14:paraId="0317238C" w14:textId="12923288" w:rsidR="006421D8" w:rsidRPr="00FB1C29" w:rsidRDefault="006421D8" w:rsidP="0060718C">
      <w:pPr>
        <w:spacing w:line="360" w:lineRule="auto"/>
        <w:jc w:val="both"/>
        <w:rPr>
          <w:rFonts w:ascii="Arial" w:hAnsi="Arial" w:cs="Arial"/>
        </w:rPr>
      </w:pPr>
      <w:r w:rsidRPr="00FB1C29">
        <w:rPr>
          <w:rFonts w:ascii="Arial" w:hAnsi="Arial" w:cs="Arial"/>
        </w:rPr>
        <w:t xml:space="preserve"> Marina Bay Sands (2023</w:t>
      </w:r>
      <w:r w:rsidR="006F2122" w:rsidRPr="00FB1C29">
        <w:rPr>
          <w:rFonts w:ascii="Arial" w:hAnsi="Arial" w:cs="Arial"/>
        </w:rPr>
        <w:t>) RESPONSIBLE</w:t>
      </w:r>
      <w:r w:rsidR="000A3805" w:rsidRPr="00FB1C29">
        <w:rPr>
          <w:rFonts w:ascii="Arial" w:hAnsi="Arial" w:cs="Arial"/>
          <w:i/>
          <w:iCs/>
        </w:rPr>
        <w:t xml:space="preserve"> BUSINESS HIGHLIGHTS 2023</w:t>
      </w:r>
      <w:r w:rsidR="00DA1A87" w:rsidRPr="00FB1C29">
        <w:rPr>
          <w:rFonts w:ascii="Arial" w:hAnsi="Arial" w:cs="Arial"/>
        </w:rPr>
        <w:t xml:space="preserve">. Available at: </w:t>
      </w:r>
      <w:hyperlink r:id="rId19" w:history="1">
        <w:r w:rsidR="00DA1A87" w:rsidRPr="00FB1C29">
          <w:rPr>
            <w:rStyle w:val="Hyperlink"/>
            <w:rFonts w:ascii="Arial" w:hAnsi="Arial" w:cs="Arial"/>
          </w:rPr>
          <w:t>https://zh.marinabaysands.com/content/dam/marinabaysands/sustainability/reports/mbs-responsible-business-highlights-2023.pdf</w:t>
        </w:r>
      </w:hyperlink>
      <w:r w:rsidR="00DA1A87" w:rsidRPr="00FB1C29">
        <w:rPr>
          <w:rFonts w:ascii="Arial" w:hAnsi="Arial" w:cs="Arial"/>
        </w:rPr>
        <w:t xml:space="preserve"> </w:t>
      </w:r>
      <w:r w:rsidR="006F2122" w:rsidRPr="00FB1C29">
        <w:rPr>
          <w:rFonts w:ascii="Arial" w:hAnsi="Arial" w:cs="Arial"/>
        </w:rPr>
        <w:t>(Accessed: 21 February 2025).</w:t>
      </w:r>
    </w:p>
    <w:p w14:paraId="749B5F30" w14:textId="2FDB1737" w:rsidR="005A250A" w:rsidRPr="00FB1C29" w:rsidRDefault="005A250A" w:rsidP="0060718C">
      <w:pPr>
        <w:spacing w:line="360" w:lineRule="auto"/>
        <w:jc w:val="both"/>
        <w:rPr>
          <w:rFonts w:ascii="Arial" w:hAnsi="Arial" w:cs="Arial"/>
        </w:rPr>
      </w:pPr>
      <w:r w:rsidRPr="00FB1C29">
        <w:rPr>
          <w:rFonts w:ascii="Arial" w:hAnsi="Arial" w:cs="Arial"/>
        </w:rPr>
        <w:t xml:space="preserve">Mohapatra, </w:t>
      </w:r>
      <w:r w:rsidR="00526C8D" w:rsidRPr="00FB1C29">
        <w:rPr>
          <w:rFonts w:ascii="Arial" w:hAnsi="Arial" w:cs="Arial"/>
        </w:rPr>
        <w:t>A</w:t>
      </w:r>
      <w:r w:rsidRPr="00FB1C29">
        <w:rPr>
          <w:rFonts w:ascii="Arial" w:hAnsi="Arial" w:cs="Arial"/>
        </w:rPr>
        <w:t>.</w:t>
      </w:r>
      <w:r w:rsidR="00526C8D" w:rsidRPr="00FB1C29">
        <w:rPr>
          <w:rFonts w:ascii="Arial" w:hAnsi="Arial" w:cs="Arial"/>
        </w:rPr>
        <w:t>G.</w:t>
      </w:r>
      <w:r w:rsidRPr="00FB1C29">
        <w:rPr>
          <w:rFonts w:ascii="Arial" w:hAnsi="Arial" w:cs="Arial"/>
        </w:rPr>
        <w:t xml:space="preserve"> et al</w:t>
      </w:r>
      <w:r w:rsidR="00526C8D" w:rsidRPr="00FB1C29">
        <w:rPr>
          <w:rFonts w:ascii="Arial" w:hAnsi="Arial" w:cs="Arial"/>
        </w:rPr>
        <w:t xml:space="preserve">. (2024) </w:t>
      </w:r>
      <w:r w:rsidR="00794BB0" w:rsidRPr="00FB1C29">
        <w:rPr>
          <w:rFonts w:ascii="Arial" w:hAnsi="Arial" w:cs="Arial"/>
        </w:rPr>
        <w:t>‘</w:t>
      </w:r>
      <w:r w:rsidR="00DB125C" w:rsidRPr="00FB1C29">
        <w:rPr>
          <w:rFonts w:ascii="Arial" w:hAnsi="Arial" w:cs="Arial"/>
        </w:rPr>
        <w:t>Personalization and Customer Experience in the Era of Data-Driven Marketing</w:t>
      </w:r>
      <w:r w:rsidR="00794BB0" w:rsidRPr="00FB1C29">
        <w:rPr>
          <w:rFonts w:ascii="Arial" w:hAnsi="Arial" w:cs="Arial"/>
        </w:rPr>
        <w:t>’</w:t>
      </w:r>
      <w:r w:rsidR="00687236" w:rsidRPr="00FB1C29">
        <w:rPr>
          <w:rFonts w:ascii="Arial" w:hAnsi="Arial" w:cs="Arial"/>
        </w:rPr>
        <w:t>, in Artificial Intelligence</w:t>
      </w:r>
      <w:r w:rsidR="00687236" w:rsidRPr="00FB1C29">
        <w:rPr>
          <w:rFonts w:ascii="Cambria Math" w:hAnsi="Cambria Math" w:cs="Cambria Math"/>
        </w:rPr>
        <w:t>‐</w:t>
      </w:r>
      <w:r w:rsidR="00687236" w:rsidRPr="00FB1C29">
        <w:rPr>
          <w:rFonts w:ascii="Arial" w:hAnsi="Arial" w:cs="Arial"/>
        </w:rPr>
        <w:t>Enabled Businesses: How to Develop Strategies for Innovation</w:t>
      </w:r>
      <w:r w:rsidR="004D38AF" w:rsidRPr="00FB1C29">
        <w:rPr>
          <w:rFonts w:ascii="Arial" w:hAnsi="Arial" w:cs="Arial"/>
        </w:rPr>
        <w:t>.</w:t>
      </w:r>
      <w:r w:rsidR="009D5232" w:rsidRPr="00FB1C29">
        <w:rPr>
          <w:rFonts w:ascii="Arial" w:hAnsi="Arial" w:cs="Arial"/>
        </w:rPr>
        <w:t xml:space="preserve"> </w:t>
      </w:r>
      <w:r w:rsidR="004D38AF" w:rsidRPr="00FB1C29">
        <w:rPr>
          <w:rFonts w:ascii="Arial" w:hAnsi="Arial" w:cs="Arial"/>
        </w:rPr>
        <w:t xml:space="preserve"> Available at: </w:t>
      </w:r>
      <w:r w:rsidR="009D5232" w:rsidRPr="00FB1C29">
        <w:rPr>
          <w:rFonts w:ascii="Arial" w:hAnsi="Arial" w:cs="Arial"/>
        </w:rPr>
        <w:t xml:space="preserve"> </w:t>
      </w:r>
      <w:hyperlink r:id="rId20" w:history="1">
        <w:r w:rsidR="009D5232" w:rsidRPr="00FB1C29">
          <w:rPr>
            <w:rStyle w:val="Hyperlink"/>
            <w:rFonts w:ascii="Arial" w:hAnsi="Arial" w:cs="Arial"/>
          </w:rPr>
          <w:t>https://doi.org/10.1002/9781394234028.ch26</w:t>
        </w:r>
      </w:hyperlink>
      <w:r w:rsidR="009D5232" w:rsidRPr="00FB1C29">
        <w:rPr>
          <w:rFonts w:ascii="Arial" w:hAnsi="Arial" w:cs="Arial"/>
        </w:rPr>
        <w:t>.</w:t>
      </w:r>
    </w:p>
    <w:p w14:paraId="5B0991D8" w14:textId="77777777" w:rsidR="002B5264" w:rsidRPr="00FB1C29" w:rsidRDefault="002B5264" w:rsidP="0060718C">
      <w:pPr>
        <w:spacing w:line="360" w:lineRule="auto"/>
        <w:jc w:val="both"/>
        <w:rPr>
          <w:rFonts w:ascii="Arial" w:hAnsi="Arial" w:cs="Arial"/>
        </w:rPr>
      </w:pPr>
      <w:r w:rsidRPr="00FB1C29">
        <w:rPr>
          <w:rFonts w:ascii="Arial" w:hAnsi="Arial" w:cs="Arial"/>
        </w:rPr>
        <w:t xml:space="preserve"> O’Toole, W. and Taylor &amp; Francis (2022</w:t>
      </w:r>
      <w:r w:rsidRPr="00FB1C29">
        <w:rPr>
          <w:rFonts w:ascii="Arial" w:hAnsi="Arial" w:cs="Arial"/>
          <w:i/>
          <w:iCs/>
        </w:rPr>
        <w:t>) Events feasibility and development: from strategy to operations</w:t>
      </w:r>
      <w:r w:rsidRPr="00FB1C29">
        <w:rPr>
          <w:rFonts w:ascii="Arial" w:hAnsi="Arial" w:cs="Arial"/>
        </w:rPr>
        <w:t>. Second edition. Abingdon, Oxon; Routledge.</w:t>
      </w:r>
    </w:p>
    <w:p w14:paraId="192CF4E5" w14:textId="77777777" w:rsidR="002B5264" w:rsidRPr="00FB1C29" w:rsidRDefault="002B5264" w:rsidP="0060718C">
      <w:pPr>
        <w:spacing w:line="360" w:lineRule="auto"/>
        <w:jc w:val="both"/>
        <w:rPr>
          <w:rFonts w:ascii="Arial" w:hAnsi="Arial" w:cs="Arial"/>
        </w:rPr>
      </w:pPr>
      <w:r w:rsidRPr="00FB1C29">
        <w:rPr>
          <w:rFonts w:ascii="Arial" w:hAnsi="Arial" w:cs="Arial"/>
        </w:rPr>
        <w:t xml:space="preserve"> Park, Y.W., Voss, G.B. and Voss, Z.G. (2023) ‘Advancing customer diversity, equity, and inclusion: Measurement, stakeholder influence, and the role of marketing’</w:t>
      </w:r>
      <w:r w:rsidRPr="00FB1C29">
        <w:rPr>
          <w:rFonts w:ascii="Arial" w:hAnsi="Arial" w:cs="Arial"/>
          <w:i/>
          <w:iCs/>
        </w:rPr>
        <w:t>, Journal of the Academy of Marketing Science</w:t>
      </w:r>
      <w:r w:rsidRPr="00FB1C29">
        <w:rPr>
          <w:rFonts w:ascii="Arial" w:hAnsi="Arial" w:cs="Arial"/>
        </w:rPr>
        <w:t>, 51(1), pp. 174–197. Available at: https://doi.org/10.1007/s11747-022-00883-6.</w:t>
      </w:r>
    </w:p>
    <w:p w14:paraId="6CBBBE78" w14:textId="77777777" w:rsidR="002B5264" w:rsidRPr="00FB1C29" w:rsidRDefault="002B5264" w:rsidP="0060718C">
      <w:pPr>
        <w:spacing w:line="360" w:lineRule="auto"/>
        <w:jc w:val="both"/>
        <w:rPr>
          <w:rFonts w:ascii="Arial" w:hAnsi="Arial" w:cs="Arial"/>
        </w:rPr>
      </w:pPr>
      <w:r w:rsidRPr="00FB1C29">
        <w:rPr>
          <w:rFonts w:ascii="Arial" w:hAnsi="Arial" w:cs="Arial"/>
        </w:rPr>
        <w:t xml:space="preserve">Rasson, J. (2018) </w:t>
      </w:r>
      <w:r w:rsidRPr="00FB1C29">
        <w:rPr>
          <w:rFonts w:ascii="Arial" w:hAnsi="Arial" w:cs="Arial"/>
          <w:i/>
          <w:iCs/>
        </w:rPr>
        <w:t>An exploration of social media strategies in the Meeting, Incentive, Conference, Exhibition; (MICE) market in France</w:t>
      </w:r>
      <w:r w:rsidRPr="00FB1C29">
        <w:rPr>
          <w:rFonts w:ascii="Arial" w:hAnsi="Arial" w:cs="Arial"/>
        </w:rPr>
        <w:t>. Available at: https://esource.dbs.ie/server/api/core/bitstreams/137bc825-91dc-4955-85bf-b634a21ec90a/content (29 January 2025).</w:t>
      </w:r>
    </w:p>
    <w:p w14:paraId="658C14D3" w14:textId="026450D1" w:rsidR="000A074F" w:rsidRPr="00FB1C29" w:rsidRDefault="000A074F" w:rsidP="0060718C">
      <w:pPr>
        <w:spacing w:line="360" w:lineRule="auto"/>
        <w:jc w:val="both"/>
        <w:rPr>
          <w:rFonts w:ascii="Arial" w:hAnsi="Arial" w:cs="Arial"/>
        </w:rPr>
      </w:pPr>
      <w:r w:rsidRPr="00FB1C29">
        <w:rPr>
          <w:rFonts w:ascii="Arial" w:hAnsi="Arial" w:cs="Arial"/>
        </w:rPr>
        <w:t>Rainoldi, M., Ladkin, A. and Buhalis, D. (2024) ‘Blending work and leisure: a future digital worker hybrid lifestyle perspective’, </w:t>
      </w:r>
      <w:r w:rsidRPr="00FB1C29">
        <w:rPr>
          <w:rFonts w:ascii="Arial" w:hAnsi="Arial" w:cs="Arial"/>
          <w:i/>
          <w:iCs/>
        </w:rPr>
        <w:t>Annals of leisure research</w:t>
      </w:r>
      <w:r w:rsidRPr="00FB1C29">
        <w:rPr>
          <w:rFonts w:ascii="Arial" w:hAnsi="Arial" w:cs="Arial"/>
        </w:rPr>
        <w:t xml:space="preserve">, 27(2), pp. 215–235. Available at: </w:t>
      </w:r>
      <w:hyperlink r:id="rId21" w:history="1">
        <w:r w:rsidR="008E2B75" w:rsidRPr="00FB1C29">
          <w:rPr>
            <w:rStyle w:val="Hyperlink"/>
            <w:rFonts w:ascii="Arial" w:hAnsi="Arial" w:cs="Arial"/>
          </w:rPr>
          <w:t>https://doi.org/10.1080/11745398.2022.2070513</w:t>
        </w:r>
      </w:hyperlink>
      <w:r w:rsidRPr="00FB1C29">
        <w:rPr>
          <w:rFonts w:ascii="Arial" w:hAnsi="Arial" w:cs="Arial"/>
        </w:rPr>
        <w:t>.</w:t>
      </w:r>
    </w:p>
    <w:p w14:paraId="601643BA" w14:textId="22322401" w:rsidR="00B14329" w:rsidRPr="00FB1C29" w:rsidRDefault="00B14329" w:rsidP="0060718C">
      <w:pPr>
        <w:spacing w:line="360" w:lineRule="auto"/>
        <w:jc w:val="both"/>
        <w:rPr>
          <w:rFonts w:ascii="Arial" w:hAnsi="Arial" w:cs="Arial"/>
        </w:rPr>
      </w:pPr>
      <w:r w:rsidRPr="00FB1C29">
        <w:rPr>
          <w:rFonts w:ascii="Arial" w:hAnsi="Arial" w:cs="Arial"/>
        </w:rPr>
        <w:t>Ramely, A. ., Ab Talib, M. F., Ahmad, R., &amp; Mat Yusof, N. A. (2023) EXAMINING PESTEL ANALYSIS OF EVENT BUSINESSES IN MALAYSIA. </w:t>
      </w:r>
      <w:r w:rsidRPr="00FB1C29">
        <w:rPr>
          <w:rFonts w:ascii="Arial" w:hAnsi="Arial" w:cs="Arial"/>
          <w:i/>
          <w:iCs/>
        </w:rPr>
        <w:t>Journal of Event, Tourism and Hospitality Studies</w:t>
      </w:r>
      <w:r w:rsidRPr="00FB1C29">
        <w:rPr>
          <w:rFonts w:ascii="Arial" w:hAnsi="Arial" w:cs="Arial"/>
        </w:rPr>
        <w:t>, </w:t>
      </w:r>
      <w:r w:rsidRPr="00FB1C29">
        <w:rPr>
          <w:rFonts w:ascii="Arial" w:hAnsi="Arial" w:cs="Arial"/>
          <w:i/>
          <w:iCs/>
        </w:rPr>
        <w:t>3</w:t>
      </w:r>
      <w:r w:rsidRPr="00FB1C29">
        <w:rPr>
          <w:rFonts w:ascii="Arial" w:hAnsi="Arial" w:cs="Arial"/>
        </w:rPr>
        <w:t xml:space="preserve">, 57–79. </w:t>
      </w:r>
      <w:hyperlink r:id="rId22" w:history="1">
        <w:r w:rsidR="001E073E" w:rsidRPr="00FB1C29">
          <w:rPr>
            <w:rStyle w:val="Hyperlink"/>
            <w:rFonts w:ascii="Arial" w:hAnsi="Arial" w:cs="Arial"/>
          </w:rPr>
          <w:t>https://doi.org/10.32890/jeth2023.3.4/</w:t>
        </w:r>
      </w:hyperlink>
      <w:r w:rsidR="001E073E" w:rsidRPr="00FB1C29">
        <w:rPr>
          <w:rFonts w:ascii="Arial" w:hAnsi="Arial" w:cs="Arial"/>
        </w:rPr>
        <w:t xml:space="preserve"> .</w:t>
      </w:r>
    </w:p>
    <w:p w14:paraId="33B0BB4E" w14:textId="23DD514D" w:rsidR="008E2B75" w:rsidRPr="00FB1C29" w:rsidRDefault="008E2B75" w:rsidP="0060718C">
      <w:pPr>
        <w:spacing w:line="360" w:lineRule="auto"/>
        <w:jc w:val="both"/>
        <w:rPr>
          <w:rFonts w:ascii="Arial" w:hAnsi="Arial" w:cs="Arial"/>
        </w:rPr>
      </w:pPr>
      <w:r w:rsidRPr="00FB1C29">
        <w:rPr>
          <w:rFonts w:ascii="Arial" w:hAnsi="Arial" w:cs="Arial"/>
        </w:rPr>
        <w:t>Rogers, T. (2008) </w:t>
      </w:r>
      <w:r w:rsidRPr="00FB1C29">
        <w:rPr>
          <w:rFonts w:ascii="Arial" w:hAnsi="Arial" w:cs="Arial"/>
          <w:i/>
          <w:iCs/>
        </w:rPr>
        <w:t>Conferences and conventions a global industry</w:t>
      </w:r>
      <w:r w:rsidRPr="00FB1C29">
        <w:rPr>
          <w:rFonts w:ascii="Arial" w:hAnsi="Arial" w:cs="Arial"/>
        </w:rPr>
        <w:t>. 2nd ed. Oxford ; Butterworth-Heinemann.</w:t>
      </w:r>
    </w:p>
    <w:p w14:paraId="4646D7CB" w14:textId="625A9546" w:rsidR="00D91222" w:rsidRPr="00FB1C29" w:rsidRDefault="00D91222" w:rsidP="0060718C">
      <w:pPr>
        <w:spacing w:line="360" w:lineRule="auto"/>
        <w:jc w:val="both"/>
        <w:rPr>
          <w:rFonts w:ascii="Arial" w:hAnsi="Arial" w:cs="Arial"/>
        </w:rPr>
      </w:pPr>
      <w:r w:rsidRPr="00FB1C29">
        <w:rPr>
          <w:rFonts w:ascii="Arial" w:hAnsi="Arial" w:cs="Arial"/>
        </w:rPr>
        <w:lastRenderedPageBreak/>
        <w:t>Salama, M. (2021) ‘Introduction to the Events Management Theory and Methods Series’, in </w:t>
      </w:r>
      <w:r w:rsidRPr="00FB1C29">
        <w:rPr>
          <w:rFonts w:ascii="Arial" w:hAnsi="Arial" w:cs="Arial"/>
          <w:i/>
          <w:iCs/>
        </w:rPr>
        <w:t>Event Project Management</w:t>
      </w:r>
      <w:r w:rsidRPr="00FB1C29">
        <w:rPr>
          <w:rFonts w:ascii="Arial" w:hAnsi="Arial" w:cs="Arial"/>
        </w:rPr>
        <w:t>. United Kingdom: Goodfellow Publishers, Limited.</w:t>
      </w:r>
    </w:p>
    <w:p w14:paraId="2C35DAB8" w14:textId="39650C7B" w:rsidR="002D3FA2" w:rsidRPr="00FB1C29" w:rsidRDefault="002D3FA2" w:rsidP="0060718C">
      <w:pPr>
        <w:spacing w:line="360" w:lineRule="auto"/>
        <w:jc w:val="both"/>
        <w:rPr>
          <w:rFonts w:ascii="Arial" w:hAnsi="Arial" w:cs="Arial"/>
        </w:rPr>
      </w:pPr>
      <w:r w:rsidRPr="00FB1C29">
        <w:rPr>
          <w:rFonts w:ascii="Arial" w:hAnsi="Arial" w:cs="Arial"/>
        </w:rPr>
        <w:t>Santos, J.A.C. </w:t>
      </w:r>
      <w:r w:rsidRPr="00FB1C29">
        <w:rPr>
          <w:rFonts w:ascii="Arial" w:hAnsi="Arial" w:cs="Arial"/>
          <w:i/>
          <w:iCs/>
        </w:rPr>
        <w:t>et al.</w:t>
      </w:r>
      <w:r w:rsidRPr="00FB1C29">
        <w:rPr>
          <w:rFonts w:ascii="Arial" w:hAnsi="Arial" w:cs="Arial"/>
        </w:rPr>
        <w:t> (2024) ‘Sustainability in Business Events: How Hybrid Formats Shape Attendee Decision-Making’, </w:t>
      </w:r>
      <w:r w:rsidRPr="00FB1C29">
        <w:rPr>
          <w:rFonts w:ascii="Arial" w:hAnsi="Arial" w:cs="Arial"/>
          <w:i/>
          <w:iCs/>
        </w:rPr>
        <w:t>Journal of Tourism &amp; Services</w:t>
      </w:r>
      <w:r w:rsidRPr="00FB1C29">
        <w:rPr>
          <w:rFonts w:ascii="Arial" w:hAnsi="Arial" w:cs="Arial"/>
        </w:rPr>
        <w:t xml:space="preserve">, 15(29), pp. 320–348. Available at: </w:t>
      </w:r>
      <w:hyperlink r:id="rId23" w:history="1">
        <w:r w:rsidR="00DB1420" w:rsidRPr="00FB1C29">
          <w:rPr>
            <w:rStyle w:val="Hyperlink"/>
            <w:rFonts w:ascii="Arial" w:hAnsi="Arial" w:cs="Arial"/>
          </w:rPr>
          <w:t>https://doi.org/10.29036/jots.v15i29.1006</w:t>
        </w:r>
      </w:hyperlink>
      <w:r w:rsidRPr="00FB1C29">
        <w:rPr>
          <w:rFonts w:ascii="Arial" w:hAnsi="Arial" w:cs="Arial"/>
        </w:rPr>
        <w:t>.</w:t>
      </w:r>
    </w:p>
    <w:p w14:paraId="2B4C1048" w14:textId="47F9AEA1" w:rsidR="00DB1420" w:rsidRPr="00FB1C29" w:rsidRDefault="00DB1420" w:rsidP="0060718C">
      <w:pPr>
        <w:spacing w:line="360" w:lineRule="auto"/>
        <w:jc w:val="both"/>
        <w:rPr>
          <w:rFonts w:ascii="Arial" w:hAnsi="Arial" w:cs="Arial"/>
        </w:rPr>
      </w:pPr>
      <w:r w:rsidRPr="00FB1C29">
        <w:rPr>
          <w:rFonts w:ascii="Arial" w:hAnsi="Arial" w:cs="Arial"/>
        </w:rPr>
        <w:t>Senevirathne</w:t>
      </w:r>
      <w:r w:rsidR="00DC4F79" w:rsidRPr="00FB1C29">
        <w:rPr>
          <w:rFonts w:ascii="Arial" w:hAnsi="Arial" w:cs="Arial"/>
        </w:rPr>
        <w:t>, S.</w:t>
      </w:r>
      <w:r w:rsidR="00823C03" w:rsidRPr="00FB1C29">
        <w:rPr>
          <w:rFonts w:ascii="Arial" w:hAnsi="Arial" w:cs="Arial"/>
        </w:rPr>
        <w:t xml:space="preserve"> (</w:t>
      </w:r>
      <w:r w:rsidR="00DC4F79" w:rsidRPr="00FB1C29">
        <w:rPr>
          <w:rFonts w:ascii="Arial" w:hAnsi="Arial" w:cs="Arial"/>
        </w:rPr>
        <w:t>2021</w:t>
      </w:r>
      <w:r w:rsidR="00823C03" w:rsidRPr="00FB1C29">
        <w:rPr>
          <w:rFonts w:ascii="Arial" w:hAnsi="Arial" w:cs="Arial"/>
        </w:rPr>
        <w:t xml:space="preserve">) </w:t>
      </w:r>
      <w:r w:rsidR="007E0937" w:rsidRPr="00FB1C29">
        <w:rPr>
          <w:rFonts w:ascii="Arial" w:hAnsi="Arial" w:cs="Arial"/>
        </w:rPr>
        <w:t>‘</w:t>
      </w:r>
      <w:r w:rsidR="00823C03" w:rsidRPr="00FB1C29">
        <w:rPr>
          <w:rFonts w:ascii="Arial" w:hAnsi="Arial" w:cs="Arial"/>
        </w:rPr>
        <w:t>A TALE OF TWO WORKMEN FROM TWO POSTCOLONIAL ISLAND NATIONS: AN ANALYSIS OF THE LABOUR LAWS IN SINGAPORE AND SRI LANKA</w:t>
      </w:r>
      <w:r w:rsidR="007E0937" w:rsidRPr="00FB1C29">
        <w:rPr>
          <w:rFonts w:ascii="Arial" w:hAnsi="Arial" w:cs="Arial"/>
        </w:rPr>
        <w:t xml:space="preserve">’, </w:t>
      </w:r>
      <w:r w:rsidR="007E0937" w:rsidRPr="00FB1C29">
        <w:rPr>
          <w:rFonts w:ascii="Arial" w:hAnsi="Arial" w:cs="Arial"/>
          <w:i/>
          <w:iCs/>
        </w:rPr>
        <w:t>BLACC INTERNATIONAL YEARBOOK ON BUSINESS LAW AND DISPUTE RESOLUTION, 2021</w:t>
      </w:r>
      <w:r w:rsidR="00CC0656" w:rsidRPr="00FB1C29">
        <w:rPr>
          <w:rFonts w:ascii="Arial" w:hAnsi="Arial" w:cs="Arial"/>
        </w:rPr>
        <w:t xml:space="preserve">. Available at: </w:t>
      </w:r>
      <w:hyperlink r:id="rId24" w:anchor="page=160" w:history="1">
        <w:r w:rsidR="00CC0656" w:rsidRPr="00FB1C29">
          <w:rPr>
            <w:rStyle w:val="Hyperlink"/>
            <w:rFonts w:ascii="Arial" w:hAnsi="Arial" w:cs="Arial"/>
          </w:rPr>
          <w:t>https://ksl.edu.np/resource/assets/uploads/resource/617a4-b3c05-blacc-year-book_compressed_compressed.pdf#page=160</w:t>
        </w:r>
      </w:hyperlink>
      <w:r w:rsidR="00CC0656" w:rsidRPr="00FB1C29">
        <w:rPr>
          <w:rFonts w:ascii="Arial" w:hAnsi="Arial" w:cs="Arial"/>
        </w:rPr>
        <w:t xml:space="preserve"> (Accessed: 21 February 2025).</w:t>
      </w:r>
    </w:p>
    <w:p w14:paraId="24E472C1" w14:textId="1BE9D4D2" w:rsidR="00BC6902" w:rsidRPr="00FB1C29" w:rsidRDefault="00BC6902" w:rsidP="0060718C">
      <w:pPr>
        <w:spacing w:line="360" w:lineRule="auto"/>
        <w:jc w:val="both"/>
        <w:rPr>
          <w:rFonts w:ascii="Arial" w:hAnsi="Arial" w:cs="Arial"/>
        </w:rPr>
      </w:pPr>
      <w:r w:rsidRPr="00FB1C29">
        <w:rPr>
          <w:rFonts w:ascii="Arial" w:hAnsi="Arial" w:cs="Arial"/>
        </w:rPr>
        <w:t>Simpeh, F. and Amoah, C. (2022) ‘COVID-19 guidelines incorporated in the health and safety management policies of construction firms’, </w:t>
      </w:r>
      <w:r w:rsidRPr="00FB1C29">
        <w:rPr>
          <w:rFonts w:ascii="Arial" w:hAnsi="Arial" w:cs="Arial"/>
          <w:i/>
          <w:iCs/>
        </w:rPr>
        <w:t>Journal of engineering, design and technology</w:t>
      </w:r>
      <w:r w:rsidRPr="00FB1C29">
        <w:rPr>
          <w:rFonts w:ascii="Arial" w:hAnsi="Arial" w:cs="Arial"/>
        </w:rPr>
        <w:t>, 20(1), pp. 6–23. Available at: https://doi.org/10.1108/JEDT-01-2021-0042.</w:t>
      </w:r>
    </w:p>
    <w:p w14:paraId="031383B3" w14:textId="79F5908F" w:rsidR="00E6025A" w:rsidRPr="00FB1C29" w:rsidRDefault="00E6025A" w:rsidP="0060718C">
      <w:pPr>
        <w:spacing w:line="360" w:lineRule="auto"/>
        <w:jc w:val="both"/>
        <w:rPr>
          <w:rFonts w:ascii="Arial" w:hAnsi="Arial" w:cs="Arial"/>
        </w:rPr>
      </w:pPr>
      <w:r w:rsidRPr="00FB1C29">
        <w:rPr>
          <w:rFonts w:ascii="Arial" w:hAnsi="Arial" w:cs="Arial"/>
        </w:rPr>
        <w:t>TEO, E.C. (2021) ‘SINGAPORE–CHINA ECONOMIC COLLABORATION 2.0’, </w:t>
      </w:r>
      <w:r w:rsidRPr="00FB1C29">
        <w:rPr>
          <w:rFonts w:ascii="Arial" w:hAnsi="Arial" w:cs="Arial"/>
          <w:i/>
          <w:iCs/>
        </w:rPr>
        <w:t xml:space="preserve">Singapore </w:t>
      </w:r>
      <w:r w:rsidR="005C5455" w:rsidRPr="00FB1C29">
        <w:rPr>
          <w:rFonts w:ascii="Arial" w:hAnsi="Arial" w:cs="Arial"/>
          <w:i/>
          <w:iCs/>
        </w:rPr>
        <w:t>Economic Review</w:t>
      </w:r>
      <w:r w:rsidRPr="00FB1C29">
        <w:rPr>
          <w:rFonts w:ascii="Arial" w:hAnsi="Arial" w:cs="Arial"/>
        </w:rPr>
        <w:t>, 66(1), pp. 207–217. Available at: https://doi.org/10.1142/S0217590819410017.</w:t>
      </w:r>
    </w:p>
    <w:p w14:paraId="22F93A1B" w14:textId="77777777" w:rsidR="00782C3A" w:rsidRPr="00FB1C29" w:rsidRDefault="00782C3A" w:rsidP="0060718C">
      <w:pPr>
        <w:spacing w:line="360" w:lineRule="auto"/>
        <w:jc w:val="both"/>
        <w:rPr>
          <w:rFonts w:ascii="Arial" w:hAnsi="Arial" w:cs="Arial"/>
        </w:rPr>
      </w:pPr>
    </w:p>
    <w:p w14:paraId="56125E07" w14:textId="77777777" w:rsidR="007A02E1" w:rsidRPr="0060718C" w:rsidRDefault="007A02E1" w:rsidP="0060718C">
      <w:pPr>
        <w:spacing w:line="360" w:lineRule="auto"/>
        <w:jc w:val="both"/>
        <w:rPr>
          <w:rFonts w:ascii="Arial" w:hAnsi="Arial" w:cs="Arial"/>
        </w:rPr>
      </w:pPr>
    </w:p>
    <w:sectPr w:rsidR="007A02E1" w:rsidRPr="0060718C" w:rsidSect="00ED3DB4">
      <w:pgSz w:w="12240" w:h="15840"/>
      <w:pgMar w:top="1417" w:right="1417" w:bottom="1417" w:left="1417"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EE"/>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 w:name="Cambria Math">
    <w:panose1 w:val="02040503050406030204"/>
    <w:charset w:val="EE"/>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21182B"/>
    <w:multiLevelType w:val="multilevel"/>
    <w:tmpl w:val="B63EF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2A3E97"/>
    <w:multiLevelType w:val="multilevel"/>
    <w:tmpl w:val="F5766F8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86065E"/>
    <w:multiLevelType w:val="multilevel"/>
    <w:tmpl w:val="FD3A2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7514B1"/>
    <w:multiLevelType w:val="multilevel"/>
    <w:tmpl w:val="FAD6995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2212A85"/>
    <w:multiLevelType w:val="multilevel"/>
    <w:tmpl w:val="EDAC7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C444E2"/>
    <w:multiLevelType w:val="multilevel"/>
    <w:tmpl w:val="9BF69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4510CE"/>
    <w:multiLevelType w:val="hybridMultilevel"/>
    <w:tmpl w:val="B2528CCA"/>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7" w15:restartNumberingAfterBreak="0">
    <w:nsid w:val="1B3864CE"/>
    <w:multiLevelType w:val="hybridMultilevel"/>
    <w:tmpl w:val="8390A95E"/>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8" w15:restartNumberingAfterBreak="0">
    <w:nsid w:val="1BEB35BC"/>
    <w:multiLevelType w:val="multilevel"/>
    <w:tmpl w:val="68D40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DCC4872"/>
    <w:multiLevelType w:val="multilevel"/>
    <w:tmpl w:val="07DE24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9C0F1C"/>
    <w:multiLevelType w:val="multilevel"/>
    <w:tmpl w:val="CE981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F4A102D"/>
    <w:multiLevelType w:val="multilevel"/>
    <w:tmpl w:val="8C8C4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11B4702"/>
    <w:multiLevelType w:val="multilevel"/>
    <w:tmpl w:val="B8AC5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22D4E32"/>
    <w:multiLevelType w:val="multilevel"/>
    <w:tmpl w:val="3E0EF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31E7A5C"/>
    <w:multiLevelType w:val="multilevel"/>
    <w:tmpl w:val="EA58C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38B38BA"/>
    <w:multiLevelType w:val="multilevel"/>
    <w:tmpl w:val="F54876A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6F65A53"/>
    <w:multiLevelType w:val="multilevel"/>
    <w:tmpl w:val="F926CD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0EB61CA"/>
    <w:multiLevelType w:val="hybridMultilevel"/>
    <w:tmpl w:val="B664ADC4"/>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8" w15:restartNumberingAfterBreak="0">
    <w:nsid w:val="370D2DA4"/>
    <w:multiLevelType w:val="multilevel"/>
    <w:tmpl w:val="546E8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B7F46BD"/>
    <w:multiLevelType w:val="multilevel"/>
    <w:tmpl w:val="E3EC9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F490F15"/>
    <w:multiLevelType w:val="multilevel"/>
    <w:tmpl w:val="8F146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2F56E7D"/>
    <w:multiLevelType w:val="multilevel"/>
    <w:tmpl w:val="FC1EA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3FD7DEB"/>
    <w:multiLevelType w:val="multilevel"/>
    <w:tmpl w:val="E09A15F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6BA7021"/>
    <w:multiLevelType w:val="hybridMultilevel"/>
    <w:tmpl w:val="F0465B3E"/>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24" w15:restartNumberingAfterBreak="0">
    <w:nsid w:val="63C71971"/>
    <w:multiLevelType w:val="multilevel"/>
    <w:tmpl w:val="70920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4BC52FC"/>
    <w:multiLevelType w:val="multilevel"/>
    <w:tmpl w:val="9A763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4D209D7"/>
    <w:multiLevelType w:val="hybridMultilevel"/>
    <w:tmpl w:val="423C783C"/>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27" w15:restartNumberingAfterBreak="0">
    <w:nsid w:val="6EB305C6"/>
    <w:multiLevelType w:val="hybridMultilevel"/>
    <w:tmpl w:val="A7E216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2533B4D"/>
    <w:multiLevelType w:val="multilevel"/>
    <w:tmpl w:val="51E8C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8150ED8"/>
    <w:multiLevelType w:val="multilevel"/>
    <w:tmpl w:val="6F929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9A91DCA"/>
    <w:multiLevelType w:val="multilevel"/>
    <w:tmpl w:val="E5FCAE5C"/>
    <w:lvl w:ilvl="0">
      <w:start w:val="1"/>
      <w:numFmt w:val="decimal"/>
      <w:lvlText w:val="%1."/>
      <w:lvlJc w:val="left"/>
      <w:pPr>
        <w:tabs>
          <w:tab w:val="num" w:pos="720"/>
        </w:tabs>
        <w:ind w:left="720" w:hanging="360"/>
      </w:pPr>
    </w:lvl>
    <w:lvl w:ilvl="1">
      <w:start w:val="1"/>
      <w:numFmt w:val="bullet"/>
      <w:lvlText w:val="o"/>
      <w:lvlJc w:val="left"/>
      <w:pPr>
        <w:tabs>
          <w:tab w:val="num" w:pos="1352"/>
        </w:tabs>
        <w:ind w:left="1352"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77253661">
    <w:abstractNumId w:val="13"/>
  </w:num>
  <w:num w:numId="2" w16cid:durableId="1006594338">
    <w:abstractNumId w:val="9"/>
  </w:num>
  <w:num w:numId="3" w16cid:durableId="1583683056">
    <w:abstractNumId w:val="15"/>
  </w:num>
  <w:num w:numId="4" w16cid:durableId="212498022">
    <w:abstractNumId w:val="8"/>
  </w:num>
  <w:num w:numId="5" w16cid:durableId="1325814450">
    <w:abstractNumId w:val="21"/>
  </w:num>
  <w:num w:numId="6" w16cid:durableId="1032414864">
    <w:abstractNumId w:val="14"/>
  </w:num>
  <w:num w:numId="7" w16cid:durableId="1348949090">
    <w:abstractNumId w:val="0"/>
  </w:num>
  <w:num w:numId="8" w16cid:durableId="1725055791">
    <w:abstractNumId w:val="16"/>
  </w:num>
  <w:num w:numId="9" w16cid:durableId="1926957651">
    <w:abstractNumId w:val="18"/>
  </w:num>
  <w:num w:numId="10" w16cid:durableId="1068461403">
    <w:abstractNumId w:val="20"/>
  </w:num>
  <w:num w:numId="11" w16cid:durableId="26562859">
    <w:abstractNumId w:val="19"/>
  </w:num>
  <w:num w:numId="12" w16cid:durableId="2070106054">
    <w:abstractNumId w:val="5"/>
  </w:num>
  <w:num w:numId="13" w16cid:durableId="146363534">
    <w:abstractNumId w:val="4"/>
  </w:num>
  <w:num w:numId="14" w16cid:durableId="1296788527">
    <w:abstractNumId w:val="12"/>
  </w:num>
  <w:num w:numId="15" w16cid:durableId="1246720293">
    <w:abstractNumId w:val="11"/>
  </w:num>
  <w:num w:numId="16" w16cid:durableId="1418743348">
    <w:abstractNumId w:val="29"/>
  </w:num>
  <w:num w:numId="17" w16cid:durableId="632369911">
    <w:abstractNumId w:val="25"/>
  </w:num>
  <w:num w:numId="18" w16cid:durableId="1325163664">
    <w:abstractNumId w:val="1"/>
  </w:num>
  <w:num w:numId="19" w16cid:durableId="395277532">
    <w:abstractNumId w:val="22"/>
  </w:num>
  <w:num w:numId="20" w16cid:durableId="284779058">
    <w:abstractNumId w:val="24"/>
  </w:num>
  <w:num w:numId="21" w16cid:durableId="1769425885">
    <w:abstractNumId w:val="2"/>
  </w:num>
  <w:num w:numId="22" w16cid:durableId="810832930">
    <w:abstractNumId w:val="10"/>
  </w:num>
  <w:num w:numId="23" w16cid:durableId="457531162">
    <w:abstractNumId w:val="28"/>
  </w:num>
  <w:num w:numId="24" w16cid:durableId="88283997">
    <w:abstractNumId w:val="27"/>
  </w:num>
  <w:num w:numId="25" w16cid:durableId="988051755">
    <w:abstractNumId w:val="3"/>
  </w:num>
  <w:num w:numId="26" w16cid:durableId="1708800514">
    <w:abstractNumId w:val="6"/>
  </w:num>
  <w:num w:numId="27" w16cid:durableId="1137992925">
    <w:abstractNumId w:val="17"/>
  </w:num>
  <w:num w:numId="28" w16cid:durableId="1127746162">
    <w:abstractNumId w:val="26"/>
  </w:num>
  <w:num w:numId="29" w16cid:durableId="1526287717">
    <w:abstractNumId w:val="23"/>
  </w:num>
  <w:num w:numId="30" w16cid:durableId="1503934356">
    <w:abstractNumId w:val="30"/>
  </w:num>
  <w:num w:numId="31" w16cid:durableId="193378224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GB" w:vendorID="64" w:dllVersion="0" w:nlCheck="1" w:checkStyle="0"/>
  <w:activeWritingStyle w:appName="MSWord" w:lang="en-US" w:vendorID="64" w:dllVersion="0" w:nlCheck="1" w:checkStyle="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3DB4"/>
    <w:rsid w:val="00005D53"/>
    <w:rsid w:val="00006062"/>
    <w:rsid w:val="000100EF"/>
    <w:rsid w:val="00020805"/>
    <w:rsid w:val="00083990"/>
    <w:rsid w:val="00087433"/>
    <w:rsid w:val="000A074F"/>
    <w:rsid w:val="000A3805"/>
    <w:rsid w:val="000B0DB7"/>
    <w:rsid w:val="000B68BB"/>
    <w:rsid w:val="000B6F36"/>
    <w:rsid w:val="000D7147"/>
    <w:rsid w:val="000E69C3"/>
    <w:rsid w:val="000F3183"/>
    <w:rsid w:val="00177A57"/>
    <w:rsid w:val="001C31F5"/>
    <w:rsid w:val="001D2BD9"/>
    <w:rsid w:val="001E073E"/>
    <w:rsid w:val="00204E5F"/>
    <w:rsid w:val="002166D0"/>
    <w:rsid w:val="00227E03"/>
    <w:rsid w:val="002352DC"/>
    <w:rsid w:val="00237E23"/>
    <w:rsid w:val="00244B7A"/>
    <w:rsid w:val="00277A15"/>
    <w:rsid w:val="00277E56"/>
    <w:rsid w:val="0029001D"/>
    <w:rsid w:val="00293E17"/>
    <w:rsid w:val="002A0F21"/>
    <w:rsid w:val="002A29E3"/>
    <w:rsid w:val="002A2E38"/>
    <w:rsid w:val="002A5994"/>
    <w:rsid w:val="002B5264"/>
    <w:rsid w:val="002C08BF"/>
    <w:rsid w:val="002C53F9"/>
    <w:rsid w:val="002D3FA2"/>
    <w:rsid w:val="00314BE6"/>
    <w:rsid w:val="00320CC3"/>
    <w:rsid w:val="003266B7"/>
    <w:rsid w:val="003318F3"/>
    <w:rsid w:val="003464C3"/>
    <w:rsid w:val="00397405"/>
    <w:rsid w:val="003C600F"/>
    <w:rsid w:val="00430096"/>
    <w:rsid w:val="00451405"/>
    <w:rsid w:val="004542B1"/>
    <w:rsid w:val="00460030"/>
    <w:rsid w:val="0046560A"/>
    <w:rsid w:val="0047288D"/>
    <w:rsid w:val="004B7417"/>
    <w:rsid w:val="004C24DE"/>
    <w:rsid w:val="004C36F2"/>
    <w:rsid w:val="004D38AF"/>
    <w:rsid w:val="004F7CDB"/>
    <w:rsid w:val="00526C8D"/>
    <w:rsid w:val="00527286"/>
    <w:rsid w:val="005344F2"/>
    <w:rsid w:val="00547792"/>
    <w:rsid w:val="00560C5C"/>
    <w:rsid w:val="00574B04"/>
    <w:rsid w:val="00577E9E"/>
    <w:rsid w:val="005805EC"/>
    <w:rsid w:val="005A250A"/>
    <w:rsid w:val="005C5455"/>
    <w:rsid w:val="005E7F06"/>
    <w:rsid w:val="005F672B"/>
    <w:rsid w:val="00605E08"/>
    <w:rsid w:val="0060718C"/>
    <w:rsid w:val="006421D8"/>
    <w:rsid w:val="006430C2"/>
    <w:rsid w:val="00650345"/>
    <w:rsid w:val="006674D7"/>
    <w:rsid w:val="006757AE"/>
    <w:rsid w:val="00687236"/>
    <w:rsid w:val="006A5374"/>
    <w:rsid w:val="006E4FB2"/>
    <w:rsid w:val="006E7DD8"/>
    <w:rsid w:val="006F2122"/>
    <w:rsid w:val="0071202B"/>
    <w:rsid w:val="007258E1"/>
    <w:rsid w:val="00730491"/>
    <w:rsid w:val="00731C6B"/>
    <w:rsid w:val="0076150E"/>
    <w:rsid w:val="00766778"/>
    <w:rsid w:val="00766A32"/>
    <w:rsid w:val="0077322F"/>
    <w:rsid w:val="00782C3A"/>
    <w:rsid w:val="00791BFB"/>
    <w:rsid w:val="00794BB0"/>
    <w:rsid w:val="007A02E1"/>
    <w:rsid w:val="007B72D0"/>
    <w:rsid w:val="007E0937"/>
    <w:rsid w:val="00807A79"/>
    <w:rsid w:val="00811F4D"/>
    <w:rsid w:val="00823896"/>
    <w:rsid w:val="00823C03"/>
    <w:rsid w:val="00832F16"/>
    <w:rsid w:val="0086318E"/>
    <w:rsid w:val="00875273"/>
    <w:rsid w:val="008846DD"/>
    <w:rsid w:val="008A0898"/>
    <w:rsid w:val="008B7356"/>
    <w:rsid w:val="008C0FF5"/>
    <w:rsid w:val="008C5DB2"/>
    <w:rsid w:val="008D2AB8"/>
    <w:rsid w:val="008E2B75"/>
    <w:rsid w:val="008F6328"/>
    <w:rsid w:val="00903F3A"/>
    <w:rsid w:val="00931B63"/>
    <w:rsid w:val="00966631"/>
    <w:rsid w:val="00995695"/>
    <w:rsid w:val="0099711E"/>
    <w:rsid w:val="009A5E49"/>
    <w:rsid w:val="009B5B5A"/>
    <w:rsid w:val="009D0C54"/>
    <w:rsid w:val="009D5232"/>
    <w:rsid w:val="009D5BCF"/>
    <w:rsid w:val="009F3197"/>
    <w:rsid w:val="009F6DB3"/>
    <w:rsid w:val="009F75A5"/>
    <w:rsid w:val="00A13021"/>
    <w:rsid w:val="00A25186"/>
    <w:rsid w:val="00A327A3"/>
    <w:rsid w:val="00A76C28"/>
    <w:rsid w:val="00A77406"/>
    <w:rsid w:val="00A82D5B"/>
    <w:rsid w:val="00AA6AC0"/>
    <w:rsid w:val="00AB3191"/>
    <w:rsid w:val="00AB4EEE"/>
    <w:rsid w:val="00AC06D4"/>
    <w:rsid w:val="00AC1FEC"/>
    <w:rsid w:val="00AC790C"/>
    <w:rsid w:val="00AE4061"/>
    <w:rsid w:val="00B060C2"/>
    <w:rsid w:val="00B1040D"/>
    <w:rsid w:val="00B14329"/>
    <w:rsid w:val="00B21DA9"/>
    <w:rsid w:val="00B326CA"/>
    <w:rsid w:val="00B61403"/>
    <w:rsid w:val="00B73831"/>
    <w:rsid w:val="00BA4F06"/>
    <w:rsid w:val="00BA64EC"/>
    <w:rsid w:val="00BA7D9C"/>
    <w:rsid w:val="00BC6902"/>
    <w:rsid w:val="00C05257"/>
    <w:rsid w:val="00C1769E"/>
    <w:rsid w:val="00C424D6"/>
    <w:rsid w:val="00C427D3"/>
    <w:rsid w:val="00C50E6D"/>
    <w:rsid w:val="00C51224"/>
    <w:rsid w:val="00C63E81"/>
    <w:rsid w:val="00C87842"/>
    <w:rsid w:val="00C92DCA"/>
    <w:rsid w:val="00C933BB"/>
    <w:rsid w:val="00CA248E"/>
    <w:rsid w:val="00CB6FD1"/>
    <w:rsid w:val="00CC0656"/>
    <w:rsid w:val="00CC7FD6"/>
    <w:rsid w:val="00CD253A"/>
    <w:rsid w:val="00CD2F6A"/>
    <w:rsid w:val="00CD4699"/>
    <w:rsid w:val="00CF3902"/>
    <w:rsid w:val="00D329F5"/>
    <w:rsid w:val="00D34972"/>
    <w:rsid w:val="00D663A2"/>
    <w:rsid w:val="00D806E9"/>
    <w:rsid w:val="00D82033"/>
    <w:rsid w:val="00D8292D"/>
    <w:rsid w:val="00D90697"/>
    <w:rsid w:val="00D91222"/>
    <w:rsid w:val="00D95DC9"/>
    <w:rsid w:val="00DA1A87"/>
    <w:rsid w:val="00DA5ED7"/>
    <w:rsid w:val="00DB125C"/>
    <w:rsid w:val="00DB1420"/>
    <w:rsid w:val="00DB18DF"/>
    <w:rsid w:val="00DB6177"/>
    <w:rsid w:val="00DC4F79"/>
    <w:rsid w:val="00DD3042"/>
    <w:rsid w:val="00DE75F3"/>
    <w:rsid w:val="00DF0591"/>
    <w:rsid w:val="00E074AB"/>
    <w:rsid w:val="00E1376F"/>
    <w:rsid w:val="00E24686"/>
    <w:rsid w:val="00E24EB7"/>
    <w:rsid w:val="00E25982"/>
    <w:rsid w:val="00E36802"/>
    <w:rsid w:val="00E41234"/>
    <w:rsid w:val="00E6025A"/>
    <w:rsid w:val="00E9094F"/>
    <w:rsid w:val="00E93E3E"/>
    <w:rsid w:val="00EA16C4"/>
    <w:rsid w:val="00EB10CE"/>
    <w:rsid w:val="00ED1767"/>
    <w:rsid w:val="00ED3DB4"/>
    <w:rsid w:val="00EE5B10"/>
    <w:rsid w:val="00EF1861"/>
    <w:rsid w:val="00F1135A"/>
    <w:rsid w:val="00F11A85"/>
    <w:rsid w:val="00F52E41"/>
    <w:rsid w:val="00F57565"/>
    <w:rsid w:val="00F84165"/>
    <w:rsid w:val="00F93A11"/>
    <w:rsid w:val="00FA2870"/>
    <w:rsid w:val="00FA3520"/>
    <w:rsid w:val="00FA639E"/>
    <w:rsid w:val="00FB1C29"/>
    <w:rsid w:val="00FD54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9E08C99"/>
  <w15:chartTrackingRefBased/>
  <w15:docId w15:val="{D0E95920-77B3-443D-8EEB-2865CB98C2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D3DB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D3DB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D3D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3D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3D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3D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3D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3D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3D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3DB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D3DB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D3DB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3DB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3DB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3D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3D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3D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3DB4"/>
    <w:rPr>
      <w:rFonts w:eastAsiaTheme="majorEastAsia" w:cstheme="majorBidi"/>
      <w:color w:val="272727" w:themeColor="text1" w:themeTint="D8"/>
    </w:rPr>
  </w:style>
  <w:style w:type="paragraph" w:styleId="Title">
    <w:name w:val="Title"/>
    <w:basedOn w:val="Normal"/>
    <w:next w:val="Normal"/>
    <w:link w:val="TitleChar"/>
    <w:uiPriority w:val="10"/>
    <w:qFormat/>
    <w:rsid w:val="00ED3D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3D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3D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3D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3DB4"/>
    <w:pPr>
      <w:spacing w:before="160"/>
      <w:jc w:val="center"/>
    </w:pPr>
    <w:rPr>
      <w:i/>
      <w:iCs/>
      <w:color w:val="404040" w:themeColor="text1" w:themeTint="BF"/>
    </w:rPr>
  </w:style>
  <w:style w:type="character" w:customStyle="1" w:styleId="QuoteChar">
    <w:name w:val="Quote Char"/>
    <w:basedOn w:val="DefaultParagraphFont"/>
    <w:link w:val="Quote"/>
    <w:uiPriority w:val="29"/>
    <w:rsid w:val="00ED3DB4"/>
    <w:rPr>
      <w:i/>
      <w:iCs/>
      <w:color w:val="404040" w:themeColor="text1" w:themeTint="BF"/>
    </w:rPr>
  </w:style>
  <w:style w:type="paragraph" w:styleId="ListParagraph">
    <w:name w:val="List Paragraph"/>
    <w:basedOn w:val="Normal"/>
    <w:uiPriority w:val="34"/>
    <w:qFormat/>
    <w:rsid w:val="00ED3DB4"/>
    <w:pPr>
      <w:ind w:left="720"/>
      <w:contextualSpacing/>
    </w:pPr>
  </w:style>
  <w:style w:type="character" w:styleId="IntenseEmphasis">
    <w:name w:val="Intense Emphasis"/>
    <w:basedOn w:val="DefaultParagraphFont"/>
    <w:uiPriority w:val="21"/>
    <w:qFormat/>
    <w:rsid w:val="00ED3DB4"/>
    <w:rPr>
      <w:i/>
      <w:iCs/>
      <w:color w:val="0F4761" w:themeColor="accent1" w:themeShade="BF"/>
    </w:rPr>
  </w:style>
  <w:style w:type="paragraph" w:styleId="IntenseQuote">
    <w:name w:val="Intense Quote"/>
    <w:basedOn w:val="Normal"/>
    <w:next w:val="Normal"/>
    <w:link w:val="IntenseQuoteChar"/>
    <w:uiPriority w:val="30"/>
    <w:qFormat/>
    <w:rsid w:val="00ED3D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3DB4"/>
    <w:rPr>
      <w:i/>
      <w:iCs/>
      <w:color w:val="0F4761" w:themeColor="accent1" w:themeShade="BF"/>
    </w:rPr>
  </w:style>
  <w:style w:type="character" w:styleId="IntenseReference">
    <w:name w:val="Intense Reference"/>
    <w:basedOn w:val="DefaultParagraphFont"/>
    <w:uiPriority w:val="32"/>
    <w:qFormat/>
    <w:rsid w:val="00ED3DB4"/>
    <w:rPr>
      <w:b/>
      <w:bCs/>
      <w:smallCaps/>
      <w:color w:val="0F4761" w:themeColor="accent1" w:themeShade="BF"/>
      <w:spacing w:val="5"/>
    </w:rPr>
  </w:style>
  <w:style w:type="paragraph" w:styleId="NoSpacing">
    <w:name w:val="No Spacing"/>
    <w:uiPriority w:val="1"/>
    <w:qFormat/>
    <w:rsid w:val="00ED3DB4"/>
    <w:pPr>
      <w:spacing w:after="0" w:line="240" w:lineRule="auto"/>
    </w:pPr>
    <w:rPr>
      <w:color w:val="0E2841" w:themeColor="text2"/>
      <w:kern w:val="0"/>
      <w:sz w:val="20"/>
      <w:szCs w:val="20"/>
      <w14:ligatures w14:val="none"/>
    </w:rPr>
  </w:style>
  <w:style w:type="paragraph" w:styleId="TOCHeading">
    <w:name w:val="TOC Heading"/>
    <w:basedOn w:val="Heading1"/>
    <w:next w:val="Normal"/>
    <w:uiPriority w:val="39"/>
    <w:unhideWhenUsed/>
    <w:qFormat/>
    <w:rsid w:val="007A02E1"/>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A02E1"/>
    <w:pPr>
      <w:spacing w:after="100"/>
    </w:pPr>
  </w:style>
  <w:style w:type="character" w:styleId="Hyperlink">
    <w:name w:val="Hyperlink"/>
    <w:basedOn w:val="DefaultParagraphFont"/>
    <w:uiPriority w:val="99"/>
    <w:unhideWhenUsed/>
    <w:rsid w:val="007A02E1"/>
    <w:rPr>
      <w:color w:val="467886" w:themeColor="hyperlink"/>
      <w:u w:val="single"/>
    </w:rPr>
  </w:style>
  <w:style w:type="paragraph" w:styleId="NormalWeb">
    <w:name w:val="Normal (Web)"/>
    <w:basedOn w:val="Normal"/>
    <w:uiPriority w:val="99"/>
    <w:semiHidden/>
    <w:unhideWhenUsed/>
    <w:rsid w:val="00320CC3"/>
    <w:rPr>
      <w:rFonts w:ascii="Times New Roman" w:hAnsi="Times New Roman" w:cs="Times New Roman"/>
    </w:rPr>
  </w:style>
  <w:style w:type="paragraph" w:styleId="TOC2">
    <w:name w:val="toc 2"/>
    <w:basedOn w:val="Normal"/>
    <w:next w:val="Normal"/>
    <w:autoRedefine/>
    <w:uiPriority w:val="39"/>
    <w:unhideWhenUsed/>
    <w:rsid w:val="00A77406"/>
    <w:pPr>
      <w:spacing w:after="100"/>
      <w:ind w:left="240"/>
    </w:pPr>
  </w:style>
  <w:style w:type="character" w:styleId="UnresolvedMention">
    <w:name w:val="Unresolved Mention"/>
    <w:basedOn w:val="DefaultParagraphFont"/>
    <w:uiPriority w:val="99"/>
    <w:semiHidden/>
    <w:unhideWhenUsed/>
    <w:rsid w:val="009F75A5"/>
    <w:rPr>
      <w:color w:val="605E5C"/>
      <w:shd w:val="clear" w:color="auto" w:fill="E1DFDD"/>
    </w:rPr>
  </w:style>
  <w:style w:type="character" w:styleId="Strong">
    <w:name w:val="Strong"/>
    <w:basedOn w:val="DefaultParagraphFont"/>
    <w:uiPriority w:val="22"/>
    <w:qFormat/>
    <w:rsid w:val="000B0DB7"/>
    <w:rPr>
      <w:b/>
      <w:bCs/>
    </w:rPr>
  </w:style>
  <w:style w:type="paragraph" w:styleId="TOC3">
    <w:name w:val="toc 3"/>
    <w:basedOn w:val="Normal"/>
    <w:next w:val="Normal"/>
    <w:autoRedefine/>
    <w:uiPriority w:val="39"/>
    <w:unhideWhenUsed/>
    <w:rsid w:val="005344F2"/>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524040">
      <w:bodyDiv w:val="1"/>
      <w:marLeft w:val="0"/>
      <w:marRight w:val="0"/>
      <w:marTop w:val="0"/>
      <w:marBottom w:val="0"/>
      <w:divBdr>
        <w:top w:val="none" w:sz="0" w:space="0" w:color="auto"/>
        <w:left w:val="none" w:sz="0" w:space="0" w:color="auto"/>
        <w:bottom w:val="none" w:sz="0" w:space="0" w:color="auto"/>
        <w:right w:val="none" w:sz="0" w:space="0" w:color="auto"/>
      </w:divBdr>
    </w:div>
    <w:div w:id="87040062">
      <w:bodyDiv w:val="1"/>
      <w:marLeft w:val="0"/>
      <w:marRight w:val="0"/>
      <w:marTop w:val="0"/>
      <w:marBottom w:val="0"/>
      <w:divBdr>
        <w:top w:val="none" w:sz="0" w:space="0" w:color="auto"/>
        <w:left w:val="none" w:sz="0" w:space="0" w:color="auto"/>
        <w:bottom w:val="none" w:sz="0" w:space="0" w:color="auto"/>
        <w:right w:val="none" w:sz="0" w:space="0" w:color="auto"/>
      </w:divBdr>
    </w:div>
    <w:div w:id="147476868">
      <w:bodyDiv w:val="1"/>
      <w:marLeft w:val="0"/>
      <w:marRight w:val="0"/>
      <w:marTop w:val="0"/>
      <w:marBottom w:val="0"/>
      <w:divBdr>
        <w:top w:val="none" w:sz="0" w:space="0" w:color="auto"/>
        <w:left w:val="none" w:sz="0" w:space="0" w:color="auto"/>
        <w:bottom w:val="none" w:sz="0" w:space="0" w:color="auto"/>
        <w:right w:val="none" w:sz="0" w:space="0" w:color="auto"/>
      </w:divBdr>
    </w:div>
    <w:div w:id="158619605">
      <w:bodyDiv w:val="1"/>
      <w:marLeft w:val="0"/>
      <w:marRight w:val="0"/>
      <w:marTop w:val="0"/>
      <w:marBottom w:val="0"/>
      <w:divBdr>
        <w:top w:val="none" w:sz="0" w:space="0" w:color="auto"/>
        <w:left w:val="none" w:sz="0" w:space="0" w:color="auto"/>
        <w:bottom w:val="none" w:sz="0" w:space="0" w:color="auto"/>
        <w:right w:val="none" w:sz="0" w:space="0" w:color="auto"/>
      </w:divBdr>
    </w:div>
    <w:div w:id="212155164">
      <w:bodyDiv w:val="1"/>
      <w:marLeft w:val="0"/>
      <w:marRight w:val="0"/>
      <w:marTop w:val="0"/>
      <w:marBottom w:val="0"/>
      <w:divBdr>
        <w:top w:val="none" w:sz="0" w:space="0" w:color="auto"/>
        <w:left w:val="none" w:sz="0" w:space="0" w:color="auto"/>
        <w:bottom w:val="none" w:sz="0" w:space="0" w:color="auto"/>
        <w:right w:val="none" w:sz="0" w:space="0" w:color="auto"/>
      </w:divBdr>
    </w:div>
    <w:div w:id="217322977">
      <w:bodyDiv w:val="1"/>
      <w:marLeft w:val="0"/>
      <w:marRight w:val="0"/>
      <w:marTop w:val="0"/>
      <w:marBottom w:val="0"/>
      <w:divBdr>
        <w:top w:val="none" w:sz="0" w:space="0" w:color="auto"/>
        <w:left w:val="none" w:sz="0" w:space="0" w:color="auto"/>
        <w:bottom w:val="none" w:sz="0" w:space="0" w:color="auto"/>
        <w:right w:val="none" w:sz="0" w:space="0" w:color="auto"/>
      </w:divBdr>
    </w:div>
    <w:div w:id="356738752">
      <w:bodyDiv w:val="1"/>
      <w:marLeft w:val="0"/>
      <w:marRight w:val="0"/>
      <w:marTop w:val="0"/>
      <w:marBottom w:val="0"/>
      <w:divBdr>
        <w:top w:val="none" w:sz="0" w:space="0" w:color="auto"/>
        <w:left w:val="none" w:sz="0" w:space="0" w:color="auto"/>
        <w:bottom w:val="none" w:sz="0" w:space="0" w:color="auto"/>
        <w:right w:val="none" w:sz="0" w:space="0" w:color="auto"/>
      </w:divBdr>
    </w:div>
    <w:div w:id="358891539">
      <w:bodyDiv w:val="1"/>
      <w:marLeft w:val="0"/>
      <w:marRight w:val="0"/>
      <w:marTop w:val="0"/>
      <w:marBottom w:val="0"/>
      <w:divBdr>
        <w:top w:val="none" w:sz="0" w:space="0" w:color="auto"/>
        <w:left w:val="none" w:sz="0" w:space="0" w:color="auto"/>
        <w:bottom w:val="none" w:sz="0" w:space="0" w:color="auto"/>
        <w:right w:val="none" w:sz="0" w:space="0" w:color="auto"/>
      </w:divBdr>
    </w:div>
    <w:div w:id="363021195">
      <w:bodyDiv w:val="1"/>
      <w:marLeft w:val="0"/>
      <w:marRight w:val="0"/>
      <w:marTop w:val="0"/>
      <w:marBottom w:val="0"/>
      <w:divBdr>
        <w:top w:val="none" w:sz="0" w:space="0" w:color="auto"/>
        <w:left w:val="none" w:sz="0" w:space="0" w:color="auto"/>
        <w:bottom w:val="none" w:sz="0" w:space="0" w:color="auto"/>
        <w:right w:val="none" w:sz="0" w:space="0" w:color="auto"/>
      </w:divBdr>
    </w:div>
    <w:div w:id="364477570">
      <w:bodyDiv w:val="1"/>
      <w:marLeft w:val="0"/>
      <w:marRight w:val="0"/>
      <w:marTop w:val="0"/>
      <w:marBottom w:val="0"/>
      <w:divBdr>
        <w:top w:val="none" w:sz="0" w:space="0" w:color="auto"/>
        <w:left w:val="none" w:sz="0" w:space="0" w:color="auto"/>
        <w:bottom w:val="none" w:sz="0" w:space="0" w:color="auto"/>
        <w:right w:val="none" w:sz="0" w:space="0" w:color="auto"/>
      </w:divBdr>
    </w:div>
    <w:div w:id="442043361">
      <w:bodyDiv w:val="1"/>
      <w:marLeft w:val="0"/>
      <w:marRight w:val="0"/>
      <w:marTop w:val="0"/>
      <w:marBottom w:val="0"/>
      <w:divBdr>
        <w:top w:val="none" w:sz="0" w:space="0" w:color="auto"/>
        <w:left w:val="none" w:sz="0" w:space="0" w:color="auto"/>
        <w:bottom w:val="none" w:sz="0" w:space="0" w:color="auto"/>
        <w:right w:val="none" w:sz="0" w:space="0" w:color="auto"/>
      </w:divBdr>
    </w:div>
    <w:div w:id="450131882">
      <w:bodyDiv w:val="1"/>
      <w:marLeft w:val="0"/>
      <w:marRight w:val="0"/>
      <w:marTop w:val="0"/>
      <w:marBottom w:val="0"/>
      <w:divBdr>
        <w:top w:val="none" w:sz="0" w:space="0" w:color="auto"/>
        <w:left w:val="none" w:sz="0" w:space="0" w:color="auto"/>
        <w:bottom w:val="none" w:sz="0" w:space="0" w:color="auto"/>
        <w:right w:val="none" w:sz="0" w:space="0" w:color="auto"/>
      </w:divBdr>
    </w:div>
    <w:div w:id="453443974">
      <w:bodyDiv w:val="1"/>
      <w:marLeft w:val="0"/>
      <w:marRight w:val="0"/>
      <w:marTop w:val="0"/>
      <w:marBottom w:val="0"/>
      <w:divBdr>
        <w:top w:val="none" w:sz="0" w:space="0" w:color="auto"/>
        <w:left w:val="none" w:sz="0" w:space="0" w:color="auto"/>
        <w:bottom w:val="none" w:sz="0" w:space="0" w:color="auto"/>
        <w:right w:val="none" w:sz="0" w:space="0" w:color="auto"/>
      </w:divBdr>
    </w:div>
    <w:div w:id="533924749">
      <w:bodyDiv w:val="1"/>
      <w:marLeft w:val="0"/>
      <w:marRight w:val="0"/>
      <w:marTop w:val="0"/>
      <w:marBottom w:val="0"/>
      <w:divBdr>
        <w:top w:val="none" w:sz="0" w:space="0" w:color="auto"/>
        <w:left w:val="none" w:sz="0" w:space="0" w:color="auto"/>
        <w:bottom w:val="none" w:sz="0" w:space="0" w:color="auto"/>
        <w:right w:val="none" w:sz="0" w:space="0" w:color="auto"/>
      </w:divBdr>
    </w:div>
    <w:div w:id="535314588">
      <w:bodyDiv w:val="1"/>
      <w:marLeft w:val="0"/>
      <w:marRight w:val="0"/>
      <w:marTop w:val="0"/>
      <w:marBottom w:val="0"/>
      <w:divBdr>
        <w:top w:val="none" w:sz="0" w:space="0" w:color="auto"/>
        <w:left w:val="none" w:sz="0" w:space="0" w:color="auto"/>
        <w:bottom w:val="none" w:sz="0" w:space="0" w:color="auto"/>
        <w:right w:val="none" w:sz="0" w:space="0" w:color="auto"/>
      </w:divBdr>
    </w:div>
    <w:div w:id="545944457">
      <w:bodyDiv w:val="1"/>
      <w:marLeft w:val="0"/>
      <w:marRight w:val="0"/>
      <w:marTop w:val="0"/>
      <w:marBottom w:val="0"/>
      <w:divBdr>
        <w:top w:val="none" w:sz="0" w:space="0" w:color="auto"/>
        <w:left w:val="none" w:sz="0" w:space="0" w:color="auto"/>
        <w:bottom w:val="none" w:sz="0" w:space="0" w:color="auto"/>
        <w:right w:val="none" w:sz="0" w:space="0" w:color="auto"/>
      </w:divBdr>
      <w:divsChild>
        <w:div w:id="785392086">
          <w:marLeft w:val="0"/>
          <w:marRight w:val="0"/>
          <w:marTop w:val="0"/>
          <w:marBottom w:val="0"/>
          <w:divBdr>
            <w:top w:val="none" w:sz="0" w:space="0" w:color="auto"/>
            <w:left w:val="none" w:sz="0" w:space="0" w:color="auto"/>
            <w:bottom w:val="none" w:sz="0" w:space="0" w:color="auto"/>
            <w:right w:val="none" w:sz="0" w:space="0" w:color="auto"/>
          </w:divBdr>
        </w:div>
      </w:divsChild>
    </w:div>
    <w:div w:id="561138411">
      <w:bodyDiv w:val="1"/>
      <w:marLeft w:val="0"/>
      <w:marRight w:val="0"/>
      <w:marTop w:val="0"/>
      <w:marBottom w:val="0"/>
      <w:divBdr>
        <w:top w:val="none" w:sz="0" w:space="0" w:color="auto"/>
        <w:left w:val="none" w:sz="0" w:space="0" w:color="auto"/>
        <w:bottom w:val="none" w:sz="0" w:space="0" w:color="auto"/>
        <w:right w:val="none" w:sz="0" w:space="0" w:color="auto"/>
      </w:divBdr>
    </w:div>
    <w:div w:id="572279964">
      <w:bodyDiv w:val="1"/>
      <w:marLeft w:val="0"/>
      <w:marRight w:val="0"/>
      <w:marTop w:val="0"/>
      <w:marBottom w:val="0"/>
      <w:divBdr>
        <w:top w:val="none" w:sz="0" w:space="0" w:color="auto"/>
        <w:left w:val="none" w:sz="0" w:space="0" w:color="auto"/>
        <w:bottom w:val="none" w:sz="0" w:space="0" w:color="auto"/>
        <w:right w:val="none" w:sz="0" w:space="0" w:color="auto"/>
      </w:divBdr>
    </w:div>
    <w:div w:id="614169131">
      <w:bodyDiv w:val="1"/>
      <w:marLeft w:val="0"/>
      <w:marRight w:val="0"/>
      <w:marTop w:val="0"/>
      <w:marBottom w:val="0"/>
      <w:divBdr>
        <w:top w:val="none" w:sz="0" w:space="0" w:color="auto"/>
        <w:left w:val="none" w:sz="0" w:space="0" w:color="auto"/>
        <w:bottom w:val="none" w:sz="0" w:space="0" w:color="auto"/>
        <w:right w:val="none" w:sz="0" w:space="0" w:color="auto"/>
      </w:divBdr>
    </w:div>
    <w:div w:id="681668470">
      <w:bodyDiv w:val="1"/>
      <w:marLeft w:val="0"/>
      <w:marRight w:val="0"/>
      <w:marTop w:val="0"/>
      <w:marBottom w:val="0"/>
      <w:divBdr>
        <w:top w:val="none" w:sz="0" w:space="0" w:color="auto"/>
        <w:left w:val="none" w:sz="0" w:space="0" w:color="auto"/>
        <w:bottom w:val="none" w:sz="0" w:space="0" w:color="auto"/>
        <w:right w:val="none" w:sz="0" w:space="0" w:color="auto"/>
      </w:divBdr>
    </w:div>
    <w:div w:id="729381688">
      <w:bodyDiv w:val="1"/>
      <w:marLeft w:val="0"/>
      <w:marRight w:val="0"/>
      <w:marTop w:val="0"/>
      <w:marBottom w:val="0"/>
      <w:divBdr>
        <w:top w:val="none" w:sz="0" w:space="0" w:color="auto"/>
        <w:left w:val="none" w:sz="0" w:space="0" w:color="auto"/>
        <w:bottom w:val="none" w:sz="0" w:space="0" w:color="auto"/>
        <w:right w:val="none" w:sz="0" w:space="0" w:color="auto"/>
      </w:divBdr>
    </w:div>
    <w:div w:id="774835856">
      <w:bodyDiv w:val="1"/>
      <w:marLeft w:val="0"/>
      <w:marRight w:val="0"/>
      <w:marTop w:val="0"/>
      <w:marBottom w:val="0"/>
      <w:divBdr>
        <w:top w:val="none" w:sz="0" w:space="0" w:color="auto"/>
        <w:left w:val="none" w:sz="0" w:space="0" w:color="auto"/>
        <w:bottom w:val="none" w:sz="0" w:space="0" w:color="auto"/>
        <w:right w:val="none" w:sz="0" w:space="0" w:color="auto"/>
      </w:divBdr>
    </w:div>
    <w:div w:id="815143701">
      <w:bodyDiv w:val="1"/>
      <w:marLeft w:val="0"/>
      <w:marRight w:val="0"/>
      <w:marTop w:val="0"/>
      <w:marBottom w:val="0"/>
      <w:divBdr>
        <w:top w:val="none" w:sz="0" w:space="0" w:color="auto"/>
        <w:left w:val="none" w:sz="0" w:space="0" w:color="auto"/>
        <w:bottom w:val="none" w:sz="0" w:space="0" w:color="auto"/>
        <w:right w:val="none" w:sz="0" w:space="0" w:color="auto"/>
      </w:divBdr>
    </w:div>
    <w:div w:id="838082610">
      <w:bodyDiv w:val="1"/>
      <w:marLeft w:val="0"/>
      <w:marRight w:val="0"/>
      <w:marTop w:val="0"/>
      <w:marBottom w:val="0"/>
      <w:divBdr>
        <w:top w:val="none" w:sz="0" w:space="0" w:color="auto"/>
        <w:left w:val="none" w:sz="0" w:space="0" w:color="auto"/>
        <w:bottom w:val="none" w:sz="0" w:space="0" w:color="auto"/>
        <w:right w:val="none" w:sz="0" w:space="0" w:color="auto"/>
      </w:divBdr>
    </w:div>
    <w:div w:id="878279867">
      <w:bodyDiv w:val="1"/>
      <w:marLeft w:val="0"/>
      <w:marRight w:val="0"/>
      <w:marTop w:val="0"/>
      <w:marBottom w:val="0"/>
      <w:divBdr>
        <w:top w:val="none" w:sz="0" w:space="0" w:color="auto"/>
        <w:left w:val="none" w:sz="0" w:space="0" w:color="auto"/>
        <w:bottom w:val="none" w:sz="0" w:space="0" w:color="auto"/>
        <w:right w:val="none" w:sz="0" w:space="0" w:color="auto"/>
      </w:divBdr>
    </w:div>
    <w:div w:id="879821386">
      <w:bodyDiv w:val="1"/>
      <w:marLeft w:val="0"/>
      <w:marRight w:val="0"/>
      <w:marTop w:val="0"/>
      <w:marBottom w:val="0"/>
      <w:divBdr>
        <w:top w:val="none" w:sz="0" w:space="0" w:color="auto"/>
        <w:left w:val="none" w:sz="0" w:space="0" w:color="auto"/>
        <w:bottom w:val="none" w:sz="0" w:space="0" w:color="auto"/>
        <w:right w:val="none" w:sz="0" w:space="0" w:color="auto"/>
      </w:divBdr>
    </w:div>
    <w:div w:id="970132939">
      <w:bodyDiv w:val="1"/>
      <w:marLeft w:val="0"/>
      <w:marRight w:val="0"/>
      <w:marTop w:val="0"/>
      <w:marBottom w:val="0"/>
      <w:divBdr>
        <w:top w:val="none" w:sz="0" w:space="0" w:color="auto"/>
        <w:left w:val="none" w:sz="0" w:space="0" w:color="auto"/>
        <w:bottom w:val="none" w:sz="0" w:space="0" w:color="auto"/>
        <w:right w:val="none" w:sz="0" w:space="0" w:color="auto"/>
      </w:divBdr>
    </w:div>
    <w:div w:id="1085958243">
      <w:bodyDiv w:val="1"/>
      <w:marLeft w:val="0"/>
      <w:marRight w:val="0"/>
      <w:marTop w:val="0"/>
      <w:marBottom w:val="0"/>
      <w:divBdr>
        <w:top w:val="none" w:sz="0" w:space="0" w:color="auto"/>
        <w:left w:val="none" w:sz="0" w:space="0" w:color="auto"/>
        <w:bottom w:val="none" w:sz="0" w:space="0" w:color="auto"/>
        <w:right w:val="none" w:sz="0" w:space="0" w:color="auto"/>
      </w:divBdr>
    </w:div>
    <w:div w:id="1098519801">
      <w:bodyDiv w:val="1"/>
      <w:marLeft w:val="0"/>
      <w:marRight w:val="0"/>
      <w:marTop w:val="0"/>
      <w:marBottom w:val="0"/>
      <w:divBdr>
        <w:top w:val="none" w:sz="0" w:space="0" w:color="auto"/>
        <w:left w:val="none" w:sz="0" w:space="0" w:color="auto"/>
        <w:bottom w:val="none" w:sz="0" w:space="0" w:color="auto"/>
        <w:right w:val="none" w:sz="0" w:space="0" w:color="auto"/>
      </w:divBdr>
    </w:div>
    <w:div w:id="1115979283">
      <w:bodyDiv w:val="1"/>
      <w:marLeft w:val="0"/>
      <w:marRight w:val="0"/>
      <w:marTop w:val="0"/>
      <w:marBottom w:val="0"/>
      <w:divBdr>
        <w:top w:val="none" w:sz="0" w:space="0" w:color="auto"/>
        <w:left w:val="none" w:sz="0" w:space="0" w:color="auto"/>
        <w:bottom w:val="none" w:sz="0" w:space="0" w:color="auto"/>
        <w:right w:val="none" w:sz="0" w:space="0" w:color="auto"/>
      </w:divBdr>
    </w:div>
    <w:div w:id="1123230101">
      <w:bodyDiv w:val="1"/>
      <w:marLeft w:val="0"/>
      <w:marRight w:val="0"/>
      <w:marTop w:val="0"/>
      <w:marBottom w:val="0"/>
      <w:divBdr>
        <w:top w:val="none" w:sz="0" w:space="0" w:color="auto"/>
        <w:left w:val="none" w:sz="0" w:space="0" w:color="auto"/>
        <w:bottom w:val="none" w:sz="0" w:space="0" w:color="auto"/>
        <w:right w:val="none" w:sz="0" w:space="0" w:color="auto"/>
      </w:divBdr>
    </w:div>
    <w:div w:id="1158960960">
      <w:bodyDiv w:val="1"/>
      <w:marLeft w:val="0"/>
      <w:marRight w:val="0"/>
      <w:marTop w:val="0"/>
      <w:marBottom w:val="0"/>
      <w:divBdr>
        <w:top w:val="none" w:sz="0" w:space="0" w:color="auto"/>
        <w:left w:val="none" w:sz="0" w:space="0" w:color="auto"/>
        <w:bottom w:val="none" w:sz="0" w:space="0" w:color="auto"/>
        <w:right w:val="none" w:sz="0" w:space="0" w:color="auto"/>
      </w:divBdr>
    </w:div>
    <w:div w:id="1231427874">
      <w:bodyDiv w:val="1"/>
      <w:marLeft w:val="0"/>
      <w:marRight w:val="0"/>
      <w:marTop w:val="0"/>
      <w:marBottom w:val="0"/>
      <w:divBdr>
        <w:top w:val="none" w:sz="0" w:space="0" w:color="auto"/>
        <w:left w:val="none" w:sz="0" w:space="0" w:color="auto"/>
        <w:bottom w:val="none" w:sz="0" w:space="0" w:color="auto"/>
        <w:right w:val="none" w:sz="0" w:space="0" w:color="auto"/>
      </w:divBdr>
    </w:div>
    <w:div w:id="1264344685">
      <w:bodyDiv w:val="1"/>
      <w:marLeft w:val="0"/>
      <w:marRight w:val="0"/>
      <w:marTop w:val="0"/>
      <w:marBottom w:val="0"/>
      <w:divBdr>
        <w:top w:val="none" w:sz="0" w:space="0" w:color="auto"/>
        <w:left w:val="none" w:sz="0" w:space="0" w:color="auto"/>
        <w:bottom w:val="none" w:sz="0" w:space="0" w:color="auto"/>
        <w:right w:val="none" w:sz="0" w:space="0" w:color="auto"/>
      </w:divBdr>
      <w:divsChild>
        <w:div w:id="1974408435">
          <w:marLeft w:val="0"/>
          <w:marRight w:val="0"/>
          <w:marTop w:val="0"/>
          <w:marBottom w:val="0"/>
          <w:divBdr>
            <w:top w:val="none" w:sz="0" w:space="0" w:color="auto"/>
            <w:left w:val="none" w:sz="0" w:space="0" w:color="auto"/>
            <w:bottom w:val="none" w:sz="0" w:space="0" w:color="auto"/>
            <w:right w:val="none" w:sz="0" w:space="0" w:color="auto"/>
          </w:divBdr>
        </w:div>
      </w:divsChild>
    </w:div>
    <w:div w:id="1306083639">
      <w:bodyDiv w:val="1"/>
      <w:marLeft w:val="0"/>
      <w:marRight w:val="0"/>
      <w:marTop w:val="0"/>
      <w:marBottom w:val="0"/>
      <w:divBdr>
        <w:top w:val="none" w:sz="0" w:space="0" w:color="auto"/>
        <w:left w:val="none" w:sz="0" w:space="0" w:color="auto"/>
        <w:bottom w:val="none" w:sz="0" w:space="0" w:color="auto"/>
        <w:right w:val="none" w:sz="0" w:space="0" w:color="auto"/>
      </w:divBdr>
    </w:div>
    <w:div w:id="1349527536">
      <w:bodyDiv w:val="1"/>
      <w:marLeft w:val="0"/>
      <w:marRight w:val="0"/>
      <w:marTop w:val="0"/>
      <w:marBottom w:val="0"/>
      <w:divBdr>
        <w:top w:val="none" w:sz="0" w:space="0" w:color="auto"/>
        <w:left w:val="none" w:sz="0" w:space="0" w:color="auto"/>
        <w:bottom w:val="none" w:sz="0" w:space="0" w:color="auto"/>
        <w:right w:val="none" w:sz="0" w:space="0" w:color="auto"/>
      </w:divBdr>
    </w:div>
    <w:div w:id="1409186821">
      <w:bodyDiv w:val="1"/>
      <w:marLeft w:val="0"/>
      <w:marRight w:val="0"/>
      <w:marTop w:val="0"/>
      <w:marBottom w:val="0"/>
      <w:divBdr>
        <w:top w:val="none" w:sz="0" w:space="0" w:color="auto"/>
        <w:left w:val="none" w:sz="0" w:space="0" w:color="auto"/>
        <w:bottom w:val="none" w:sz="0" w:space="0" w:color="auto"/>
        <w:right w:val="none" w:sz="0" w:space="0" w:color="auto"/>
      </w:divBdr>
    </w:div>
    <w:div w:id="1430857890">
      <w:bodyDiv w:val="1"/>
      <w:marLeft w:val="0"/>
      <w:marRight w:val="0"/>
      <w:marTop w:val="0"/>
      <w:marBottom w:val="0"/>
      <w:divBdr>
        <w:top w:val="none" w:sz="0" w:space="0" w:color="auto"/>
        <w:left w:val="none" w:sz="0" w:space="0" w:color="auto"/>
        <w:bottom w:val="none" w:sz="0" w:space="0" w:color="auto"/>
        <w:right w:val="none" w:sz="0" w:space="0" w:color="auto"/>
      </w:divBdr>
    </w:div>
    <w:div w:id="1441101235">
      <w:bodyDiv w:val="1"/>
      <w:marLeft w:val="0"/>
      <w:marRight w:val="0"/>
      <w:marTop w:val="0"/>
      <w:marBottom w:val="0"/>
      <w:divBdr>
        <w:top w:val="none" w:sz="0" w:space="0" w:color="auto"/>
        <w:left w:val="none" w:sz="0" w:space="0" w:color="auto"/>
        <w:bottom w:val="none" w:sz="0" w:space="0" w:color="auto"/>
        <w:right w:val="none" w:sz="0" w:space="0" w:color="auto"/>
      </w:divBdr>
    </w:div>
    <w:div w:id="1455364402">
      <w:bodyDiv w:val="1"/>
      <w:marLeft w:val="0"/>
      <w:marRight w:val="0"/>
      <w:marTop w:val="0"/>
      <w:marBottom w:val="0"/>
      <w:divBdr>
        <w:top w:val="none" w:sz="0" w:space="0" w:color="auto"/>
        <w:left w:val="none" w:sz="0" w:space="0" w:color="auto"/>
        <w:bottom w:val="none" w:sz="0" w:space="0" w:color="auto"/>
        <w:right w:val="none" w:sz="0" w:space="0" w:color="auto"/>
      </w:divBdr>
    </w:div>
    <w:div w:id="1492135842">
      <w:bodyDiv w:val="1"/>
      <w:marLeft w:val="0"/>
      <w:marRight w:val="0"/>
      <w:marTop w:val="0"/>
      <w:marBottom w:val="0"/>
      <w:divBdr>
        <w:top w:val="none" w:sz="0" w:space="0" w:color="auto"/>
        <w:left w:val="none" w:sz="0" w:space="0" w:color="auto"/>
        <w:bottom w:val="none" w:sz="0" w:space="0" w:color="auto"/>
        <w:right w:val="none" w:sz="0" w:space="0" w:color="auto"/>
      </w:divBdr>
    </w:div>
    <w:div w:id="1530489530">
      <w:bodyDiv w:val="1"/>
      <w:marLeft w:val="0"/>
      <w:marRight w:val="0"/>
      <w:marTop w:val="0"/>
      <w:marBottom w:val="0"/>
      <w:divBdr>
        <w:top w:val="none" w:sz="0" w:space="0" w:color="auto"/>
        <w:left w:val="none" w:sz="0" w:space="0" w:color="auto"/>
        <w:bottom w:val="none" w:sz="0" w:space="0" w:color="auto"/>
        <w:right w:val="none" w:sz="0" w:space="0" w:color="auto"/>
      </w:divBdr>
    </w:div>
    <w:div w:id="1533415154">
      <w:bodyDiv w:val="1"/>
      <w:marLeft w:val="0"/>
      <w:marRight w:val="0"/>
      <w:marTop w:val="0"/>
      <w:marBottom w:val="0"/>
      <w:divBdr>
        <w:top w:val="none" w:sz="0" w:space="0" w:color="auto"/>
        <w:left w:val="none" w:sz="0" w:space="0" w:color="auto"/>
        <w:bottom w:val="none" w:sz="0" w:space="0" w:color="auto"/>
        <w:right w:val="none" w:sz="0" w:space="0" w:color="auto"/>
      </w:divBdr>
    </w:div>
    <w:div w:id="1561865069">
      <w:bodyDiv w:val="1"/>
      <w:marLeft w:val="0"/>
      <w:marRight w:val="0"/>
      <w:marTop w:val="0"/>
      <w:marBottom w:val="0"/>
      <w:divBdr>
        <w:top w:val="none" w:sz="0" w:space="0" w:color="auto"/>
        <w:left w:val="none" w:sz="0" w:space="0" w:color="auto"/>
        <w:bottom w:val="none" w:sz="0" w:space="0" w:color="auto"/>
        <w:right w:val="none" w:sz="0" w:space="0" w:color="auto"/>
      </w:divBdr>
    </w:div>
    <w:div w:id="1655640662">
      <w:bodyDiv w:val="1"/>
      <w:marLeft w:val="0"/>
      <w:marRight w:val="0"/>
      <w:marTop w:val="0"/>
      <w:marBottom w:val="0"/>
      <w:divBdr>
        <w:top w:val="none" w:sz="0" w:space="0" w:color="auto"/>
        <w:left w:val="none" w:sz="0" w:space="0" w:color="auto"/>
        <w:bottom w:val="none" w:sz="0" w:space="0" w:color="auto"/>
        <w:right w:val="none" w:sz="0" w:space="0" w:color="auto"/>
      </w:divBdr>
    </w:div>
    <w:div w:id="1655719963">
      <w:bodyDiv w:val="1"/>
      <w:marLeft w:val="0"/>
      <w:marRight w:val="0"/>
      <w:marTop w:val="0"/>
      <w:marBottom w:val="0"/>
      <w:divBdr>
        <w:top w:val="none" w:sz="0" w:space="0" w:color="auto"/>
        <w:left w:val="none" w:sz="0" w:space="0" w:color="auto"/>
        <w:bottom w:val="none" w:sz="0" w:space="0" w:color="auto"/>
        <w:right w:val="none" w:sz="0" w:space="0" w:color="auto"/>
      </w:divBdr>
    </w:div>
    <w:div w:id="1667391513">
      <w:bodyDiv w:val="1"/>
      <w:marLeft w:val="0"/>
      <w:marRight w:val="0"/>
      <w:marTop w:val="0"/>
      <w:marBottom w:val="0"/>
      <w:divBdr>
        <w:top w:val="none" w:sz="0" w:space="0" w:color="auto"/>
        <w:left w:val="none" w:sz="0" w:space="0" w:color="auto"/>
        <w:bottom w:val="none" w:sz="0" w:space="0" w:color="auto"/>
        <w:right w:val="none" w:sz="0" w:space="0" w:color="auto"/>
      </w:divBdr>
    </w:div>
    <w:div w:id="1683125038">
      <w:bodyDiv w:val="1"/>
      <w:marLeft w:val="0"/>
      <w:marRight w:val="0"/>
      <w:marTop w:val="0"/>
      <w:marBottom w:val="0"/>
      <w:divBdr>
        <w:top w:val="none" w:sz="0" w:space="0" w:color="auto"/>
        <w:left w:val="none" w:sz="0" w:space="0" w:color="auto"/>
        <w:bottom w:val="none" w:sz="0" w:space="0" w:color="auto"/>
        <w:right w:val="none" w:sz="0" w:space="0" w:color="auto"/>
      </w:divBdr>
    </w:div>
    <w:div w:id="1731807016">
      <w:bodyDiv w:val="1"/>
      <w:marLeft w:val="0"/>
      <w:marRight w:val="0"/>
      <w:marTop w:val="0"/>
      <w:marBottom w:val="0"/>
      <w:divBdr>
        <w:top w:val="none" w:sz="0" w:space="0" w:color="auto"/>
        <w:left w:val="none" w:sz="0" w:space="0" w:color="auto"/>
        <w:bottom w:val="none" w:sz="0" w:space="0" w:color="auto"/>
        <w:right w:val="none" w:sz="0" w:space="0" w:color="auto"/>
      </w:divBdr>
    </w:div>
    <w:div w:id="1735547322">
      <w:bodyDiv w:val="1"/>
      <w:marLeft w:val="0"/>
      <w:marRight w:val="0"/>
      <w:marTop w:val="0"/>
      <w:marBottom w:val="0"/>
      <w:divBdr>
        <w:top w:val="none" w:sz="0" w:space="0" w:color="auto"/>
        <w:left w:val="none" w:sz="0" w:space="0" w:color="auto"/>
        <w:bottom w:val="none" w:sz="0" w:space="0" w:color="auto"/>
        <w:right w:val="none" w:sz="0" w:space="0" w:color="auto"/>
      </w:divBdr>
    </w:div>
    <w:div w:id="1795325289">
      <w:bodyDiv w:val="1"/>
      <w:marLeft w:val="0"/>
      <w:marRight w:val="0"/>
      <w:marTop w:val="0"/>
      <w:marBottom w:val="0"/>
      <w:divBdr>
        <w:top w:val="none" w:sz="0" w:space="0" w:color="auto"/>
        <w:left w:val="none" w:sz="0" w:space="0" w:color="auto"/>
        <w:bottom w:val="none" w:sz="0" w:space="0" w:color="auto"/>
        <w:right w:val="none" w:sz="0" w:space="0" w:color="auto"/>
      </w:divBdr>
    </w:div>
    <w:div w:id="1802840109">
      <w:bodyDiv w:val="1"/>
      <w:marLeft w:val="0"/>
      <w:marRight w:val="0"/>
      <w:marTop w:val="0"/>
      <w:marBottom w:val="0"/>
      <w:divBdr>
        <w:top w:val="none" w:sz="0" w:space="0" w:color="auto"/>
        <w:left w:val="none" w:sz="0" w:space="0" w:color="auto"/>
        <w:bottom w:val="none" w:sz="0" w:space="0" w:color="auto"/>
        <w:right w:val="none" w:sz="0" w:space="0" w:color="auto"/>
      </w:divBdr>
    </w:div>
    <w:div w:id="1863587145">
      <w:bodyDiv w:val="1"/>
      <w:marLeft w:val="0"/>
      <w:marRight w:val="0"/>
      <w:marTop w:val="0"/>
      <w:marBottom w:val="0"/>
      <w:divBdr>
        <w:top w:val="none" w:sz="0" w:space="0" w:color="auto"/>
        <w:left w:val="none" w:sz="0" w:space="0" w:color="auto"/>
        <w:bottom w:val="none" w:sz="0" w:space="0" w:color="auto"/>
        <w:right w:val="none" w:sz="0" w:space="0" w:color="auto"/>
      </w:divBdr>
    </w:div>
    <w:div w:id="1922132982">
      <w:bodyDiv w:val="1"/>
      <w:marLeft w:val="0"/>
      <w:marRight w:val="0"/>
      <w:marTop w:val="0"/>
      <w:marBottom w:val="0"/>
      <w:divBdr>
        <w:top w:val="none" w:sz="0" w:space="0" w:color="auto"/>
        <w:left w:val="none" w:sz="0" w:space="0" w:color="auto"/>
        <w:bottom w:val="none" w:sz="0" w:space="0" w:color="auto"/>
        <w:right w:val="none" w:sz="0" w:space="0" w:color="auto"/>
      </w:divBdr>
    </w:div>
    <w:div w:id="1962758293">
      <w:bodyDiv w:val="1"/>
      <w:marLeft w:val="0"/>
      <w:marRight w:val="0"/>
      <w:marTop w:val="0"/>
      <w:marBottom w:val="0"/>
      <w:divBdr>
        <w:top w:val="none" w:sz="0" w:space="0" w:color="auto"/>
        <w:left w:val="none" w:sz="0" w:space="0" w:color="auto"/>
        <w:bottom w:val="none" w:sz="0" w:space="0" w:color="auto"/>
        <w:right w:val="none" w:sz="0" w:space="0" w:color="auto"/>
      </w:divBdr>
    </w:div>
    <w:div w:id="1966498761">
      <w:bodyDiv w:val="1"/>
      <w:marLeft w:val="0"/>
      <w:marRight w:val="0"/>
      <w:marTop w:val="0"/>
      <w:marBottom w:val="0"/>
      <w:divBdr>
        <w:top w:val="none" w:sz="0" w:space="0" w:color="auto"/>
        <w:left w:val="none" w:sz="0" w:space="0" w:color="auto"/>
        <w:bottom w:val="none" w:sz="0" w:space="0" w:color="auto"/>
        <w:right w:val="none" w:sz="0" w:space="0" w:color="auto"/>
      </w:divBdr>
    </w:div>
    <w:div w:id="1972515411">
      <w:bodyDiv w:val="1"/>
      <w:marLeft w:val="0"/>
      <w:marRight w:val="0"/>
      <w:marTop w:val="0"/>
      <w:marBottom w:val="0"/>
      <w:divBdr>
        <w:top w:val="none" w:sz="0" w:space="0" w:color="auto"/>
        <w:left w:val="none" w:sz="0" w:space="0" w:color="auto"/>
        <w:bottom w:val="none" w:sz="0" w:space="0" w:color="auto"/>
        <w:right w:val="none" w:sz="0" w:space="0" w:color="auto"/>
      </w:divBdr>
    </w:div>
    <w:div w:id="1977296995">
      <w:bodyDiv w:val="1"/>
      <w:marLeft w:val="0"/>
      <w:marRight w:val="0"/>
      <w:marTop w:val="0"/>
      <w:marBottom w:val="0"/>
      <w:divBdr>
        <w:top w:val="none" w:sz="0" w:space="0" w:color="auto"/>
        <w:left w:val="none" w:sz="0" w:space="0" w:color="auto"/>
        <w:bottom w:val="none" w:sz="0" w:space="0" w:color="auto"/>
        <w:right w:val="none" w:sz="0" w:space="0" w:color="auto"/>
      </w:divBdr>
    </w:div>
    <w:div w:id="1997028308">
      <w:bodyDiv w:val="1"/>
      <w:marLeft w:val="0"/>
      <w:marRight w:val="0"/>
      <w:marTop w:val="0"/>
      <w:marBottom w:val="0"/>
      <w:divBdr>
        <w:top w:val="none" w:sz="0" w:space="0" w:color="auto"/>
        <w:left w:val="none" w:sz="0" w:space="0" w:color="auto"/>
        <w:bottom w:val="none" w:sz="0" w:space="0" w:color="auto"/>
        <w:right w:val="none" w:sz="0" w:space="0" w:color="auto"/>
      </w:divBdr>
    </w:div>
    <w:div w:id="1997295620">
      <w:bodyDiv w:val="1"/>
      <w:marLeft w:val="0"/>
      <w:marRight w:val="0"/>
      <w:marTop w:val="0"/>
      <w:marBottom w:val="0"/>
      <w:divBdr>
        <w:top w:val="none" w:sz="0" w:space="0" w:color="auto"/>
        <w:left w:val="none" w:sz="0" w:space="0" w:color="auto"/>
        <w:bottom w:val="none" w:sz="0" w:space="0" w:color="auto"/>
        <w:right w:val="none" w:sz="0" w:space="0" w:color="auto"/>
      </w:divBdr>
    </w:div>
    <w:div w:id="2036805973">
      <w:bodyDiv w:val="1"/>
      <w:marLeft w:val="0"/>
      <w:marRight w:val="0"/>
      <w:marTop w:val="0"/>
      <w:marBottom w:val="0"/>
      <w:divBdr>
        <w:top w:val="none" w:sz="0" w:space="0" w:color="auto"/>
        <w:left w:val="none" w:sz="0" w:space="0" w:color="auto"/>
        <w:bottom w:val="none" w:sz="0" w:space="0" w:color="auto"/>
        <w:right w:val="none" w:sz="0" w:space="0" w:color="auto"/>
      </w:divBdr>
    </w:div>
    <w:div w:id="2055158605">
      <w:bodyDiv w:val="1"/>
      <w:marLeft w:val="0"/>
      <w:marRight w:val="0"/>
      <w:marTop w:val="0"/>
      <w:marBottom w:val="0"/>
      <w:divBdr>
        <w:top w:val="none" w:sz="0" w:space="0" w:color="auto"/>
        <w:left w:val="none" w:sz="0" w:space="0" w:color="auto"/>
        <w:bottom w:val="none" w:sz="0" w:space="0" w:color="auto"/>
        <w:right w:val="none" w:sz="0" w:space="0" w:color="auto"/>
      </w:divBdr>
    </w:div>
    <w:div w:id="2059275718">
      <w:bodyDiv w:val="1"/>
      <w:marLeft w:val="0"/>
      <w:marRight w:val="0"/>
      <w:marTop w:val="0"/>
      <w:marBottom w:val="0"/>
      <w:divBdr>
        <w:top w:val="none" w:sz="0" w:space="0" w:color="auto"/>
        <w:left w:val="none" w:sz="0" w:space="0" w:color="auto"/>
        <w:bottom w:val="none" w:sz="0" w:space="0" w:color="auto"/>
        <w:right w:val="none" w:sz="0" w:space="0" w:color="auto"/>
      </w:divBdr>
    </w:div>
    <w:div w:id="2103912637">
      <w:bodyDiv w:val="1"/>
      <w:marLeft w:val="0"/>
      <w:marRight w:val="0"/>
      <w:marTop w:val="0"/>
      <w:marBottom w:val="0"/>
      <w:divBdr>
        <w:top w:val="none" w:sz="0" w:space="0" w:color="auto"/>
        <w:left w:val="none" w:sz="0" w:space="0" w:color="auto"/>
        <w:bottom w:val="none" w:sz="0" w:space="0" w:color="auto"/>
        <w:right w:val="none" w:sz="0" w:space="0" w:color="auto"/>
      </w:divBdr>
    </w:div>
    <w:div w:id="2109963330">
      <w:bodyDiv w:val="1"/>
      <w:marLeft w:val="0"/>
      <w:marRight w:val="0"/>
      <w:marTop w:val="0"/>
      <w:marBottom w:val="0"/>
      <w:divBdr>
        <w:top w:val="none" w:sz="0" w:space="0" w:color="auto"/>
        <w:left w:val="none" w:sz="0" w:space="0" w:color="auto"/>
        <w:bottom w:val="none" w:sz="0" w:space="0" w:color="auto"/>
        <w:right w:val="none" w:sz="0" w:space="0" w:color="auto"/>
      </w:divBdr>
    </w:div>
    <w:div w:id="2114857612">
      <w:bodyDiv w:val="1"/>
      <w:marLeft w:val="0"/>
      <w:marRight w:val="0"/>
      <w:marTop w:val="0"/>
      <w:marBottom w:val="0"/>
      <w:divBdr>
        <w:top w:val="none" w:sz="0" w:space="0" w:color="auto"/>
        <w:left w:val="none" w:sz="0" w:space="0" w:color="auto"/>
        <w:bottom w:val="none" w:sz="0" w:space="0" w:color="auto"/>
        <w:right w:val="none" w:sz="0" w:space="0" w:color="auto"/>
      </w:divBdr>
    </w:div>
    <w:div w:id="2135177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4.png"/><Relationship Id="rId18" Type="http://schemas.openxmlformats.org/officeDocument/2006/relationships/hyperlink" Target="https://doi.org/10.1108/IJCHM-09-2015-0470"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doi.org/10.1080/11745398.2022.2070513" TargetMode="External"/><Relationship Id="rId7" Type="http://schemas.openxmlformats.org/officeDocument/2006/relationships/styles" Target="styles.xml"/><Relationship Id="rId12" Type="http://schemas.openxmlformats.org/officeDocument/2006/relationships/image" Target="media/image3.jpeg"/><Relationship Id="rId17" Type="http://schemas.openxmlformats.org/officeDocument/2006/relationships/hyperlink" Target="https://doi.org/10.30892/gtg.37329-731"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1080/15470148.2020.1814472" TargetMode="External"/><Relationship Id="rId20" Type="http://schemas.openxmlformats.org/officeDocument/2006/relationships/hyperlink" Target="https://doi.org/10.1002/9781394234028.ch26"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24" Type="http://schemas.openxmlformats.org/officeDocument/2006/relationships/hyperlink" Target="https://ksl.edu.np/resource/assets/uploads/resource/617a4-b3c05-blacc-year-book_compressed_compressed.pdf" TargetMode="External"/><Relationship Id="rId5" Type="http://schemas.openxmlformats.org/officeDocument/2006/relationships/customXml" Target="../customXml/item5.xml"/><Relationship Id="rId15" Type="http://schemas.openxmlformats.org/officeDocument/2006/relationships/image" Target="media/image6.jpg"/><Relationship Id="rId23" Type="http://schemas.openxmlformats.org/officeDocument/2006/relationships/hyperlink" Target="https://doi.org/10.29036/jots.v15i29.1006" TargetMode="External"/><Relationship Id="rId10" Type="http://schemas.openxmlformats.org/officeDocument/2006/relationships/image" Target="media/image1.jpg"/><Relationship Id="rId19" Type="http://schemas.openxmlformats.org/officeDocument/2006/relationships/hyperlink" Target="https://zh.marinabaysands.com/content/dam/marinabaysands/sustainability/reports/mbs-responsible-business-highlights-2023.pdf"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5.svg"/><Relationship Id="rId22" Type="http://schemas.openxmlformats.org/officeDocument/2006/relationships/hyperlink" Target="https://doi.org/10.32890/jeth2023.3.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2025-02-28T00:00:00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5" ma:contentTypeDescription="Create a new document." ma:contentTypeScope="" ma:versionID="63da3bfd6294c9c195033e3656ff04b7">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fed32a761fde7c315d0da3eb651cd05f"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DateTaken" minOccurs="0"/>
                <xsd:element ref="ns3:MediaServiceAutoTags" minOccurs="0"/>
                <xsd:element ref="ns3:MediaLengthInSecond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9CF594E-797B-4806-B307-9C4E5308D3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275D16C-B798-4CCF-BFF1-FABEBAEB0E06}">
  <ds:schemaRefs>
    <ds:schemaRef ds:uri="http://schemas.microsoft.com/sharepoint/v3/contenttype/forms"/>
  </ds:schemaRefs>
</ds:datastoreItem>
</file>

<file path=customXml/itemProps4.xml><?xml version="1.0" encoding="utf-8"?>
<ds:datastoreItem xmlns:ds="http://schemas.openxmlformats.org/officeDocument/2006/customXml" ds:itemID="{43F3FBDA-F2D5-42FE-98FE-B71DAE7456DE}">
  <ds:schemaRefs>
    <ds:schemaRef ds:uri="http://www.w3.org/XML/1998/namespace"/>
    <ds:schemaRef ds:uri="http://purl.org/dc/terms/"/>
    <ds:schemaRef ds:uri="http://schemas.openxmlformats.org/package/2006/metadata/core-properties"/>
    <ds:schemaRef ds:uri="http://schemas.microsoft.com/office/2006/documentManagement/types"/>
    <ds:schemaRef ds:uri="d8e79d84-78fb-44a9-92e9-d04bdd8f0359"/>
    <ds:schemaRef ds:uri="http://purl.org/dc/elements/1.1/"/>
    <ds:schemaRef ds:uri="http://schemas.microsoft.com/office/infopath/2007/PartnerControls"/>
    <ds:schemaRef ds:uri="http://schemas.microsoft.com/office/2006/metadata/properties"/>
    <ds:schemaRef ds:uri="04c7059f-bde8-4ce9-bb0f-e52888740953"/>
    <ds:schemaRef ds:uri="http://purl.org/dc/dcmitype/"/>
  </ds:schemaRefs>
</ds:datastoreItem>
</file>

<file path=customXml/itemProps5.xml><?xml version="1.0" encoding="utf-8"?>
<ds:datastoreItem xmlns:ds="http://schemas.openxmlformats.org/officeDocument/2006/customXml" ds:itemID="{9562A725-994C-4F6E-BF90-25BC7BD322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28</Pages>
  <Words>4943</Words>
  <Characters>32377</Characters>
  <Application>Microsoft Office Word</Application>
  <DocSecurity>0</DocSecurity>
  <Lines>789</Lines>
  <Paragraphs>348</Paragraphs>
  <ScaleCrop>false</ScaleCrop>
  <HeadingPairs>
    <vt:vector size="2" baseType="variant">
      <vt:variant>
        <vt:lpstr>Title</vt:lpstr>
      </vt:variant>
      <vt:variant>
        <vt:i4>1</vt:i4>
      </vt:variant>
    </vt:vector>
  </HeadingPairs>
  <TitlesOfParts>
    <vt:vector size="1" baseType="lpstr">
      <vt:lpstr>Planning and Delivering an International Meeting/Event.</vt:lpstr>
    </vt:vector>
  </TitlesOfParts>
  <Company/>
  <LinksUpToDate>false</LinksUpToDate>
  <CharactersWithSpaces>36972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Planning and Delivering an International Meeting/Event.</dc:title>
  <dc:subject>Unlocking Opportunities: The Building of Inclusive and Diverse Careers in Hospitality</dc:subject>
  <dc:creator>Sonia-Lorena Mocanu (2233341)</dc:creator>
  <cp:keywords/>
  <dc:description/>
  <cp:lastModifiedBy>Sonia-Lorena Mocanu (2233341)</cp:lastModifiedBy>
  <cp:revision>7</cp:revision>
  <dcterms:created xsi:type="dcterms:W3CDTF">2025-02-22T03:39:00Z</dcterms:created>
  <dcterms:modified xsi:type="dcterms:W3CDTF">2025-02-28T01:10:00Z</dcterms:modified>
  <cp:category>International Meetings Management BMIH6007</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8899629d-62b4-47e8-ba42-b2f68f80082e</vt:lpwstr>
  </property>
  <property fmtid="{D5CDD505-2E9C-101B-9397-08002B2CF9AE}" pid="3" name="ContentTypeId">
    <vt:lpwstr>0x010100A20804DBFC42F64693D899720BA9B0FE</vt:lpwstr>
  </property>
</Properties>
</file>