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05214" w14:textId="77777777" w:rsidR="004F6108" w:rsidRPr="002F65E9" w:rsidRDefault="004F6108" w:rsidP="004F6108">
      <w:pPr>
        <w:jc w:val="center"/>
        <w:rPr>
          <w:rFonts w:ascii="Calibri" w:hAnsi="Calibri" w:cs="Calibri"/>
          <w:b/>
          <w:bCs/>
          <w:i/>
          <w:iCs/>
          <w:sz w:val="28"/>
          <w:szCs w:val="28"/>
        </w:rPr>
      </w:pPr>
      <w:r w:rsidRPr="002F65E9">
        <w:rPr>
          <w:rFonts w:ascii="Calibri" w:hAnsi="Calibri" w:cs="Calibri"/>
          <w:b/>
          <w:bCs/>
          <w:i/>
          <w:iCs/>
          <w:sz w:val="28"/>
          <w:szCs w:val="28"/>
        </w:rPr>
        <w:t xml:space="preserve">Programme - BA (Hons) Business </w:t>
      </w:r>
      <w:r w:rsidRPr="002F65E9">
        <w:rPr>
          <w:rFonts w:ascii="Calibri" w:hAnsi="Calibri" w:cs="Calibri"/>
          <w:i/>
          <w:iCs/>
          <w:sz w:val="28"/>
          <w:szCs w:val="28"/>
        </w:rPr>
        <w:t>Management</w:t>
      </w:r>
    </w:p>
    <w:p w14:paraId="43B97D44" w14:textId="77777777" w:rsidR="004F6108" w:rsidRPr="002F65E9" w:rsidRDefault="004F6108" w:rsidP="004F6108">
      <w:pPr>
        <w:jc w:val="center"/>
        <w:rPr>
          <w:rFonts w:ascii="Calibri" w:hAnsi="Calibri" w:cs="Calibri"/>
          <w:b/>
          <w:bCs/>
          <w:i/>
          <w:iCs/>
          <w:sz w:val="28"/>
          <w:szCs w:val="28"/>
        </w:rPr>
      </w:pPr>
      <w:r w:rsidRPr="002F65E9">
        <w:rPr>
          <w:rFonts w:ascii="Calibri" w:hAnsi="Calibri" w:cs="Calibri"/>
          <w:b/>
          <w:bCs/>
          <w:i/>
          <w:iCs/>
          <w:sz w:val="28"/>
          <w:szCs w:val="28"/>
        </w:rPr>
        <w:t xml:space="preserve">Name – </w:t>
      </w:r>
      <w:r w:rsidRPr="002F65E9">
        <w:rPr>
          <w:rFonts w:ascii="Calibri" w:hAnsi="Calibri" w:cs="Calibri"/>
          <w:i/>
          <w:iCs/>
          <w:sz w:val="28"/>
          <w:szCs w:val="28"/>
        </w:rPr>
        <w:t>Muhammad Awais</w:t>
      </w:r>
    </w:p>
    <w:p w14:paraId="3E0775CA" w14:textId="77777777" w:rsidR="004F6108" w:rsidRPr="002F65E9" w:rsidRDefault="004F6108" w:rsidP="004F6108">
      <w:pPr>
        <w:jc w:val="center"/>
        <w:rPr>
          <w:rFonts w:ascii="Calibri" w:hAnsi="Calibri" w:cs="Calibri"/>
          <w:i/>
          <w:iCs/>
          <w:sz w:val="28"/>
          <w:szCs w:val="28"/>
        </w:rPr>
      </w:pPr>
      <w:r w:rsidRPr="002F65E9">
        <w:rPr>
          <w:rFonts w:ascii="Calibri" w:hAnsi="Calibri" w:cs="Calibri"/>
          <w:b/>
          <w:bCs/>
          <w:i/>
          <w:iCs/>
          <w:sz w:val="28"/>
          <w:szCs w:val="28"/>
        </w:rPr>
        <w:t xml:space="preserve">Student Number – </w:t>
      </w:r>
      <w:r w:rsidRPr="002F65E9">
        <w:rPr>
          <w:rFonts w:ascii="Calibri" w:hAnsi="Calibri" w:cs="Calibri"/>
          <w:i/>
          <w:iCs/>
          <w:sz w:val="28"/>
          <w:szCs w:val="28"/>
        </w:rPr>
        <w:t>2416336</w:t>
      </w:r>
    </w:p>
    <w:p w14:paraId="3F3EA94A" w14:textId="4DE38337" w:rsidR="004F6108" w:rsidRDefault="004F6108" w:rsidP="004F6108">
      <w:pPr>
        <w:jc w:val="center"/>
        <w:rPr>
          <w:rFonts w:ascii="Calibri" w:hAnsi="Calibri" w:cs="Calibri"/>
          <w:i/>
          <w:iCs/>
          <w:sz w:val="28"/>
          <w:szCs w:val="28"/>
        </w:rPr>
      </w:pPr>
      <w:r w:rsidRPr="002F65E9">
        <w:rPr>
          <w:rFonts w:ascii="Calibri" w:hAnsi="Calibri" w:cs="Calibri"/>
          <w:b/>
          <w:bCs/>
          <w:i/>
          <w:iCs/>
          <w:sz w:val="28"/>
          <w:szCs w:val="28"/>
        </w:rPr>
        <w:t xml:space="preserve">Module Code – </w:t>
      </w:r>
      <w:r w:rsidRPr="004F6108">
        <w:rPr>
          <w:rFonts w:ascii="Calibri" w:hAnsi="Calibri" w:cs="Calibri"/>
          <w:i/>
          <w:iCs/>
          <w:sz w:val="28"/>
          <w:szCs w:val="28"/>
        </w:rPr>
        <w:t>LCBB6006</w:t>
      </w:r>
    </w:p>
    <w:p w14:paraId="39C3815C" w14:textId="7370C0EA" w:rsidR="004F6108" w:rsidRPr="002F65E9" w:rsidRDefault="004F6108" w:rsidP="004F6108">
      <w:pPr>
        <w:jc w:val="center"/>
        <w:rPr>
          <w:rFonts w:ascii="Calibri" w:hAnsi="Calibri" w:cs="Calibri"/>
          <w:b/>
          <w:bCs/>
          <w:i/>
          <w:iCs/>
          <w:sz w:val="28"/>
          <w:szCs w:val="28"/>
        </w:rPr>
      </w:pPr>
      <w:r w:rsidRPr="004F6108">
        <w:rPr>
          <w:rFonts w:ascii="Calibri" w:hAnsi="Calibri" w:cs="Calibri"/>
          <w:b/>
          <w:bCs/>
          <w:i/>
          <w:iCs/>
          <w:sz w:val="28"/>
          <w:szCs w:val="28"/>
        </w:rPr>
        <w:t>Assessment</w:t>
      </w:r>
      <w:r>
        <w:rPr>
          <w:rFonts w:ascii="Calibri" w:hAnsi="Calibri" w:cs="Calibri"/>
          <w:b/>
          <w:bCs/>
          <w:i/>
          <w:iCs/>
          <w:sz w:val="28"/>
          <w:szCs w:val="28"/>
        </w:rPr>
        <w:t xml:space="preserve">: </w:t>
      </w:r>
      <w:r w:rsidRPr="004F6108">
        <w:rPr>
          <w:rFonts w:ascii="Calibri" w:hAnsi="Calibri" w:cs="Calibri"/>
          <w:b/>
          <w:bCs/>
          <w:i/>
          <w:iCs/>
          <w:sz w:val="28"/>
          <w:szCs w:val="28"/>
        </w:rPr>
        <w:t>Component 1: Coursework Essay – Project Plan</w:t>
      </w:r>
    </w:p>
    <w:p w14:paraId="08E24D89" w14:textId="0E534AAD" w:rsidR="004F6108" w:rsidRDefault="004F6108" w:rsidP="004F6108">
      <w:pPr>
        <w:jc w:val="center"/>
        <w:rPr>
          <w:rFonts w:ascii="Calibri" w:hAnsi="Calibri" w:cs="Calibri"/>
          <w:i/>
          <w:iCs/>
          <w:sz w:val="28"/>
          <w:szCs w:val="28"/>
        </w:rPr>
      </w:pPr>
      <w:r w:rsidRPr="002F65E9">
        <w:rPr>
          <w:rFonts w:ascii="Calibri" w:hAnsi="Calibri" w:cs="Calibri"/>
          <w:b/>
          <w:bCs/>
          <w:i/>
          <w:iCs/>
          <w:sz w:val="28"/>
          <w:szCs w:val="28"/>
        </w:rPr>
        <w:t xml:space="preserve">Module Name - </w:t>
      </w:r>
      <w:r w:rsidRPr="004F6108">
        <w:rPr>
          <w:rFonts w:ascii="Calibri" w:hAnsi="Calibri" w:cs="Calibri"/>
          <w:i/>
          <w:iCs/>
          <w:sz w:val="28"/>
          <w:szCs w:val="28"/>
        </w:rPr>
        <w:t>Project Management</w:t>
      </w:r>
    </w:p>
    <w:p w14:paraId="2C647BBB" w14:textId="77777777" w:rsidR="004F6108" w:rsidRDefault="004F6108">
      <w:pPr>
        <w:rPr>
          <w:rFonts w:ascii="Calibri" w:hAnsi="Calibri" w:cs="Calibri"/>
          <w:i/>
          <w:iCs/>
          <w:sz w:val="28"/>
          <w:szCs w:val="28"/>
        </w:rPr>
      </w:pPr>
      <w:r>
        <w:rPr>
          <w:rFonts w:ascii="Calibri" w:hAnsi="Calibri" w:cs="Calibri"/>
          <w:i/>
          <w:iCs/>
          <w:sz w:val="28"/>
          <w:szCs w:val="28"/>
        </w:rPr>
        <w:br w:type="page"/>
      </w:r>
    </w:p>
    <w:p w14:paraId="2847E3E4" w14:textId="77777777" w:rsidR="002F0C9C" w:rsidRPr="002F0C9C" w:rsidRDefault="002F0C9C" w:rsidP="002F0C9C">
      <w:pPr>
        <w:pStyle w:val="Heading1"/>
        <w:rPr>
          <w:rFonts w:ascii="Calibri" w:hAnsi="Calibri" w:cs="Calibri"/>
          <w:sz w:val="22"/>
          <w:szCs w:val="22"/>
        </w:rPr>
      </w:pPr>
      <w:r w:rsidRPr="002F0C9C">
        <w:rPr>
          <w:rFonts w:ascii="Calibri" w:hAnsi="Calibri" w:cs="Calibri"/>
          <w:sz w:val="22"/>
          <w:szCs w:val="22"/>
        </w:rPr>
        <w:lastRenderedPageBreak/>
        <w:t>1. Introduction</w:t>
      </w:r>
    </w:p>
    <w:p w14:paraId="70FECA79" w14:textId="77777777" w:rsidR="002F0C9C" w:rsidRPr="002F0C9C" w:rsidRDefault="002F0C9C" w:rsidP="002F0C9C">
      <w:pPr>
        <w:jc w:val="both"/>
        <w:rPr>
          <w:rFonts w:ascii="Calibri" w:hAnsi="Calibri" w:cs="Calibri"/>
          <w:sz w:val="22"/>
          <w:szCs w:val="22"/>
        </w:rPr>
      </w:pPr>
      <w:r w:rsidRPr="002F0C9C">
        <w:rPr>
          <w:rFonts w:ascii="Calibri" w:hAnsi="Calibri" w:cs="Calibri"/>
          <w:sz w:val="22"/>
          <w:szCs w:val="22"/>
        </w:rPr>
        <w:t>Willow Lane Books is a fictional independent UK bookstore. The project is to establish a click and collect service that will allow customers to check book availability, place an order online and then pick up the books in-store. It’s designed to provide a more streamlined experience for buying books, while still maintaining the charm of a physical bookstore. The literature review suggests that usefulness of online ordering and ease of collection have an impact on customer satisfaction in the context of buy-online-pick-up-in-store services (Manser Payne and Smith, 2023).</w:t>
      </w:r>
    </w:p>
    <w:p w14:paraId="0334BF51" w14:textId="79AA8894" w:rsidR="002F0C9C" w:rsidRPr="002F0C9C" w:rsidRDefault="002F0C9C" w:rsidP="002F0C9C">
      <w:pPr>
        <w:jc w:val="both"/>
        <w:rPr>
          <w:rFonts w:ascii="Calibri" w:hAnsi="Calibri" w:cs="Calibri"/>
          <w:sz w:val="22"/>
          <w:szCs w:val="22"/>
        </w:rPr>
      </w:pPr>
      <w:r w:rsidRPr="002F0C9C">
        <w:rPr>
          <w:rFonts w:ascii="Calibri" w:hAnsi="Calibri" w:cs="Calibri"/>
          <w:sz w:val="22"/>
          <w:szCs w:val="22"/>
        </w:rPr>
        <w:t>It takes 12 weeks to plan for implementation, which includes the build out of an ordering platform, stock management, collection protocols, staff training, and testing prior to launch. It is important to have accurate inventory information and reliable order fulfilment as customers' negative word-of-mouth (WOM) can be attributed to stock-outs and other service failures (Jin et al., 2023). The proposed project objectives and scope, project deliverables, project activities, project schedule, project resources, stakeholder arrangements, project risk, and project monitoring and control are provided in this report.</w:t>
      </w:r>
    </w:p>
    <w:p w14:paraId="199C46F1"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2. Project Aim, Objectives and Scope</w:t>
      </w:r>
    </w:p>
    <w:p w14:paraId="1B5A4E18" w14:textId="19A522B4" w:rsidR="002F0C9C" w:rsidRPr="002F0C9C" w:rsidRDefault="009E0D0B" w:rsidP="002F0C9C">
      <w:pPr>
        <w:jc w:val="both"/>
        <w:rPr>
          <w:rFonts w:ascii="Calibri" w:hAnsi="Calibri" w:cs="Calibri"/>
          <w:sz w:val="22"/>
          <w:szCs w:val="22"/>
        </w:rPr>
      </w:pPr>
      <w:r w:rsidRPr="009E0D0B">
        <w:rPr>
          <w:rFonts w:ascii="Calibri" w:hAnsi="Calibri" w:cs="Calibri"/>
          <w:sz w:val="22"/>
          <w:szCs w:val="22"/>
        </w:rPr>
        <w:t xml:space="preserve">The </w:t>
      </w:r>
      <w:r>
        <w:rPr>
          <w:rFonts w:ascii="Calibri" w:hAnsi="Calibri" w:cs="Calibri"/>
          <w:sz w:val="22"/>
          <w:szCs w:val="22"/>
        </w:rPr>
        <w:t>Aim</w:t>
      </w:r>
      <w:r w:rsidRPr="009E0D0B">
        <w:rPr>
          <w:rFonts w:ascii="Calibri" w:hAnsi="Calibri" w:cs="Calibri"/>
          <w:sz w:val="22"/>
          <w:szCs w:val="22"/>
        </w:rPr>
        <w:t xml:space="preserve"> is to create a secure click and collect service at Willow Lane Books in 12-weeks that will allow users to check availability, order the book online and pay at the time of collection. Progress will be evaluated based on service readiness and service fulfilment performance, given that project success can be understood in various aspects (Ika and Pinto, 2022).</w:t>
      </w:r>
    </w:p>
    <w:p w14:paraId="72729E38" w14:textId="77777777" w:rsidR="002F0C9C" w:rsidRPr="002F0C9C" w:rsidRDefault="002F0C9C" w:rsidP="002F0C9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22"/>
          <w:szCs w:val="22"/>
        </w:rPr>
      </w:pPr>
      <w:r w:rsidRPr="002F0C9C">
        <w:rPr>
          <w:rFonts w:ascii="Calibri" w:hAnsi="Calibri" w:cs="Calibri"/>
          <w:sz w:val="22"/>
          <w:szCs w:val="22"/>
        </w:rPr>
        <w:t>The project has four objectives:</w:t>
      </w:r>
    </w:p>
    <w:p w14:paraId="322CD0B1" w14:textId="77777777" w:rsidR="002F0C9C" w:rsidRPr="002F0C9C" w:rsidRDefault="002F0C9C" w:rsidP="002F0C9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22"/>
          <w:szCs w:val="22"/>
        </w:rPr>
      </w:pPr>
      <w:r w:rsidRPr="002F0C9C">
        <w:rPr>
          <w:rFonts w:ascii="Calibri" w:hAnsi="Calibri" w:cs="Calibri"/>
          <w:sz w:val="22"/>
          <w:szCs w:val="22"/>
        </w:rPr>
        <w:t>1. Approve the service requirements, responsibilities and acceptance criteria with the shop manager by the end of Week 2.</w:t>
      </w:r>
    </w:p>
    <w:p w14:paraId="7C4EE400" w14:textId="77777777" w:rsidR="002F0C9C" w:rsidRPr="002F0C9C" w:rsidRDefault="002F0C9C" w:rsidP="002F0C9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22"/>
          <w:szCs w:val="22"/>
        </w:rPr>
      </w:pPr>
      <w:r w:rsidRPr="002F0C9C">
        <w:rPr>
          <w:rFonts w:ascii="Calibri" w:hAnsi="Calibri" w:cs="Calibri"/>
          <w:sz w:val="22"/>
          <w:szCs w:val="22"/>
        </w:rPr>
        <w:t>2. Configure an online ordering platform and publish availability for at least 200 book titles by the end of Week 7.</w:t>
      </w:r>
    </w:p>
    <w:p w14:paraId="798DBBB3" w14:textId="77777777" w:rsidR="002F0C9C" w:rsidRPr="002F0C9C" w:rsidRDefault="002F0C9C" w:rsidP="002F0C9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22"/>
          <w:szCs w:val="22"/>
        </w:rPr>
      </w:pPr>
      <w:r w:rsidRPr="002F0C9C">
        <w:rPr>
          <w:rFonts w:ascii="Calibri" w:hAnsi="Calibri" w:cs="Calibri"/>
          <w:sz w:val="22"/>
          <w:szCs w:val="22"/>
        </w:rPr>
        <w:t>3. Ensure all four designated employees complete practical collection training by the end of Week 10.</w:t>
      </w:r>
    </w:p>
    <w:p w14:paraId="4D66AADA" w14:textId="77777777" w:rsidR="002F0C9C" w:rsidRPr="002F0C9C" w:rsidRDefault="002F0C9C" w:rsidP="002F0C9C">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22"/>
          <w:szCs w:val="22"/>
        </w:rPr>
      </w:pPr>
      <w:r w:rsidRPr="002F0C9C">
        <w:rPr>
          <w:rFonts w:ascii="Calibri" w:hAnsi="Calibri" w:cs="Calibri"/>
          <w:sz w:val="22"/>
          <w:szCs w:val="22"/>
        </w:rPr>
        <w:t>4. Process 20 simulated orders without critical fulfilment errors and launch the service by the end of Week 12.</w:t>
      </w:r>
    </w:p>
    <w:p w14:paraId="76B54B87" w14:textId="67CF92CB" w:rsidR="002F0C9C" w:rsidRPr="002F0C9C" w:rsidRDefault="009E0D0B" w:rsidP="002F0C9C">
      <w:pPr>
        <w:jc w:val="both"/>
        <w:rPr>
          <w:rFonts w:ascii="Calibri" w:hAnsi="Calibri" w:cs="Calibri"/>
          <w:sz w:val="22"/>
          <w:szCs w:val="22"/>
        </w:rPr>
      </w:pPr>
      <w:r w:rsidRPr="009E0D0B">
        <w:rPr>
          <w:rFonts w:ascii="Calibri" w:hAnsi="Calibri" w:cs="Calibri"/>
          <w:sz w:val="22"/>
          <w:szCs w:val="22"/>
        </w:rPr>
        <w:t>This includes platform setup, catalogue setup, stock-checking processes, order notification, staff training, testing and launching. Excluding home delivery, online card payments, bespoke app development and the additional premises. These boundaries will help in the subsequent task planning and change control, where studies on construction projects show that the uncontrolled expansion of scope is linked to lower project performance (Ahmed and Jawad, 2022).</w:t>
      </w:r>
    </w:p>
    <w:p w14:paraId="241F6E2F"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3. Project Management Approach and Life Cycle</w:t>
      </w:r>
    </w:p>
    <w:p w14:paraId="5918DD94" w14:textId="77777777" w:rsidR="009E0D0B" w:rsidRPr="009E0D0B" w:rsidRDefault="009E0D0B" w:rsidP="009E0D0B">
      <w:pPr>
        <w:jc w:val="both"/>
        <w:rPr>
          <w:rFonts w:ascii="Calibri" w:hAnsi="Calibri" w:cs="Calibri"/>
          <w:sz w:val="22"/>
          <w:szCs w:val="22"/>
        </w:rPr>
      </w:pPr>
      <w:r w:rsidRPr="009E0D0B">
        <w:rPr>
          <w:rFonts w:ascii="Calibri" w:hAnsi="Calibri" w:cs="Calibri"/>
          <w:sz w:val="22"/>
          <w:szCs w:val="22"/>
        </w:rPr>
        <w:t xml:space="preserve">A predictive approach would give Willow Lane Books a clear timetable, clear accountability and approvals. This is appropriate to the 12-week timetable and predetermined products. But there may be some problems if the activities are completed in a sequence: it may be hard to change the ordering platform when the configuration process starts. Agile project management provides flexibility by </w:t>
      </w:r>
      <w:r w:rsidRPr="009E0D0B">
        <w:rPr>
          <w:rFonts w:ascii="Calibri" w:hAnsi="Calibri" w:cs="Calibri"/>
          <w:sz w:val="22"/>
          <w:szCs w:val="22"/>
        </w:rPr>
        <w:lastRenderedPageBreak/>
        <w:t>iterative testing and feedback but can also involve more demands on the bookshop's small team for frequent reviews. Studies have shown that the applicability of these approaches is project specific; that is, there is not necessarily one method that is always more suitable (Maier and Emmerich, 2022).</w:t>
      </w:r>
    </w:p>
    <w:p w14:paraId="29F95A92" w14:textId="77777777" w:rsidR="009E0D0B" w:rsidRPr="009E0D0B" w:rsidRDefault="009E0D0B" w:rsidP="009E0D0B">
      <w:pPr>
        <w:jc w:val="both"/>
        <w:rPr>
          <w:rFonts w:ascii="Calibri" w:hAnsi="Calibri" w:cs="Calibri"/>
          <w:sz w:val="22"/>
          <w:szCs w:val="22"/>
        </w:rPr>
      </w:pPr>
      <w:r w:rsidRPr="009E0D0B">
        <w:rPr>
          <w:rFonts w:ascii="Calibri" w:hAnsi="Calibri" w:cs="Calibri"/>
          <w:sz w:val="22"/>
          <w:szCs w:val="22"/>
        </w:rPr>
        <w:t>Hence a hybrid solution is proposed which is a mixture of predictive scheduling and Agile testing with alterations. That would keep issues discovered prior to launch while keeping control of deadlines. A hybrid can enhance the outcomes for stakeholders without necessarily sacrificing traditional project outcomes (</w:t>
      </w:r>
      <w:proofErr w:type="spellStart"/>
      <w:r w:rsidRPr="009E0D0B">
        <w:rPr>
          <w:rFonts w:ascii="Calibri" w:hAnsi="Calibri" w:cs="Calibri"/>
          <w:sz w:val="22"/>
          <w:szCs w:val="22"/>
        </w:rPr>
        <w:t>Gemino</w:t>
      </w:r>
      <w:proofErr w:type="spellEnd"/>
      <w:r w:rsidRPr="009E0D0B">
        <w:rPr>
          <w:rFonts w:ascii="Calibri" w:hAnsi="Calibri" w:cs="Calibri"/>
          <w:sz w:val="22"/>
          <w:szCs w:val="22"/>
        </w:rPr>
        <w:t xml:space="preserve"> et al., 2021) (Nunes et al., 2019).</w:t>
      </w:r>
    </w:p>
    <w:p w14:paraId="21C739F8" w14:textId="5E146AC7" w:rsidR="002F0C9C" w:rsidRPr="002F0C9C" w:rsidRDefault="009E0D0B" w:rsidP="009E0D0B">
      <w:pPr>
        <w:jc w:val="both"/>
        <w:rPr>
          <w:rFonts w:ascii="Calibri" w:hAnsi="Calibri" w:cs="Calibri"/>
          <w:sz w:val="22"/>
          <w:szCs w:val="22"/>
        </w:rPr>
      </w:pPr>
      <w:r w:rsidRPr="009E0D0B">
        <w:rPr>
          <w:rFonts w:ascii="Calibri" w:hAnsi="Calibri" w:cs="Calibri"/>
          <w:sz w:val="22"/>
          <w:szCs w:val="22"/>
        </w:rPr>
        <w:t>The project life cycle starts from the initiation of the project and approval of requirements during Week 2 and then detailed planning / platform configuration. Execution involves the catalogue set up, employee training, and service testing. Monitoring and control will be ongoing throughout via milestone reviews, quality checks and issue reporting. Closure in Week 12 will comprise of final acceptance and service launch/ handover to shop manager.</w:t>
      </w:r>
    </w:p>
    <w:p w14:paraId="7307A320"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4. Project Outputs and Deliverables</w:t>
      </w:r>
    </w:p>
    <w:p w14:paraId="2CAB93F9" w14:textId="3E21B44A" w:rsidR="009E0D0B" w:rsidRPr="009E0D0B" w:rsidRDefault="009E0D0B" w:rsidP="009E0D0B">
      <w:pPr>
        <w:jc w:val="both"/>
        <w:rPr>
          <w:rFonts w:ascii="Calibri" w:hAnsi="Calibri" w:cs="Calibri"/>
          <w:sz w:val="22"/>
          <w:szCs w:val="22"/>
        </w:rPr>
      </w:pPr>
      <w:r w:rsidRPr="009E0D0B">
        <w:rPr>
          <w:rFonts w:ascii="Calibri" w:hAnsi="Calibri" w:cs="Calibri"/>
          <w:sz w:val="22"/>
          <w:szCs w:val="22"/>
        </w:rPr>
        <w:t xml:space="preserve">The project will generate five major outputs that will help launch a successful click and collect service. The first is an approved requirements document that identifies system functions, responsibilities and acceptance criteria. The second is a configured ordering platform showing 200 or more titles of </w:t>
      </w:r>
      <w:r w:rsidRPr="009E0D0B">
        <w:rPr>
          <w:rFonts w:ascii="Calibri" w:hAnsi="Calibri" w:cs="Calibri"/>
          <w:sz w:val="22"/>
          <w:szCs w:val="22"/>
        </w:rPr>
        <w:t>books and</w:t>
      </w:r>
      <w:r w:rsidRPr="009E0D0B">
        <w:rPr>
          <w:rFonts w:ascii="Calibri" w:hAnsi="Calibri" w:cs="Calibri"/>
          <w:sz w:val="22"/>
          <w:szCs w:val="22"/>
        </w:rPr>
        <w:t xml:space="preserve"> providing order confirmation and availability facilities. Connecting these outputs to agreed requirements will help with verification and minimize misunderstandings in implementation (Mucha et al., 2024).</w:t>
      </w:r>
    </w:p>
    <w:p w14:paraId="25B3D56C" w14:textId="4D5881B6" w:rsidR="002F0C9C" w:rsidRPr="002F0C9C" w:rsidRDefault="009E0D0B" w:rsidP="009E0D0B">
      <w:pPr>
        <w:jc w:val="both"/>
        <w:rPr>
          <w:rFonts w:ascii="Calibri" w:hAnsi="Calibri" w:cs="Calibri"/>
          <w:sz w:val="22"/>
          <w:szCs w:val="22"/>
        </w:rPr>
      </w:pPr>
      <w:r w:rsidRPr="009E0D0B">
        <w:rPr>
          <w:rFonts w:ascii="Calibri" w:hAnsi="Calibri" w:cs="Calibri"/>
          <w:sz w:val="22"/>
          <w:szCs w:val="22"/>
        </w:rPr>
        <w:t>The third deliverable is a documented procedure for stock-checking and collection which includes order records and instructions for staff. Fourth, a training record will show that four designated employees have been practically trained by week 10. Finally, a pack of tests and handover will be made to report the results of the 20 Orders simulated and the correction of any critical errors and formal launch approval. These outputs will be evidence of readiness for operation of the service. Studies highlight the need for defining and assessing success during a project and not just on the completion of the planned activities (</w:t>
      </w:r>
      <w:proofErr w:type="spellStart"/>
      <w:r w:rsidRPr="009E0D0B">
        <w:rPr>
          <w:rFonts w:ascii="Calibri" w:hAnsi="Calibri" w:cs="Calibri"/>
          <w:sz w:val="22"/>
          <w:szCs w:val="22"/>
        </w:rPr>
        <w:t>Varajão</w:t>
      </w:r>
      <w:proofErr w:type="spellEnd"/>
      <w:r w:rsidRPr="009E0D0B">
        <w:rPr>
          <w:rFonts w:ascii="Calibri" w:hAnsi="Calibri" w:cs="Calibri"/>
          <w:sz w:val="22"/>
          <w:szCs w:val="22"/>
        </w:rPr>
        <w:t xml:space="preserve"> et al., 2022). Each deliverable will be checked by the shop manager according to its acceptance criteria before the final hand off in week 12.</w:t>
      </w:r>
    </w:p>
    <w:p w14:paraId="7F0F4521"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5. Project Activities and Work Breakdown Structure</w:t>
      </w:r>
    </w:p>
    <w:p w14:paraId="07DC0C56" w14:textId="5347C536" w:rsidR="002F0C9C" w:rsidRDefault="009E0D0B" w:rsidP="002F0C9C">
      <w:pPr>
        <w:jc w:val="both"/>
        <w:rPr>
          <w:rFonts w:ascii="Calibri" w:hAnsi="Calibri" w:cs="Calibri"/>
          <w:sz w:val="22"/>
          <w:szCs w:val="22"/>
        </w:rPr>
      </w:pPr>
      <w:r w:rsidRPr="009E0D0B">
        <w:rPr>
          <w:rFonts w:ascii="Calibri" w:hAnsi="Calibri" w:cs="Calibri"/>
          <w:sz w:val="22"/>
          <w:szCs w:val="22"/>
        </w:rPr>
        <w:t>The project activities are structured in 5 work packages, in line with the agreed deliverables. Work Breakdown Structure (WBS) is a process that identifies the tasks necessary to complete each package and serves as a tool for assigning packages to people, resources and monitoring work progress. Studies have shown that the use of structured WBS can help in understanding the scope and the work needed to be done (</w:t>
      </w:r>
      <w:proofErr w:type="spellStart"/>
      <w:r w:rsidRPr="009E0D0B">
        <w:rPr>
          <w:rFonts w:ascii="Calibri" w:hAnsi="Calibri" w:cs="Calibri"/>
          <w:sz w:val="22"/>
          <w:szCs w:val="22"/>
        </w:rPr>
        <w:t>Putro</w:t>
      </w:r>
      <w:proofErr w:type="spellEnd"/>
      <w:r w:rsidRPr="009E0D0B">
        <w:rPr>
          <w:rFonts w:ascii="Calibri" w:hAnsi="Calibri" w:cs="Calibri"/>
          <w:sz w:val="22"/>
          <w:szCs w:val="22"/>
        </w:rPr>
        <w:t xml:space="preserve"> et al., 2022).</w:t>
      </w:r>
    </w:p>
    <w:p w14:paraId="6E2B9026" w14:textId="77777777" w:rsidR="002F0C9C" w:rsidRDefault="002F0C9C" w:rsidP="002F0C9C">
      <w:pPr>
        <w:jc w:val="both"/>
        <w:rPr>
          <w:rFonts w:ascii="Calibri" w:hAnsi="Calibri" w:cs="Calibri"/>
          <w:sz w:val="22"/>
          <w:szCs w:val="22"/>
        </w:rPr>
      </w:pPr>
      <w:r>
        <w:rPr>
          <w:rFonts w:ascii="Calibri" w:hAnsi="Calibri" w:cs="Calibri"/>
          <w:sz w:val="22"/>
          <w:szCs w:val="22"/>
        </w:rPr>
        <w:br w:type="page"/>
      </w:r>
    </w:p>
    <w:p w14:paraId="7BC0A546" w14:textId="77777777" w:rsidR="002F0C9C" w:rsidRPr="002F0C9C" w:rsidRDefault="002F0C9C" w:rsidP="002F0C9C">
      <w:pPr>
        <w:jc w:val="both"/>
        <w:rPr>
          <w:rFonts w:ascii="Calibri" w:hAnsi="Calibri" w:cs="Calibri"/>
          <w:sz w:val="22"/>
          <w:szCs w:val="22"/>
        </w:rPr>
      </w:pPr>
    </w:p>
    <w:p w14:paraId="1FD1F0C6" w14:textId="77777777" w:rsidR="002F0C9C" w:rsidRPr="002F0C9C" w:rsidRDefault="002F0C9C" w:rsidP="002F0C9C">
      <w:pPr>
        <w:pStyle w:val="Caption"/>
        <w:jc w:val="center"/>
        <w:rPr>
          <w:rFonts w:ascii="Calibri" w:hAnsi="Calibri" w:cs="Calibri"/>
          <w:sz w:val="22"/>
          <w:szCs w:val="22"/>
        </w:rPr>
      </w:pPr>
      <w:r w:rsidRPr="002F0C9C">
        <w:rPr>
          <w:rFonts w:ascii="Calibri" w:hAnsi="Calibri" w:cs="Calibri"/>
          <w:sz w:val="22"/>
          <w:szCs w:val="22"/>
        </w:rPr>
        <w:t>Figure 1. Work Breakdown Structure — Willow Lane Books</w:t>
      </w:r>
    </w:p>
    <w:tbl>
      <w:tblPr>
        <w:tblStyle w:val="LightShading-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2"/>
        <w:gridCol w:w="4514"/>
      </w:tblGrid>
      <w:tr w:rsidR="002F0C9C" w:rsidRPr="002F0C9C" w14:paraId="52CE93EC" w14:textId="77777777" w:rsidTr="002F0C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39" w:type="dxa"/>
            <w:tcBorders>
              <w:top w:val="none" w:sz="0" w:space="0" w:color="auto"/>
              <w:left w:val="none" w:sz="0" w:space="0" w:color="auto"/>
              <w:bottom w:val="none" w:sz="0" w:space="0" w:color="auto"/>
              <w:right w:val="none" w:sz="0" w:space="0" w:color="auto"/>
            </w:tcBorders>
            <w:vAlign w:val="center"/>
          </w:tcPr>
          <w:p w14:paraId="540E91E1" w14:textId="77777777" w:rsidR="002F0C9C" w:rsidRPr="002F0C9C" w:rsidRDefault="002F0C9C" w:rsidP="002F0C9C">
            <w:pPr>
              <w:spacing w:after="20"/>
              <w:jc w:val="center"/>
              <w:rPr>
                <w:rFonts w:ascii="Calibri" w:hAnsi="Calibri" w:cs="Calibri"/>
              </w:rPr>
            </w:pPr>
            <w:r w:rsidRPr="002F0C9C">
              <w:rPr>
                <w:rFonts w:ascii="Calibri" w:hAnsi="Calibri" w:cs="Calibri"/>
              </w:rPr>
              <w:t>Work package</w:t>
            </w:r>
          </w:p>
        </w:tc>
        <w:tc>
          <w:tcPr>
            <w:tcW w:w="4939" w:type="dxa"/>
            <w:tcBorders>
              <w:top w:val="none" w:sz="0" w:space="0" w:color="auto"/>
              <w:left w:val="none" w:sz="0" w:space="0" w:color="auto"/>
              <w:bottom w:val="none" w:sz="0" w:space="0" w:color="auto"/>
              <w:right w:val="none" w:sz="0" w:space="0" w:color="auto"/>
            </w:tcBorders>
            <w:vAlign w:val="center"/>
          </w:tcPr>
          <w:p w14:paraId="4DFF362F"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Tasks</w:t>
            </w:r>
          </w:p>
        </w:tc>
      </w:tr>
      <w:tr w:rsidR="002F0C9C" w:rsidRPr="002F0C9C" w14:paraId="1605B834"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39" w:type="dxa"/>
            <w:tcBorders>
              <w:left w:val="none" w:sz="0" w:space="0" w:color="auto"/>
              <w:right w:val="none" w:sz="0" w:space="0" w:color="auto"/>
            </w:tcBorders>
            <w:vAlign w:val="center"/>
          </w:tcPr>
          <w:p w14:paraId="5A0D9F52" w14:textId="77777777" w:rsidR="002F0C9C" w:rsidRPr="002F0C9C" w:rsidRDefault="002F0C9C" w:rsidP="002F0C9C">
            <w:pPr>
              <w:spacing w:after="20"/>
              <w:jc w:val="center"/>
              <w:rPr>
                <w:rFonts w:ascii="Calibri" w:hAnsi="Calibri" w:cs="Calibri"/>
                <w:color w:val="000000" w:themeColor="text1"/>
              </w:rPr>
            </w:pPr>
            <w:r w:rsidRPr="002F0C9C">
              <w:rPr>
                <w:rFonts w:ascii="Calibri" w:hAnsi="Calibri" w:cs="Calibri"/>
                <w:color w:val="000000" w:themeColor="text1"/>
              </w:rPr>
              <w:t>1.0 Requirements (D1)</w:t>
            </w:r>
          </w:p>
        </w:tc>
        <w:tc>
          <w:tcPr>
            <w:tcW w:w="4939" w:type="dxa"/>
            <w:tcBorders>
              <w:left w:val="none" w:sz="0" w:space="0" w:color="auto"/>
              <w:right w:val="none" w:sz="0" w:space="0" w:color="auto"/>
            </w:tcBorders>
            <w:vAlign w:val="center"/>
          </w:tcPr>
          <w:p w14:paraId="57A5FDC8"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2F0C9C">
              <w:rPr>
                <w:rFonts w:ascii="Calibri" w:hAnsi="Calibri" w:cs="Calibri"/>
                <w:color w:val="000000" w:themeColor="text1"/>
              </w:rPr>
              <w:t>1.1 Consult shop manager and employees; 1.2 Define ordering requirements; 1.3 Agree responsibilities and acceptance criteria; 1.4 Obtain approval</w:t>
            </w:r>
          </w:p>
        </w:tc>
      </w:tr>
      <w:tr w:rsidR="002F0C9C" w:rsidRPr="002F0C9C" w14:paraId="2B54543C" w14:textId="77777777" w:rsidTr="002F0C9C">
        <w:trPr>
          <w:jc w:val="center"/>
        </w:trPr>
        <w:tc>
          <w:tcPr>
            <w:cnfStyle w:val="001000000000" w:firstRow="0" w:lastRow="0" w:firstColumn="1" w:lastColumn="0" w:oddVBand="0" w:evenVBand="0" w:oddHBand="0" w:evenHBand="0" w:firstRowFirstColumn="0" w:firstRowLastColumn="0" w:lastRowFirstColumn="0" w:lastRowLastColumn="0"/>
            <w:tcW w:w="4939" w:type="dxa"/>
            <w:vAlign w:val="center"/>
          </w:tcPr>
          <w:p w14:paraId="74784E7F" w14:textId="77777777" w:rsidR="002F0C9C" w:rsidRPr="002F0C9C" w:rsidRDefault="002F0C9C" w:rsidP="002F0C9C">
            <w:pPr>
              <w:spacing w:after="20"/>
              <w:jc w:val="center"/>
              <w:rPr>
                <w:rFonts w:ascii="Calibri" w:hAnsi="Calibri" w:cs="Calibri"/>
                <w:color w:val="000000" w:themeColor="text1"/>
              </w:rPr>
            </w:pPr>
            <w:r w:rsidRPr="002F0C9C">
              <w:rPr>
                <w:rFonts w:ascii="Calibri" w:hAnsi="Calibri" w:cs="Calibri"/>
                <w:color w:val="000000" w:themeColor="text1"/>
              </w:rPr>
              <w:t>2.0 Ordering platform (D2)</w:t>
            </w:r>
          </w:p>
        </w:tc>
        <w:tc>
          <w:tcPr>
            <w:tcW w:w="4939" w:type="dxa"/>
            <w:vAlign w:val="center"/>
          </w:tcPr>
          <w:p w14:paraId="46685366"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2F0C9C">
              <w:rPr>
                <w:rFonts w:ascii="Calibri" w:hAnsi="Calibri" w:cs="Calibri"/>
                <w:color w:val="000000" w:themeColor="text1"/>
              </w:rPr>
              <w:t>2.1 Select platform; 2.2 Configure ordering and pay-at-collection options; 2.3 Upload at least 200 book titles; 2.4 Verify stock availability and notifications</w:t>
            </w:r>
          </w:p>
        </w:tc>
      </w:tr>
      <w:tr w:rsidR="002F0C9C" w:rsidRPr="002F0C9C" w14:paraId="736FD10D"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39" w:type="dxa"/>
            <w:tcBorders>
              <w:left w:val="none" w:sz="0" w:space="0" w:color="auto"/>
              <w:right w:val="none" w:sz="0" w:space="0" w:color="auto"/>
            </w:tcBorders>
            <w:vAlign w:val="center"/>
          </w:tcPr>
          <w:p w14:paraId="5D305604" w14:textId="77777777" w:rsidR="002F0C9C" w:rsidRPr="002F0C9C" w:rsidRDefault="002F0C9C" w:rsidP="002F0C9C">
            <w:pPr>
              <w:spacing w:after="20"/>
              <w:jc w:val="center"/>
              <w:rPr>
                <w:rFonts w:ascii="Calibri" w:hAnsi="Calibri" w:cs="Calibri"/>
                <w:color w:val="000000" w:themeColor="text1"/>
              </w:rPr>
            </w:pPr>
            <w:r w:rsidRPr="002F0C9C">
              <w:rPr>
                <w:rFonts w:ascii="Calibri" w:hAnsi="Calibri" w:cs="Calibri"/>
                <w:color w:val="000000" w:themeColor="text1"/>
              </w:rPr>
              <w:t>3.0 Collection procedures (D3)</w:t>
            </w:r>
          </w:p>
        </w:tc>
        <w:tc>
          <w:tcPr>
            <w:tcW w:w="4939" w:type="dxa"/>
            <w:tcBorders>
              <w:left w:val="none" w:sz="0" w:space="0" w:color="auto"/>
              <w:right w:val="none" w:sz="0" w:space="0" w:color="auto"/>
            </w:tcBorders>
            <w:vAlign w:val="center"/>
          </w:tcPr>
          <w:p w14:paraId="2260B797"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2F0C9C">
              <w:rPr>
                <w:rFonts w:ascii="Calibri" w:hAnsi="Calibri" w:cs="Calibri"/>
                <w:color w:val="000000" w:themeColor="text1"/>
              </w:rPr>
              <w:t>3.1 Design stock-checking process; 3.2 Establish order reservation and collection procedures; 3.3 Prepare employee instructions</w:t>
            </w:r>
          </w:p>
        </w:tc>
      </w:tr>
      <w:tr w:rsidR="002F0C9C" w:rsidRPr="002F0C9C" w14:paraId="1C43C4CC" w14:textId="77777777" w:rsidTr="002F0C9C">
        <w:trPr>
          <w:jc w:val="center"/>
        </w:trPr>
        <w:tc>
          <w:tcPr>
            <w:cnfStyle w:val="001000000000" w:firstRow="0" w:lastRow="0" w:firstColumn="1" w:lastColumn="0" w:oddVBand="0" w:evenVBand="0" w:oddHBand="0" w:evenHBand="0" w:firstRowFirstColumn="0" w:firstRowLastColumn="0" w:lastRowFirstColumn="0" w:lastRowLastColumn="0"/>
            <w:tcW w:w="4939" w:type="dxa"/>
            <w:vAlign w:val="center"/>
          </w:tcPr>
          <w:p w14:paraId="23B3DE94" w14:textId="77777777" w:rsidR="002F0C9C" w:rsidRPr="002F0C9C" w:rsidRDefault="002F0C9C" w:rsidP="002F0C9C">
            <w:pPr>
              <w:spacing w:after="20"/>
              <w:jc w:val="center"/>
              <w:rPr>
                <w:rFonts w:ascii="Calibri" w:hAnsi="Calibri" w:cs="Calibri"/>
                <w:color w:val="000000" w:themeColor="text1"/>
              </w:rPr>
            </w:pPr>
            <w:r w:rsidRPr="002F0C9C">
              <w:rPr>
                <w:rFonts w:ascii="Calibri" w:hAnsi="Calibri" w:cs="Calibri"/>
                <w:color w:val="000000" w:themeColor="text1"/>
              </w:rPr>
              <w:t>4.0 Staff training (D4)</w:t>
            </w:r>
          </w:p>
        </w:tc>
        <w:tc>
          <w:tcPr>
            <w:tcW w:w="4939" w:type="dxa"/>
            <w:vAlign w:val="center"/>
          </w:tcPr>
          <w:p w14:paraId="466E9B2C"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2F0C9C">
              <w:rPr>
                <w:rFonts w:ascii="Calibri" w:hAnsi="Calibri" w:cs="Calibri"/>
                <w:color w:val="000000" w:themeColor="text1"/>
              </w:rPr>
              <w:t>4.1 Prepare training materials; 4.2 Demonstrate ordering and collection procedures; 4.3 Assess four employees and record completion</w:t>
            </w:r>
          </w:p>
        </w:tc>
      </w:tr>
      <w:tr w:rsidR="002F0C9C" w:rsidRPr="002F0C9C" w14:paraId="52DA729E"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39" w:type="dxa"/>
            <w:tcBorders>
              <w:left w:val="none" w:sz="0" w:space="0" w:color="auto"/>
              <w:right w:val="none" w:sz="0" w:space="0" w:color="auto"/>
            </w:tcBorders>
            <w:vAlign w:val="center"/>
          </w:tcPr>
          <w:p w14:paraId="6EE18978" w14:textId="77777777" w:rsidR="002F0C9C" w:rsidRPr="002F0C9C" w:rsidRDefault="002F0C9C" w:rsidP="002F0C9C">
            <w:pPr>
              <w:spacing w:after="20"/>
              <w:jc w:val="center"/>
              <w:rPr>
                <w:rFonts w:ascii="Calibri" w:hAnsi="Calibri" w:cs="Calibri"/>
                <w:color w:val="000000" w:themeColor="text1"/>
              </w:rPr>
            </w:pPr>
            <w:r w:rsidRPr="002F0C9C">
              <w:rPr>
                <w:rFonts w:ascii="Calibri" w:hAnsi="Calibri" w:cs="Calibri"/>
                <w:color w:val="000000" w:themeColor="text1"/>
              </w:rPr>
              <w:t>5.0 Testing and handover (D5)</w:t>
            </w:r>
          </w:p>
        </w:tc>
        <w:tc>
          <w:tcPr>
            <w:tcW w:w="4939" w:type="dxa"/>
            <w:tcBorders>
              <w:left w:val="none" w:sz="0" w:space="0" w:color="auto"/>
              <w:right w:val="none" w:sz="0" w:space="0" w:color="auto"/>
            </w:tcBorders>
            <w:vAlign w:val="center"/>
          </w:tcPr>
          <w:p w14:paraId="5D63A5BF"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2F0C9C">
              <w:rPr>
                <w:rFonts w:ascii="Calibri" w:hAnsi="Calibri" w:cs="Calibri"/>
                <w:color w:val="000000" w:themeColor="text1"/>
              </w:rPr>
              <w:t>5.1 Prepare test scenarios; 5.2 Complete 20 simulated orders; 5.3 Correct critical errors and retest; 5.4 Obtain launch approval; 5.5 Launch service and hand over documentation</w:t>
            </w:r>
          </w:p>
        </w:tc>
      </w:tr>
    </w:tbl>
    <w:p w14:paraId="4D6E6847" w14:textId="77777777" w:rsidR="002F0C9C" w:rsidRDefault="002F0C9C" w:rsidP="002F0C9C">
      <w:pPr>
        <w:jc w:val="both"/>
        <w:rPr>
          <w:rFonts w:ascii="Calibri" w:hAnsi="Calibri" w:cs="Calibri"/>
          <w:sz w:val="22"/>
          <w:szCs w:val="22"/>
        </w:rPr>
      </w:pPr>
    </w:p>
    <w:p w14:paraId="216BF643" w14:textId="485B798B" w:rsidR="002F0C9C" w:rsidRPr="002F0C9C" w:rsidRDefault="009E0D0B" w:rsidP="002F0C9C">
      <w:pPr>
        <w:jc w:val="both"/>
        <w:rPr>
          <w:rFonts w:ascii="Calibri" w:hAnsi="Calibri" w:cs="Calibri"/>
          <w:sz w:val="22"/>
          <w:szCs w:val="22"/>
        </w:rPr>
      </w:pPr>
      <w:r w:rsidRPr="009E0D0B">
        <w:rPr>
          <w:rFonts w:ascii="Calibri" w:hAnsi="Calibri" w:cs="Calibri"/>
          <w:sz w:val="22"/>
          <w:szCs w:val="22"/>
        </w:rPr>
        <w:t>The work packages will be planned on the basis of their dependency. Final platform configuration should be done after requirements approval and training and procedure development should be done before acceptance testing. The hybrid option is a way to make small improvements to the platforms (as staff report back) without altering the scope of the work that has been approved. There will be an accountable owner for each package and completion will be verified via the deliverable of the package and not only by activity completion.</w:t>
      </w:r>
    </w:p>
    <w:p w14:paraId="45D31A2B"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6. Project Milestones and Gantt Chart</w:t>
      </w:r>
    </w:p>
    <w:p w14:paraId="4E9FB571" w14:textId="23EA83A3" w:rsidR="002F0C9C" w:rsidRPr="002F0C9C" w:rsidRDefault="009E0D0B" w:rsidP="002F0C9C">
      <w:pPr>
        <w:jc w:val="both"/>
        <w:rPr>
          <w:rFonts w:ascii="Calibri" w:hAnsi="Calibri" w:cs="Calibri"/>
          <w:sz w:val="22"/>
          <w:szCs w:val="22"/>
        </w:rPr>
      </w:pPr>
      <w:r w:rsidRPr="009E0D0B">
        <w:rPr>
          <w:rFonts w:ascii="Calibri" w:hAnsi="Calibri" w:cs="Calibri"/>
          <w:sz w:val="22"/>
          <w:szCs w:val="22"/>
        </w:rPr>
        <w:t>The project schedule is designed to last for 12 weeks, and there are some activities that overlap if it makes sense for the dependency. The Gantt chart represents the five WBS work packages and their expected time of completion. Requirements approval is the first, followed by platform readiness, collection procedures, staff training and service acceptance.</w:t>
      </w:r>
    </w:p>
    <w:p w14:paraId="56BB9DA0" w14:textId="77777777" w:rsidR="002F0C9C" w:rsidRDefault="002F0C9C" w:rsidP="002F0C9C">
      <w:pPr>
        <w:jc w:val="both"/>
        <w:rPr>
          <w:rFonts w:ascii="Calibri" w:eastAsiaTheme="minorEastAsia" w:hAnsi="Calibri" w:cs="Calibri"/>
          <w:b/>
          <w:bCs/>
          <w:color w:val="156082" w:themeColor="accent1"/>
          <w:kern w:val="0"/>
          <w:sz w:val="22"/>
          <w:szCs w:val="22"/>
          <w:lang w:val="en-US"/>
          <w14:ligatures w14:val="none"/>
        </w:rPr>
      </w:pPr>
      <w:r>
        <w:rPr>
          <w:rFonts w:ascii="Calibri" w:hAnsi="Calibri" w:cs="Calibri"/>
          <w:sz w:val="22"/>
          <w:szCs w:val="22"/>
        </w:rPr>
        <w:br w:type="page"/>
      </w:r>
    </w:p>
    <w:p w14:paraId="60009760" w14:textId="1FA34C87" w:rsidR="002F0C9C" w:rsidRPr="002F0C9C" w:rsidRDefault="002F0C9C" w:rsidP="002F0C9C">
      <w:pPr>
        <w:pStyle w:val="Caption"/>
        <w:jc w:val="both"/>
        <w:rPr>
          <w:rFonts w:ascii="Calibri" w:hAnsi="Calibri" w:cs="Calibri"/>
          <w:sz w:val="22"/>
          <w:szCs w:val="22"/>
        </w:rPr>
      </w:pPr>
      <w:r w:rsidRPr="002F0C9C">
        <w:rPr>
          <w:rFonts w:ascii="Calibri" w:hAnsi="Calibri" w:cs="Calibri"/>
          <w:sz w:val="22"/>
          <w:szCs w:val="22"/>
        </w:rPr>
        <w:lastRenderedPageBreak/>
        <w:t>Figure 2. Proposed 12-week Gantt chart</w:t>
      </w:r>
    </w:p>
    <w:tbl>
      <w:tblPr>
        <w:tblStyle w:val="LightShading-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0"/>
        <w:gridCol w:w="618"/>
        <w:gridCol w:w="636"/>
        <w:gridCol w:w="618"/>
        <w:gridCol w:w="618"/>
        <w:gridCol w:w="618"/>
        <w:gridCol w:w="618"/>
        <w:gridCol w:w="636"/>
        <w:gridCol w:w="636"/>
        <w:gridCol w:w="618"/>
        <w:gridCol w:w="650"/>
        <w:gridCol w:w="650"/>
        <w:gridCol w:w="650"/>
      </w:tblGrid>
      <w:tr w:rsidR="002F0C9C" w:rsidRPr="002F0C9C" w14:paraId="55F4ED35" w14:textId="77777777" w:rsidTr="002F0C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60" w:type="dxa"/>
            <w:tcBorders>
              <w:top w:val="none" w:sz="0" w:space="0" w:color="auto"/>
              <w:left w:val="none" w:sz="0" w:space="0" w:color="auto"/>
              <w:bottom w:val="none" w:sz="0" w:space="0" w:color="auto"/>
              <w:right w:val="none" w:sz="0" w:space="0" w:color="auto"/>
            </w:tcBorders>
            <w:vAlign w:val="center"/>
          </w:tcPr>
          <w:p w14:paraId="11BC2A39"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WBS / deliverable</w:t>
            </w:r>
          </w:p>
        </w:tc>
        <w:tc>
          <w:tcPr>
            <w:tcW w:w="760" w:type="dxa"/>
            <w:tcBorders>
              <w:top w:val="none" w:sz="0" w:space="0" w:color="auto"/>
              <w:left w:val="none" w:sz="0" w:space="0" w:color="auto"/>
              <w:bottom w:val="none" w:sz="0" w:space="0" w:color="auto"/>
              <w:right w:val="none" w:sz="0" w:space="0" w:color="auto"/>
            </w:tcBorders>
            <w:vAlign w:val="center"/>
          </w:tcPr>
          <w:p w14:paraId="7AAC9935"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w:t>
            </w:r>
          </w:p>
        </w:tc>
        <w:tc>
          <w:tcPr>
            <w:tcW w:w="760" w:type="dxa"/>
            <w:tcBorders>
              <w:top w:val="none" w:sz="0" w:space="0" w:color="auto"/>
              <w:left w:val="none" w:sz="0" w:space="0" w:color="auto"/>
              <w:bottom w:val="none" w:sz="0" w:space="0" w:color="auto"/>
              <w:right w:val="none" w:sz="0" w:space="0" w:color="auto"/>
            </w:tcBorders>
            <w:vAlign w:val="center"/>
          </w:tcPr>
          <w:p w14:paraId="4A7E718D"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2</w:t>
            </w:r>
          </w:p>
        </w:tc>
        <w:tc>
          <w:tcPr>
            <w:tcW w:w="760" w:type="dxa"/>
            <w:tcBorders>
              <w:top w:val="none" w:sz="0" w:space="0" w:color="auto"/>
              <w:left w:val="none" w:sz="0" w:space="0" w:color="auto"/>
              <w:bottom w:val="none" w:sz="0" w:space="0" w:color="auto"/>
              <w:right w:val="none" w:sz="0" w:space="0" w:color="auto"/>
            </w:tcBorders>
            <w:vAlign w:val="center"/>
          </w:tcPr>
          <w:p w14:paraId="6FD70C41"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3</w:t>
            </w:r>
          </w:p>
        </w:tc>
        <w:tc>
          <w:tcPr>
            <w:tcW w:w="760" w:type="dxa"/>
            <w:tcBorders>
              <w:top w:val="none" w:sz="0" w:space="0" w:color="auto"/>
              <w:left w:val="none" w:sz="0" w:space="0" w:color="auto"/>
              <w:bottom w:val="none" w:sz="0" w:space="0" w:color="auto"/>
              <w:right w:val="none" w:sz="0" w:space="0" w:color="auto"/>
            </w:tcBorders>
            <w:vAlign w:val="center"/>
          </w:tcPr>
          <w:p w14:paraId="27FE183E"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4</w:t>
            </w:r>
          </w:p>
        </w:tc>
        <w:tc>
          <w:tcPr>
            <w:tcW w:w="760" w:type="dxa"/>
            <w:tcBorders>
              <w:top w:val="none" w:sz="0" w:space="0" w:color="auto"/>
              <w:left w:val="none" w:sz="0" w:space="0" w:color="auto"/>
              <w:bottom w:val="none" w:sz="0" w:space="0" w:color="auto"/>
              <w:right w:val="none" w:sz="0" w:space="0" w:color="auto"/>
            </w:tcBorders>
            <w:vAlign w:val="center"/>
          </w:tcPr>
          <w:p w14:paraId="59F4DB76"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5</w:t>
            </w:r>
          </w:p>
        </w:tc>
        <w:tc>
          <w:tcPr>
            <w:tcW w:w="760" w:type="dxa"/>
            <w:tcBorders>
              <w:top w:val="none" w:sz="0" w:space="0" w:color="auto"/>
              <w:left w:val="none" w:sz="0" w:space="0" w:color="auto"/>
              <w:bottom w:val="none" w:sz="0" w:space="0" w:color="auto"/>
              <w:right w:val="none" w:sz="0" w:space="0" w:color="auto"/>
            </w:tcBorders>
            <w:vAlign w:val="center"/>
          </w:tcPr>
          <w:p w14:paraId="21942F03"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6</w:t>
            </w:r>
          </w:p>
        </w:tc>
        <w:tc>
          <w:tcPr>
            <w:tcW w:w="760" w:type="dxa"/>
            <w:tcBorders>
              <w:top w:val="none" w:sz="0" w:space="0" w:color="auto"/>
              <w:left w:val="none" w:sz="0" w:space="0" w:color="auto"/>
              <w:bottom w:val="none" w:sz="0" w:space="0" w:color="auto"/>
              <w:right w:val="none" w:sz="0" w:space="0" w:color="auto"/>
            </w:tcBorders>
            <w:vAlign w:val="center"/>
          </w:tcPr>
          <w:p w14:paraId="4CDC4434"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7</w:t>
            </w:r>
          </w:p>
        </w:tc>
        <w:tc>
          <w:tcPr>
            <w:tcW w:w="760" w:type="dxa"/>
            <w:tcBorders>
              <w:top w:val="none" w:sz="0" w:space="0" w:color="auto"/>
              <w:left w:val="none" w:sz="0" w:space="0" w:color="auto"/>
              <w:bottom w:val="none" w:sz="0" w:space="0" w:color="auto"/>
              <w:right w:val="none" w:sz="0" w:space="0" w:color="auto"/>
            </w:tcBorders>
            <w:vAlign w:val="center"/>
          </w:tcPr>
          <w:p w14:paraId="39316EFC"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8</w:t>
            </w:r>
          </w:p>
        </w:tc>
        <w:tc>
          <w:tcPr>
            <w:tcW w:w="760" w:type="dxa"/>
            <w:tcBorders>
              <w:top w:val="none" w:sz="0" w:space="0" w:color="auto"/>
              <w:left w:val="none" w:sz="0" w:space="0" w:color="auto"/>
              <w:bottom w:val="none" w:sz="0" w:space="0" w:color="auto"/>
              <w:right w:val="none" w:sz="0" w:space="0" w:color="auto"/>
            </w:tcBorders>
            <w:vAlign w:val="center"/>
          </w:tcPr>
          <w:p w14:paraId="387B8932"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9</w:t>
            </w:r>
          </w:p>
        </w:tc>
        <w:tc>
          <w:tcPr>
            <w:tcW w:w="760" w:type="dxa"/>
            <w:tcBorders>
              <w:top w:val="none" w:sz="0" w:space="0" w:color="auto"/>
              <w:left w:val="none" w:sz="0" w:space="0" w:color="auto"/>
              <w:bottom w:val="none" w:sz="0" w:space="0" w:color="auto"/>
              <w:right w:val="none" w:sz="0" w:space="0" w:color="auto"/>
            </w:tcBorders>
            <w:vAlign w:val="center"/>
          </w:tcPr>
          <w:p w14:paraId="764B2039"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10</w:t>
            </w:r>
          </w:p>
        </w:tc>
        <w:tc>
          <w:tcPr>
            <w:tcW w:w="760" w:type="dxa"/>
            <w:tcBorders>
              <w:top w:val="none" w:sz="0" w:space="0" w:color="auto"/>
              <w:left w:val="none" w:sz="0" w:space="0" w:color="auto"/>
              <w:bottom w:val="none" w:sz="0" w:space="0" w:color="auto"/>
              <w:right w:val="none" w:sz="0" w:space="0" w:color="auto"/>
            </w:tcBorders>
            <w:vAlign w:val="center"/>
          </w:tcPr>
          <w:p w14:paraId="3B201B7A"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11</w:t>
            </w:r>
          </w:p>
        </w:tc>
        <w:tc>
          <w:tcPr>
            <w:tcW w:w="760" w:type="dxa"/>
            <w:tcBorders>
              <w:top w:val="none" w:sz="0" w:space="0" w:color="auto"/>
              <w:left w:val="none" w:sz="0" w:space="0" w:color="auto"/>
              <w:bottom w:val="none" w:sz="0" w:space="0" w:color="auto"/>
              <w:right w:val="none" w:sz="0" w:space="0" w:color="auto"/>
            </w:tcBorders>
            <w:vAlign w:val="center"/>
          </w:tcPr>
          <w:p w14:paraId="59CAD908"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12</w:t>
            </w:r>
          </w:p>
        </w:tc>
      </w:tr>
      <w:tr w:rsidR="002F0C9C" w:rsidRPr="002F0C9C" w14:paraId="74112BB8"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60" w:type="dxa"/>
            <w:tcBorders>
              <w:left w:val="none" w:sz="0" w:space="0" w:color="auto"/>
              <w:right w:val="none" w:sz="0" w:space="0" w:color="auto"/>
            </w:tcBorders>
            <w:vAlign w:val="center"/>
          </w:tcPr>
          <w:p w14:paraId="303CFA46"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1.0 Requirements (D1)</w:t>
            </w:r>
          </w:p>
        </w:tc>
        <w:tc>
          <w:tcPr>
            <w:tcW w:w="760" w:type="dxa"/>
            <w:tcBorders>
              <w:left w:val="none" w:sz="0" w:space="0" w:color="auto"/>
              <w:right w:val="none" w:sz="0" w:space="0" w:color="auto"/>
            </w:tcBorders>
            <w:vAlign w:val="center"/>
          </w:tcPr>
          <w:p w14:paraId="2E5A181D"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515BCB5A"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mbria Math" w:hAnsi="Cambria Math" w:cs="Cambria Math"/>
              </w:rPr>
              <w:t>◆</w:t>
            </w:r>
          </w:p>
        </w:tc>
        <w:tc>
          <w:tcPr>
            <w:tcW w:w="760" w:type="dxa"/>
            <w:tcBorders>
              <w:left w:val="none" w:sz="0" w:space="0" w:color="auto"/>
              <w:right w:val="none" w:sz="0" w:space="0" w:color="auto"/>
            </w:tcBorders>
            <w:vAlign w:val="center"/>
          </w:tcPr>
          <w:p w14:paraId="49952C16"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7AC93383"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13CA1B88"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4B8EFC75"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4777FC5B"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6118FF7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170D0186"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6900393C"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48A09E8B"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54EF1BFA"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2F0C9C" w:rsidRPr="002F0C9C" w14:paraId="4C8A908D" w14:textId="77777777" w:rsidTr="002F0C9C">
        <w:trPr>
          <w:jc w:val="center"/>
        </w:trPr>
        <w:tc>
          <w:tcPr>
            <w:cnfStyle w:val="001000000000" w:firstRow="0" w:lastRow="0" w:firstColumn="1" w:lastColumn="0" w:oddVBand="0" w:evenVBand="0" w:oddHBand="0" w:evenHBand="0" w:firstRowFirstColumn="0" w:firstRowLastColumn="0" w:lastRowFirstColumn="0" w:lastRowLastColumn="0"/>
            <w:tcW w:w="760" w:type="dxa"/>
            <w:vAlign w:val="center"/>
          </w:tcPr>
          <w:p w14:paraId="51C7333F"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2.0 Platform (D2)</w:t>
            </w:r>
          </w:p>
        </w:tc>
        <w:tc>
          <w:tcPr>
            <w:tcW w:w="760" w:type="dxa"/>
            <w:vAlign w:val="center"/>
          </w:tcPr>
          <w:p w14:paraId="6205C609"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128B326C"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011A02F9"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5DF0C49A"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78B31FFC"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0ADEFC43"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2780579B"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mbria Math" w:hAnsi="Cambria Math" w:cs="Cambria Math"/>
              </w:rPr>
              <w:t>◆</w:t>
            </w:r>
          </w:p>
        </w:tc>
        <w:tc>
          <w:tcPr>
            <w:tcW w:w="760" w:type="dxa"/>
            <w:vAlign w:val="center"/>
          </w:tcPr>
          <w:p w14:paraId="01AD90C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7A98EADA"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577699F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7BFE8C4C"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6F593671"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2F0C9C" w:rsidRPr="002F0C9C" w14:paraId="39171D38"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60" w:type="dxa"/>
            <w:tcBorders>
              <w:left w:val="none" w:sz="0" w:space="0" w:color="auto"/>
              <w:right w:val="none" w:sz="0" w:space="0" w:color="auto"/>
            </w:tcBorders>
            <w:vAlign w:val="center"/>
          </w:tcPr>
          <w:p w14:paraId="7AD842AB"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3.0 Procedures (D3)</w:t>
            </w:r>
          </w:p>
        </w:tc>
        <w:tc>
          <w:tcPr>
            <w:tcW w:w="760" w:type="dxa"/>
            <w:tcBorders>
              <w:left w:val="none" w:sz="0" w:space="0" w:color="auto"/>
              <w:right w:val="none" w:sz="0" w:space="0" w:color="auto"/>
            </w:tcBorders>
            <w:vAlign w:val="center"/>
          </w:tcPr>
          <w:p w14:paraId="558284F8"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0B33F8D6"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63DDDBF1"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514BA137"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5D748DB3"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5B6CFA3F"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7EC9242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057C7071"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mbria Math" w:hAnsi="Cambria Math" w:cs="Cambria Math"/>
              </w:rPr>
              <w:t>◆</w:t>
            </w:r>
          </w:p>
        </w:tc>
        <w:tc>
          <w:tcPr>
            <w:tcW w:w="760" w:type="dxa"/>
            <w:tcBorders>
              <w:left w:val="none" w:sz="0" w:space="0" w:color="auto"/>
              <w:right w:val="none" w:sz="0" w:space="0" w:color="auto"/>
            </w:tcBorders>
            <w:vAlign w:val="center"/>
          </w:tcPr>
          <w:p w14:paraId="11F2602B"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1A5FFF2E"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6FCD4BF8"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31E8552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2F0C9C" w:rsidRPr="002F0C9C" w14:paraId="399E4B84" w14:textId="77777777" w:rsidTr="002F0C9C">
        <w:trPr>
          <w:jc w:val="center"/>
        </w:trPr>
        <w:tc>
          <w:tcPr>
            <w:cnfStyle w:val="001000000000" w:firstRow="0" w:lastRow="0" w:firstColumn="1" w:lastColumn="0" w:oddVBand="0" w:evenVBand="0" w:oddHBand="0" w:evenHBand="0" w:firstRowFirstColumn="0" w:firstRowLastColumn="0" w:lastRowFirstColumn="0" w:lastRowLastColumn="0"/>
            <w:tcW w:w="760" w:type="dxa"/>
            <w:vAlign w:val="center"/>
          </w:tcPr>
          <w:p w14:paraId="46C8D0B3"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4.0 Training (D4)</w:t>
            </w:r>
          </w:p>
        </w:tc>
        <w:tc>
          <w:tcPr>
            <w:tcW w:w="760" w:type="dxa"/>
            <w:vAlign w:val="center"/>
          </w:tcPr>
          <w:p w14:paraId="20FB3753"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60862BE4"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164EA146"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618DACE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133010A3"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35FAFF74"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7926CE7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60CCB14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27BAEF27"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Arial" w:hAnsi="Arial" w:cs="Arial"/>
              </w:rPr>
              <w:t>■</w:t>
            </w:r>
          </w:p>
        </w:tc>
        <w:tc>
          <w:tcPr>
            <w:tcW w:w="760" w:type="dxa"/>
            <w:vAlign w:val="center"/>
          </w:tcPr>
          <w:p w14:paraId="497581A3"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mbria Math" w:hAnsi="Cambria Math" w:cs="Cambria Math"/>
              </w:rPr>
              <w:t>◆</w:t>
            </w:r>
          </w:p>
        </w:tc>
        <w:tc>
          <w:tcPr>
            <w:tcW w:w="760" w:type="dxa"/>
            <w:vAlign w:val="center"/>
          </w:tcPr>
          <w:p w14:paraId="3BFB1538"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760" w:type="dxa"/>
            <w:vAlign w:val="center"/>
          </w:tcPr>
          <w:p w14:paraId="2A69D85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2F0C9C" w:rsidRPr="002F0C9C" w14:paraId="18226EA9" w14:textId="77777777" w:rsidTr="002F0C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60" w:type="dxa"/>
            <w:tcBorders>
              <w:left w:val="none" w:sz="0" w:space="0" w:color="auto"/>
              <w:right w:val="none" w:sz="0" w:space="0" w:color="auto"/>
            </w:tcBorders>
            <w:vAlign w:val="center"/>
          </w:tcPr>
          <w:p w14:paraId="08C3D7BB" w14:textId="77777777" w:rsidR="002F0C9C" w:rsidRPr="002F0C9C" w:rsidRDefault="002F0C9C" w:rsidP="002F0C9C">
            <w:pPr>
              <w:spacing w:after="20"/>
              <w:jc w:val="center"/>
              <w:rPr>
                <w:rFonts w:ascii="Calibri" w:hAnsi="Calibri" w:cs="Calibri"/>
                <w:b w:val="0"/>
                <w:bCs w:val="0"/>
                <w:i/>
                <w:iCs/>
              </w:rPr>
            </w:pPr>
            <w:r w:rsidRPr="002F0C9C">
              <w:rPr>
                <w:rFonts w:ascii="Calibri" w:hAnsi="Calibri" w:cs="Calibri"/>
                <w:b w:val="0"/>
                <w:bCs w:val="0"/>
                <w:i/>
                <w:iCs/>
              </w:rPr>
              <w:t>5.0 Testing and launch (D5)</w:t>
            </w:r>
          </w:p>
        </w:tc>
        <w:tc>
          <w:tcPr>
            <w:tcW w:w="760" w:type="dxa"/>
            <w:tcBorders>
              <w:left w:val="none" w:sz="0" w:space="0" w:color="auto"/>
              <w:right w:val="none" w:sz="0" w:space="0" w:color="auto"/>
            </w:tcBorders>
            <w:vAlign w:val="center"/>
          </w:tcPr>
          <w:p w14:paraId="5C37CD11"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63C2DE7D"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45DE4F08"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7C8AB5C7"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706C8542"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0E411975"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727A674E"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5CDA1851"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35E3B45E"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760" w:type="dxa"/>
            <w:tcBorders>
              <w:left w:val="none" w:sz="0" w:space="0" w:color="auto"/>
              <w:right w:val="none" w:sz="0" w:space="0" w:color="auto"/>
            </w:tcBorders>
            <w:vAlign w:val="center"/>
          </w:tcPr>
          <w:p w14:paraId="7B8B44EC"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28E01C9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Arial" w:hAnsi="Arial" w:cs="Arial"/>
              </w:rPr>
              <w:t>■</w:t>
            </w:r>
          </w:p>
        </w:tc>
        <w:tc>
          <w:tcPr>
            <w:tcW w:w="760" w:type="dxa"/>
            <w:tcBorders>
              <w:left w:val="none" w:sz="0" w:space="0" w:color="auto"/>
              <w:right w:val="none" w:sz="0" w:space="0" w:color="auto"/>
            </w:tcBorders>
            <w:vAlign w:val="center"/>
          </w:tcPr>
          <w:p w14:paraId="38B52392"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mbria Math" w:hAnsi="Cambria Math" w:cs="Cambria Math"/>
              </w:rPr>
              <w:t>◆</w:t>
            </w:r>
          </w:p>
        </w:tc>
      </w:tr>
    </w:tbl>
    <w:p w14:paraId="7BFBFBF8" w14:textId="77777777" w:rsidR="002F0C9C" w:rsidRPr="002F0C9C" w:rsidRDefault="002F0C9C" w:rsidP="009E0D0B">
      <w:pPr>
        <w:jc w:val="center"/>
        <w:rPr>
          <w:rFonts w:ascii="Calibri" w:hAnsi="Calibri" w:cs="Calibri"/>
          <w:sz w:val="22"/>
          <w:szCs w:val="22"/>
        </w:rPr>
      </w:pPr>
      <w:r w:rsidRPr="002F0C9C">
        <w:rPr>
          <w:rFonts w:ascii="Calibri" w:hAnsi="Calibri" w:cs="Calibri"/>
          <w:sz w:val="22"/>
          <w:szCs w:val="22"/>
        </w:rPr>
        <w:t xml:space="preserve">Key: </w:t>
      </w:r>
      <w:r w:rsidRPr="002F0C9C">
        <w:rPr>
          <w:rFonts w:ascii="Arial" w:hAnsi="Arial" w:cs="Arial"/>
          <w:sz w:val="22"/>
          <w:szCs w:val="22"/>
        </w:rPr>
        <w:t>■</w:t>
      </w:r>
      <w:r w:rsidRPr="002F0C9C">
        <w:rPr>
          <w:rFonts w:ascii="Calibri" w:hAnsi="Calibri" w:cs="Calibri"/>
          <w:sz w:val="22"/>
          <w:szCs w:val="22"/>
        </w:rPr>
        <w:t xml:space="preserve"> Scheduled work; </w:t>
      </w:r>
      <w:r w:rsidRPr="002F0C9C">
        <w:rPr>
          <w:rFonts w:ascii="Cambria Math" w:hAnsi="Cambria Math" w:cs="Cambria Math"/>
          <w:sz w:val="22"/>
          <w:szCs w:val="22"/>
        </w:rPr>
        <w:t>◆</w:t>
      </w:r>
      <w:r w:rsidRPr="002F0C9C">
        <w:rPr>
          <w:rFonts w:ascii="Calibri" w:hAnsi="Calibri" w:cs="Calibri"/>
          <w:sz w:val="22"/>
          <w:szCs w:val="22"/>
        </w:rPr>
        <w:t xml:space="preserve"> Milestone achieved.</w:t>
      </w:r>
    </w:p>
    <w:p w14:paraId="380A5031" w14:textId="77777777" w:rsidR="009E0D0B" w:rsidRPr="009E0D0B" w:rsidRDefault="009E0D0B" w:rsidP="009E0D0B">
      <w:pPr>
        <w:jc w:val="both"/>
        <w:rPr>
          <w:rFonts w:ascii="Calibri" w:hAnsi="Calibri" w:cs="Calibri"/>
          <w:sz w:val="22"/>
          <w:szCs w:val="22"/>
        </w:rPr>
      </w:pPr>
      <w:r w:rsidRPr="009E0D0B">
        <w:rPr>
          <w:rFonts w:ascii="Calibri" w:hAnsi="Calibri" w:cs="Calibri"/>
          <w:sz w:val="22"/>
          <w:szCs w:val="22"/>
        </w:rPr>
        <w:t>The platform and a 200+ title catalogue should be ready in Week 7, and collection procedure should be completed by Week 8. Training will conclude in Week 10, and 20 simulated orders will be tested and any critical defect corrected in Week 11. Final acceptance and launch to take place in Week 12.</w:t>
      </w:r>
    </w:p>
    <w:p w14:paraId="1272C46E" w14:textId="7EB333B3" w:rsidR="002F0C9C" w:rsidRPr="002F0C9C" w:rsidRDefault="009E0D0B" w:rsidP="009E0D0B">
      <w:pPr>
        <w:jc w:val="both"/>
        <w:rPr>
          <w:rFonts w:ascii="Calibri" w:hAnsi="Calibri" w:cs="Calibri"/>
          <w:sz w:val="22"/>
          <w:szCs w:val="22"/>
        </w:rPr>
      </w:pPr>
      <w:r w:rsidRPr="009E0D0B">
        <w:rPr>
          <w:rFonts w:ascii="Calibri" w:hAnsi="Calibri" w:cs="Calibri"/>
          <w:sz w:val="22"/>
          <w:szCs w:val="22"/>
        </w:rPr>
        <w:t>If the requirements approval and/or the platform configuration is delayed, it may impact later activities. Milestones will be reviewed weekly, then, to determine progress against the baseline schedule and corrective action required. The early detection of deviations is essential as this allows management to intervene, which is why schedule monitoring is important (Mayo-Alvarez et al., 2022). The 12 week programme is subject to change until resources for the programme are confirmed and supplier lead times.</w:t>
      </w:r>
    </w:p>
    <w:p w14:paraId="57E66143"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7. Resource Requirements and Stakeholder Management</w:t>
      </w:r>
    </w:p>
    <w:p w14:paraId="3C2E351C" w14:textId="5BC7DD16" w:rsidR="002F0C9C" w:rsidRPr="002F0C9C" w:rsidRDefault="009E0D0B" w:rsidP="002F0C9C">
      <w:pPr>
        <w:jc w:val="both"/>
        <w:rPr>
          <w:rFonts w:ascii="Calibri" w:hAnsi="Calibri" w:cs="Calibri"/>
          <w:sz w:val="22"/>
          <w:szCs w:val="22"/>
        </w:rPr>
      </w:pPr>
      <w:r w:rsidRPr="009E0D0B">
        <w:rPr>
          <w:rFonts w:ascii="Calibri" w:hAnsi="Calibri" w:cs="Calibri"/>
          <w:sz w:val="22"/>
          <w:szCs w:val="22"/>
        </w:rPr>
        <w:t>The project will need one shop manager, four employees who have been assigned to the project and external technical assistance. Manager will review and authorise requirements (D1), monitor spend and authorise launch. The platform supplier will set up the ordering system and 200-title catalogue (D2), and workers will be involved in developing collection procedure (D3), training (D4) and testing (D5). The necessary resources are existing computers, access to the internet, stock records, a cloud based ordering platform and training materials.</w:t>
      </w:r>
    </w:p>
    <w:p w14:paraId="53B850FB" w14:textId="77777777" w:rsidR="002F0C9C" w:rsidRPr="002F0C9C" w:rsidRDefault="002F0C9C" w:rsidP="002F0C9C">
      <w:pPr>
        <w:pStyle w:val="Caption"/>
        <w:jc w:val="both"/>
        <w:rPr>
          <w:rFonts w:ascii="Calibri" w:hAnsi="Calibri" w:cs="Calibri"/>
          <w:sz w:val="22"/>
          <w:szCs w:val="22"/>
        </w:rPr>
      </w:pPr>
      <w:r w:rsidRPr="002F0C9C">
        <w:rPr>
          <w:rFonts w:ascii="Calibri" w:hAnsi="Calibri" w:cs="Calibri"/>
          <w:sz w:val="22"/>
          <w:szCs w:val="22"/>
        </w:rPr>
        <w:t>Table 1. Indicative project budget (£)</w:t>
      </w:r>
    </w:p>
    <w:tbl>
      <w:tblPr>
        <w:tblStyle w:val="LightShading-Accent1"/>
        <w:tblW w:w="0" w:type="auto"/>
        <w:jc w:val="center"/>
        <w:tblLook w:val="04A0" w:firstRow="1" w:lastRow="0" w:firstColumn="1" w:lastColumn="0" w:noHBand="0" w:noVBand="1"/>
      </w:tblPr>
      <w:tblGrid>
        <w:gridCol w:w="4529"/>
        <w:gridCol w:w="4497"/>
      </w:tblGrid>
      <w:tr w:rsidR="002F0C9C" w:rsidRPr="002F0C9C" w14:paraId="4136AF68" w14:textId="77777777" w:rsidTr="009E0D0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610796E8"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Resource</w:t>
            </w:r>
          </w:p>
        </w:tc>
        <w:tc>
          <w:tcPr>
            <w:tcW w:w="4497" w:type="dxa"/>
            <w:vAlign w:val="center"/>
          </w:tcPr>
          <w:p w14:paraId="7B35276E" w14:textId="77777777" w:rsidR="002F0C9C" w:rsidRPr="002F0C9C" w:rsidRDefault="002F0C9C" w:rsidP="002F0C9C">
            <w:pPr>
              <w:spacing w:after="20"/>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Estimated cost</w:t>
            </w:r>
          </w:p>
        </w:tc>
      </w:tr>
      <w:tr w:rsidR="002F0C9C" w:rsidRPr="002F0C9C" w14:paraId="67862F9D"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69F3F9C7"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Platform setup and configuration</w:t>
            </w:r>
          </w:p>
        </w:tc>
        <w:tc>
          <w:tcPr>
            <w:tcW w:w="4497" w:type="dxa"/>
            <w:vAlign w:val="center"/>
          </w:tcPr>
          <w:p w14:paraId="4FC22EB2" w14:textId="77777777" w:rsidR="002F0C9C" w:rsidRPr="002F0C9C" w:rsidRDefault="002F0C9C" w:rsidP="002F0C9C">
            <w:pPr>
              <w:spacing w:after="20"/>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650</w:t>
            </w:r>
          </w:p>
        </w:tc>
      </w:tr>
      <w:tr w:rsidR="002F0C9C" w:rsidRPr="002F0C9C" w14:paraId="6E1E4F3E"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21DD88C8"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Software subscription (three months)</w:t>
            </w:r>
          </w:p>
        </w:tc>
        <w:tc>
          <w:tcPr>
            <w:tcW w:w="4497" w:type="dxa"/>
            <w:vAlign w:val="center"/>
          </w:tcPr>
          <w:p w14:paraId="4AD525F7" w14:textId="77777777" w:rsidR="002F0C9C" w:rsidRPr="002F0C9C" w:rsidRDefault="002F0C9C" w:rsidP="002F0C9C">
            <w:pPr>
              <w:spacing w:after="2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240</w:t>
            </w:r>
          </w:p>
        </w:tc>
      </w:tr>
      <w:tr w:rsidR="002F0C9C" w:rsidRPr="002F0C9C" w14:paraId="622E8625"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1BD2E78D"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Staff training and preparation</w:t>
            </w:r>
          </w:p>
        </w:tc>
        <w:tc>
          <w:tcPr>
            <w:tcW w:w="4497" w:type="dxa"/>
            <w:vAlign w:val="center"/>
          </w:tcPr>
          <w:p w14:paraId="0509C09A" w14:textId="77777777" w:rsidR="002F0C9C" w:rsidRPr="002F0C9C" w:rsidRDefault="002F0C9C" w:rsidP="002F0C9C">
            <w:pPr>
              <w:spacing w:after="20"/>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300</w:t>
            </w:r>
          </w:p>
        </w:tc>
      </w:tr>
      <w:tr w:rsidR="002F0C9C" w:rsidRPr="002F0C9C" w14:paraId="10D4ED44"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2DDD2E1B"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Testing and promotional materials</w:t>
            </w:r>
          </w:p>
        </w:tc>
        <w:tc>
          <w:tcPr>
            <w:tcW w:w="4497" w:type="dxa"/>
            <w:vAlign w:val="center"/>
          </w:tcPr>
          <w:p w14:paraId="193E9488" w14:textId="77777777" w:rsidR="002F0C9C" w:rsidRPr="002F0C9C" w:rsidRDefault="002F0C9C" w:rsidP="002F0C9C">
            <w:pPr>
              <w:spacing w:after="2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160</w:t>
            </w:r>
          </w:p>
        </w:tc>
      </w:tr>
      <w:tr w:rsidR="002F0C9C" w:rsidRPr="002F0C9C" w14:paraId="4F213F2B"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539F0499"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Contingency</w:t>
            </w:r>
          </w:p>
        </w:tc>
        <w:tc>
          <w:tcPr>
            <w:tcW w:w="4497" w:type="dxa"/>
            <w:vAlign w:val="center"/>
          </w:tcPr>
          <w:p w14:paraId="16803295" w14:textId="77777777" w:rsidR="002F0C9C" w:rsidRPr="002F0C9C" w:rsidRDefault="002F0C9C" w:rsidP="002F0C9C">
            <w:pPr>
              <w:spacing w:after="20"/>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150</w:t>
            </w:r>
          </w:p>
        </w:tc>
      </w:tr>
      <w:tr w:rsidR="002F0C9C" w:rsidRPr="002F0C9C" w14:paraId="4C4A0054"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4529" w:type="dxa"/>
            <w:vAlign w:val="center"/>
          </w:tcPr>
          <w:p w14:paraId="49812192" w14:textId="77777777" w:rsidR="002F0C9C" w:rsidRPr="002F0C9C" w:rsidRDefault="002F0C9C" w:rsidP="002F0C9C">
            <w:pPr>
              <w:spacing w:after="20"/>
              <w:rPr>
                <w:rFonts w:ascii="Calibri" w:hAnsi="Calibri" w:cs="Calibri"/>
                <w:b w:val="0"/>
                <w:bCs w:val="0"/>
                <w:i/>
                <w:iCs/>
              </w:rPr>
            </w:pPr>
            <w:r w:rsidRPr="002F0C9C">
              <w:rPr>
                <w:rFonts w:ascii="Calibri" w:hAnsi="Calibri" w:cs="Calibri"/>
                <w:b w:val="0"/>
                <w:bCs w:val="0"/>
                <w:i/>
                <w:iCs/>
              </w:rPr>
              <w:t>Total</w:t>
            </w:r>
          </w:p>
        </w:tc>
        <w:tc>
          <w:tcPr>
            <w:tcW w:w="4497" w:type="dxa"/>
            <w:vAlign w:val="center"/>
          </w:tcPr>
          <w:p w14:paraId="79F1CCC8" w14:textId="77777777" w:rsidR="002F0C9C" w:rsidRPr="002F0C9C" w:rsidRDefault="002F0C9C" w:rsidP="002F0C9C">
            <w:pPr>
              <w:spacing w:after="2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1,500</w:t>
            </w:r>
          </w:p>
        </w:tc>
      </w:tr>
    </w:tbl>
    <w:p w14:paraId="0D7CBC51" w14:textId="77777777" w:rsidR="009E0D0B" w:rsidRPr="009E0D0B" w:rsidRDefault="009E0D0B" w:rsidP="009E0D0B">
      <w:pPr>
        <w:jc w:val="both"/>
        <w:rPr>
          <w:rFonts w:ascii="Calibri" w:hAnsi="Calibri" w:cs="Calibri"/>
          <w:sz w:val="22"/>
          <w:szCs w:val="22"/>
        </w:rPr>
      </w:pPr>
      <w:r w:rsidRPr="009E0D0B">
        <w:rPr>
          <w:rFonts w:ascii="Calibri" w:hAnsi="Calibri" w:cs="Calibri"/>
          <w:sz w:val="22"/>
          <w:szCs w:val="22"/>
        </w:rPr>
        <w:t>All costs are planned and are hypothetical, the contingency of £150 is included in the total cost of £1,500.</w:t>
      </w:r>
    </w:p>
    <w:p w14:paraId="422EE370" w14:textId="05511F9C" w:rsidR="002F0C9C" w:rsidRPr="002F0C9C" w:rsidRDefault="009E0D0B" w:rsidP="009E0D0B">
      <w:pPr>
        <w:jc w:val="both"/>
        <w:rPr>
          <w:rFonts w:ascii="Calibri" w:hAnsi="Calibri" w:cs="Calibri"/>
          <w:sz w:val="22"/>
          <w:szCs w:val="22"/>
        </w:rPr>
      </w:pPr>
      <w:r w:rsidRPr="009E0D0B">
        <w:rPr>
          <w:rFonts w:ascii="Calibri" w:hAnsi="Calibri" w:cs="Calibri"/>
          <w:sz w:val="22"/>
          <w:szCs w:val="22"/>
        </w:rPr>
        <w:lastRenderedPageBreak/>
        <w:t>Involving stakeholders is crucial since the project requires management approval, employee cooperation, supplier delivery and customer acceptance. Research emphasizes that stakeholders need to be identified and kept in touch from the beginning of a project, with their concerns being taken into account during project implementation (Rafeh et al., 2023).</w:t>
      </w:r>
    </w:p>
    <w:p w14:paraId="1BD8163B" w14:textId="77777777" w:rsidR="002F0C9C" w:rsidRPr="002F0C9C" w:rsidRDefault="002F0C9C" w:rsidP="002F0C9C">
      <w:pPr>
        <w:pStyle w:val="Caption"/>
        <w:jc w:val="both"/>
        <w:rPr>
          <w:rFonts w:ascii="Calibri" w:hAnsi="Calibri" w:cs="Calibri"/>
          <w:sz w:val="22"/>
          <w:szCs w:val="22"/>
        </w:rPr>
      </w:pPr>
      <w:r w:rsidRPr="002F0C9C">
        <w:rPr>
          <w:rFonts w:ascii="Calibri" w:hAnsi="Calibri" w:cs="Calibri"/>
          <w:sz w:val="22"/>
          <w:szCs w:val="22"/>
        </w:rPr>
        <w:t>Table 2. Stakeholder matrix</w:t>
      </w:r>
    </w:p>
    <w:tbl>
      <w:tblPr>
        <w:tblStyle w:val="LightShading-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79"/>
        <w:gridCol w:w="2237"/>
        <w:gridCol w:w="2215"/>
        <w:gridCol w:w="2285"/>
      </w:tblGrid>
      <w:tr w:rsidR="002F0C9C" w:rsidRPr="002F0C9C" w14:paraId="06593B1C" w14:textId="77777777" w:rsidTr="009E0D0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79" w:type="dxa"/>
            <w:tcBorders>
              <w:top w:val="none" w:sz="0" w:space="0" w:color="auto"/>
              <w:left w:val="none" w:sz="0" w:space="0" w:color="auto"/>
              <w:bottom w:val="none" w:sz="0" w:space="0" w:color="auto"/>
              <w:right w:val="none" w:sz="0" w:space="0" w:color="auto"/>
            </w:tcBorders>
            <w:vAlign w:val="center"/>
          </w:tcPr>
          <w:p w14:paraId="4BD9A768" w14:textId="77777777" w:rsidR="002F0C9C" w:rsidRPr="002F0C9C" w:rsidRDefault="002F0C9C" w:rsidP="002F0C9C">
            <w:pPr>
              <w:spacing w:after="20"/>
              <w:jc w:val="both"/>
              <w:rPr>
                <w:rFonts w:ascii="Calibri" w:hAnsi="Calibri" w:cs="Calibri"/>
              </w:rPr>
            </w:pPr>
            <w:r w:rsidRPr="002F0C9C">
              <w:rPr>
                <w:rFonts w:ascii="Calibri" w:hAnsi="Calibri" w:cs="Calibri"/>
              </w:rPr>
              <w:t>Stakeholder</w:t>
            </w:r>
          </w:p>
        </w:tc>
        <w:tc>
          <w:tcPr>
            <w:tcW w:w="2237" w:type="dxa"/>
            <w:tcBorders>
              <w:top w:val="none" w:sz="0" w:space="0" w:color="auto"/>
              <w:left w:val="none" w:sz="0" w:space="0" w:color="auto"/>
              <w:bottom w:val="none" w:sz="0" w:space="0" w:color="auto"/>
              <w:right w:val="none" w:sz="0" w:space="0" w:color="auto"/>
            </w:tcBorders>
            <w:vAlign w:val="center"/>
          </w:tcPr>
          <w:p w14:paraId="77F80FAD" w14:textId="77777777" w:rsidR="002F0C9C" w:rsidRPr="002F0C9C" w:rsidRDefault="002F0C9C" w:rsidP="002F0C9C">
            <w:pPr>
              <w:spacing w:after="20"/>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Influence</w:t>
            </w:r>
          </w:p>
        </w:tc>
        <w:tc>
          <w:tcPr>
            <w:tcW w:w="2215" w:type="dxa"/>
            <w:tcBorders>
              <w:top w:val="none" w:sz="0" w:space="0" w:color="auto"/>
              <w:left w:val="none" w:sz="0" w:space="0" w:color="auto"/>
              <w:bottom w:val="none" w:sz="0" w:space="0" w:color="auto"/>
              <w:right w:val="none" w:sz="0" w:space="0" w:color="auto"/>
            </w:tcBorders>
            <w:vAlign w:val="center"/>
          </w:tcPr>
          <w:p w14:paraId="027E6A52" w14:textId="77777777" w:rsidR="002F0C9C" w:rsidRPr="002F0C9C" w:rsidRDefault="002F0C9C" w:rsidP="002F0C9C">
            <w:pPr>
              <w:spacing w:after="20"/>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Interest</w:t>
            </w:r>
          </w:p>
        </w:tc>
        <w:tc>
          <w:tcPr>
            <w:tcW w:w="2285" w:type="dxa"/>
            <w:tcBorders>
              <w:top w:val="none" w:sz="0" w:space="0" w:color="auto"/>
              <w:left w:val="none" w:sz="0" w:space="0" w:color="auto"/>
              <w:bottom w:val="none" w:sz="0" w:space="0" w:color="auto"/>
              <w:right w:val="none" w:sz="0" w:space="0" w:color="auto"/>
            </w:tcBorders>
            <w:vAlign w:val="center"/>
          </w:tcPr>
          <w:p w14:paraId="46C172AD" w14:textId="77777777" w:rsidR="002F0C9C" w:rsidRPr="002F0C9C" w:rsidRDefault="002F0C9C" w:rsidP="002F0C9C">
            <w:pPr>
              <w:spacing w:after="20"/>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Engagement</w:t>
            </w:r>
          </w:p>
        </w:tc>
      </w:tr>
      <w:tr w:rsidR="002F0C9C" w:rsidRPr="002F0C9C" w14:paraId="47B7E238"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79" w:type="dxa"/>
            <w:tcBorders>
              <w:left w:val="none" w:sz="0" w:space="0" w:color="auto"/>
              <w:right w:val="none" w:sz="0" w:space="0" w:color="auto"/>
            </w:tcBorders>
            <w:vAlign w:val="center"/>
          </w:tcPr>
          <w:p w14:paraId="283D46A3" w14:textId="77777777" w:rsidR="002F0C9C" w:rsidRPr="002F0C9C" w:rsidRDefault="002F0C9C" w:rsidP="002F0C9C">
            <w:pPr>
              <w:spacing w:after="20"/>
              <w:jc w:val="center"/>
              <w:rPr>
                <w:rFonts w:ascii="Calibri" w:hAnsi="Calibri" w:cs="Calibri"/>
              </w:rPr>
            </w:pPr>
            <w:r w:rsidRPr="002F0C9C">
              <w:rPr>
                <w:rFonts w:ascii="Calibri" w:hAnsi="Calibri" w:cs="Calibri"/>
              </w:rPr>
              <w:t>Shop manager</w:t>
            </w:r>
          </w:p>
        </w:tc>
        <w:tc>
          <w:tcPr>
            <w:tcW w:w="2237" w:type="dxa"/>
            <w:tcBorders>
              <w:left w:val="none" w:sz="0" w:space="0" w:color="auto"/>
              <w:right w:val="none" w:sz="0" w:space="0" w:color="auto"/>
            </w:tcBorders>
            <w:vAlign w:val="center"/>
          </w:tcPr>
          <w:p w14:paraId="51CBAE29"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High</w:t>
            </w:r>
          </w:p>
        </w:tc>
        <w:tc>
          <w:tcPr>
            <w:tcW w:w="2215" w:type="dxa"/>
            <w:tcBorders>
              <w:left w:val="none" w:sz="0" w:space="0" w:color="auto"/>
              <w:right w:val="none" w:sz="0" w:space="0" w:color="auto"/>
            </w:tcBorders>
            <w:vAlign w:val="center"/>
          </w:tcPr>
          <w:p w14:paraId="0DE537A9"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High</w:t>
            </w:r>
          </w:p>
        </w:tc>
        <w:tc>
          <w:tcPr>
            <w:tcW w:w="2285" w:type="dxa"/>
            <w:tcBorders>
              <w:left w:val="none" w:sz="0" w:space="0" w:color="auto"/>
              <w:right w:val="none" w:sz="0" w:space="0" w:color="auto"/>
            </w:tcBorders>
            <w:vAlign w:val="center"/>
          </w:tcPr>
          <w:p w14:paraId="2D94FCED"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Weekly progress and budget reviews</w:t>
            </w:r>
          </w:p>
        </w:tc>
      </w:tr>
      <w:tr w:rsidR="002F0C9C" w:rsidRPr="002F0C9C" w14:paraId="7EF3B09B"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2279" w:type="dxa"/>
            <w:vAlign w:val="center"/>
          </w:tcPr>
          <w:p w14:paraId="746E5B2D" w14:textId="77777777" w:rsidR="002F0C9C" w:rsidRPr="002F0C9C" w:rsidRDefault="002F0C9C" w:rsidP="002F0C9C">
            <w:pPr>
              <w:spacing w:after="20"/>
              <w:jc w:val="center"/>
              <w:rPr>
                <w:rFonts w:ascii="Calibri" w:hAnsi="Calibri" w:cs="Calibri"/>
              </w:rPr>
            </w:pPr>
            <w:r w:rsidRPr="002F0C9C">
              <w:rPr>
                <w:rFonts w:ascii="Calibri" w:hAnsi="Calibri" w:cs="Calibri"/>
              </w:rPr>
              <w:t>Employees</w:t>
            </w:r>
          </w:p>
        </w:tc>
        <w:tc>
          <w:tcPr>
            <w:tcW w:w="2237" w:type="dxa"/>
            <w:vAlign w:val="center"/>
          </w:tcPr>
          <w:p w14:paraId="48ACCF93"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Medium</w:t>
            </w:r>
          </w:p>
        </w:tc>
        <w:tc>
          <w:tcPr>
            <w:tcW w:w="2215" w:type="dxa"/>
            <w:vAlign w:val="center"/>
          </w:tcPr>
          <w:p w14:paraId="28A4088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High</w:t>
            </w:r>
          </w:p>
        </w:tc>
        <w:tc>
          <w:tcPr>
            <w:tcW w:w="2285" w:type="dxa"/>
            <w:vAlign w:val="center"/>
          </w:tcPr>
          <w:p w14:paraId="37E8F45F"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Training and feedback sessions</w:t>
            </w:r>
          </w:p>
        </w:tc>
      </w:tr>
      <w:tr w:rsidR="002F0C9C" w:rsidRPr="002F0C9C" w14:paraId="2117987D"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79" w:type="dxa"/>
            <w:tcBorders>
              <w:left w:val="none" w:sz="0" w:space="0" w:color="auto"/>
              <w:right w:val="none" w:sz="0" w:space="0" w:color="auto"/>
            </w:tcBorders>
            <w:vAlign w:val="center"/>
          </w:tcPr>
          <w:p w14:paraId="65CB312D" w14:textId="77777777" w:rsidR="002F0C9C" w:rsidRPr="002F0C9C" w:rsidRDefault="002F0C9C" w:rsidP="002F0C9C">
            <w:pPr>
              <w:spacing w:after="20"/>
              <w:jc w:val="center"/>
              <w:rPr>
                <w:rFonts w:ascii="Calibri" w:hAnsi="Calibri" w:cs="Calibri"/>
              </w:rPr>
            </w:pPr>
            <w:r w:rsidRPr="002F0C9C">
              <w:rPr>
                <w:rFonts w:ascii="Calibri" w:hAnsi="Calibri" w:cs="Calibri"/>
              </w:rPr>
              <w:t>Platform supplier</w:t>
            </w:r>
          </w:p>
        </w:tc>
        <w:tc>
          <w:tcPr>
            <w:tcW w:w="2237" w:type="dxa"/>
            <w:tcBorders>
              <w:left w:val="none" w:sz="0" w:space="0" w:color="auto"/>
              <w:right w:val="none" w:sz="0" w:space="0" w:color="auto"/>
            </w:tcBorders>
            <w:vAlign w:val="center"/>
          </w:tcPr>
          <w:p w14:paraId="3F2A89C1"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High</w:t>
            </w:r>
          </w:p>
        </w:tc>
        <w:tc>
          <w:tcPr>
            <w:tcW w:w="2215" w:type="dxa"/>
            <w:tcBorders>
              <w:left w:val="none" w:sz="0" w:space="0" w:color="auto"/>
              <w:right w:val="none" w:sz="0" w:space="0" w:color="auto"/>
            </w:tcBorders>
            <w:vAlign w:val="center"/>
          </w:tcPr>
          <w:p w14:paraId="5DF374FF"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High</w:t>
            </w:r>
          </w:p>
        </w:tc>
        <w:tc>
          <w:tcPr>
            <w:tcW w:w="2285" w:type="dxa"/>
            <w:tcBorders>
              <w:left w:val="none" w:sz="0" w:space="0" w:color="auto"/>
              <w:right w:val="none" w:sz="0" w:space="0" w:color="auto"/>
            </w:tcBorders>
            <w:vAlign w:val="center"/>
          </w:tcPr>
          <w:p w14:paraId="5FDC4A3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Scheduled technical reviews</w:t>
            </w:r>
          </w:p>
        </w:tc>
      </w:tr>
      <w:tr w:rsidR="002F0C9C" w:rsidRPr="002F0C9C" w14:paraId="5BDDD4D2"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2279" w:type="dxa"/>
            <w:vAlign w:val="center"/>
          </w:tcPr>
          <w:p w14:paraId="2141C6F5" w14:textId="77777777" w:rsidR="002F0C9C" w:rsidRPr="002F0C9C" w:rsidRDefault="002F0C9C" w:rsidP="002F0C9C">
            <w:pPr>
              <w:spacing w:after="20"/>
              <w:jc w:val="center"/>
              <w:rPr>
                <w:rFonts w:ascii="Calibri" w:hAnsi="Calibri" w:cs="Calibri"/>
              </w:rPr>
            </w:pPr>
            <w:r w:rsidRPr="002F0C9C">
              <w:rPr>
                <w:rFonts w:ascii="Calibri" w:hAnsi="Calibri" w:cs="Calibri"/>
              </w:rPr>
              <w:t>Customers</w:t>
            </w:r>
          </w:p>
        </w:tc>
        <w:tc>
          <w:tcPr>
            <w:tcW w:w="2237" w:type="dxa"/>
            <w:vAlign w:val="center"/>
          </w:tcPr>
          <w:p w14:paraId="737A6CC8"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Low</w:t>
            </w:r>
          </w:p>
        </w:tc>
        <w:tc>
          <w:tcPr>
            <w:tcW w:w="2215" w:type="dxa"/>
            <w:vAlign w:val="center"/>
          </w:tcPr>
          <w:p w14:paraId="3AAC354F"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High</w:t>
            </w:r>
          </w:p>
        </w:tc>
        <w:tc>
          <w:tcPr>
            <w:tcW w:w="2285" w:type="dxa"/>
            <w:vAlign w:val="center"/>
          </w:tcPr>
          <w:p w14:paraId="7B85ECE4"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Pre-launch information and feedback</w:t>
            </w:r>
          </w:p>
        </w:tc>
      </w:tr>
    </w:tbl>
    <w:p w14:paraId="683A6F01" w14:textId="2630C3D1" w:rsidR="002F0C9C" w:rsidRPr="002F0C9C" w:rsidRDefault="009E0D0B" w:rsidP="002F0C9C">
      <w:pPr>
        <w:jc w:val="both"/>
        <w:rPr>
          <w:rFonts w:ascii="Calibri" w:hAnsi="Calibri" w:cs="Calibri"/>
          <w:sz w:val="22"/>
          <w:szCs w:val="22"/>
        </w:rPr>
      </w:pPr>
      <w:r w:rsidRPr="009E0D0B">
        <w:rPr>
          <w:rFonts w:ascii="Calibri" w:hAnsi="Calibri" w:cs="Calibri"/>
          <w:sz w:val="22"/>
          <w:szCs w:val="22"/>
        </w:rPr>
        <w:t>The manager will be responsible for coordinating resources, which will include weekly review. If there is a problem with a supplier or unforeseen expenses, this will be dealt with by changing the schedule or seeking an exception, as well as employee consultation for smaller improvements prior to final testing.</w:t>
      </w:r>
    </w:p>
    <w:p w14:paraId="24C156BA"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8. Project Monitoring, Control and Risk Management</w:t>
      </w:r>
    </w:p>
    <w:p w14:paraId="2828DD7C" w14:textId="77777777" w:rsidR="002F0C9C" w:rsidRPr="002F0C9C" w:rsidRDefault="002F0C9C" w:rsidP="002F0C9C">
      <w:pPr>
        <w:pStyle w:val="Heading2"/>
        <w:jc w:val="both"/>
        <w:rPr>
          <w:rFonts w:ascii="Calibri" w:hAnsi="Calibri" w:cs="Calibri"/>
          <w:sz w:val="22"/>
          <w:szCs w:val="22"/>
        </w:rPr>
      </w:pPr>
      <w:r w:rsidRPr="002F0C9C">
        <w:rPr>
          <w:rFonts w:ascii="Calibri" w:hAnsi="Calibri" w:cs="Calibri"/>
          <w:sz w:val="22"/>
          <w:szCs w:val="22"/>
        </w:rPr>
        <w:t>8.1 Progress and Quality Control</w:t>
      </w:r>
    </w:p>
    <w:p w14:paraId="2168E3DC" w14:textId="45EB9107" w:rsidR="009E0D0B" w:rsidRPr="009E0D0B" w:rsidRDefault="009E0D0B" w:rsidP="009E0D0B">
      <w:pPr>
        <w:jc w:val="both"/>
        <w:rPr>
          <w:rFonts w:ascii="Calibri" w:hAnsi="Calibri" w:cs="Calibri"/>
          <w:sz w:val="22"/>
          <w:szCs w:val="22"/>
        </w:rPr>
      </w:pPr>
      <w:r w:rsidRPr="009E0D0B">
        <w:rPr>
          <w:rFonts w:ascii="Calibri" w:hAnsi="Calibri" w:cs="Calibri"/>
          <w:sz w:val="22"/>
          <w:szCs w:val="22"/>
        </w:rPr>
        <w:t xml:space="preserve">Progress of the project will be evaluated by weekly reviews against the </w:t>
      </w:r>
      <w:r w:rsidRPr="009E0D0B">
        <w:rPr>
          <w:rFonts w:ascii="Calibri" w:hAnsi="Calibri" w:cs="Calibri"/>
          <w:sz w:val="22"/>
          <w:szCs w:val="22"/>
        </w:rPr>
        <w:t>12-week</w:t>
      </w:r>
      <w:r w:rsidRPr="009E0D0B">
        <w:rPr>
          <w:rFonts w:ascii="Calibri" w:hAnsi="Calibri" w:cs="Calibri"/>
          <w:sz w:val="22"/>
          <w:szCs w:val="22"/>
        </w:rPr>
        <w:t xml:space="preserve"> </w:t>
      </w:r>
      <w:r w:rsidRPr="009E0D0B">
        <w:rPr>
          <w:rFonts w:ascii="Calibri" w:hAnsi="Calibri" w:cs="Calibri"/>
          <w:sz w:val="22"/>
          <w:szCs w:val="22"/>
        </w:rPr>
        <w:t>Gantt</w:t>
      </w:r>
      <w:r w:rsidRPr="009E0D0B">
        <w:rPr>
          <w:rFonts w:ascii="Calibri" w:hAnsi="Calibri" w:cs="Calibri"/>
          <w:sz w:val="22"/>
          <w:szCs w:val="22"/>
        </w:rPr>
        <w:t xml:space="preserve"> </w:t>
      </w:r>
      <w:r>
        <w:rPr>
          <w:rFonts w:ascii="Calibri" w:hAnsi="Calibri" w:cs="Calibri"/>
          <w:sz w:val="22"/>
          <w:szCs w:val="22"/>
        </w:rPr>
        <w:t>C</w:t>
      </w:r>
      <w:r w:rsidRPr="009E0D0B">
        <w:rPr>
          <w:rFonts w:ascii="Calibri" w:hAnsi="Calibri" w:cs="Calibri"/>
          <w:sz w:val="22"/>
          <w:szCs w:val="22"/>
        </w:rPr>
        <w:t>hart of completed work. The shop manager will keep a progress log that will include outstanding issues, expenditure and milestones. Key control points will be requirements approval (Week 2), platform readiness (Week 7), training complete (Week 10) and successful testing (Week 11). Monitoring and risk management can be integrated into the project, which can help to improve implementation (Al Jarrah et al., 2022).</w:t>
      </w:r>
    </w:p>
    <w:p w14:paraId="35D33526" w14:textId="5CD2FC17" w:rsidR="002F0C9C" w:rsidRDefault="009E0D0B" w:rsidP="009E0D0B">
      <w:pPr>
        <w:jc w:val="both"/>
        <w:rPr>
          <w:rFonts w:ascii="Calibri" w:hAnsi="Calibri" w:cs="Calibri"/>
          <w:sz w:val="22"/>
          <w:szCs w:val="22"/>
        </w:rPr>
      </w:pPr>
      <w:r w:rsidRPr="009E0D0B">
        <w:rPr>
          <w:rFonts w:ascii="Calibri" w:hAnsi="Calibri" w:cs="Calibri"/>
          <w:sz w:val="22"/>
          <w:szCs w:val="22"/>
        </w:rPr>
        <w:t xml:space="preserve">The indicative budget is £1,500 and this will be reviewed against the commitments and expenditure. Any overspend in the forecast needs to be reported before additional spending is approved. The £150 contingency will not cover scope changes without the manager's approval. Quality checks will be carried out to check the accuracy of catalogues, order notification and collection procedures. The four employees need to be </w:t>
      </w:r>
      <w:r w:rsidRPr="009E0D0B">
        <w:rPr>
          <w:rFonts w:ascii="Calibri" w:hAnsi="Calibri" w:cs="Calibri"/>
          <w:sz w:val="22"/>
          <w:szCs w:val="22"/>
        </w:rPr>
        <w:t>trained,</w:t>
      </w:r>
      <w:r w:rsidRPr="009E0D0B">
        <w:rPr>
          <w:rFonts w:ascii="Calibri" w:hAnsi="Calibri" w:cs="Calibri"/>
          <w:sz w:val="22"/>
          <w:szCs w:val="22"/>
        </w:rPr>
        <w:t xml:space="preserve"> and 20 orders need to be simulated without critical fulfilment error, before being allowed to launch.</w:t>
      </w:r>
    </w:p>
    <w:p w14:paraId="09826F61" w14:textId="77777777" w:rsidR="002F0C9C" w:rsidRDefault="002F0C9C" w:rsidP="002F0C9C">
      <w:pPr>
        <w:jc w:val="both"/>
        <w:rPr>
          <w:rFonts w:ascii="Calibri" w:hAnsi="Calibri" w:cs="Calibri"/>
          <w:sz w:val="22"/>
          <w:szCs w:val="22"/>
        </w:rPr>
      </w:pPr>
      <w:r>
        <w:rPr>
          <w:rFonts w:ascii="Calibri" w:hAnsi="Calibri" w:cs="Calibri"/>
          <w:sz w:val="22"/>
          <w:szCs w:val="22"/>
        </w:rPr>
        <w:br w:type="page"/>
      </w:r>
    </w:p>
    <w:p w14:paraId="02AAB27F" w14:textId="77777777" w:rsidR="002F0C9C" w:rsidRPr="002F0C9C" w:rsidRDefault="002F0C9C" w:rsidP="002F0C9C">
      <w:pPr>
        <w:pStyle w:val="Heading2"/>
        <w:jc w:val="both"/>
        <w:rPr>
          <w:rFonts w:ascii="Calibri" w:hAnsi="Calibri" w:cs="Calibri"/>
          <w:sz w:val="22"/>
          <w:szCs w:val="22"/>
        </w:rPr>
      </w:pPr>
      <w:r w:rsidRPr="002F0C9C">
        <w:rPr>
          <w:rFonts w:ascii="Calibri" w:hAnsi="Calibri" w:cs="Calibri"/>
          <w:sz w:val="22"/>
          <w:szCs w:val="22"/>
        </w:rPr>
        <w:lastRenderedPageBreak/>
        <w:t>8.2 Risk Identification and Response</w:t>
      </w:r>
    </w:p>
    <w:p w14:paraId="698E74BF" w14:textId="77777777" w:rsidR="002F0C9C" w:rsidRPr="002F0C9C" w:rsidRDefault="002F0C9C" w:rsidP="002F0C9C">
      <w:pPr>
        <w:pStyle w:val="Caption"/>
        <w:jc w:val="both"/>
        <w:rPr>
          <w:rFonts w:ascii="Calibri" w:hAnsi="Calibri" w:cs="Calibri"/>
          <w:sz w:val="22"/>
          <w:szCs w:val="22"/>
        </w:rPr>
      </w:pPr>
      <w:r w:rsidRPr="002F0C9C">
        <w:rPr>
          <w:rFonts w:ascii="Calibri" w:hAnsi="Calibri" w:cs="Calibri"/>
          <w:sz w:val="22"/>
          <w:szCs w:val="22"/>
        </w:rPr>
        <w:t>Table 3. Project risk register</w:t>
      </w:r>
    </w:p>
    <w:tbl>
      <w:tblPr>
        <w:tblStyle w:val="LightShading-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6"/>
        <w:gridCol w:w="1792"/>
        <w:gridCol w:w="1750"/>
        <w:gridCol w:w="1860"/>
        <w:gridCol w:w="1758"/>
      </w:tblGrid>
      <w:tr w:rsidR="002F0C9C" w:rsidRPr="002F0C9C" w14:paraId="251D6A10" w14:textId="77777777" w:rsidTr="009E0D0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56" w:type="dxa"/>
            <w:tcBorders>
              <w:top w:val="none" w:sz="0" w:space="0" w:color="auto"/>
              <w:left w:val="none" w:sz="0" w:space="0" w:color="auto"/>
              <w:bottom w:val="none" w:sz="0" w:space="0" w:color="auto"/>
              <w:right w:val="none" w:sz="0" w:space="0" w:color="auto"/>
            </w:tcBorders>
            <w:vAlign w:val="center"/>
          </w:tcPr>
          <w:p w14:paraId="1921AF97" w14:textId="77777777" w:rsidR="002F0C9C" w:rsidRPr="002F0C9C" w:rsidRDefault="002F0C9C" w:rsidP="002F0C9C">
            <w:pPr>
              <w:spacing w:after="20"/>
              <w:jc w:val="center"/>
              <w:rPr>
                <w:rFonts w:ascii="Calibri" w:hAnsi="Calibri" w:cs="Calibri"/>
              </w:rPr>
            </w:pPr>
            <w:r w:rsidRPr="002F0C9C">
              <w:rPr>
                <w:rFonts w:ascii="Calibri" w:hAnsi="Calibri" w:cs="Calibri"/>
              </w:rPr>
              <w:t>Potential risk</w:t>
            </w:r>
          </w:p>
        </w:tc>
        <w:tc>
          <w:tcPr>
            <w:tcW w:w="1792" w:type="dxa"/>
            <w:tcBorders>
              <w:top w:val="none" w:sz="0" w:space="0" w:color="auto"/>
              <w:left w:val="none" w:sz="0" w:space="0" w:color="auto"/>
              <w:bottom w:val="none" w:sz="0" w:space="0" w:color="auto"/>
              <w:right w:val="none" w:sz="0" w:space="0" w:color="auto"/>
            </w:tcBorders>
            <w:vAlign w:val="center"/>
          </w:tcPr>
          <w:p w14:paraId="3C59E310"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Likelihood</w:t>
            </w:r>
          </w:p>
        </w:tc>
        <w:tc>
          <w:tcPr>
            <w:tcW w:w="1750" w:type="dxa"/>
            <w:tcBorders>
              <w:top w:val="none" w:sz="0" w:space="0" w:color="auto"/>
              <w:left w:val="none" w:sz="0" w:space="0" w:color="auto"/>
              <w:bottom w:val="none" w:sz="0" w:space="0" w:color="auto"/>
              <w:right w:val="none" w:sz="0" w:space="0" w:color="auto"/>
            </w:tcBorders>
            <w:vAlign w:val="center"/>
          </w:tcPr>
          <w:p w14:paraId="5F68A0EC"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Impact</w:t>
            </w:r>
          </w:p>
        </w:tc>
        <w:tc>
          <w:tcPr>
            <w:tcW w:w="1860" w:type="dxa"/>
            <w:tcBorders>
              <w:top w:val="none" w:sz="0" w:space="0" w:color="auto"/>
              <w:left w:val="none" w:sz="0" w:space="0" w:color="auto"/>
              <w:bottom w:val="none" w:sz="0" w:space="0" w:color="auto"/>
              <w:right w:val="none" w:sz="0" w:space="0" w:color="auto"/>
            </w:tcBorders>
            <w:vAlign w:val="center"/>
          </w:tcPr>
          <w:p w14:paraId="4BF25BD8"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Mitigation</w:t>
            </w:r>
          </w:p>
        </w:tc>
        <w:tc>
          <w:tcPr>
            <w:tcW w:w="1758" w:type="dxa"/>
            <w:tcBorders>
              <w:top w:val="none" w:sz="0" w:space="0" w:color="auto"/>
              <w:left w:val="none" w:sz="0" w:space="0" w:color="auto"/>
              <w:bottom w:val="none" w:sz="0" w:space="0" w:color="auto"/>
              <w:right w:val="none" w:sz="0" w:space="0" w:color="auto"/>
            </w:tcBorders>
            <w:vAlign w:val="center"/>
          </w:tcPr>
          <w:p w14:paraId="2BBA4CB4" w14:textId="77777777" w:rsidR="002F0C9C" w:rsidRPr="002F0C9C" w:rsidRDefault="002F0C9C" w:rsidP="002F0C9C">
            <w:pPr>
              <w:spacing w:after="20"/>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Owner</w:t>
            </w:r>
          </w:p>
        </w:tc>
      </w:tr>
      <w:tr w:rsidR="002F0C9C" w:rsidRPr="002F0C9C" w14:paraId="57220A59"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56" w:type="dxa"/>
            <w:tcBorders>
              <w:left w:val="none" w:sz="0" w:space="0" w:color="auto"/>
              <w:right w:val="none" w:sz="0" w:space="0" w:color="auto"/>
            </w:tcBorders>
            <w:vAlign w:val="center"/>
          </w:tcPr>
          <w:p w14:paraId="747AA507" w14:textId="77777777" w:rsidR="002F0C9C" w:rsidRPr="002F0C9C" w:rsidRDefault="002F0C9C" w:rsidP="002F0C9C">
            <w:pPr>
              <w:spacing w:after="20"/>
              <w:jc w:val="center"/>
              <w:rPr>
                <w:rFonts w:ascii="Calibri" w:hAnsi="Calibri" w:cs="Calibri"/>
              </w:rPr>
            </w:pPr>
            <w:r w:rsidRPr="002F0C9C">
              <w:rPr>
                <w:rFonts w:ascii="Calibri" w:hAnsi="Calibri" w:cs="Calibri"/>
              </w:rPr>
              <w:t>Platform configuration delays</w:t>
            </w:r>
          </w:p>
        </w:tc>
        <w:tc>
          <w:tcPr>
            <w:tcW w:w="1792" w:type="dxa"/>
            <w:tcBorders>
              <w:left w:val="none" w:sz="0" w:space="0" w:color="auto"/>
              <w:right w:val="none" w:sz="0" w:space="0" w:color="auto"/>
            </w:tcBorders>
            <w:vAlign w:val="center"/>
          </w:tcPr>
          <w:p w14:paraId="2019E6BF"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Medium</w:t>
            </w:r>
          </w:p>
        </w:tc>
        <w:tc>
          <w:tcPr>
            <w:tcW w:w="1750" w:type="dxa"/>
            <w:tcBorders>
              <w:left w:val="none" w:sz="0" w:space="0" w:color="auto"/>
              <w:right w:val="none" w:sz="0" w:space="0" w:color="auto"/>
            </w:tcBorders>
            <w:vAlign w:val="center"/>
          </w:tcPr>
          <w:p w14:paraId="1CB5E1C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High</w:t>
            </w:r>
          </w:p>
        </w:tc>
        <w:tc>
          <w:tcPr>
            <w:tcW w:w="1860" w:type="dxa"/>
            <w:tcBorders>
              <w:left w:val="none" w:sz="0" w:space="0" w:color="auto"/>
              <w:right w:val="none" w:sz="0" w:space="0" w:color="auto"/>
            </w:tcBorders>
            <w:vAlign w:val="center"/>
          </w:tcPr>
          <w:p w14:paraId="08A2CE69"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Confirm supplier deadlines; review weekly</w:t>
            </w:r>
          </w:p>
        </w:tc>
        <w:tc>
          <w:tcPr>
            <w:tcW w:w="1758" w:type="dxa"/>
            <w:tcBorders>
              <w:left w:val="none" w:sz="0" w:space="0" w:color="auto"/>
              <w:right w:val="none" w:sz="0" w:space="0" w:color="auto"/>
            </w:tcBorders>
            <w:vAlign w:val="center"/>
          </w:tcPr>
          <w:p w14:paraId="68D53A1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Supplier</w:t>
            </w:r>
          </w:p>
        </w:tc>
      </w:tr>
      <w:tr w:rsidR="002F0C9C" w:rsidRPr="002F0C9C" w14:paraId="62FCEE4A"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1856" w:type="dxa"/>
            <w:vAlign w:val="center"/>
          </w:tcPr>
          <w:p w14:paraId="4FF3E68D" w14:textId="77777777" w:rsidR="002F0C9C" w:rsidRPr="002F0C9C" w:rsidRDefault="002F0C9C" w:rsidP="002F0C9C">
            <w:pPr>
              <w:spacing w:after="20"/>
              <w:jc w:val="center"/>
              <w:rPr>
                <w:rFonts w:ascii="Calibri" w:hAnsi="Calibri" w:cs="Calibri"/>
              </w:rPr>
            </w:pPr>
            <w:r w:rsidRPr="002F0C9C">
              <w:rPr>
                <w:rFonts w:ascii="Calibri" w:hAnsi="Calibri" w:cs="Calibri"/>
              </w:rPr>
              <w:t>Incorrect book availability</w:t>
            </w:r>
          </w:p>
        </w:tc>
        <w:tc>
          <w:tcPr>
            <w:tcW w:w="1792" w:type="dxa"/>
            <w:vAlign w:val="center"/>
          </w:tcPr>
          <w:p w14:paraId="5AE0907A"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High</w:t>
            </w:r>
          </w:p>
        </w:tc>
        <w:tc>
          <w:tcPr>
            <w:tcW w:w="1750" w:type="dxa"/>
            <w:vAlign w:val="center"/>
          </w:tcPr>
          <w:p w14:paraId="74138FA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High</w:t>
            </w:r>
          </w:p>
        </w:tc>
        <w:tc>
          <w:tcPr>
            <w:tcW w:w="1860" w:type="dxa"/>
            <w:vAlign w:val="center"/>
          </w:tcPr>
          <w:p w14:paraId="2D7BED9D"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Check catalogue against stock records</w:t>
            </w:r>
          </w:p>
        </w:tc>
        <w:tc>
          <w:tcPr>
            <w:tcW w:w="1758" w:type="dxa"/>
            <w:vAlign w:val="center"/>
          </w:tcPr>
          <w:p w14:paraId="06576CF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Shop manager</w:t>
            </w:r>
          </w:p>
        </w:tc>
      </w:tr>
      <w:tr w:rsidR="002F0C9C" w:rsidRPr="002F0C9C" w14:paraId="3F311E02"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56" w:type="dxa"/>
            <w:tcBorders>
              <w:left w:val="none" w:sz="0" w:space="0" w:color="auto"/>
              <w:right w:val="none" w:sz="0" w:space="0" w:color="auto"/>
            </w:tcBorders>
            <w:vAlign w:val="center"/>
          </w:tcPr>
          <w:p w14:paraId="1C4E788F" w14:textId="77777777" w:rsidR="002F0C9C" w:rsidRPr="002F0C9C" w:rsidRDefault="002F0C9C" w:rsidP="002F0C9C">
            <w:pPr>
              <w:spacing w:after="20"/>
              <w:jc w:val="center"/>
              <w:rPr>
                <w:rFonts w:ascii="Calibri" w:hAnsi="Calibri" w:cs="Calibri"/>
              </w:rPr>
            </w:pPr>
            <w:r w:rsidRPr="002F0C9C">
              <w:rPr>
                <w:rFonts w:ascii="Calibri" w:hAnsi="Calibri" w:cs="Calibri"/>
              </w:rPr>
              <w:t>Employees lack confidence</w:t>
            </w:r>
          </w:p>
        </w:tc>
        <w:tc>
          <w:tcPr>
            <w:tcW w:w="1792" w:type="dxa"/>
            <w:tcBorders>
              <w:left w:val="none" w:sz="0" w:space="0" w:color="auto"/>
              <w:right w:val="none" w:sz="0" w:space="0" w:color="auto"/>
            </w:tcBorders>
            <w:vAlign w:val="center"/>
          </w:tcPr>
          <w:p w14:paraId="0973BA1A"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Medium</w:t>
            </w:r>
          </w:p>
        </w:tc>
        <w:tc>
          <w:tcPr>
            <w:tcW w:w="1750" w:type="dxa"/>
            <w:tcBorders>
              <w:left w:val="none" w:sz="0" w:space="0" w:color="auto"/>
              <w:right w:val="none" w:sz="0" w:space="0" w:color="auto"/>
            </w:tcBorders>
            <w:vAlign w:val="center"/>
          </w:tcPr>
          <w:p w14:paraId="37B73B1B"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Medium</w:t>
            </w:r>
          </w:p>
        </w:tc>
        <w:tc>
          <w:tcPr>
            <w:tcW w:w="1860" w:type="dxa"/>
            <w:tcBorders>
              <w:left w:val="none" w:sz="0" w:space="0" w:color="auto"/>
              <w:right w:val="none" w:sz="0" w:space="0" w:color="auto"/>
            </w:tcBorders>
            <w:vAlign w:val="center"/>
          </w:tcPr>
          <w:p w14:paraId="0B63557A"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Practical training and reassessment</w:t>
            </w:r>
          </w:p>
        </w:tc>
        <w:tc>
          <w:tcPr>
            <w:tcW w:w="1758" w:type="dxa"/>
            <w:tcBorders>
              <w:left w:val="none" w:sz="0" w:space="0" w:color="auto"/>
              <w:right w:val="none" w:sz="0" w:space="0" w:color="auto"/>
            </w:tcBorders>
            <w:vAlign w:val="center"/>
          </w:tcPr>
          <w:p w14:paraId="7CD2D48D"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Shop manager</w:t>
            </w:r>
          </w:p>
        </w:tc>
      </w:tr>
      <w:tr w:rsidR="002F0C9C" w:rsidRPr="002F0C9C" w14:paraId="7AA2F098" w14:textId="77777777" w:rsidTr="009E0D0B">
        <w:trPr>
          <w:jc w:val="center"/>
        </w:trPr>
        <w:tc>
          <w:tcPr>
            <w:cnfStyle w:val="001000000000" w:firstRow="0" w:lastRow="0" w:firstColumn="1" w:lastColumn="0" w:oddVBand="0" w:evenVBand="0" w:oddHBand="0" w:evenHBand="0" w:firstRowFirstColumn="0" w:firstRowLastColumn="0" w:lastRowFirstColumn="0" w:lastRowLastColumn="0"/>
            <w:tcW w:w="1856" w:type="dxa"/>
            <w:vAlign w:val="center"/>
          </w:tcPr>
          <w:p w14:paraId="5A590512" w14:textId="77777777" w:rsidR="002F0C9C" w:rsidRPr="002F0C9C" w:rsidRDefault="002F0C9C" w:rsidP="002F0C9C">
            <w:pPr>
              <w:spacing w:after="20"/>
              <w:jc w:val="center"/>
              <w:rPr>
                <w:rFonts w:ascii="Calibri" w:hAnsi="Calibri" w:cs="Calibri"/>
              </w:rPr>
            </w:pPr>
            <w:r w:rsidRPr="002F0C9C">
              <w:rPr>
                <w:rFonts w:ascii="Calibri" w:hAnsi="Calibri" w:cs="Calibri"/>
              </w:rPr>
              <w:t>Critical testing failures</w:t>
            </w:r>
          </w:p>
        </w:tc>
        <w:tc>
          <w:tcPr>
            <w:tcW w:w="1792" w:type="dxa"/>
            <w:vAlign w:val="center"/>
          </w:tcPr>
          <w:p w14:paraId="24247548"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Medium</w:t>
            </w:r>
          </w:p>
        </w:tc>
        <w:tc>
          <w:tcPr>
            <w:tcW w:w="1750" w:type="dxa"/>
            <w:vAlign w:val="center"/>
          </w:tcPr>
          <w:p w14:paraId="25B41AA8"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High</w:t>
            </w:r>
          </w:p>
        </w:tc>
        <w:tc>
          <w:tcPr>
            <w:tcW w:w="1860" w:type="dxa"/>
            <w:vAlign w:val="center"/>
          </w:tcPr>
          <w:p w14:paraId="096F6E29"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Record defects, correct and retest</w:t>
            </w:r>
          </w:p>
        </w:tc>
        <w:tc>
          <w:tcPr>
            <w:tcW w:w="1758" w:type="dxa"/>
            <w:vAlign w:val="center"/>
          </w:tcPr>
          <w:p w14:paraId="12E1C72E" w14:textId="77777777" w:rsidR="002F0C9C" w:rsidRPr="002F0C9C" w:rsidRDefault="002F0C9C" w:rsidP="002F0C9C">
            <w:pPr>
              <w:spacing w:after="20"/>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F0C9C">
              <w:rPr>
                <w:rFonts w:ascii="Calibri" w:hAnsi="Calibri" w:cs="Calibri"/>
              </w:rPr>
              <w:t>Supplier</w:t>
            </w:r>
          </w:p>
        </w:tc>
      </w:tr>
      <w:tr w:rsidR="002F0C9C" w:rsidRPr="002F0C9C" w14:paraId="5C656AF3" w14:textId="77777777" w:rsidTr="009E0D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56" w:type="dxa"/>
            <w:tcBorders>
              <w:left w:val="none" w:sz="0" w:space="0" w:color="auto"/>
              <w:right w:val="none" w:sz="0" w:space="0" w:color="auto"/>
            </w:tcBorders>
            <w:vAlign w:val="center"/>
          </w:tcPr>
          <w:p w14:paraId="57F502F5" w14:textId="77777777" w:rsidR="002F0C9C" w:rsidRPr="002F0C9C" w:rsidRDefault="002F0C9C" w:rsidP="002F0C9C">
            <w:pPr>
              <w:spacing w:after="20"/>
              <w:jc w:val="center"/>
              <w:rPr>
                <w:rFonts w:ascii="Calibri" w:hAnsi="Calibri" w:cs="Calibri"/>
              </w:rPr>
            </w:pPr>
            <w:r w:rsidRPr="002F0C9C">
              <w:rPr>
                <w:rFonts w:ascii="Calibri" w:hAnsi="Calibri" w:cs="Calibri"/>
              </w:rPr>
              <w:t>Unexpected costs</w:t>
            </w:r>
          </w:p>
        </w:tc>
        <w:tc>
          <w:tcPr>
            <w:tcW w:w="1792" w:type="dxa"/>
            <w:tcBorders>
              <w:left w:val="none" w:sz="0" w:space="0" w:color="auto"/>
              <w:right w:val="none" w:sz="0" w:space="0" w:color="auto"/>
            </w:tcBorders>
            <w:vAlign w:val="center"/>
          </w:tcPr>
          <w:p w14:paraId="6D7F6810"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Medium</w:t>
            </w:r>
          </w:p>
        </w:tc>
        <w:tc>
          <w:tcPr>
            <w:tcW w:w="1750" w:type="dxa"/>
            <w:tcBorders>
              <w:left w:val="none" w:sz="0" w:space="0" w:color="auto"/>
              <w:right w:val="none" w:sz="0" w:space="0" w:color="auto"/>
            </w:tcBorders>
            <w:vAlign w:val="center"/>
          </w:tcPr>
          <w:p w14:paraId="4BC81FB4"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Medium</w:t>
            </w:r>
          </w:p>
        </w:tc>
        <w:tc>
          <w:tcPr>
            <w:tcW w:w="1860" w:type="dxa"/>
            <w:tcBorders>
              <w:left w:val="none" w:sz="0" w:space="0" w:color="auto"/>
              <w:right w:val="none" w:sz="0" w:space="0" w:color="auto"/>
            </w:tcBorders>
            <w:vAlign w:val="center"/>
          </w:tcPr>
          <w:p w14:paraId="577519D3"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Review commitments and contingency</w:t>
            </w:r>
          </w:p>
        </w:tc>
        <w:tc>
          <w:tcPr>
            <w:tcW w:w="1758" w:type="dxa"/>
            <w:tcBorders>
              <w:left w:val="none" w:sz="0" w:space="0" w:color="auto"/>
              <w:right w:val="none" w:sz="0" w:space="0" w:color="auto"/>
            </w:tcBorders>
            <w:vAlign w:val="center"/>
          </w:tcPr>
          <w:p w14:paraId="426CA0E6" w14:textId="77777777" w:rsidR="002F0C9C" w:rsidRPr="002F0C9C" w:rsidRDefault="002F0C9C" w:rsidP="002F0C9C">
            <w:pPr>
              <w:spacing w:after="20"/>
              <w:jc w:val="cente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F0C9C">
              <w:rPr>
                <w:rFonts w:ascii="Calibri" w:hAnsi="Calibri" w:cs="Calibri"/>
              </w:rPr>
              <w:t>Shop manager</w:t>
            </w:r>
          </w:p>
        </w:tc>
      </w:tr>
    </w:tbl>
    <w:p w14:paraId="39C4CC7C" w14:textId="6C99D7E7" w:rsidR="002F0C9C" w:rsidRPr="002F0C9C" w:rsidRDefault="009E0D0B" w:rsidP="002F0C9C">
      <w:pPr>
        <w:jc w:val="both"/>
        <w:rPr>
          <w:rFonts w:ascii="Calibri" w:hAnsi="Calibri" w:cs="Calibri"/>
          <w:sz w:val="22"/>
          <w:szCs w:val="22"/>
        </w:rPr>
      </w:pPr>
      <w:r w:rsidRPr="009E0D0B">
        <w:rPr>
          <w:rFonts w:ascii="Calibri" w:hAnsi="Calibri" w:cs="Calibri"/>
          <w:sz w:val="22"/>
          <w:szCs w:val="22"/>
        </w:rPr>
        <w:t>Risk ratings are not the actual probability; it is a planning judgment and assessment. The register will be reviewed weekly and high impact risks prioritised for action. Research associates risk reassessment, control meetings and contingency monitoring with better projects outcomes, but the evidence is with construction projects (</w:t>
      </w:r>
      <w:proofErr w:type="spellStart"/>
      <w:r w:rsidRPr="009E0D0B">
        <w:rPr>
          <w:rFonts w:ascii="Calibri" w:hAnsi="Calibri" w:cs="Calibri"/>
          <w:sz w:val="22"/>
          <w:szCs w:val="22"/>
        </w:rPr>
        <w:t>Obondi</w:t>
      </w:r>
      <w:proofErr w:type="spellEnd"/>
      <w:r w:rsidRPr="009E0D0B">
        <w:rPr>
          <w:rFonts w:ascii="Calibri" w:hAnsi="Calibri" w:cs="Calibri"/>
          <w:sz w:val="22"/>
          <w:szCs w:val="22"/>
        </w:rPr>
        <w:t>, 2022).</w:t>
      </w:r>
    </w:p>
    <w:p w14:paraId="4DE59394" w14:textId="77777777" w:rsidR="002F0C9C" w:rsidRPr="002F0C9C" w:rsidRDefault="002F0C9C" w:rsidP="002F0C9C">
      <w:pPr>
        <w:pStyle w:val="Heading2"/>
        <w:jc w:val="both"/>
        <w:rPr>
          <w:rFonts w:ascii="Calibri" w:hAnsi="Calibri" w:cs="Calibri"/>
          <w:sz w:val="22"/>
          <w:szCs w:val="22"/>
        </w:rPr>
      </w:pPr>
      <w:r w:rsidRPr="002F0C9C">
        <w:rPr>
          <w:rFonts w:ascii="Calibri" w:hAnsi="Calibri" w:cs="Calibri"/>
          <w:sz w:val="22"/>
          <w:szCs w:val="22"/>
        </w:rPr>
        <w:t>8.3 Issue and Change Control</w:t>
      </w:r>
    </w:p>
    <w:p w14:paraId="1DFB3BF6" w14:textId="77777777" w:rsidR="009E0D0B" w:rsidRPr="009E0D0B" w:rsidRDefault="009E0D0B" w:rsidP="009E0D0B">
      <w:pPr>
        <w:jc w:val="both"/>
        <w:rPr>
          <w:rFonts w:ascii="Calibri" w:hAnsi="Calibri" w:cs="Calibri"/>
          <w:sz w:val="22"/>
          <w:szCs w:val="22"/>
        </w:rPr>
      </w:pPr>
      <w:r w:rsidRPr="009E0D0B">
        <w:rPr>
          <w:rFonts w:ascii="Calibri" w:hAnsi="Calibri" w:cs="Calibri"/>
          <w:sz w:val="22"/>
          <w:szCs w:val="22"/>
        </w:rPr>
        <w:t>Issues will be documented with an owner, corrective action deadline and resolution deadline. If a delay is identified that threatens to achieve a milestone, a revised task schedule and management review will be undertaken. If a change is proposed, it should be documented and evaluated for its impact on scope, costs, quality and completion dates prior to its acceptance or rejection by the shop manager. Based on staff feedback, minor changes can be made in the configuration but bigger changes in the deliverables agreed need formal authorization.</w:t>
      </w:r>
    </w:p>
    <w:p w14:paraId="7CDD2B6B" w14:textId="4A380324" w:rsidR="002F0C9C" w:rsidRPr="002F0C9C" w:rsidRDefault="009E0D0B" w:rsidP="009E0D0B">
      <w:pPr>
        <w:jc w:val="both"/>
        <w:rPr>
          <w:rFonts w:ascii="Calibri" w:hAnsi="Calibri" w:cs="Calibri"/>
          <w:sz w:val="22"/>
          <w:szCs w:val="22"/>
        </w:rPr>
      </w:pPr>
      <w:r w:rsidRPr="009E0D0B">
        <w:rPr>
          <w:rFonts w:ascii="Calibri" w:hAnsi="Calibri" w:cs="Calibri"/>
          <w:sz w:val="22"/>
          <w:szCs w:val="22"/>
        </w:rPr>
        <w:t>Launch Approval will not be allowed until corrective action and retesting are completed and acceptable performance is achieved if critical testing defects are not resolved. This helps to maintain service quality, even in cases where it needs to be postponed.</w:t>
      </w:r>
    </w:p>
    <w:p w14:paraId="4BD7A1A1" w14:textId="77777777" w:rsidR="002F0C9C" w:rsidRPr="002F0C9C" w:rsidRDefault="002F0C9C" w:rsidP="002F0C9C">
      <w:pPr>
        <w:pStyle w:val="Heading1"/>
        <w:jc w:val="both"/>
        <w:rPr>
          <w:rFonts w:ascii="Calibri" w:hAnsi="Calibri" w:cs="Calibri"/>
          <w:sz w:val="22"/>
          <w:szCs w:val="22"/>
        </w:rPr>
      </w:pPr>
      <w:r w:rsidRPr="002F0C9C">
        <w:rPr>
          <w:rFonts w:ascii="Calibri" w:hAnsi="Calibri" w:cs="Calibri"/>
          <w:sz w:val="22"/>
          <w:szCs w:val="22"/>
        </w:rPr>
        <w:t>9. Conclusion</w:t>
      </w:r>
    </w:p>
    <w:p w14:paraId="2A607DC6" w14:textId="30902228" w:rsidR="002F0C9C" w:rsidRPr="002F0C9C" w:rsidRDefault="009E0D0B" w:rsidP="002F0C9C">
      <w:pPr>
        <w:jc w:val="both"/>
        <w:rPr>
          <w:rFonts w:ascii="Calibri" w:hAnsi="Calibri" w:cs="Calibri"/>
          <w:sz w:val="22"/>
          <w:szCs w:val="22"/>
        </w:rPr>
      </w:pPr>
      <w:r w:rsidRPr="009E0D0B">
        <w:rPr>
          <w:rFonts w:ascii="Calibri" w:hAnsi="Calibri" w:cs="Calibri"/>
          <w:sz w:val="22"/>
          <w:szCs w:val="22"/>
        </w:rPr>
        <w:t>Willow Lane Books' click and collect service is a structured way of enhancing customer convenience. Hybrid approach involves a mix of fixed dates and opportunities for iteration and test. The planning frame is set out in the five deliverables, twelve-week timetable and indicative £1,500 budget. Implementation will be supported with effective monitoring, stakeholder engagement and risk control. Final launch approval should be based on the degree of compliance to the agreed acceptance criteria, and not just on the deadline.</w:t>
      </w:r>
    </w:p>
    <w:p w14:paraId="52C5D811" w14:textId="77777777" w:rsidR="002F0C9C" w:rsidRPr="002F0C9C" w:rsidRDefault="002F0C9C" w:rsidP="002F0C9C">
      <w:pPr>
        <w:rPr>
          <w:rFonts w:ascii="Calibri" w:hAnsi="Calibri" w:cs="Calibri"/>
          <w:sz w:val="22"/>
          <w:szCs w:val="22"/>
        </w:rPr>
      </w:pPr>
      <w:r w:rsidRPr="002F0C9C">
        <w:rPr>
          <w:rFonts w:ascii="Calibri" w:hAnsi="Calibri" w:cs="Calibri"/>
          <w:sz w:val="22"/>
          <w:szCs w:val="22"/>
        </w:rPr>
        <w:br w:type="page"/>
      </w:r>
    </w:p>
    <w:p w14:paraId="0AFED46D" w14:textId="77777777" w:rsidR="002F0C9C" w:rsidRPr="002F0C9C" w:rsidRDefault="002F0C9C" w:rsidP="002F0C9C">
      <w:pPr>
        <w:pStyle w:val="Heading1"/>
        <w:rPr>
          <w:rFonts w:ascii="Calibri" w:hAnsi="Calibri" w:cs="Calibri"/>
          <w:sz w:val="22"/>
          <w:szCs w:val="22"/>
        </w:rPr>
      </w:pPr>
      <w:r w:rsidRPr="002F0C9C">
        <w:rPr>
          <w:rFonts w:ascii="Calibri" w:hAnsi="Calibri" w:cs="Calibri"/>
          <w:sz w:val="22"/>
          <w:szCs w:val="22"/>
        </w:rPr>
        <w:lastRenderedPageBreak/>
        <w:t>References</w:t>
      </w:r>
    </w:p>
    <w:p w14:paraId="6D2821AD" w14:textId="0ADFE4B2"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Ahmed, R. and Jawad, M. (2022) ‘Avoiding or disregarding: Exploring the relationship between scope creep, project complexity, and the success of construction projects’, Project Leadership and Society, 3, 100064. Available at: </w:t>
      </w:r>
      <w:hyperlink r:id="rId4" w:history="1">
        <w:r w:rsidRPr="003B2B4C">
          <w:rPr>
            <w:rStyle w:val="Hyperlink"/>
            <w:rFonts w:ascii="Calibri" w:hAnsi="Calibri" w:cs="Calibri"/>
            <w:sz w:val="22"/>
            <w:szCs w:val="22"/>
          </w:rPr>
          <w:t>https://doi.org/10.1016/j.plas.2022.100064</w:t>
        </w:r>
      </w:hyperlink>
      <w:r>
        <w:rPr>
          <w:rFonts w:ascii="Calibri" w:hAnsi="Calibri" w:cs="Calibri"/>
          <w:sz w:val="22"/>
          <w:szCs w:val="22"/>
        </w:rPr>
        <w:t xml:space="preserve"> </w:t>
      </w:r>
    </w:p>
    <w:p w14:paraId="37A0E003" w14:textId="6EF20337"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Al Jarrah, M., Jarah, B. and </w:t>
      </w:r>
      <w:proofErr w:type="spellStart"/>
      <w:r w:rsidRPr="002F0C9C">
        <w:rPr>
          <w:rFonts w:ascii="Calibri" w:hAnsi="Calibri" w:cs="Calibri"/>
          <w:sz w:val="22"/>
          <w:szCs w:val="22"/>
        </w:rPr>
        <w:t>Altarawneh</w:t>
      </w:r>
      <w:proofErr w:type="spellEnd"/>
      <w:r w:rsidRPr="002F0C9C">
        <w:rPr>
          <w:rFonts w:ascii="Calibri" w:hAnsi="Calibri" w:cs="Calibri"/>
          <w:sz w:val="22"/>
          <w:szCs w:val="22"/>
        </w:rPr>
        <w:t xml:space="preserve">, I. (2022) ‘Toward successful project implementation: Integration between project management processes and project risk management’, Problems and Perspectives in Management, 20(3), pp. 258–273. Available at: </w:t>
      </w:r>
      <w:hyperlink r:id="rId5" w:history="1">
        <w:r w:rsidRPr="003B2B4C">
          <w:rPr>
            <w:rStyle w:val="Hyperlink"/>
            <w:rFonts w:ascii="Calibri" w:hAnsi="Calibri" w:cs="Calibri"/>
            <w:sz w:val="22"/>
            <w:szCs w:val="22"/>
          </w:rPr>
          <w:t>https://doi.org/10.21511/ppm.20(3).2022.21</w:t>
        </w:r>
      </w:hyperlink>
      <w:r>
        <w:rPr>
          <w:rFonts w:ascii="Calibri" w:hAnsi="Calibri" w:cs="Calibri"/>
          <w:sz w:val="22"/>
          <w:szCs w:val="22"/>
        </w:rPr>
        <w:t xml:space="preserve"> </w:t>
      </w:r>
    </w:p>
    <w:p w14:paraId="31BE97CD" w14:textId="0DAE11A4" w:rsidR="002F0C9C" w:rsidRPr="002F0C9C" w:rsidRDefault="002F0C9C" w:rsidP="002F0C9C">
      <w:pPr>
        <w:rPr>
          <w:rFonts w:ascii="Calibri" w:hAnsi="Calibri" w:cs="Calibri"/>
          <w:sz w:val="22"/>
          <w:szCs w:val="22"/>
        </w:rPr>
      </w:pPr>
      <w:proofErr w:type="spellStart"/>
      <w:r w:rsidRPr="002F0C9C">
        <w:rPr>
          <w:rFonts w:ascii="Calibri" w:hAnsi="Calibri" w:cs="Calibri"/>
          <w:sz w:val="22"/>
          <w:szCs w:val="22"/>
        </w:rPr>
        <w:t>Gemino</w:t>
      </w:r>
      <w:proofErr w:type="spellEnd"/>
      <w:r w:rsidRPr="002F0C9C">
        <w:rPr>
          <w:rFonts w:ascii="Calibri" w:hAnsi="Calibri" w:cs="Calibri"/>
          <w:sz w:val="22"/>
          <w:szCs w:val="22"/>
        </w:rPr>
        <w:t xml:space="preserve">, A., Reich, B.H. and </w:t>
      </w:r>
      <w:proofErr w:type="spellStart"/>
      <w:r w:rsidRPr="002F0C9C">
        <w:rPr>
          <w:rFonts w:ascii="Calibri" w:hAnsi="Calibri" w:cs="Calibri"/>
          <w:sz w:val="22"/>
          <w:szCs w:val="22"/>
        </w:rPr>
        <w:t>Serrador</w:t>
      </w:r>
      <w:proofErr w:type="spellEnd"/>
      <w:r w:rsidRPr="002F0C9C">
        <w:rPr>
          <w:rFonts w:ascii="Calibri" w:hAnsi="Calibri" w:cs="Calibri"/>
          <w:sz w:val="22"/>
          <w:szCs w:val="22"/>
        </w:rPr>
        <w:t xml:space="preserve">, P.M. (2021) ‘Agile, traditional, and hybrid approaches to project success: Is hybrid a poor second choice?’, Project Management Journal, 52(2), pp. 161–175. Available at: </w:t>
      </w:r>
      <w:hyperlink r:id="rId6" w:history="1">
        <w:r w:rsidRPr="003B2B4C">
          <w:rPr>
            <w:rStyle w:val="Hyperlink"/>
            <w:rFonts w:ascii="Calibri" w:hAnsi="Calibri" w:cs="Calibri"/>
            <w:sz w:val="22"/>
            <w:szCs w:val="22"/>
          </w:rPr>
          <w:t>https://doi.org/10.1177/8756972820973082</w:t>
        </w:r>
      </w:hyperlink>
      <w:r>
        <w:rPr>
          <w:rFonts w:ascii="Calibri" w:hAnsi="Calibri" w:cs="Calibri"/>
          <w:sz w:val="22"/>
          <w:szCs w:val="22"/>
        </w:rPr>
        <w:t xml:space="preserve"> </w:t>
      </w:r>
    </w:p>
    <w:p w14:paraId="77D25C99" w14:textId="07526FDC"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Ika, L.A. and Pinto, J.K. (2022) ‘The “re-meaning” of project success: Updating and recalibrating for a modern project management’, International Journal of Project Management, 40(7), pp. 835–848. Available at: </w:t>
      </w:r>
      <w:hyperlink r:id="rId7" w:history="1">
        <w:r w:rsidRPr="003B2B4C">
          <w:rPr>
            <w:rStyle w:val="Hyperlink"/>
            <w:rFonts w:ascii="Calibri" w:hAnsi="Calibri" w:cs="Calibri"/>
            <w:sz w:val="22"/>
            <w:szCs w:val="22"/>
          </w:rPr>
          <w:t>https://doi.org/10.1016/j.ijproman.2022.08.001</w:t>
        </w:r>
      </w:hyperlink>
      <w:r>
        <w:rPr>
          <w:rFonts w:ascii="Calibri" w:hAnsi="Calibri" w:cs="Calibri"/>
          <w:sz w:val="22"/>
          <w:szCs w:val="22"/>
        </w:rPr>
        <w:t xml:space="preserve"> </w:t>
      </w:r>
    </w:p>
    <w:p w14:paraId="5C376493" w14:textId="71CBFA26"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Jin, Y., </w:t>
      </w:r>
      <w:proofErr w:type="spellStart"/>
      <w:r w:rsidRPr="002F0C9C">
        <w:rPr>
          <w:rFonts w:ascii="Calibri" w:hAnsi="Calibri" w:cs="Calibri"/>
          <w:sz w:val="22"/>
          <w:szCs w:val="22"/>
        </w:rPr>
        <w:t>Ueltschy</w:t>
      </w:r>
      <w:proofErr w:type="spellEnd"/>
      <w:r w:rsidRPr="002F0C9C">
        <w:rPr>
          <w:rFonts w:ascii="Calibri" w:hAnsi="Calibri" w:cs="Calibri"/>
          <w:sz w:val="22"/>
          <w:szCs w:val="22"/>
        </w:rPr>
        <w:t xml:space="preserve"> Murfield, M.L. and Bock, D.E. (2023) ‘Do as you say, or I will: Retail signal congruency in buy-online-pickup-in-store and negative word-of-mouth’, Journal of Business Logistics, 44(1), pp. 37–60. Available at: </w:t>
      </w:r>
      <w:hyperlink r:id="rId8" w:history="1">
        <w:r w:rsidRPr="003B2B4C">
          <w:rPr>
            <w:rStyle w:val="Hyperlink"/>
            <w:rFonts w:ascii="Calibri" w:hAnsi="Calibri" w:cs="Calibri"/>
            <w:sz w:val="22"/>
            <w:szCs w:val="22"/>
          </w:rPr>
          <w:t>https://doi.org/10.1111/jbl.12322</w:t>
        </w:r>
      </w:hyperlink>
      <w:r>
        <w:rPr>
          <w:rFonts w:ascii="Calibri" w:hAnsi="Calibri" w:cs="Calibri"/>
          <w:sz w:val="22"/>
          <w:szCs w:val="22"/>
        </w:rPr>
        <w:t xml:space="preserve"> </w:t>
      </w:r>
    </w:p>
    <w:p w14:paraId="541A3324" w14:textId="0C1EB619"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Maier, N.M. and Emmerich, P. (2022) ‘Agile or traditional project organization: A quantitative assessment of decision criteria among firms in the DACH region’, Central European Business Review, 11(5), pp. 67–83. Available at: </w:t>
      </w:r>
      <w:hyperlink r:id="rId9" w:history="1">
        <w:r w:rsidRPr="003B2B4C">
          <w:rPr>
            <w:rStyle w:val="Hyperlink"/>
            <w:rFonts w:ascii="Calibri" w:hAnsi="Calibri" w:cs="Calibri"/>
            <w:sz w:val="22"/>
            <w:szCs w:val="22"/>
          </w:rPr>
          <w:t>https://doi.org/10.18267/j.cebr.308</w:t>
        </w:r>
      </w:hyperlink>
      <w:r>
        <w:rPr>
          <w:rFonts w:ascii="Calibri" w:hAnsi="Calibri" w:cs="Calibri"/>
          <w:sz w:val="22"/>
          <w:szCs w:val="22"/>
        </w:rPr>
        <w:t xml:space="preserve"> </w:t>
      </w:r>
    </w:p>
    <w:p w14:paraId="0C28E0D2" w14:textId="0B1D9B6B"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Manser Payne, E.H. and Smith, A.G. (2023) ‘Value co-creation in buy online pickup in-store (BOPIS)’, Mountain Plains Journal of Business and Technology, 24(1), article 2. Available at: </w:t>
      </w:r>
      <w:hyperlink r:id="rId10" w:history="1">
        <w:r w:rsidRPr="003B2B4C">
          <w:rPr>
            <w:rStyle w:val="Hyperlink"/>
            <w:rFonts w:ascii="Calibri" w:hAnsi="Calibri" w:cs="Calibri"/>
            <w:sz w:val="22"/>
            <w:szCs w:val="22"/>
          </w:rPr>
          <w:t>https://openspaces.unk.edu/mpjbt/vol24/iss1/2/</w:t>
        </w:r>
      </w:hyperlink>
      <w:r>
        <w:rPr>
          <w:rFonts w:ascii="Calibri" w:hAnsi="Calibri" w:cs="Calibri"/>
          <w:sz w:val="22"/>
          <w:szCs w:val="22"/>
        </w:rPr>
        <w:t xml:space="preserve"> </w:t>
      </w:r>
    </w:p>
    <w:p w14:paraId="17458B9E" w14:textId="2D12C961"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Mayo-Alvarez, L., Alvarez-Risco, A., Del-Aguila-Arcentales, S., Sekar, M.C. and Yañez, J.A. (2022) ‘A systematic review of earned value management methods for monitoring and control of project schedule performance: An AHP approach’, Sustainability, 14(22), 15259. Available at: </w:t>
      </w:r>
      <w:hyperlink r:id="rId11" w:history="1">
        <w:r w:rsidRPr="003B2B4C">
          <w:rPr>
            <w:rStyle w:val="Hyperlink"/>
            <w:rFonts w:ascii="Calibri" w:hAnsi="Calibri" w:cs="Calibri"/>
            <w:sz w:val="22"/>
            <w:szCs w:val="22"/>
          </w:rPr>
          <w:t>https://doi.org/10.3390/su142215259</w:t>
        </w:r>
      </w:hyperlink>
      <w:r>
        <w:rPr>
          <w:rFonts w:ascii="Calibri" w:hAnsi="Calibri" w:cs="Calibri"/>
          <w:sz w:val="22"/>
          <w:szCs w:val="22"/>
        </w:rPr>
        <w:t xml:space="preserve"> </w:t>
      </w:r>
    </w:p>
    <w:p w14:paraId="6209F022" w14:textId="054A6E43"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Mucha, J., Kaufmann, A. and Riehle, D. (2024) ‘A systematic literature review of pre-requirements specification traceability’, Requirements Engineering, 29, pp. 119–141. Available at: </w:t>
      </w:r>
      <w:hyperlink r:id="rId12" w:history="1">
        <w:r w:rsidRPr="003B2B4C">
          <w:rPr>
            <w:rStyle w:val="Hyperlink"/>
            <w:rFonts w:ascii="Calibri" w:hAnsi="Calibri" w:cs="Calibri"/>
            <w:sz w:val="22"/>
            <w:szCs w:val="22"/>
          </w:rPr>
          <w:t>https://doi.org/10.1007/s00766-023-00412-z</w:t>
        </w:r>
      </w:hyperlink>
      <w:r>
        <w:rPr>
          <w:rFonts w:ascii="Calibri" w:hAnsi="Calibri" w:cs="Calibri"/>
          <w:sz w:val="22"/>
          <w:szCs w:val="22"/>
        </w:rPr>
        <w:t xml:space="preserve"> </w:t>
      </w:r>
    </w:p>
    <w:p w14:paraId="324E29FC" w14:textId="081A3F1A" w:rsidR="002F0C9C" w:rsidRPr="002F0C9C" w:rsidRDefault="002F0C9C" w:rsidP="002F0C9C">
      <w:pPr>
        <w:rPr>
          <w:rFonts w:ascii="Calibri" w:hAnsi="Calibri" w:cs="Calibri"/>
          <w:sz w:val="22"/>
          <w:szCs w:val="22"/>
        </w:rPr>
      </w:pPr>
      <w:proofErr w:type="spellStart"/>
      <w:r w:rsidRPr="002F0C9C">
        <w:rPr>
          <w:rFonts w:ascii="Calibri" w:hAnsi="Calibri" w:cs="Calibri"/>
          <w:sz w:val="22"/>
          <w:szCs w:val="22"/>
        </w:rPr>
        <w:t>Obondi</w:t>
      </w:r>
      <w:proofErr w:type="spellEnd"/>
      <w:r w:rsidRPr="002F0C9C">
        <w:rPr>
          <w:rFonts w:ascii="Calibri" w:hAnsi="Calibri" w:cs="Calibri"/>
          <w:sz w:val="22"/>
          <w:szCs w:val="22"/>
        </w:rPr>
        <w:t xml:space="preserve">, K.C. (2022) ‘The utilization of project risk monitoring and control practices and their relationship with project success in construction projects’, Journal of Project Management, 7(1), pp. 35–52. Available at: </w:t>
      </w:r>
      <w:hyperlink r:id="rId13" w:history="1">
        <w:r w:rsidRPr="003B2B4C">
          <w:rPr>
            <w:rStyle w:val="Hyperlink"/>
            <w:rFonts w:ascii="Calibri" w:hAnsi="Calibri" w:cs="Calibri"/>
            <w:sz w:val="22"/>
            <w:szCs w:val="22"/>
          </w:rPr>
          <w:t>https://doi.org/10.5267/j.jpm.2021.7.002</w:t>
        </w:r>
      </w:hyperlink>
      <w:r>
        <w:rPr>
          <w:rFonts w:ascii="Calibri" w:hAnsi="Calibri" w:cs="Calibri"/>
          <w:sz w:val="22"/>
          <w:szCs w:val="22"/>
        </w:rPr>
        <w:t xml:space="preserve"> </w:t>
      </w:r>
    </w:p>
    <w:p w14:paraId="7BAD7605" w14:textId="1DB5ABB4" w:rsidR="002F0C9C" w:rsidRPr="002F0C9C" w:rsidRDefault="002F0C9C" w:rsidP="002F0C9C">
      <w:pPr>
        <w:rPr>
          <w:rFonts w:ascii="Calibri" w:hAnsi="Calibri" w:cs="Calibri"/>
          <w:sz w:val="22"/>
          <w:szCs w:val="22"/>
        </w:rPr>
      </w:pPr>
      <w:proofErr w:type="spellStart"/>
      <w:r w:rsidRPr="002F0C9C">
        <w:rPr>
          <w:rFonts w:ascii="Calibri" w:hAnsi="Calibri" w:cs="Calibri"/>
          <w:sz w:val="22"/>
          <w:szCs w:val="22"/>
        </w:rPr>
        <w:t>Putro</w:t>
      </w:r>
      <w:proofErr w:type="spellEnd"/>
      <w:r w:rsidRPr="002F0C9C">
        <w:rPr>
          <w:rFonts w:ascii="Calibri" w:hAnsi="Calibri" w:cs="Calibri"/>
          <w:sz w:val="22"/>
          <w:szCs w:val="22"/>
        </w:rPr>
        <w:t xml:space="preserve">, A., Latief, Y., </w:t>
      </w:r>
      <w:proofErr w:type="spellStart"/>
      <w:r w:rsidRPr="002F0C9C">
        <w:rPr>
          <w:rFonts w:ascii="Calibri" w:hAnsi="Calibri" w:cs="Calibri"/>
          <w:sz w:val="22"/>
          <w:szCs w:val="22"/>
        </w:rPr>
        <w:t>Nursin</w:t>
      </w:r>
      <w:proofErr w:type="spellEnd"/>
      <w:r w:rsidRPr="002F0C9C">
        <w:rPr>
          <w:rFonts w:ascii="Calibri" w:hAnsi="Calibri" w:cs="Calibri"/>
          <w:sz w:val="22"/>
          <w:szCs w:val="22"/>
        </w:rPr>
        <w:t xml:space="preserve">, A. and </w:t>
      </w:r>
      <w:proofErr w:type="spellStart"/>
      <w:r w:rsidRPr="002F0C9C">
        <w:rPr>
          <w:rFonts w:ascii="Calibri" w:hAnsi="Calibri" w:cs="Calibri"/>
          <w:sz w:val="22"/>
          <w:szCs w:val="22"/>
        </w:rPr>
        <w:t>Soepandji</w:t>
      </w:r>
      <w:proofErr w:type="spellEnd"/>
      <w:r w:rsidRPr="002F0C9C">
        <w:rPr>
          <w:rFonts w:ascii="Calibri" w:hAnsi="Calibri" w:cs="Calibri"/>
          <w:sz w:val="22"/>
          <w:szCs w:val="22"/>
        </w:rPr>
        <w:t xml:space="preserve">, B.S. (2022) ‘Development of work breakdown structure for stadium work as project guideline and standard’, International Journal of Engineering, Transactions A: Basics, 35(7), pp. 1291–1299. Available at: </w:t>
      </w:r>
      <w:hyperlink r:id="rId14" w:history="1">
        <w:r w:rsidRPr="003B2B4C">
          <w:rPr>
            <w:rStyle w:val="Hyperlink"/>
            <w:rFonts w:ascii="Calibri" w:hAnsi="Calibri" w:cs="Calibri"/>
            <w:sz w:val="22"/>
            <w:szCs w:val="22"/>
          </w:rPr>
          <w:t>https://doi.org/10.5829/ije.2022.35.07a.08</w:t>
        </w:r>
      </w:hyperlink>
      <w:r>
        <w:rPr>
          <w:rFonts w:ascii="Calibri" w:hAnsi="Calibri" w:cs="Calibri"/>
          <w:sz w:val="22"/>
          <w:szCs w:val="22"/>
        </w:rPr>
        <w:t xml:space="preserve"> </w:t>
      </w:r>
    </w:p>
    <w:p w14:paraId="489596FA" w14:textId="731F442D" w:rsidR="002F0C9C" w:rsidRPr="002F0C9C" w:rsidRDefault="002F0C9C" w:rsidP="002F0C9C">
      <w:pPr>
        <w:rPr>
          <w:rFonts w:ascii="Calibri" w:hAnsi="Calibri" w:cs="Calibri"/>
          <w:sz w:val="22"/>
          <w:szCs w:val="22"/>
        </w:rPr>
      </w:pPr>
      <w:r w:rsidRPr="002F0C9C">
        <w:rPr>
          <w:rFonts w:ascii="Calibri" w:hAnsi="Calibri" w:cs="Calibri"/>
          <w:sz w:val="22"/>
          <w:szCs w:val="22"/>
        </w:rPr>
        <w:t xml:space="preserve">Rafeh, A., Qureshi, M.U., Hameed, A. and Rasool, A.M. (2023) ‘Ranking and grouping of critical success factors for stakeholder management in construction projects’, Journal of Asian Architecture </w:t>
      </w:r>
      <w:r w:rsidRPr="002F0C9C">
        <w:rPr>
          <w:rFonts w:ascii="Calibri" w:hAnsi="Calibri" w:cs="Calibri"/>
          <w:sz w:val="22"/>
          <w:szCs w:val="22"/>
        </w:rPr>
        <w:lastRenderedPageBreak/>
        <w:t xml:space="preserve">and Building Engineering, 22(6), pp. 3569–3582. Available at: </w:t>
      </w:r>
      <w:hyperlink r:id="rId15" w:history="1">
        <w:r w:rsidRPr="003B2B4C">
          <w:rPr>
            <w:rStyle w:val="Hyperlink"/>
            <w:rFonts w:ascii="Calibri" w:hAnsi="Calibri" w:cs="Calibri"/>
            <w:sz w:val="22"/>
            <w:szCs w:val="22"/>
          </w:rPr>
          <w:t>https://doi.org/10.1080/13467581.2023.2193609</w:t>
        </w:r>
      </w:hyperlink>
      <w:r>
        <w:rPr>
          <w:rFonts w:ascii="Calibri" w:hAnsi="Calibri" w:cs="Calibri"/>
          <w:sz w:val="22"/>
          <w:szCs w:val="22"/>
        </w:rPr>
        <w:t xml:space="preserve"> </w:t>
      </w:r>
    </w:p>
    <w:p w14:paraId="2DCDC3B9" w14:textId="60A5260E" w:rsidR="002F0C9C" w:rsidRPr="002F0C9C" w:rsidRDefault="002F0C9C" w:rsidP="002F0C9C">
      <w:pPr>
        <w:rPr>
          <w:rFonts w:ascii="Calibri" w:hAnsi="Calibri" w:cs="Calibri"/>
          <w:sz w:val="22"/>
          <w:szCs w:val="22"/>
        </w:rPr>
      </w:pPr>
      <w:proofErr w:type="spellStart"/>
      <w:r w:rsidRPr="002F0C9C">
        <w:rPr>
          <w:rFonts w:ascii="Calibri" w:hAnsi="Calibri" w:cs="Calibri"/>
          <w:sz w:val="22"/>
          <w:szCs w:val="22"/>
        </w:rPr>
        <w:t>Varajão</w:t>
      </w:r>
      <w:proofErr w:type="spellEnd"/>
      <w:r w:rsidRPr="002F0C9C">
        <w:rPr>
          <w:rFonts w:ascii="Calibri" w:hAnsi="Calibri" w:cs="Calibri"/>
          <w:sz w:val="22"/>
          <w:szCs w:val="22"/>
        </w:rPr>
        <w:t xml:space="preserve">, J., Magalhães, L., Freitas, L. and Rocha, P. (2022) ‘Success management – From theory to practice’, International Journal of Project Management, 40(5), pp. 481–498. Available at: </w:t>
      </w:r>
      <w:hyperlink r:id="rId16" w:history="1">
        <w:r w:rsidRPr="003B2B4C">
          <w:rPr>
            <w:rStyle w:val="Hyperlink"/>
            <w:rFonts w:ascii="Calibri" w:hAnsi="Calibri" w:cs="Calibri"/>
            <w:sz w:val="22"/>
            <w:szCs w:val="22"/>
          </w:rPr>
          <w:t>https://doi.org/10.1016/j.ijproman.2022.04.002</w:t>
        </w:r>
      </w:hyperlink>
      <w:r>
        <w:rPr>
          <w:rFonts w:ascii="Calibri" w:hAnsi="Calibri" w:cs="Calibri"/>
          <w:sz w:val="22"/>
          <w:szCs w:val="22"/>
        </w:rPr>
        <w:t xml:space="preserve"> </w:t>
      </w:r>
    </w:p>
    <w:p w14:paraId="3E77A074" w14:textId="77777777" w:rsidR="00DE0BE5" w:rsidRPr="004F6108" w:rsidRDefault="00DE0BE5" w:rsidP="004F6108">
      <w:pPr>
        <w:jc w:val="both"/>
        <w:rPr>
          <w:rFonts w:ascii="Calibri" w:hAnsi="Calibri" w:cs="Calibri"/>
          <w:sz w:val="22"/>
          <w:szCs w:val="22"/>
        </w:rPr>
      </w:pPr>
    </w:p>
    <w:sectPr w:rsidR="00DE0BE5" w:rsidRPr="004F6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08"/>
    <w:rsid w:val="0005321C"/>
    <w:rsid w:val="0006205C"/>
    <w:rsid w:val="000704B4"/>
    <w:rsid w:val="000876BA"/>
    <w:rsid w:val="000D540E"/>
    <w:rsid w:val="00122794"/>
    <w:rsid w:val="00157604"/>
    <w:rsid w:val="00163C95"/>
    <w:rsid w:val="00163EFF"/>
    <w:rsid w:val="00217C69"/>
    <w:rsid w:val="002C68A2"/>
    <w:rsid w:val="002E578D"/>
    <w:rsid w:val="002E6CC5"/>
    <w:rsid w:val="002F0C9C"/>
    <w:rsid w:val="002F1167"/>
    <w:rsid w:val="0037547D"/>
    <w:rsid w:val="00377885"/>
    <w:rsid w:val="00394996"/>
    <w:rsid w:val="00420E67"/>
    <w:rsid w:val="004F6108"/>
    <w:rsid w:val="005837B4"/>
    <w:rsid w:val="005A1F19"/>
    <w:rsid w:val="006411C4"/>
    <w:rsid w:val="006F67E9"/>
    <w:rsid w:val="00727105"/>
    <w:rsid w:val="007346D6"/>
    <w:rsid w:val="00774042"/>
    <w:rsid w:val="00863828"/>
    <w:rsid w:val="00866CEF"/>
    <w:rsid w:val="008E727F"/>
    <w:rsid w:val="009366DA"/>
    <w:rsid w:val="009475EE"/>
    <w:rsid w:val="009E0D0B"/>
    <w:rsid w:val="009E681C"/>
    <w:rsid w:val="00AC4D59"/>
    <w:rsid w:val="00B80550"/>
    <w:rsid w:val="00C030FD"/>
    <w:rsid w:val="00C5541F"/>
    <w:rsid w:val="00C65878"/>
    <w:rsid w:val="00C82804"/>
    <w:rsid w:val="00CA2D61"/>
    <w:rsid w:val="00DE0BE5"/>
    <w:rsid w:val="00DE4873"/>
    <w:rsid w:val="00E77CF2"/>
    <w:rsid w:val="00E81CE4"/>
    <w:rsid w:val="00F02944"/>
    <w:rsid w:val="00F67E49"/>
    <w:rsid w:val="00FB3EE3"/>
    <w:rsid w:val="00FF0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68678"/>
  <w15:chartTrackingRefBased/>
  <w15:docId w15:val="{B1CE2899-AC46-4FD6-AE15-9EC9CD3AB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108"/>
  </w:style>
  <w:style w:type="paragraph" w:styleId="Heading1">
    <w:name w:val="heading 1"/>
    <w:basedOn w:val="Normal"/>
    <w:next w:val="Normal"/>
    <w:link w:val="Heading1Char"/>
    <w:uiPriority w:val="9"/>
    <w:qFormat/>
    <w:rsid w:val="004F61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61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1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1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1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1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1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61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1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1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1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1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1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1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108"/>
    <w:rPr>
      <w:rFonts w:eastAsiaTheme="majorEastAsia" w:cstheme="majorBidi"/>
      <w:color w:val="272727" w:themeColor="text1" w:themeTint="D8"/>
    </w:rPr>
  </w:style>
  <w:style w:type="paragraph" w:styleId="Title">
    <w:name w:val="Title"/>
    <w:basedOn w:val="Normal"/>
    <w:next w:val="Normal"/>
    <w:link w:val="TitleChar"/>
    <w:uiPriority w:val="10"/>
    <w:qFormat/>
    <w:rsid w:val="004F61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1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1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108"/>
    <w:pPr>
      <w:spacing w:before="160"/>
      <w:jc w:val="center"/>
    </w:pPr>
    <w:rPr>
      <w:i/>
      <w:iCs/>
      <w:color w:val="404040" w:themeColor="text1" w:themeTint="BF"/>
    </w:rPr>
  </w:style>
  <w:style w:type="character" w:customStyle="1" w:styleId="QuoteChar">
    <w:name w:val="Quote Char"/>
    <w:basedOn w:val="DefaultParagraphFont"/>
    <w:link w:val="Quote"/>
    <w:uiPriority w:val="29"/>
    <w:rsid w:val="004F6108"/>
    <w:rPr>
      <w:i/>
      <w:iCs/>
      <w:color w:val="404040" w:themeColor="text1" w:themeTint="BF"/>
    </w:rPr>
  </w:style>
  <w:style w:type="paragraph" w:styleId="ListParagraph">
    <w:name w:val="List Paragraph"/>
    <w:basedOn w:val="Normal"/>
    <w:uiPriority w:val="34"/>
    <w:qFormat/>
    <w:rsid w:val="004F6108"/>
    <w:pPr>
      <w:ind w:left="720"/>
      <w:contextualSpacing/>
    </w:pPr>
  </w:style>
  <w:style w:type="character" w:styleId="IntenseEmphasis">
    <w:name w:val="Intense Emphasis"/>
    <w:basedOn w:val="DefaultParagraphFont"/>
    <w:uiPriority w:val="21"/>
    <w:qFormat/>
    <w:rsid w:val="004F6108"/>
    <w:rPr>
      <w:i/>
      <w:iCs/>
      <w:color w:val="0F4761" w:themeColor="accent1" w:themeShade="BF"/>
    </w:rPr>
  </w:style>
  <w:style w:type="paragraph" w:styleId="IntenseQuote">
    <w:name w:val="Intense Quote"/>
    <w:basedOn w:val="Normal"/>
    <w:next w:val="Normal"/>
    <w:link w:val="IntenseQuoteChar"/>
    <w:uiPriority w:val="30"/>
    <w:qFormat/>
    <w:rsid w:val="004F61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108"/>
    <w:rPr>
      <w:i/>
      <w:iCs/>
      <w:color w:val="0F4761" w:themeColor="accent1" w:themeShade="BF"/>
    </w:rPr>
  </w:style>
  <w:style w:type="character" w:styleId="IntenseReference">
    <w:name w:val="Intense Reference"/>
    <w:basedOn w:val="DefaultParagraphFont"/>
    <w:uiPriority w:val="32"/>
    <w:qFormat/>
    <w:rsid w:val="004F6108"/>
    <w:rPr>
      <w:b/>
      <w:bCs/>
      <w:smallCaps/>
      <w:color w:val="0F4761" w:themeColor="accent1" w:themeShade="BF"/>
      <w:spacing w:val="5"/>
    </w:rPr>
  </w:style>
  <w:style w:type="paragraph" w:styleId="Caption">
    <w:name w:val="caption"/>
    <w:basedOn w:val="Normal"/>
    <w:next w:val="Normal"/>
    <w:uiPriority w:val="35"/>
    <w:semiHidden/>
    <w:unhideWhenUsed/>
    <w:qFormat/>
    <w:rsid w:val="002F0C9C"/>
    <w:pPr>
      <w:spacing w:after="100" w:line="240" w:lineRule="auto"/>
    </w:pPr>
    <w:rPr>
      <w:rFonts w:ascii="Aptos" w:eastAsiaTheme="minorEastAsia" w:hAnsi="Aptos"/>
      <w:b/>
      <w:bCs/>
      <w:color w:val="156082" w:themeColor="accent1"/>
      <w:kern w:val="0"/>
      <w:sz w:val="18"/>
      <w:szCs w:val="18"/>
      <w:lang w:val="en-US"/>
      <w14:ligatures w14:val="none"/>
    </w:rPr>
  </w:style>
  <w:style w:type="table" w:styleId="LightShading-Accent1">
    <w:name w:val="Light Shading Accent 1"/>
    <w:basedOn w:val="TableNormal"/>
    <w:uiPriority w:val="60"/>
    <w:rsid w:val="002F0C9C"/>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character" w:styleId="Hyperlink">
    <w:name w:val="Hyperlink"/>
    <w:basedOn w:val="DefaultParagraphFont"/>
    <w:uiPriority w:val="99"/>
    <w:unhideWhenUsed/>
    <w:rsid w:val="002F0C9C"/>
    <w:rPr>
      <w:color w:val="467886" w:themeColor="hyperlink"/>
      <w:u w:val="single"/>
    </w:rPr>
  </w:style>
  <w:style w:type="character" w:styleId="UnresolvedMention">
    <w:name w:val="Unresolved Mention"/>
    <w:basedOn w:val="DefaultParagraphFont"/>
    <w:uiPriority w:val="99"/>
    <w:semiHidden/>
    <w:unhideWhenUsed/>
    <w:rsid w:val="002F0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bl.12322" TargetMode="External"/><Relationship Id="rId13" Type="http://schemas.openxmlformats.org/officeDocument/2006/relationships/hyperlink" Target="https://doi.org/10.5267/j.jpm.2021.7.00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ijproman.2022.08.001" TargetMode="External"/><Relationship Id="rId12" Type="http://schemas.openxmlformats.org/officeDocument/2006/relationships/hyperlink" Target="https://doi.org/10.1007/s00766-023-00412-z"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16/j.ijproman.2022.04.002" TargetMode="External"/><Relationship Id="rId1" Type="http://schemas.openxmlformats.org/officeDocument/2006/relationships/styles" Target="styles.xml"/><Relationship Id="rId6" Type="http://schemas.openxmlformats.org/officeDocument/2006/relationships/hyperlink" Target="https://doi.org/10.1177/8756972820973082" TargetMode="External"/><Relationship Id="rId11" Type="http://schemas.openxmlformats.org/officeDocument/2006/relationships/hyperlink" Target="https://doi.org/10.3390/su142215259" TargetMode="External"/><Relationship Id="rId5" Type="http://schemas.openxmlformats.org/officeDocument/2006/relationships/hyperlink" Target="https://doi.org/10.21511/ppm.20(3).2022.21" TargetMode="External"/><Relationship Id="rId15" Type="http://schemas.openxmlformats.org/officeDocument/2006/relationships/hyperlink" Target="https://doi.org/10.1080/13467581.2023.2193609" TargetMode="External"/><Relationship Id="rId10" Type="http://schemas.openxmlformats.org/officeDocument/2006/relationships/hyperlink" Target="https://openspaces.unk.edu/mpjbt/vol24/iss1/2/" TargetMode="External"/><Relationship Id="rId4" Type="http://schemas.openxmlformats.org/officeDocument/2006/relationships/hyperlink" Target="https://doi.org/10.1016/j.plas.2022.100064" TargetMode="External"/><Relationship Id="rId9" Type="http://schemas.openxmlformats.org/officeDocument/2006/relationships/hyperlink" Target="https://doi.org/10.18267/j.cebr.308" TargetMode="External"/><Relationship Id="rId14" Type="http://schemas.openxmlformats.org/officeDocument/2006/relationships/hyperlink" Target="https://doi.org/10.5829/ije.2022.35.07a.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9</Pages>
  <Words>2790</Words>
  <Characters>15903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4</cp:revision>
  <dcterms:created xsi:type="dcterms:W3CDTF">2026-10-21T01:46:00Z</dcterms:created>
  <dcterms:modified xsi:type="dcterms:W3CDTF">2026-10-21T07:01:00Z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2026-10-21T01:49:01Z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225d934b-a383-4f6a-be78-329947123d54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