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39B01" w14:textId="176B87E1" w:rsidR="003927B9" w:rsidRPr="003927B9" w:rsidRDefault="00BE1AE3" w:rsidP="00BE1AE3">
      <w:pPr>
        <w:spacing w:line="276" w:lineRule="auto"/>
        <w:jc w:val="center"/>
        <w:rPr>
          <w:rFonts w:ascii="Arial" w:hAnsi="Arial" w:cs="Arial"/>
          <w:b/>
          <w:bCs/>
        </w:rPr>
      </w:pPr>
      <w:r w:rsidRPr="003927B9">
        <w:rPr>
          <w:rFonts w:ascii="Arial" w:hAnsi="Arial" w:cs="Arial"/>
          <w:b/>
          <w:bCs/>
        </w:rPr>
        <w:t>TASK 1A – 250-WORD SUMMARY</w:t>
      </w:r>
    </w:p>
    <w:p w14:paraId="14FE65AF" w14:textId="77777777" w:rsidR="003927B9" w:rsidRPr="003927B9" w:rsidRDefault="003927B9" w:rsidP="00BE1AE3">
      <w:pPr>
        <w:spacing w:line="276" w:lineRule="auto"/>
        <w:jc w:val="both"/>
        <w:rPr>
          <w:rFonts w:ascii="Arial" w:hAnsi="Arial" w:cs="Arial"/>
        </w:rPr>
      </w:pPr>
      <w:r w:rsidRPr="003927B9">
        <w:rPr>
          <w:rFonts w:ascii="Arial" w:hAnsi="Arial" w:cs="Arial"/>
        </w:rPr>
        <w:t>Developing essential academic and employment skills is fundamental for student success and long-term career readiness. Academic skills such as critical thinking, research ability, time management and digital literacy help learners navigate complex information, evaluate evidence and produce high-quality work. Critical thinking and research capabilities are highlighted as crucial for understanding modern labour expectations and global employability trends [1], while effective time management and organisation allow students to meet deadlines and balance multiple responsibilities [2]. Digital literacy is increasingly important as technology reshapes communication, collaboration and professional tasks [4].</w:t>
      </w:r>
    </w:p>
    <w:p w14:paraId="7E8FA8D6" w14:textId="2FB33355" w:rsidR="003927B9" w:rsidRDefault="003927B9" w:rsidP="00BE1AE3">
      <w:pPr>
        <w:spacing w:line="276" w:lineRule="auto"/>
        <w:jc w:val="both"/>
        <w:rPr>
          <w:rFonts w:ascii="Arial" w:hAnsi="Arial" w:cs="Arial"/>
        </w:rPr>
      </w:pPr>
      <w:r w:rsidRPr="003927B9">
        <w:rPr>
          <w:rFonts w:ascii="Arial" w:hAnsi="Arial" w:cs="Arial"/>
        </w:rPr>
        <w:t>Employment skills such as teamwork, communication, adaptability and problem-solving are consistently identified as the most sought-after competencies by employers [3]. Industries across sectors require graduates who can collaborate effectively, contribute ideas, resolve challenges and adapt to rapidly evolving workplace demands. Future labour-market analyses show that social, cognitive and self-management skills will be even more critical in the coming decades [5]. Insights from generative AI tools reinforce the importance of blending academic skills with professional competencies to remain competitive in a digital-first economy [</w:t>
      </w:r>
      <w:r w:rsidRPr="00BE1AE3">
        <w:rPr>
          <w:rFonts w:ascii="Arial" w:hAnsi="Arial" w:cs="Arial"/>
        </w:rPr>
        <w:t>4</w:t>
      </w:r>
      <w:r w:rsidRPr="003927B9">
        <w:rPr>
          <w:rFonts w:ascii="Arial" w:hAnsi="Arial" w:cs="Arial"/>
        </w:rPr>
        <w:t>].</w:t>
      </w:r>
    </w:p>
    <w:p w14:paraId="610829D4" w14:textId="6821F538" w:rsidR="00BE1AE3" w:rsidRDefault="00BE1AE3" w:rsidP="00BE1AE3">
      <w:pPr>
        <w:spacing w:line="276" w:lineRule="auto"/>
        <w:jc w:val="center"/>
        <w:rPr>
          <w:rFonts w:ascii="Arial" w:hAnsi="Arial" w:cs="Arial"/>
        </w:rPr>
      </w:pPr>
      <w:r w:rsidRPr="00BE1AE3">
        <w:rPr>
          <w:rFonts w:ascii="Arial" w:hAnsi="Arial" w:cs="Arial"/>
        </w:rPr>
        <w:drawing>
          <wp:inline distT="0" distB="0" distL="0" distR="0" wp14:anchorId="79C94B18" wp14:editId="4701F5D9">
            <wp:extent cx="4970352" cy="3300719"/>
            <wp:effectExtent l="0" t="0" r="1905" b="0"/>
            <wp:docPr id="1335842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842121" name=""/>
                    <pic:cNvPicPr/>
                  </pic:nvPicPr>
                  <pic:blipFill>
                    <a:blip r:embed="rId4"/>
                    <a:stretch>
                      <a:fillRect/>
                    </a:stretch>
                  </pic:blipFill>
                  <pic:spPr>
                    <a:xfrm>
                      <a:off x="0" y="0"/>
                      <a:ext cx="4979636" cy="3306884"/>
                    </a:xfrm>
                    <a:prstGeom prst="rect">
                      <a:avLst/>
                    </a:prstGeom>
                  </pic:spPr>
                </pic:pic>
              </a:graphicData>
            </a:graphic>
          </wp:inline>
        </w:drawing>
      </w:r>
    </w:p>
    <w:p w14:paraId="3686DE0F" w14:textId="0C4CD8D1" w:rsidR="00BE1AE3" w:rsidRPr="003927B9" w:rsidRDefault="00BE1AE3" w:rsidP="00BE1AE3">
      <w:pPr>
        <w:spacing w:line="276" w:lineRule="auto"/>
        <w:jc w:val="center"/>
        <w:rPr>
          <w:rFonts w:ascii="Arial" w:hAnsi="Arial" w:cs="Arial"/>
        </w:rPr>
      </w:pPr>
      <w:r>
        <w:rPr>
          <w:rFonts w:ascii="Arial" w:hAnsi="Arial" w:cs="Arial"/>
        </w:rPr>
        <w:t>Figure 1:</w:t>
      </w:r>
      <w:r w:rsidRPr="00BE1AE3">
        <w:rPr>
          <w:rFonts w:ascii="Arial" w:hAnsi="Arial" w:cs="Arial"/>
        </w:rPr>
        <w:t xml:space="preserve"> </w:t>
      </w:r>
      <w:r>
        <w:rPr>
          <w:rFonts w:ascii="Arial" w:hAnsi="Arial" w:cs="Arial"/>
        </w:rPr>
        <w:t>Essential</w:t>
      </w:r>
      <w:r>
        <w:rPr>
          <w:rFonts w:ascii="Arial" w:hAnsi="Arial" w:cs="Arial"/>
        </w:rPr>
        <w:t xml:space="preserve"> Employability and Academic Skills</w:t>
      </w:r>
    </w:p>
    <w:p w14:paraId="684D17C5" w14:textId="0F2625AD" w:rsidR="003927B9" w:rsidRPr="003927B9" w:rsidRDefault="003927B9" w:rsidP="00BE1AE3">
      <w:pPr>
        <w:spacing w:line="276" w:lineRule="auto"/>
        <w:jc w:val="both"/>
        <w:rPr>
          <w:rFonts w:ascii="Arial" w:hAnsi="Arial" w:cs="Arial"/>
        </w:rPr>
      </w:pPr>
      <w:r w:rsidRPr="003927B9">
        <w:rPr>
          <w:rFonts w:ascii="Arial" w:hAnsi="Arial" w:cs="Arial"/>
        </w:rPr>
        <w:t xml:space="preserve">In my chosen career of </w:t>
      </w:r>
      <w:r w:rsidRPr="00BE1AE3">
        <w:rPr>
          <w:rFonts w:ascii="Arial" w:hAnsi="Arial" w:cs="Arial"/>
        </w:rPr>
        <w:t>Security A</w:t>
      </w:r>
      <w:r w:rsidRPr="003927B9">
        <w:rPr>
          <w:rFonts w:ascii="Arial" w:hAnsi="Arial" w:cs="Arial"/>
        </w:rPr>
        <w:t>nalyst, these skills directly contribute to employability. Critical thinking supports analysing risks and making informed decisions, teamwork enables smooth collaboration during security operations, communication ensures clear reporting, and digital literacy underpins the use of specialised tools and technologies. Together, these skills create a strong foundation for both academic achievement and professional success.</w:t>
      </w:r>
    </w:p>
    <w:p w14:paraId="40BB91F0" w14:textId="586A6D3D" w:rsidR="003927B9" w:rsidRPr="00BE1AE3" w:rsidRDefault="003927B9" w:rsidP="00BE1AE3">
      <w:pPr>
        <w:spacing w:line="276" w:lineRule="auto"/>
        <w:jc w:val="both"/>
        <w:rPr>
          <w:rFonts w:ascii="Arial" w:hAnsi="Arial" w:cs="Arial"/>
          <w:b/>
          <w:bCs/>
        </w:rPr>
      </w:pPr>
      <w:r w:rsidRPr="00BE1AE3">
        <w:rPr>
          <w:rFonts w:ascii="Arial" w:hAnsi="Arial" w:cs="Arial"/>
          <w:b/>
          <w:bCs/>
        </w:rPr>
        <w:lastRenderedPageBreak/>
        <w:t>REFERENCES</w:t>
      </w:r>
    </w:p>
    <w:p w14:paraId="281FF86C" w14:textId="27D2760B" w:rsidR="003927B9" w:rsidRPr="003927B9" w:rsidRDefault="003927B9" w:rsidP="00BE1AE3">
      <w:pPr>
        <w:spacing w:line="276" w:lineRule="auto"/>
        <w:jc w:val="both"/>
        <w:rPr>
          <w:rFonts w:ascii="Arial" w:hAnsi="Arial" w:cs="Arial"/>
        </w:rPr>
      </w:pPr>
      <w:r w:rsidRPr="003927B9">
        <w:rPr>
          <w:rFonts w:ascii="Arial" w:hAnsi="Arial" w:cs="Arial"/>
          <w:b/>
          <w:bCs/>
        </w:rPr>
        <w:t>[1]</w:t>
      </w:r>
      <w:r w:rsidRPr="00BE1AE3">
        <w:rPr>
          <w:rFonts w:ascii="Arial" w:hAnsi="Arial" w:cs="Arial"/>
        </w:rPr>
        <w:t xml:space="preserve"> </w:t>
      </w:r>
      <w:r w:rsidRPr="003927B9">
        <w:rPr>
          <w:rFonts w:ascii="Arial" w:hAnsi="Arial" w:cs="Arial"/>
        </w:rPr>
        <w:t xml:space="preserve">H. Tushar and N. Sooraksa, “Global employability skills in the 21st century workplace: A semi-systematic literature review,” </w:t>
      </w:r>
      <w:r w:rsidRPr="003927B9">
        <w:rPr>
          <w:rFonts w:ascii="Arial" w:hAnsi="Arial" w:cs="Arial"/>
          <w:i/>
          <w:iCs/>
        </w:rPr>
        <w:t>Heliyon</w:t>
      </w:r>
      <w:r w:rsidRPr="003927B9">
        <w:rPr>
          <w:rFonts w:ascii="Arial" w:hAnsi="Arial" w:cs="Arial"/>
        </w:rPr>
        <w:t>, vol. 9, no. 11, e21023, 2023. doi: 10.1016/j.heliyon.2023.e21023.</w:t>
      </w:r>
    </w:p>
    <w:p w14:paraId="6D8A10A9" w14:textId="4251F2D3" w:rsidR="003927B9" w:rsidRPr="003927B9" w:rsidRDefault="003927B9" w:rsidP="00BE1AE3">
      <w:pPr>
        <w:spacing w:line="276" w:lineRule="auto"/>
        <w:jc w:val="both"/>
        <w:rPr>
          <w:rFonts w:ascii="Arial" w:hAnsi="Arial" w:cs="Arial"/>
        </w:rPr>
      </w:pPr>
      <w:r w:rsidRPr="003927B9">
        <w:rPr>
          <w:rFonts w:ascii="Arial" w:hAnsi="Arial" w:cs="Arial"/>
          <w:b/>
          <w:bCs/>
        </w:rPr>
        <w:t>[2]</w:t>
      </w:r>
      <w:r w:rsidRPr="00BE1AE3">
        <w:rPr>
          <w:rFonts w:ascii="Arial" w:hAnsi="Arial" w:cs="Arial"/>
        </w:rPr>
        <w:t xml:space="preserve"> </w:t>
      </w:r>
      <w:r w:rsidRPr="003927B9">
        <w:rPr>
          <w:rFonts w:ascii="Arial" w:hAnsi="Arial" w:cs="Arial"/>
        </w:rPr>
        <w:t xml:space="preserve">L. Geng, M. Ma, R. Osei-Kyei, X. Jin, and S. Shrestha, “A review of employability skills for graduates in the construction sector,” </w:t>
      </w:r>
      <w:r w:rsidRPr="003927B9">
        <w:rPr>
          <w:rFonts w:ascii="Arial" w:hAnsi="Arial" w:cs="Arial"/>
          <w:i/>
          <w:iCs/>
        </w:rPr>
        <w:t>Higher Education, Skills and Work-Based Learning</w:t>
      </w:r>
      <w:r w:rsidRPr="003927B9">
        <w:rPr>
          <w:rFonts w:ascii="Arial" w:hAnsi="Arial" w:cs="Arial"/>
        </w:rPr>
        <w:t>, vol. 15, no. 7, pp. 153–170, 2025. doi: 10.1108/HESWBL-08-2024-0242.</w:t>
      </w:r>
    </w:p>
    <w:p w14:paraId="64AE23E5" w14:textId="5C6C383F" w:rsidR="003927B9" w:rsidRPr="003927B9" w:rsidRDefault="003927B9" w:rsidP="00BE1AE3">
      <w:pPr>
        <w:spacing w:line="276" w:lineRule="auto"/>
        <w:jc w:val="both"/>
        <w:rPr>
          <w:rFonts w:ascii="Arial" w:hAnsi="Arial" w:cs="Arial"/>
        </w:rPr>
      </w:pPr>
      <w:r w:rsidRPr="003927B9">
        <w:rPr>
          <w:rFonts w:ascii="Arial" w:hAnsi="Arial" w:cs="Arial"/>
          <w:b/>
          <w:bCs/>
        </w:rPr>
        <w:t>[3]</w:t>
      </w:r>
      <w:r w:rsidRPr="00BE1AE3">
        <w:rPr>
          <w:rFonts w:ascii="Arial" w:hAnsi="Arial" w:cs="Arial"/>
        </w:rPr>
        <w:t xml:space="preserve"> </w:t>
      </w:r>
      <w:r w:rsidRPr="003927B9">
        <w:rPr>
          <w:rFonts w:ascii="Arial" w:hAnsi="Arial" w:cs="Arial"/>
        </w:rPr>
        <w:t xml:space="preserve">A. Smith, “Promoting employer-desired competencies through a multiphased workgroup project,” </w:t>
      </w:r>
      <w:r w:rsidRPr="003927B9">
        <w:rPr>
          <w:rFonts w:ascii="Arial" w:hAnsi="Arial" w:cs="Arial"/>
          <w:i/>
          <w:iCs/>
        </w:rPr>
        <w:t>International Journal for Business Education</w:t>
      </w:r>
      <w:r w:rsidRPr="003927B9">
        <w:rPr>
          <w:rFonts w:ascii="Arial" w:hAnsi="Arial" w:cs="Arial"/>
        </w:rPr>
        <w:t xml:space="preserve">, vol. 162, no. 1, art. 2, pp. 1–20, 2021. [Online]. Available: </w:t>
      </w:r>
      <w:hyperlink r:id="rId5" w:tgtFrame="_new" w:history="1">
        <w:r w:rsidRPr="003927B9">
          <w:rPr>
            <w:rStyle w:val="Hyperlink"/>
            <w:rFonts w:ascii="Arial" w:hAnsi="Arial" w:cs="Arial"/>
          </w:rPr>
          <w:t>https://ir.library.illinoisstate.edu/ijbe/vol162/iss1/2</w:t>
        </w:r>
      </w:hyperlink>
    </w:p>
    <w:p w14:paraId="07A3F5D1" w14:textId="02D2059D" w:rsidR="003927B9" w:rsidRPr="00BE1AE3" w:rsidRDefault="003927B9" w:rsidP="00BE1AE3">
      <w:pPr>
        <w:spacing w:line="276" w:lineRule="auto"/>
        <w:jc w:val="both"/>
        <w:rPr>
          <w:rFonts w:ascii="Arial" w:hAnsi="Arial" w:cs="Arial"/>
        </w:rPr>
      </w:pPr>
      <w:r w:rsidRPr="003927B9">
        <w:rPr>
          <w:rFonts w:ascii="Arial" w:hAnsi="Arial" w:cs="Arial"/>
          <w:b/>
          <w:bCs/>
        </w:rPr>
        <w:t>[4]</w:t>
      </w:r>
      <w:r w:rsidRPr="00BE1AE3">
        <w:rPr>
          <w:rFonts w:ascii="Arial" w:hAnsi="Arial" w:cs="Arial"/>
        </w:rPr>
        <w:t xml:space="preserve"> </w:t>
      </w:r>
      <w:r w:rsidRPr="003927B9">
        <w:rPr>
          <w:rFonts w:ascii="Arial" w:hAnsi="Arial" w:cs="Arial"/>
        </w:rPr>
        <w:t xml:space="preserve">M. Poláková, J. H. Suleimanová, P. Madzík, L. Copuš, I. Molnárová, and J. Polednová, “Soft skills and their importance in the labour market under the conditions of Industry 5.0,” </w:t>
      </w:r>
      <w:r w:rsidRPr="003927B9">
        <w:rPr>
          <w:rFonts w:ascii="Arial" w:hAnsi="Arial" w:cs="Arial"/>
          <w:i/>
          <w:iCs/>
        </w:rPr>
        <w:t>Heliyon</w:t>
      </w:r>
      <w:r w:rsidRPr="003927B9">
        <w:rPr>
          <w:rFonts w:ascii="Arial" w:hAnsi="Arial" w:cs="Arial"/>
        </w:rPr>
        <w:t>, vol. 9, no. 8, e18670, 2023. doi: 10.1016/j.heliyon.2023.e18670.</w:t>
      </w:r>
    </w:p>
    <w:p w14:paraId="7ACFAD06" w14:textId="3D754EA6" w:rsidR="00ED0A64" w:rsidRPr="00ED0A64" w:rsidRDefault="00ED0A64" w:rsidP="00BE1AE3">
      <w:pPr>
        <w:spacing w:line="276" w:lineRule="auto"/>
        <w:jc w:val="both"/>
        <w:rPr>
          <w:rFonts w:ascii="Arial" w:hAnsi="Arial" w:cs="Arial"/>
        </w:rPr>
      </w:pPr>
      <w:r w:rsidRPr="00ED0A64">
        <w:rPr>
          <w:rFonts w:ascii="Arial" w:hAnsi="Arial" w:cs="Arial"/>
          <w:b/>
          <w:bCs/>
        </w:rPr>
        <w:t>[5]</w:t>
      </w:r>
      <w:r w:rsidRPr="00BE1AE3">
        <w:rPr>
          <w:rFonts w:ascii="Arial" w:hAnsi="Arial" w:cs="Arial"/>
        </w:rPr>
        <w:t xml:space="preserve"> </w:t>
      </w:r>
      <w:r w:rsidRPr="00ED0A64">
        <w:rPr>
          <w:rFonts w:ascii="Arial" w:hAnsi="Arial" w:cs="Arial"/>
        </w:rPr>
        <w:t xml:space="preserve">M. Dondi, S. Hieronimus, J. Klier, P. Puskas, D. Schmautzer and J. Schubert, “Defining the skills citizens will need in the future world of work,” McKinsey &amp; Company, Geneva/Brussels/Munich/Dubai, 25 Jun. 2021. [Online]. Available: </w:t>
      </w:r>
      <w:hyperlink r:id="rId6" w:tgtFrame="_new" w:history="1">
        <w:r w:rsidRPr="00ED0A64">
          <w:rPr>
            <w:rStyle w:val="Hyperlink"/>
            <w:rFonts w:ascii="Arial" w:hAnsi="Arial" w:cs="Arial"/>
          </w:rPr>
          <w:t>https://www.mckinsey.com/industries/public-sector/our-insights/defining-the-skills-citizens-will-need-in-the-future-world-of-work</w:t>
        </w:r>
      </w:hyperlink>
      <w:r w:rsidRPr="00ED0A64">
        <w:rPr>
          <w:rFonts w:ascii="Arial" w:hAnsi="Arial" w:cs="Arial"/>
        </w:rPr>
        <w:t>.</w:t>
      </w:r>
    </w:p>
    <w:p w14:paraId="0771E27F" w14:textId="77777777" w:rsidR="00ED0A64" w:rsidRPr="003927B9" w:rsidRDefault="00ED0A64" w:rsidP="00BE1AE3">
      <w:pPr>
        <w:spacing w:line="276" w:lineRule="auto"/>
        <w:jc w:val="both"/>
        <w:rPr>
          <w:rFonts w:ascii="Arial" w:hAnsi="Arial" w:cs="Arial"/>
        </w:rPr>
      </w:pPr>
    </w:p>
    <w:p w14:paraId="08141DAC" w14:textId="77777777" w:rsidR="003927B9" w:rsidRPr="00BE1AE3" w:rsidRDefault="003927B9" w:rsidP="00BE1AE3">
      <w:pPr>
        <w:spacing w:line="276" w:lineRule="auto"/>
        <w:jc w:val="both"/>
        <w:rPr>
          <w:rFonts w:ascii="Arial" w:hAnsi="Arial" w:cs="Arial"/>
        </w:rPr>
      </w:pPr>
    </w:p>
    <w:p w14:paraId="374422AA" w14:textId="77777777" w:rsidR="003927B9" w:rsidRPr="00BE1AE3" w:rsidRDefault="003927B9" w:rsidP="00BE1AE3">
      <w:pPr>
        <w:spacing w:line="276" w:lineRule="auto"/>
        <w:jc w:val="both"/>
        <w:rPr>
          <w:rFonts w:ascii="Arial" w:hAnsi="Arial" w:cs="Arial"/>
        </w:rPr>
      </w:pPr>
    </w:p>
    <w:p w14:paraId="3645ABEA" w14:textId="77777777" w:rsidR="003927B9" w:rsidRPr="00BE1AE3" w:rsidRDefault="003927B9" w:rsidP="00BE1AE3">
      <w:pPr>
        <w:spacing w:line="276" w:lineRule="auto"/>
        <w:jc w:val="both"/>
        <w:rPr>
          <w:rFonts w:ascii="Arial" w:hAnsi="Arial" w:cs="Arial"/>
        </w:rPr>
      </w:pPr>
    </w:p>
    <w:sectPr w:rsidR="003927B9" w:rsidRPr="00BE1A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B9"/>
    <w:rsid w:val="003927B9"/>
    <w:rsid w:val="006E7904"/>
    <w:rsid w:val="008D177D"/>
    <w:rsid w:val="00BE1AE3"/>
    <w:rsid w:val="00EB2BB7"/>
    <w:rsid w:val="00ED0A64"/>
    <w:rsid w:val="00F940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D888"/>
  <w15:chartTrackingRefBased/>
  <w15:docId w15:val="{1391E323-02AD-4D21-BBBF-06242BDB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7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27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27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27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27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27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7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7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7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7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27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27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27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27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27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27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27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27B9"/>
    <w:rPr>
      <w:rFonts w:eastAsiaTheme="majorEastAsia" w:cstheme="majorBidi"/>
      <w:color w:val="272727" w:themeColor="text1" w:themeTint="D8"/>
    </w:rPr>
  </w:style>
  <w:style w:type="paragraph" w:styleId="Title">
    <w:name w:val="Title"/>
    <w:basedOn w:val="Normal"/>
    <w:next w:val="Normal"/>
    <w:link w:val="TitleChar"/>
    <w:uiPriority w:val="10"/>
    <w:qFormat/>
    <w:rsid w:val="003927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7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27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27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27B9"/>
    <w:pPr>
      <w:spacing w:before="160"/>
      <w:jc w:val="center"/>
    </w:pPr>
    <w:rPr>
      <w:i/>
      <w:iCs/>
      <w:color w:val="404040" w:themeColor="text1" w:themeTint="BF"/>
    </w:rPr>
  </w:style>
  <w:style w:type="character" w:customStyle="1" w:styleId="QuoteChar">
    <w:name w:val="Quote Char"/>
    <w:basedOn w:val="DefaultParagraphFont"/>
    <w:link w:val="Quote"/>
    <w:uiPriority w:val="29"/>
    <w:rsid w:val="003927B9"/>
    <w:rPr>
      <w:i/>
      <w:iCs/>
      <w:color w:val="404040" w:themeColor="text1" w:themeTint="BF"/>
    </w:rPr>
  </w:style>
  <w:style w:type="paragraph" w:styleId="ListParagraph">
    <w:name w:val="List Paragraph"/>
    <w:basedOn w:val="Normal"/>
    <w:uiPriority w:val="34"/>
    <w:qFormat/>
    <w:rsid w:val="003927B9"/>
    <w:pPr>
      <w:ind w:left="720"/>
      <w:contextualSpacing/>
    </w:pPr>
  </w:style>
  <w:style w:type="character" w:styleId="IntenseEmphasis">
    <w:name w:val="Intense Emphasis"/>
    <w:basedOn w:val="DefaultParagraphFont"/>
    <w:uiPriority w:val="21"/>
    <w:qFormat/>
    <w:rsid w:val="003927B9"/>
    <w:rPr>
      <w:i/>
      <w:iCs/>
      <w:color w:val="0F4761" w:themeColor="accent1" w:themeShade="BF"/>
    </w:rPr>
  </w:style>
  <w:style w:type="paragraph" w:styleId="IntenseQuote">
    <w:name w:val="Intense Quote"/>
    <w:basedOn w:val="Normal"/>
    <w:next w:val="Normal"/>
    <w:link w:val="IntenseQuoteChar"/>
    <w:uiPriority w:val="30"/>
    <w:qFormat/>
    <w:rsid w:val="003927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27B9"/>
    <w:rPr>
      <w:i/>
      <w:iCs/>
      <w:color w:val="0F4761" w:themeColor="accent1" w:themeShade="BF"/>
    </w:rPr>
  </w:style>
  <w:style w:type="character" w:styleId="IntenseReference">
    <w:name w:val="Intense Reference"/>
    <w:basedOn w:val="DefaultParagraphFont"/>
    <w:uiPriority w:val="32"/>
    <w:qFormat/>
    <w:rsid w:val="003927B9"/>
    <w:rPr>
      <w:b/>
      <w:bCs/>
      <w:smallCaps/>
      <w:color w:val="0F4761" w:themeColor="accent1" w:themeShade="BF"/>
      <w:spacing w:val="5"/>
    </w:rPr>
  </w:style>
  <w:style w:type="character" w:styleId="Hyperlink">
    <w:name w:val="Hyperlink"/>
    <w:basedOn w:val="DefaultParagraphFont"/>
    <w:uiPriority w:val="99"/>
    <w:unhideWhenUsed/>
    <w:rsid w:val="003927B9"/>
    <w:rPr>
      <w:color w:val="467886" w:themeColor="hyperlink"/>
      <w:u w:val="single"/>
    </w:rPr>
  </w:style>
  <w:style w:type="character" w:styleId="UnresolvedMention">
    <w:name w:val="Unresolved Mention"/>
    <w:basedOn w:val="DefaultParagraphFont"/>
    <w:uiPriority w:val="99"/>
    <w:semiHidden/>
    <w:unhideWhenUsed/>
    <w:rsid w:val="00392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ckinsey.com/industries/public-sector/our-insights/defining-the-skills-citizens-will-need-in-the-future-world-of-work?utm_source=chatgpt.com" TargetMode="External"/><Relationship Id="rId5" Type="http://schemas.openxmlformats.org/officeDocument/2006/relationships/hyperlink" Target="https://ir.library.illinoisstate.edu/ijbe/vol162/iss1/2"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523</Words>
  <Characters>2986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Fernel Ramirez Espinal</dc:creator>
  <cp:keywords/>
  <dc:description/>
  <cp:lastModifiedBy>Dinesh Nuthakki</cp:lastModifiedBy>
  <cp:revision>4</cp:revision>
  <dcterms:created xsi:type="dcterms:W3CDTF">2025-11-19T20:54:00Z</dcterms:created>
  <dcterms:modified xsi:type="dcterms:W3CDTF">2025-11-19T21:01:00Z</dcterms:modified>
</cp:coreProperties>
</file>