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C162F" w:rsidRPr="007B1086" w:rsidRDefault="008C162F" w:rsidP="00CE6791">
      <w:pPr>
        <w:pStyle w:val="Heading1"/>
        <w:spacing w:line="360" w:lineRule="auto"/>
        <w:jc w:val="center"/>
        <w:rPr>
          <w:rFonts w:ascii="Arial" w:eastAsia="Times New Roman" w:hAnsi="Arial" w:cs="Arial"/>
          <w:b/>
          <w:bCs/>
          <w:color w:val="000000" w:themeColor="text1"/>
          <w:kern w:val="36"/>
          <w:sz w:val="28"/>
          <w:szCs w:val="28"/>
          <w:lang w:eastAsia="en-GB"/>
          <w14:ligatures w14:val="none"/>
        </w:rPr>
      </w:pPr>
      <w:r w:rsidRPr="007B1086">
        <w:rPr>
          <w:rFonts w:ascii="Arial" w:eastAsiaTheme="minorHAnsi" w:hAnsi="Arial" w:cs="Arial"/>
          <w:b/>
          <w:bCs/>
          <w:noProof/>
          <w:color w:val="000000" w:themeColor="text1"/>
          <w:sz w:val="28"/>
          <w:szCs w:val="28"/>
        </w:rPr>
        <w:drawing>
          <wp:anchor distT="0" distB="0" distL="114300" distR="114300" simplePos="0" relativeHeight="251659264" behindDoc="0" locked="0" layoutInCell="1" allowOverlap="1" wp14:anchorId="71E3A8F8" wp14:editId="45D630A6">
            <wp:simplePos x="0" y="0"/>
            <wp:positionH relativeFrom="column">
              <wp:posOffset>925797</wp:posOffset>
            </wp:positionH>
            <wp:positionV relativeFrom="paragraph">
              <wp:posOffset>0</wp:posOffset>
            </wp:positionV>
            <wp:extent cx="3609340" cy="1551305"/>
            <wp:effectExtent l="0" t="0" r="0" b="0"/>
            <wp:wrapTopAndBottom/>
            <wp:docPr id="56931730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9317303" name="Picture 569317303"/>
                    <pic:cNvPicPr/>
                  </pic:nvPicPr>
                  <pic:blipFill rotWithShape="1">
                    <a:blip r:embed="rId8">
                      <a:extLst>
                        <a:ext uri="{28A0092B-C50C-407E-A947-70E740481C1C}">
                          <a14:useLocalDpi xmlns:a14="http://schemas.microsoft.com/office/drawing/2010/main" val="0"/>
                        </a:ext>
                      </a:extLst>
                    </a:blip>
                    <a:srcRect l="8068" t="32736" r="14060" b="31076"/>
                    <a:stretch>
                      <a:fillRect/>
                    </a:stretch>
                  </pic:blipFill>
                  <pic:spPr bwMode="auto">
                    <a:xfrm>
                      <a:off x="0" y="0"/>
                      <a:ext cx="3609340" cy="1551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E6791" w:rsidRPr="00CE6791">
        <w:rPr>
          <w:rFonts w:ascii="Arial" w:eastAsia="Times New Roman" w:hAnsi="Arial" w:cs="Arial"/>
          <w:b/>
          <w:bCs/>
          <w:color w:val="000000" w:themeColor="text1"/>
          <w:kern w:val="36"/>
          <w:sz w:val="28"/>
          <w:szCs w:val="28"/>
          <w:lang w:eastAsia="en-GB"/>
          <w14:ligatures w14:val="none"/>
        </w:rPr>
        <w:t>Marketing Environment</w:t>
      </w:r>
      <w:r w:rsidR="00CE6791">
        <w:rPr>
          <w:rFonts w:ascii="Arial" w:eastAsia="Times New Roman" w:hAnsi="Arial" w:cs="Arial"/>
          <w:b/>
          <w:bCs/>
          <w:color w:val="000000" w:themeColor="text1"/>
          <w:kern w:val="36"/>
          <w:sz w:val="28"/>
          <w:szCs w:val="28"/>
          <w:lang w:eastAsia="en-GB"/>
          <w14:ligatures w14:val="none"/>
        </w:rPr>
        <w:t xml:space="preserve"> </w:t>
      </w:r>
      <w:r w:rsidR="00CE6791" w:rsidRPr="00CE6791">
        <w:rPr>
          <w:rFonts w:ascii="Arial" w:eastAsia="Times New Roman" w:hAnsi="Arial" w:cs="Arial"/>
          <w:b/>
          <w:bCs/>
          <w:color w:val="000000" w:themeColor="text1"/>
          <w:kern w:val="36"/>
          <w:sz w:val="28"/>
          <w:szCs w:val="28"/>
          <w:lang w:eastAsia="en-GB"/>
          <w14:ligatures w14:val="none"/>
        </w:rPr>
        <w:t>Analysis</w:t>
      </w:r>
    </w:p>
    <w:p w:rsidR="008C162F" w:rsidRPr="007B1086" w:rsidRDefault="00F64D9D" w:rsidP="008C162F">
      <w:pPr>
        <w:spacing w:after="0" w:line="360" w:lineRule="auto"/>
        <w:jc w:val="center"/>
        <w:rPr>
          <w:rFonts w:ascii="Arial" w:eastAsia="Times New Roman" w:hAnsi="Arial" w:cs="Arial"/>
          <w:color w:val="000000" w:themeColor="text1"/>
          <w:kern w:val="0"/>
          <w:sz w:val="28"/>
          <w:szCs w:val="28"/>
          <w:lang w:eastAsia="en-GB"/>
          <w14:ligatures w14:val="none"/>
        </w:rPr>
      </w:pPr>
      <w:r>
        <w:rPr>
          <w:rFonts w:ascii="Arial" w:eastAsia="Times New Roman" w:hAnsi="Arial" w:cs="Arial"/>
          <w:noProof/>
          <w:color w:val="000000" w:themeColor="text1"/>
          <w:kern w:val="0"/>
          <w:sz w:val="28"/>
          <w:szCs w:val="28"/>
          <w:lang w:eastAsia="en-GB"/>
        </w:rPr>
        <w:pict>
          <v:rect id="_x0000_i1025" alt="" style="width:451.3pt;height:.05pt;mso-width-percent:0;mso-height-percent:0;mso-width-percent:0;mso-height-percent:0" o:hralign="center" o:hrstd="t" o:hr="t" fillcolor="#a0a0a0" stroked="f"/>
        </w:pict>
      </w:r>
    </w:p>
    <w:p w:rsidR="008C162F" w:rsidRPr="008763D6" w:rsidRDefault="008C162F" w:rsidP="008763D6">
      <w:pPr>
        <w:spacing w:before="100" w:beforeAutospacing="1" w:after="100" w:afterAutospacing="1" w:line="360" w:lineRule="auto"/>
        <w:jc w:val="center"/>
        <w:rPr>
          <w:rFonts w:ascii="Arial" w:eastAsia="Times New Roman" w:hAnsi="Arial" w:cs="Arial"/>
          <w:color w:val="000000" w:themeColor="text1"/>
          <w:kern w:val="0"/>
          <w:sz w:val="28"/>
          <w:szCs w:val="28"/>
          <w:lang w:eastAsia="en-GB"/>
          <w14:ligatures w14:val="none"/>
        </w:rPr>
      </w:pPr>
      <w:r w:rsidRPr="008763D6">
        <w:rPr>
          <w:rFonts w:ascii="Arial" w:eastAsia="Times New Roman" w:hAnsi="Arial" w:cs="Arial"/>
          <w:b/>
          <w:bCs/>
          <w:color w:val="000000" w:themeColor="text1"/>
          <w:kern w:val="0"/>
          <w:sz w:val="28"/>
          <w:szCs w:val="28"/>
          <w:lang w:eastAsia="en-GB"/>
          <w14:ligatures w14:val="none"/>
        </w:rPr>
        <w:t>Module Name:</w:t>
      </w:r>
      <w:r w:rsidRPr="008763D6">
        <w:rPr>
          <w:rFonts w:ascii="Arial" w:eastAsia="Times New Roman" w:hAnsi="Arial" w:cs="Arial"/>
          <w:color w:val="000000" w:themeColor="text1"/>
          <w:kern w:val="0"/>
          <w:sz w:val="28"/>
          <w:szCs w:val="28"/>
          <w:lang w:eastAsia="en-GB"/>
          <w14:ligatures w14:val="none"/>
        </w:rPr>
        <w:t xml:space="preserve"> Marketing Management</w:t>
      </w:r>
    </w:p>
    <w:p w:rsidR="008C162F" w:rsidRPr="008763D6" w:rsidRDefault="008C162F" w:rsidP="008763D6">
      <w:pPr>
        <w:spacing w:before="100" w:beforeAutospacing="1" w:after="100" w:afterAutospacing="1" w:line="360" w:lineRule="auto"/>
        <w:jc w:val="center"/>
        <w:rPr>
          <w:rFonts w:ascii="Arial" w:eastAsia="Times New Roman" w:hAnsi="Arial" w:cs="Arial"/>
          <w:color w:val="000000" w:themeColor="text1"/>
          <w:kern w:val="0"/>
          <w:sz w:val="28"/>
          <w:szCs w:val="28"/>
          <w:lang w:eastAsia="en-GB"/>
          <w14:ligatures w14:val="none"/>
        </w:rPr>
      </w:pPr>
      <w:r w:rsidRPr="008763D6">
        <w:rPr>
          <w:rFonts w:ascii="Arial" w:eastAsia="Times New Roman" w:hAnsi="Arial" w:cs="Arial"/>
          <w:b/>
          <w:bCs/>
          <w:color w:val="000000" w:themeColor="text1"/>
          <w:kern w:val="0"/>
          <w:sz w:val="28"/>
          <w:szCs w:val="28"/>
          <w:lang w:eastAsia="en-GB"/>
          <w14:ligatures w14:val="none"/>
        </w:rPr>
        <w:t>Module Code:</w:t>
      </w:r>
      <w:r w:rsidRPr="008763D6">
        <w:rPr>
          <w:rFonts w:ascii="Arial" w:eastAsia="Times New Roman" w:hAnsi="Arial" w:cs="Arial"/>
          <w:color w:val="000000" w:themeColor="text1"/>
          <w:kern w:val="0"/>
          <w:sz w:val="28"/>
          <w:szCs w:val="28"/>
          <w:lang w:eastAsia="en-GB"/>
          <w14:ligatures w14:val="none"/>
        </w:rPr>
        <w:t xml:space="preserve"> LCMB7024</w:t>
      </w:r>
    </w:p>
    <w:p w:rsidR="008C162F" w:rsidRPr="008763D6" w:rsidRDefault="008C162F" w:rsidP="008763D6">
      <w:pPr>
        <w:spacing w:before="100" w:beforeAutospacing="1" w:after="100" w:afterAutospacing="1" w:line="360" w:lineRule="auto"/>
        <w:jc w:val="center"/>
        <w:rPr>
          <w:rFonts w:ascii="Arial" w:eastAsia="Times New Roman" w:hAnsi="Arial" w:cs="Arial"/>
          <w:color w:val="000000" w:themeColor="text1"/>
          <w:kern w:val="0"/>
          <w:sz w:val="28"/>
          <w:szCs w:val="28"/>
          <w:lang w:eastAsia="en-GB"/>
          <w14:ligatures w14:val="none"/>
        </w:rPr>
      </w:pPr>
      <w:r w:rsidRPr="008763D6">
        <w:rPr>
          <w:rFonts w:ascii="Arial" w:eastAsia="Times New Roman" w:hAnsi="Arial" w:cs="Arial"/>
          <w:b/>
          <w:bCs/>
          <w:color w:val="000000" w:themeColor="text1"/>
          <w:kern w:val="0"/>
          <w:sz w:val="28"/>
          <w:szCs w:val="28"/>
          <w:lang w:eastAsia="en-GB"/>
          <w14:ligatures w14:val="none"/>
        </w:rPr>
        <w:t>Student Name:</w:t>
      </w:r>
      <w:r w:rsidRPr="008763D6">
        <w:rPr>
          <w:rFonts w:ascii="Arial" w:eastAsia="Times New Roman" w:hAnsi="Arial" w:cs="Arial"/>
          <w:color w:val="000000" w:themeColor="text1"/>
          <w:kern w:val="0"/>
          <w:sz w:val="28"/>
          <w:szCs w:val="28"/>
          <w:lang w:eastAsia="en-GB"/>
          <w14:ligatures w14:val="none"/>
        </w:rPr>
        <w:t xml:space="preserve"> Prince Laurence Sade</w:t>
      </w:r>
    </w:p>
    <w:p w:rsidR="008C162F" w:rsidRPr="008763D6" w:rsidRDefault="008C162F" w:rsidP="008763D6">
      <w:pPr>
        <w:spacing w:before="100" w:beforeAutospacing="1" w:after="100" w:afterAutospacing="1" w:line="360" w:lineRule="auto"/>
        <w:jc w:val="center"/>
        <w:rPr>
          <w:rFonts w:ascii="Arial" w:eastAsia="Times New Roman" w:hAnsi="Arial" w:cs="Arial"/>
          <w:color w:val="000000" w:themeColor="text1"/>
          <w:kern w:val="0"/>
          <w:sz w:val="28"/>
          <w:szCs w:val="28"/>
          <w:lang w:eastAsia="en-GB"/>
          <w14:ligatures w14:val="none"/>
        </w:rPr>
      </w:pPr>
      <w:r w:rsidRPr="008763D6">
        <w:rPr>
          <w:rFonts w:ascii="Arial" w:eastAsia="Times New Roman" w:hAnsi="Arial" w:cs="Arial"/>
          <w:b/>
          <w:bCs/>
          <w:color w:val="000000" w:themeColor="text1"/>
          <w:kern w:val="0"/>
          <w:sz w:val="28"/>
          <w:szCs w:val="28"/>
          <w:lang w:eastAsia="en-GB"/>
          <w14:ligatures w14:val="none"/>
        </w:rPr>
        <w:t>Student ID:</w:t>
      </w:r>
      <w:r w:rsidRPr="008763D6">
        <w:rPr>
          <w:rFonts w:ascii="Arial" w:eastAsia="Times New Roman" w:hAnsi="Arial" w:cs="Arial"/>
          <w:color w:val="000000" w:themeColor="text1"/>
          <w:kern w:val="0"/>
          <w:sz w:val="28"/>
          <w:szCs w:val="28"/>
          <w:lang w:eastAsia="en-GB"/>
          <w14:ligatures w14:val="none"/>
        </w:rPr>
        <w:t xml:space="preserve"> 2525510</w:t>
      </w:r>
    </w:p>
    <w:p w:rsidR="008C162F" w:rsidRPr="008763D6" w:rsidRDefault="008C162F" w:rsidP="008763D6">
      <w:pPr>
        <w:spacing w:before="100" w:beforeAutospacing="1" w:after="100" w:afterAutospacing="1" w:line="360" w:lineRule="auto"/>
        <w:jc w:val="center"/>
        <w:rPr>
          <w:rFonts w:ascii="Arial" w:eastAsia="Times New Roman" w:hAnsi="Arial" w:cs="Arial"/>
          <w:color w:val="000000" w:themeColor="text1"/>
          <w:kern w:val="0"/>
          <w:sz w:val="28"/>
          <w:szCs w:val="28"/>
          <w:lang w:eastAsia="en-GB"/>
          <w14:ligatures w14:val="none"/>
        </w:rPr>
      </w:pPr>
      <w:r w:rsidRPr="008763D6">
        <w:rPr>
          <w:rFonts w:ascii="Arial" w:eastAsia="Times New Roman" w:hAnsi="Arial" w:cs="Arial"/>
          <w:b/>
          <w:bCs/>
          <w:color w:val="000000" w:themeColor="text1"/>
          <w:kern w:val="0"/>
          <w:sz w:val="28"/>
          <w:szCs w:val="28"/>
          <w:lang w:eastAsia="en-GB"/>
          <w14:ligatures w14:val="none"/>
        </w:rPr>
        <w:t>Programme:</w:t>
      </w:r>
      <w:r w:rsidRPr="008763D6">
        <w:rPr>
          <w:rFonts w:ascii="Arial" w:eastAsia="Times New Roman" w:hAnsi="Arial" w:cs="Arial"/>
          <w:color w:val="000000" w:themeColor="text1"/>
          <w:kern w:val="0"/>
          <w:sz w:val="28"/>
          <w:szCs w:val="28"/>
          <w:lang w:eastAsia="en-GB"/>
          <w14:ligatures w14:val="none"/>
        </w:rPr>
        <w:t xml:space="preserve"> Master of Business Administration (MBA)</w:t>
      </w:r>
    </w:p>
    <w:p w:rsidR="008C162F" w:rsidRPr="008763D6" w:rsidRDefault="008C162F" w:rsidP="008763D6">
      <w:pPr>
        <w:spacing w:before="100" w:beforeAutospacing="1" w:after="100" w:afterAutospacing="1" w:line="360" w:lineRule="auto"/>
        <w:jc w:val="center"/>
        <w:rPr>
          <w:rFonts w:ascii="Arial" w:eastAsia="Times New Roman" w:hAnsi="Arial" w:cs="Arial"/>
          <w:color w:val="000000" w:themeColor="text1"/>
          <w:kern w:val="0"/>
          <w:sz w:val="28"/>
          <w:szCs w:val="28"/>
          <w:lang w:eastAsia="en-GB"/>
          <w14:ligatures w14:val="none"/>
        </w:rPr>
      </w:pPr>
      <w:r w:rsidRPr="008763D6">
        <w:rPr>
          <w:rFonts w:ascii="Arial" w:eastAsia="Times New Roman" w:hAnsi="Arial" w:cs="Arial"/>
          <w:b/>
          <w:bCs/>
          <w:color w:val="000000" w:themeColor="text1"/>
          <w:kern w:val="0"/>
          <w:sz w:val="28"/>
          <w:szCs w:val="28"/>
          <w:lang w:eastAsia="en-GB"/>
          <w14:ligatures w14:val="none"/>
        </w:rPr>
        <w:t>University:</w:t>
      </w:r>
      <w:r w:rsidRPr="008763D6">
        <w:rPr>
          <w:rFonts w:ascii="Arial" w:eastAsia="Times New Roman" w:hAnsi="Arial" w:cs="Arial"/>
          <w:color w:val="000000" w:themeColor="text1"/>
          <w:kern w:val="0"/>
          <w:sz w:val="28"/>
          <w:szCs w:val="28"/>
          <w:lang w:eastAsia="en-GB"/>
          <w14:ligatures w14:val="none"/>
        </w:rPr>
        <w:t xml:space="preserve"> University of Wales Trinity Saint David</w:t>
      </w:r>
    </w:p>
    <w:p w:rsidR="008C162F" w:rsidRPr="008763D6" w:rsidRDefault="008C162F" w:rsidP="008763D6">
      <w:pPr>
        <w:spacing w:line="360" w:lineRule="auto"/>
        <w:jc w:val="center"/>
        <w:rPr>
          <w:rFonts w:ascii="Arial" w:hAnsi="Arial" w:cs="Arial"/>
          <w:color w:val="000000" w:themeColor="text1"/>
          <w:sz w:val="28"/>
          <w:szCs w:val="28"/>
        </w:rPr>
      </w:pPr>
      <w:r w:rsidRPr="008763D6">
        <w:rPr>
          <w:rFonts w:ascii="Arial" w:eastAsia="Times New Roman" w:hAnsi="Arial" w:cs="Arial"/>
          <w:b/>
          <w:bCs/>
          <w:color w:val="000000" w:themeColor="text1"/>
          <w:kern w:val="0"/>
          <w:sz w:val="28"/>
          <w:szCs w:val="28"/>
          <w:lang w:eastAsia="en-GB"/>
          <w14:ligatures w14:val="none"/>
        </w:rPr>
        <w:t>Lecturer Name:</w:t>
      </w:r>
      <w:r w:rsidRPr="008763D6">
        <w:rPr>
          <w:rFonts w:ascii="Arial" w:eastAsia="Times New Roman" w:hAnsi="Arial" w:cs="Arial"/>
          <w:color w:val="000000" w:themeColor="text1"/>
          <w:kern w:val="0"/>
          <w:sz w:val="28"/>
          <w:szCs w:val="28"/>
          <w:lang w:eastAsia="en-GB"/>
          <w14:ligatures w14:val="none"/>
        </w:rPr>
        <w:t xml:space="preserve"> </w:t>
      </w:r>
      <w:r w:rsidRPr="008763D6">
        <w:rPr>
          <w:rFonts w:ascii="Arial" w:hAnsi="Arial" w:cs="Arial"/>
          <w:color w:val="000000" w:themeColor="text1"/>
          <w:sz w:val="28"/>
          <w:szCs w:val="28"/>
        </w:rPr>
        <w:t>Laila Maazouz and Dian Mayasari</w:t>
      </w:r>
    </w:p>
    <w:p w:rsidR="008C162F" w:rsidRPr="008763D6" w:rsidRDefault="008C162F" w:rsidP="008763D6">
      <w:pPr>
        <w:spacing w:before="100" w:beforeAutospacing="1" w:after="100" w:afterAutospacing="1" w:line="360" w:lineRule="auto"/>
        <w:jc w:val="center"/>
        <w:rPr>
          <w:rFonts w:ascii="Arial" w:eastAsia="Times New Roman" w:hAnsi="Arial" w:cs="Arial"/>
          <w:color w:val="000000" w:themeColor="text1"/>
          <w:kern w:val="0"/>
          <w:sz w:val="28"/>
          <w:szCs w:val="28"/>
          <w:lang w:eastAsia="en-GB"/>
          <w14:ligatures w14:val="none"/>
        </w:rPr>
      </w:pPr>
      <w:r w:rsidRPr="008763D6">
        <w:rPr>
          <w:rFonts w:ascii="Arial" w:eastAsia="Times New Roman" w:hAnsi="Arial" w:cs="Arial"/>
          <w:b/>
          <w:bCs/>
          <w:color w:val="000000" w:themeColor="text1"/>
          <w:kern w:val="0"/>
          <w:sz w:val="28"/>
          <w:szCs w:val="28"/>
          <w:lang w:eastAsia="en-GB"/>
          <w14:ligatures w14:val="none"/>
        </w:rPr>
        <w:t>Assessment Title:</w:t>
      </w:r>
      <w:r w:rsidRPr="008763D6">
        <w:rPr>
          <w:rFonts w:ascii="Arial" w:eastAsia="Times New Roman" w:hAnsi="Arial" w:cs="Arial"/>
          <w:color w:val="000000" w:themeColor="text1"/>
          <w:kern w:val="0"/>
          <w:sz w:val="28"/>
          <w:szCs w:val="28"/>
          <w:lang w:eastAsia="en-GB"/>
          <w14:ligatures w14:val="none"/>
        </w:rPr>
        <w:t xml:space="preserve"> </w:t>
      </w:r>
      <w:r w:rsidR="00CE6791" w:rsidRPr="008763D6">
        <w:rPr>
          <w:rFonts w:ascii="Arial" w:eastAsia="Times New Roman" w:hAnsi="Arial" w:cs="Arial"/>
          <w:color w:val="000000" w:themeColor="text1"/>
          <w:kern w:val="0"/>
          <w:sz w:val="28"/>
          <w:szCs w:val="28"/>
          <w:lang w:eastAsia="en-GB"/>
          <w14:ligatures w14:val="none"/>
        </w:rPr>
        <w:t>Marketing Environment Analysis</w:t>
      </w:r>
    </w:p>
    <w:p w:rsidR="008C162F" w:rsidRPr="008763D6" w:rsidRDefault="008C162F" w:rsidP="008763D6">
      <w:pPr>
        <w:spacing w:before="100" w:beforeAutospacing="1" w:after="100" w:afterAutospacing="1" w:line="360" w:lineRule="auto"/>
        <w:jc w:val="center"/>
        <w:rPr>
          <w:rFonts w:ascii="Arial" w:eastAsia="Times New Roman" w:hAnsi="Arial" w:cs="Arial"/>
          <w:color w:val="000000" w:themeColor="text1"/>
          <w:kern w:val="0"/>
          <w:sz w:val="28"/>
          <w:szCs w:val="28"/>
          <w:lang w:eastAsia="en-GB"/>
          <w14:ligatures w14:val="none"/>
        </w:rPr>
      </w:pPr>
      <w:r w:rsidRPr="008763D6">
        <w:rPr>
          <w:rFonts w:ascii="Arial" w:eastAsia="Times New Roman" w:hAnsi="Arial" w:cs="Arial"/>
          <w:b/>
          <w:bCs/>
          <w:color w:val="000000" w:themeColor="text1"/>
          <w:kern w:val="0"/>
          <w:sz w:val="28"/>
          <w:szCs w:val="28"/>
          <w:lang w:eastAsia="en-GB"/>
          <w14:ligatures w14:val="none"/>
        </w:rPr>
        <w:t>Word Count:</w:t>
      </w:r>
      <w:r w:rsidRPr="008763D6">
        <w:rPr>
          <w:rFonts w:ascii="Arial" w:eastAsia="Times New Roman" w:hAnsi="Arial" w:cs="Arial"/>
          <w:color w:val="000000" w:themeColor="text1"/>
          <w:kern w:val="0"/>
          <w:sz w:val="28"/>
          <w:szCs w:val="28"/>
          <w:lang w:eastAsia="en-GB"/>
          <w14:ligatures w14:val="none"/>
        </w:rPr>
        <w:t xml:space="preserve"> </w:t>
      </w:r>
      <w:r w:rsidR="00965B44" w:rsidRPr="008763D6">
        <w:rPr>
          <w:rFonts w:ascii="Arial" w:hAnsi="Arial" w:cs="Arial"/>
          <w:sz w:val="28"/>
          <w:szCs w:val="28"/>
        </w:rPr>
        <w:t>2,</w:t>
      </w:r>
      <w:r w:rsidR="00166C41">
        <w:rPr>
          <w:rFonts w:ascii="Arial" w:hAnsi="Arial" w:cs="Arial"/>
          <w:sz w:val="28"/>
          <w:szCs w:val="28"/>
        </w:rPr>
        <w:t>646</w:t>
      </w:r>
      <w:r w:rsidR="00965B44" w:rsidRPr="008763D6">
        <w:rPr>
          <w:rFonts w:ascii="Arial" w:hAnsi="Arial" w:cs="Arial"/>
          <w:sz w:val="28"/>
          <w:szCs w:val="28"/>
        </w:rPr>
        <w:t xml:space="preserve"> </w:t>
      </w:r>
      <w:r w:rsidRPr="008763D6">
        <w:rPr>
          <w:rFonts w:ascii="Arial" w:eastAsia="Times New Roman" w:hAnsi="Arial" w:cs="Arial"/>
          <w:color w:val="000000" w:themeColor="text1"/>
          <w:kern w:val="0"/>
          <w:sz w:val="28"/>
          <w:szCs w:val="28"/>
          <w:lang w:eastAsia="en-GB"/>
          <w14:ligatures w14:val="none"/>
        </w:rPr>
        <w:t>words (excluding references)</w:t>
      </w:r>
    </w:p>
    <w:p w:rsidR="008C162F" w:rsidRPr="008763D6" w:rsidRDefault="008C162F" w:rsidP="008763D6">
      <w:pPr>
        <w:spacing w:line="360" w:lineRule="auto"/>
        <w:jc w:val="center"/>
        <w:rPr>
          <w:rFonts w:ascii="Arial" w:hAnsi="Arial" w:cs="Arial"/>
          <w:color w:val="000000" w:themeColor="text1"/>
        </w:rPr>
      </w:pPr>
      <w:r w:rsidRPr="008763D6">
        <w:rPr>
          <w:rFonts w:ascii="Arial" w:eastAsia="Times New Roman" w:hAnsi="Arial" w:cs="Arial"/>
          <w:b/>
          <w:bCs/>
          <w:color w:val="000000" w:themeColor="text1"/>
          <w:kern w:val="0"/>
          <w:sz w:val="28"/>
          <w:szCs w:val="28"/>
          <w:lang w:eastAsia="en-GB"/>
          <w14:ligatures w14:val="none"/>
        </w:rPr>
        <w:t>Submission Date:</w:t>
      </w:r>
      <w:r w:rsidRPr="008763D6">
        <w:rPr>
          <w:rFonts w:ascii="Arial" w:eastAsia="Times New Roman" w:hAnsi="Arial" w:cs="Arial"/>
          <w:color w:val="000000" w:themeColor="text1"/>
          <w:kern w:val="0"/>
          <w:sz w:val="28"/>
          <w:szCs w:val="28"/>
          <w:lang w:eastAsia="en-GB"/>
          <w14:ligatures w14:val="none"/>
        </w:rPr>
        <w:t xml:space="preserve"> </w:t>
      </w:r>
      <w:r w:rsidRPr="008763D6">
        <w:rPr>
          <w:rFonts w:ascii="Arial" w:hAnsi="Arial" w:cs="Arial"/>
          <w:color w:val="000000" w:themeColor="text1"/>
          <w:sz w:val="28"/>
          <w:szCs w:val="28"/>
        </w:rPr>
        <w:t>27 February 2026</w:t>
      </w:r>
    </w:p>
    <w:p w:rsidR="004223A7" w:rsidRPr="008C162F" w:rsidRDefault="004223A7" w:rsidP="00150FCE">
      <w:pPr>
        <w:spacing w:after="0" w:line="360" w:lineRule="auto"/>
        <w:rPr>
          <w:rFonts w:ascii="Arial" w:eastAsia="Times New Roman" w:hAnsi="Arial" w:cs="Arial"/>
          <w:kern w:val="0"/>
          <w:lang w:eastAsia="en-GB"/>
          <w14:ligatures w14:val="none"/>
        </w:rPr>
      </w:pPr>
    </w:p>
    <w:p w:rsidR="00D5125D" w:rsidRDefault="00D5125D"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CE6791" w:rsidRPr="008C162F" w:rsidRDefault="00CE6791"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034F7A" w:rsidRPr="00034F7A" w:rsidRDefault="00034F7A" w:rsidP="00034F7A">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r w:rsidRPr="00034F7A">
        <w:rPr>
          <w:rFonts w:ascii="Arial" w:eastAsia="Times New Roman" w:hAnsi="Arial" w:cs="Arial"/>
          <w:b/>
          <w:bCs/>
          <w:kern w:val="36"/>
          <w:sz w:val="28"/>
          <w:szCs w:val="28"/>
          <w:lang w:eastAsia="en-GB"/>
          <w14:ligatures w14:val="none"/>
        </w:rPr>
        <w:lastRenderedPageBreak/>
        <w:t>Table of Contents</w:t>
      </w:r>
    </w:p>
    <w:p w:rsidR="00034F7A" w:rsidRPr="00034F7A" w:rsidRDefault="00034F7A" w:rsidP="00034F7A">
      <w:pPr>
        <w:numPr>
          <w:ilvl w:val="0"/>
          <w:numId w:val="2"/>
        </w:numPr>
        <w:spacing w:before="100" w:beforeAutospacing="1" w:after="100" w:afterAutospacing="1" w:line="360" w:lineRule="auto"/>
        <w:outlineLvl w:val="0"/>
        <w:rPr>
          <w:rFonts w:ascii="Arial" w:eastAsia="Times New Roman" w:hAnsi="Arial" w:cs="Arial"/>
          <w:kern w:val="36"/>
          <w:lang w:eastAsia="en-GB"/>
          <w14:ligatures w14:val="none"/>
        </w:rPr>
      </w:pPr>
      <w:r w:rsidRPr="00034F7A">
        <w:rPr>
          <w:rFonts w:ascii="Arial" w:eastAsia="Times New Roman" w:hAnsi="Arial" w:cs="Arial"/>
          <w:kern w:val="36"/>
          <w:lang w:eastAsia="en-GB"/>
          <w14:ligatures w14:val="none"/>
        </w:rPr>
        <w:t>Introduction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xml:space="preserve">.... </w:t>
      </w:r>
      <w:r>
        <w:rPr>
          <w:rFonts w:ascii="Arial" w:eastAsia="Times New Roman" w:hAnsi="Arial" w:cs="Arial"/>
          <w:kern w:val="36"/>
          <w:lang w:eastAsia="en-GB"/>
          <w14:ligatures w14:val="none"/>
        </w:rPr>
        <w:t>3</w:t>
      </w:r>
    </w:p>
    <w:p w:rsidR="00034F7A" w:rsidRPr="00034F7A" w:rsidRDefault="00034F7A" w:rsidP="00034F7A">
      <w:pPr>
        <w:numPr>
          <w:ilvl w:val="0"/>
          <w:numId w:val="2"/>
        </w:numPr>
        <w:spacing w:before="100" w:beforeAutospacing="1" w:after="100" w:afterAutospacing="1" w:line="360" w:lineRule="auto"/>
        <w:outlineLvl w:val="0"/>
        <w:rPr>
          <w:rFonts w:ascii="Arial" w:eastAsia="Times New Roman" w:hAnsi="Arial" w:cs="Arial"/>
          <w:kern w:val="36"/>
          <w:lang w:eastAsia="en-GB"/>
          <w14:ligatures w14:val="none"/>
        </w:rPr>
      </w:pPr>
      <w:r w:rsidRPr="00034F7A">
        <w:rPr>
          <w:rFonts w:ascii="Arial" w:eastAsia="Times New Roman" w:hAnsi="Arial" w:cs="Arial"/>
          <w:kern w:val="36"/>
          <w:lang w:eastAsia="en-GB"/>
          <w14:ligatures w14:val="none"/>
        </w:rPr>
        <w:t>Task 1: Macro Marketing Environment Analysis ......................</w:t>
      </w:r>
      <w:r>
        <w:rPr>
          <w:rFonts w:ascii="Arial" w:eastAsia="Times New Roman" w:hAnsi="Arial" w:cs="Arial"/>
          <w:kern w:val="36"/>
          <w:lang w:eastAsia="en-GB"/>
          <w14:ligatures w14:val="none"/>
        </w:rPr>
        <w:t>................…… 4</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2.1 Overview of the Electric Vehicle Industry .........................</w:t>
      </w:r>
      <w:r>
        <w:rPr>
          <w:rFonts w:ascii="Arial" w:eastAsia="Times New Roman" w:hAnsi="Arial" w:cs="Arial"/>
          <w:kern w:val="36"/>
          <w:lang w:eastAsia="en-GB"/>
          <w14:ligatures w14:val="none"/>
        </w:rPr>
        <w:t>......…………. 4</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2.2 Macro Factor 1: Government Environmental Regulation ....</w:t>
      </w:r>
      <w:r>
        <w:rPr>
          <w:rFonts w:ascii="Arial" w:eastAsia="Times New Roman" w:hAnsi="Arial" w:cs="Arial"/>
          <w:kern w:val="36"/>
          <w:lang w:eastAsia="en-GB"/>
          <w14:ligatures w14:val="none"/>
        </w:rPr>
        <w:t>.…………... 5</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2.3 Macro Factor 2: Technological Innovation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xml:space="preserve">... </w:t>
      </w:r>
      <w:r>
        <w:rPr>
          <w:rFonts w:ascii="Arial" w:eastAsia="Times New Roman" w:hAnsi="Arial" w:cs="Arial"/>
          <w:kern w:val="36"/>
          <w:lang w:eastAsia="en-GB"/>
          <w14:ligatures w14:val="none"/>
        </w:rPr>
        <w:t>7</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2.4 Impact on Competitive Position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xml:space="preserve">... </w:t>
      </w:r>
      <w:r>
        <w:rPr>
          <w:rFonts w:ascii="Arial" w:eastAsia="Times New Roman" w:hAnsi="Arial" w:cs="Arial"/>
          <w:kern w:val="36"/>
          <w:lang w:eastAsia="en-GB"/>
          <w14:ligatures w14:val="none"/>
        </w:rPr>
        <w:t>8</w:t>
      </w:r>
    </w:p>
    <w:p w:rsidR="00034F7A" w:rsidRPr="00034F7A" w:rsidRDefault="00034F7A" w:rsidP="00034F7A">
      <w:pPr>
        <w:numPr>
          <w:ilvl w:val="0"/>
          <w:numId w:val="2"/>
        </w:numPr>
        <w:spacing w:before="100" w:beforeAutospacing="1" w:after="100" w:afterAutospacing="1" w:line="360" w:lineRule="auto"/>
        <w:outlineLvl w:val="0"/>
        <w:rPr>
          <w:rFonts w:ascii="Arial" w:eastAsia="Times New Roman" w:hAnsi="Arial" w:cs="Arial"/>
          <w:kern w:val="36"/>
          <w:lang w:eastAsia="en-GB"/>
          <w14:ligatures w14:val="none"/>
        </w:rPr>
      </w:pPr>
      <w:r w:rsidRPr="00034F7A">
        <w:rPr>
          <w:rFonts w:ascii="Arial" w:eastAsia="Times New Roman" w:hAnsi="Arial" w:cs="Arial"/>
          <w:kern w:val="36"/>
          <w:lang w:eastAsia="en-GB"/>
          <w14:ligatures w14:val="none"/>
        </w:rPr>
        <w:t>Task 2: Strategic Responses and Competitive Strategies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9</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3.1 Tesla’s Strategic Response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9</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3.2 Porter’s Generic Strategy – Tesla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10</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3.3 Ansoff Growth Matrix – Tesla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11</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3.4 BYD’s Strategic Response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12</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3.5 Porter’s Generic Strategy – BYD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13</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3.6 Ansoff Growth Matrix – BYD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14</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3.7 Critical Comparison of Strategic Effectiveness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1</w:t>
      </w:r>
      <w:r>
        <w:rPr>
          <w:rFonts w:ascii="Arial" w:eastAsia="Times New Roman" w:hAnsi="Arial" w:cs="Arial"/>
          <w:kern w:val="36"/>
          <w:lang w:eastAsia="en-GB"/>
          <w14:ligatures w14:val="none"/>
        </w:rPr>
        <w:t>4</w:t>
      </w:r>
      <w:r w:rsidRPr="00034F7A">
        <w:rPr>
          <w:rFonts w:ascii="Arial" w:eastAsia="Times New Roman" w:hAnsi="Arial" w:cs="Arial"/>
          <w:kern w:val="36"/>
          <w:lang w:eastAsia="en-GB"/>
          <w14:ligatures w14:val="none"/>
        </w:rPr>
        <w:br/>
      </w:r>
      <w:r w:rsidRPr="00034F7A">
        <w:rPr>
          <w:rFonts w:ascii="Arial" w:eastAsia="Times New Roman" w:hAnsi="Arial" w:cs="Arial"/>
          <w:kern w:val="36"/>
          <w:lang w:eastAsia="en-GB"/>
          <w14:ligatures w14:val="none"/>
        </w:rPr>
        <w:t> </w:t>
      </w:r>
      <w:r w:rsidRPr="00034F7A">
        <w:rPr>
          <w:rFonts w:ascii="Arial" w:eastAsia="Times New Roman" w:hAnsi="Arial" w:cs="Arial"/>
          <w:kern w:val="36"/>
          <w:lang w:eastAsia="en-GB"/>
          <w14:ligatures w14:val="none"/>
        </w:rPr>
        <w:t xml:space="preserve">3.8 Strategic Sustainability and Future Competitive Outlook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1</w:t>
      </w:r>
      <w:r>
        <w:rPr>
          <w:rFonts w:ascii="Arial" w:eastAsia="Times New Roman" w:hAnsi="Arial" w:cs="Arial"/>
          <w:kern w:val="36"/>
          <w:lang w:eastAsia="en-GB"/>
          <w14:ligatures w14:val="none"/>
        </w:rPr>
        <w:t>5</w:t>
      </w:r>
    </w:p>
    <w:p w:rsidR="00034F7A" w:rsidRPr="00034F7A" w:rsidRDefault="00034F7A" w:rsidP="00034F7A">
      <w:pPr>
        <w:numPr>
          <w:ilvl w:val="0"/>
          <w:numId w:val="2"/>
        </w:numPr>
        <w:spacing w:before="100" w:beforeAutospacing="1" w:after="100" w:afterAutospacing="1" w:line="360" w:lineRule="auto"/>
        <w:outlineLvl w:val="0"/>
        <w:rPr>
          <w:rFonts w:ascii="Arial" w:eastAsia="Times New Roman" w:hAnsi="Arial" w:cs="Arial"/>
          <w:kern w:val="36"/>
          <w:lang w:eastAsia="en-GB"/>
          <w14:ligatures w14:val="none"/>
        </w:rPr>
      </w:pPr>
      <w:r w:rsidRPr="00034F7A">
        <w:rPr>
          <w:rFonts w:ascii="Arial" w:eastAsia="Times New Roman" w:hAnsi="Arial" w:cs="Arial"/>
          <w:kern w:val="36"/>
          <w:lang w:eastAsia="en-GB"/>
          <w14:ligatures w14:val="none"/>
        </w:rPr>
        <w:t>Conclusion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1</w:t>
      </w:r>
      <w:r w:rsidR="00FA3896">
        <w:rPr>
          <w:rFonts w:ascii="Arial" w:eastAsia="Times New Roman" w:hAnsi="Arial" w:cs="Arial"/>
          <w:kern w:val="36"/>
          <w:lang w:eastAsia="en-GB"/>
          <w14:ligatures w14:val="none"/>
        </w:rPr>
        <w:t>6</w:t>
      </w:r>
    </w:p>
    <w:p w:rsidR="00034F7A" w:rsidRPr="00034F7A" w:rsidRDefault="00034F7A" w:rsidP="00034F7A">
      <w:pPr>
        <w:numPr>
          <w:ilvl w:val="0"/>
          <w:numId w:val="2"/>
        </w:numPr>
        <w:spacing w:before="100" w:beforeAutospacing="1" w:after="100" w:afterAutospacing="1" w:line="360" w:lineRule="auto"/>
        <w:outlineLvl w:val="0"/>
        <w:rPr>
          <w:rFonts w:ascii="Arial" w:eastAsia="Times New Roman" w:hAnsi="Arial" w:cs="Arial"/>
          <w:kern w:val="36"/>
          <w:lang w:eastAsia="en-GB"/>
          <w14:ligatures w14:val="none"/>
        </w:rPr>
      </w:pPr>
      <w:r w:rsidRPr="00034F7A">
        <w:rPr>
          <w:rFonts w:ascii="Arial" w:eastAsia="Times New Roman" w:hAnsi="Arial" w:cs="Arial"/>
          <w:kern w:val="36"/>
          <w:lang w:eastAsia="en-GB"/>
          <w14:ligatures w14:val="none"/>
        </w:rPr>
        <w:t>References .....................................................................</w:t>
      </w:r>
      <w:r>
        <w:rPr>
          <w:rFonts w:ascii="Arial" w:eastAsia="Times New Roman" w:hAnsi="Arial" w:cs="Arial"/>
          <w:kern w:val="36"/>
          <w:lang w:eastAsia="en-GB"/>
          <w14:ligatures w14:val="none"/>
        </w:rPr>
        <w:t>...................</w:t>
      </w:r>
      <w:r w:rsidRPr="00034F7A">
        <w:rPr>
          <w:rFonts w:ascii="Arial" w:eastAsia="Times New Roman" w:hAnsi="Arial" w:cs="Arial"/>
          <w:kern w:val="36"/>
          <w:lang w:eastAsia="en-GB"/>
          <w14:ligatures w14:val="none"/>
        </w:rPr>
        <w:t>............ 1</w:t>
      </w:r>
      <w:r w:rsidR="00FA3896">
        <w:rPr>
          <w:rFonts w:ascii="Arial" w:eastAsia="Times New Roman" w:hAnsi="Arial" w:cs="Arial"/>
          <w:kern w:val="36"/>
          <w:lang w:eastAsia="en-GB"/>
          <w14:ligatures w14:val="none"/>
        </w:rPr>
        <w:t>8</w:t>
      </w:r>
    </w:p>
    <w:p w:rsidR="00034F7A" w:rsidRDefault="00034F7A"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034F7A" w:rsidRDefault="00034F7A"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034F7A" w:rsidRDefault="00034F7A"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034F7A" w:rsidRDefault="00034F7A"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034F7A" w:rsidRDefault="00034F7A"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034F7A" w:rsidRDefault="00034F7A"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034F7A" w:rsidRDefault="00034F7A"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034F7A" w:rsidRDefault="00034F7A"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034F7A" w:rsidRDefault="00034F7A" w:rsidP="00150FCE">
      <w:pPr>
        <w:spacing w:before="100" w:beforeAutospacing="1" w:after="100" w:afterAutospacing="1" w:line="360" w:lineRule="auto"/>
        <w:outlineLvl w:val="0"/>
        <w:rPr>
          <w:rFonts w:ascii="Arial" w:eastAsia="Times New Roman" w:hAnsi="Arial" w:cs="Arial"/>
          <w:b/>
          <w:bCs/>
          <w:kern w:val="36"/>
          <w:lang w:eastAsia="en-GB"/>
          <w14:ligatures w14:val="none"/>
        </w:rPr>
      </w:pPr>
    </w:p>
    <w:p w:rsidR="004223A7" w:rsidRPr="00FA3896" w:rsidRDefault="004223A7" w:rsidP="00150FCE">
      <w:pPr>
        <w:spacing w:before="100" w:beforeAutospacing="1" w:after="100" w:afterAutospacing="1" w:line="360" w:lineRule="auto"/>
        <w:outlineLvl w:val="0"/>
        <w:rPr>
          <w:rFonts w:ascii="Arial" w:eastAsia="Times New Roman" w:hAnsi="Arial" w:cs="Arial"/>
          <w:b/>
          <w:bCs/>
          <w:kern w:val="36"/>
          <w:sz w:val="26"/>
          <w:szCs w:val="26"/>
          <w:lang w:eastAsia="en-GB"/>
          <w14:ligatures w14:val="none"/>
        </w:rPr>
      </w:pPr>
      <w:r w:rsidRPr="00FA3896">
        <w:rPr>
          <w:rFonts w:ascii="Arial" w:eastAsia="Times New Roman" w:hAnsi="Arial" w:cs="Arial"/>
          <w:b/>
          <w:bCs/>
          <w:kern w:val="36"/>
          <w:sz w:val="26"/>
          <w:szCs w:val="26"/>
          <w:lang w:eastAsia="en-GB"/>
          <w14:ligatures w14:val="none"/>
        </w:rPr>
        <w:lastRenderedPageBreak/>
        <w:t>1. Introduction</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The global electric vehicle (EV) industry has experienced rapid expansion due to environmental concerns, government regulation, and technological innovation. Electric vehicles are no longer niche products but have become central to the future of transportation. In this context, pioneering firms that introduced innovation early and follower firms that adopted and scaled technologies later compete intensely to capture market share.</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 represents a pioneering organisation, having transformed the EV industry through technological innovation, brand positioning, and first-mover advantage. By contrast, BYD represents a follower organisation that entered later but achieved significant growth through cost leadership, vertical integration, and strong government support. Both companies operate in the same global EV market, yet their competitive positions have been shaped differently by macro-environmental forces.</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 xml:space="preserve">This essay critically analyses two macro-environmental factors—government environmental regulation and technological innovation—and evaluates how they created opportunities and threats for Tesla and BYD. It further compares the strategic responses of both organisations using Porter’s Generic Strategies and Ansoff’s Growth Matrix to assess how each company sustains </w:t>
      </w:r>
      <w:r w:rsidR="0098575B">
        <w:rPr>
          <w:rFonts w:ascii="Arial" w:eastAsia="Times New Roman" w:hAnsi="Arial" w:cs="Arial"/>
          <w:kern w:val="0"/>
          <w:lang w:eastAsia="en-GB"/>
          <w14:ligatures w14:val="none"/>
        </w:rPr>
        <w:t>structural competitive advantage</w:t>
      </w:r>
      <w:r w:rsidRPr="008C162F">
        <w:rPr>
          <w:rFonts w:ascii="Arial" w:eastAsia="Times New Roman" w:hAnsi="Arial" w:cs="Arial"/>
          <w:kern w:val="0"/>
          <w:lang w:eastAsia="en-GB"/>
          <w14:ligatures w14:val="none"/>
        </w:rPr>
        <w:t>.</w:t>
      </w:r>
    </w:p>
    <w:p w:rsidR="00150FCE" w:rsidRPr="008C162F" w:rsidRDefault="00150FCE" w:rsidP="00150FCE">
      <w:pPr>
        <w:pStyle w:val="NormalWeb"/>
        <w:spacing w:line="360" w:lineRule="auto"/>
        <w:rPr>
          <w:rFonts w:ascii="Arial" w:hAnsi="Arial" w:cs="Arial"/>
        </w:rPr>
      </w:pPr>
      <w:r w:rsidRPr="008C162F">
        <w:rPr>
          <w:rFonts w:ascii="Arial" w:hAnsi="Arial" w:cs="Arial"/>
        </w:rPr>
        <w:t xml:space="preserve">From a strategic marketing perspective, pioneering firms benefit from first-mover advantage through brand establishment, technological leadership, and customer loyalty. However, follower firms can achieve </w:t>
      </w:r>
      <w:r w:rsidR="0098575B">
        <w:rPr>
          <w:rFonts w:ascii="Arial" w:hAnsi="Arial" w:cs="Arial"/>
        </w:rPr>
        <w:t>structural competitive advantage</w:t>
      </w:r>
      <w:r w:rsidRPr="008C162F">
        <w:rPr>
          <w:rFonts w:ascii="Arial" w:hAnsi="Arial" w:cs="Arial"/>
        </w:rPr>
        <w:t xml:space="preserve"> by learning from pioneers, improving efficiency, and reducing costs (Grant, 2022). Therefore, competitive success depends not only on innovation but also on strategic adaptation to macro-environmental forces.</w:t>
      </w:r>
    </w:p>
    <w:p w:rsidR="004223A7" w:rsidRDefault="00D5125D" w:rsidP="008C162F">
      <w:pPr>
        <w:pStyle w:val="NormalWeb"/>
        <w:spacing w:line="360" w:lineRule="auto"/>
        <w:rPr>
          <w:rFonts w:ascii="Arial" w:hAnsi="Arial" w:cs="Arial"/>
        </w:rPr>
      </w:pPr>
      <w:r w:rsidRPr="008C162F">
        <w:rPr>
          <w:rFonts w:ascii="Arial" w:hAnsi="Arial" w:cs="Arial"/>
        </w:rPr>
        <w:t xml:space="preserve">This analysis applies the PESTLE framework to evaluate political–legal and technological macro-environmental forces influencing the competitive positions of Tesla and BYD. The PESTLE framework enables systematic evaluation of external environmental factors affecting organisational strategy and </w:t>
      </w:r>
      <w:r w:rsidR="0098575B">
        <w:rPr>
          <w:rFonts w:ascii="Arial" w:hAnsi="Arial" w:cs="Arial"/>
        </w:rPr>
        <w:t xml:space="preserve">structural competitive </w:t>
      </w:r>
      <w:r w:rsidR="0098575B">
        <w:rPr>
          <w:rFonts w:ascii="Arial" w:hAnsi="Arial" w:cs="Arial"/>
        </w:rPr>
        <w:lastRenderedPageBreak/>
        <w:t>advantage</w:t>
      </w:r>
      <w:r w:rsidRPr="008C162F">
        <w:rPr>
          <w:rFonts w:ascii="Arial" w:hAnsi="Arial" w:cs="Arial"/>
        </w:rPr>
        <w:t xml:space="preserve">. By examining how these forces influence both pioneering and follower organisations, this study provides critical insight into how firms sustain </w:t>
      </w:r>
      <w:r w:rsidR="0098575B">
        <w:rPr>
          <w:rFonts w:ascii="Arial" w:hAnsi="Arial" w:cs="Arial"/>
        </w:rPr>
        <w:t>structural competitive advantage</w:t>
      </w:r>
      <w:r w:rsidRPr="008C162F">
        <w:rPr>
          <w:rFonts w:ascii="Arial" w:hAnsi="Arial" w:cs="Arial"/>
        </w:rPr>
        <w:t xml:space="preserve"> in dynamic technological industries.</w:t>
      </w:r>
    </w:p>
    <w:p w:rsidR="00D62F1E" w:rsidRPr="008C162F" w:rsidRDefault="00D62F1E" w:rsidP="008C162F">
      <w:pPr>
        <w:pStyle w:val="NormalWeb"/>
        <w:spacing w:line="360" w:lineRule="auto"/>
        <w:rPr>
          <w:rFonts w:ascii="Arial" w:hAnsi="Arial" w:cs="Arial"/>
        </w:rPr>
      </w:pPr>
      <w:r w:rsidRPr="00D62F1E">
        <w:rPr>
          <w:rFonts w:ascii="Arial" w:hAnsi="Arial" w:cs="Arial"/>
        </w:rPr>
        <w:t xml:space="preserve">Tesla qualifies as a pioneering organisation due to its first-mover advantage, technological leadership, and early establishment of brand dominance in the EV industry. According to Lieberman and Montgomery (1988), pioneering firms benefit from technological leadership, customer loyalty, and barriers to entry. In contrast, BYD represents a follower organisation, as it entered later but achieved </w:t>
      </w:r>
      <w:r w:rsidR="0098575B">
        <w:rPr>
          <w:rFonts w:ascii="Arial" w:hAnsi="Arial" w:cs="Arial"/>
        </w:rPr>
        <w:t>structural competitive advantage</w:t>
      </w:r>
      <w:r w:rsidRPr="00D62F1E">
        <w:rPr>
          <w:rFonts w:ascii="Arial" w:hAnsi="Arial" w:cs="Arial"/>
        </w:rPr>
        <w:t xml:space="preserve"> through cost efficiency, learning from pioneer innovation, and scaling production. This distinction provides a useful basis for comparing strategic responses to macro-environmental forces.</w:t>
      </w:r>
    </w:p>
    <w:p w:rsidR="004223A7" w:rsidRPr="00FA3896" w:rsidRDefault="004223A7" w:rsidP="00150FCE">
      <w:pPr>
        <w:spacing w:before="100" w:beforeAutospacing="1" w:after="100" w:afterAutospacing="1" w:line="360" w:lineRule="auto"/>
        <w:outlineLvl w:val="0"/>
        <w:rPr>
          <w:rFonts w:ascii="Arial" w:eastAsia="Times New Roman" w:hAnsi="Arial" w:cs="Arial"/>
          <w:b/>
          <w:bCs/>
          <w:kern w:val="36"/>
          <w:sz w:val="26"/>
          <w:szCs w:val="26"/>
          <w:lang w:eastAsia="en-GB"/>
          <w14:ligatures w14:val="none"/>
        </w:rPr>
      </w:pPr>
      <w:r w:rsidRPr="00FA3896">
        <w:rPr>
          <w:rFonts w:ascii="Arial" w:eastAsia="Times New Roman" w:hAnsi="Arial" w:cs="Arial"/>
          <w:b/>
          <w:bCs/>
          <w:kern w:val="36"/>
          <w:sz w:val="26"/>
          <w:szCs w:val="26"/>
          <w:lang w:eastAsia="en-GB"/>
          <w14:ligatures w14:val="none"/>
        </w:rPr>
        <w:t>2. Task 1: Macro Marketing Environment Analysis</w:t>
      </w:r>
    </w:p>
    <w:p w:rsidR="00C97907" w:rsidRPr="008C162F" w:rsidRDefault="00034F7A" w:rsidP="00150FCE">
      <w:pPr>
        <w:spacing w:before="100" w:beforeAutospacing="1" w:after="100" w:afterAutospacing="1"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2.1 </w:t>
      </w:r>
      <w:r w:rsidR="004223A7" w:rsidRPr="008C162F">
        <w:rPr>
          <w:rFonts w:ascii="Arial" w:eastAsia="Times New Roman" w:hAnsi="Arial" w:cs="Arial"/>
          <w:b/>
          <w:bCs/>
          <w:kern w:val="0"/>
          <w:lang w:eastAsia="en-GB"/>
          <w14:ligatures w14:val="none"/>
        </w:rPr>
        <w:t>Overview of the Electric Vehicle Industry</w:t>
      </w:r>
    </w:p>
    <w:p w:rsidR="004223A7"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The EV industry is shaped heavily by external macro-environmental forces, particularly political regulation and technological change. Governments worldwide are promoting EV adoption to reduce carbon emissions, while rapid advancements in battery technology and artificial intelligence are transforming vehicle performance and cost structures. These forces create both opportunities and threats for industry participants depending on their strategic positioning and operational capabilities.</w:t>
      </w:r>
    </w:p>
    <w:p w:rsidR="00C97907" w:rsidRDefault="00C97907" w:rsidP="008763D6">
      <w:pPr>
        <w:spacing w:before="100" w:beforeAutospacing="1" w:after="100" w:afterAutospacing="1" w:line="360" w:lineRule="auto"/>
        <w:jc w:val="center"/>
        <w:rPr>
          <w:rFonts w:ascii="Arial" w:eastAsia="Times New Roman" w:hAnsi="Arial" w:cs="Arial"/>
          <w:kern w:val="0"/>
          <w:lang w:eastAsia="en-GB"/>
          <w14:ligatures w14:val="none"/>
        </w:rPr>
      </w:pPr>
      <w:r>
        <w:fldChar w:fldCharType="begin"/>
      </w:r>
      <w:r>
        <w:instrText xml:space="preserve"> INCLUDEPICTURE "https://cdn.statcdn.com/Infographic/images/normal/31496.jpeg" \* MERGEFORMATINET </w:instrText>
      </w:r>
      <w:r>
        <w:fldChar w:fldCharType="separate"/>
      </w:r>
      <w:r>
        <w:rPr>
          <w:noProof/>
        </w:rPr>
        <w:drawing>
          <wp:inline distT="0" distB="0" distL="0" distR="0">
            <wp:extent cx="4129431" cy="2667000"/>
            <wp:effectExtent l="0" t="0" r="0" b="0"/>
            <wp:docPr id="1296867688" name="Picture 2" descr="Chart: BYD Surpasses Tesla to Become EV Market Leader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rt: BYD Surpasses Tesla to Become EV Market Leader | Statist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29431" cy="2667000"/>
                    </a:xfrm>
                    <a:prstGeom prst="rect">
                      <a:avLst/>
                    </a:prstGeom>
                    <a:noFill/>
                    <a:ln>
                      <a:noFill/>
                    </a:ln>
                  </pic:spPr>
                </pic:pic>
              </a:graphicData>
            </a:graphic>
          </wp:inline>
        </w:drawing>
      </w:r>
      <w:r>
        <w:fldChar w:fldCharType="end"/>
      </w:r>
    </w:p>
    <w:p w:rsidR="00C97907" w:rsidRDefault="00C97907" w:rsidP="00150FCE">
      <w:pPr>
        <w:spacing w:before="100" w:beforeAutospacing="1" w:after="100" w:afterAutospacing="1" w:line="360" w:lineRule="auto"/>
      </w:pPr>
      <w:r>
        <w:lastRenderedPageBreak/>
        <w:t>Figure 1: Global electric vehicle market share by manufacturer</w:t>
      </w:r>
      <w:r w:rsidR="00D62F1E">
        <w:t>.</w:t>
      </w:r>
      <w:r>
        <w:t xml:space="preserve"> </w:t>
      </w:r>
      <w:r w:rsidR="00D62F1E">
        <w:t>Source: Statista (2024).</w:t>
      </w:r>
    </w:p>
    <w:p w:rsidR="00C97907" w:rsidRPr="008C162F" w:rsidRDefault="00C97907" w:rsidP="00150FCE">
      <w:pPr>
        <w:spacing w:before="100" w:beforeAutospacing="1" w:after="100" w:afterAutospacing="1" w:line="360" w:lineRule="auto"/>
        <w:rPr>
          <w:rFonts w:ascii="Arial" w:eastAsia="Times New Roman" w:hAnsi="Arial" w:cs="Arial"/>
          <w:kern w:val="0"/>
          <w:lang w:eastAsia="en-GB"/>
          <w14:ligatures w14:val="none"/>
        </w:rPr>
      </w:pPr>
      <w:r w:rsidRPr="00C97907">
        <w:rPr>
          <w:rFonts w:ascii="Arial" w:eastAsia="Times New Roman" w:hAnsi="Arial" w:cs="Arial"/>
          <w:kern w:val="0"/>
          <w:lang w:eastAsia="en-GB"/>
          <w14:ligatures w14:val="none"/>
        </w:rPr>
        <w:t>Figure 1 shows the competitive dominance of Tesla and BYD in the global EV market, highlighting increasing competition between pioneering and follower organisations.</w:t>
      </w:r>
    </w:p>
    <w:p w:rsidR="004223A7" w:rsidRPr="008C162F" w:rsidRDefault="001147EA" w:rsidP="008C162F">
      <w:pPr>
        <w:spacing w:before="100" w:beforeAutospacing="1" w:after="100" w:afterAutospacing="1" w:line="360" w:lineRule="auto"/>
        <w:rPr>
          <w:rFonts w:ascii="Arial" w:eastAsia="Times New Roman" w:hAnsi="Arial" w:cs="Arial"/>
          <w:kern w:val="0"/>
          <w:lang w:eastAsia="en-GB"/>
          <w14:ligatures w14:val="none"/>
        </w:rPr>
      </w:pPr>
      <w:r w:rsidRPr="001147EA">
        <w:rPr>
          <w:rFonts w:ascii="Arial" w:eastAsia="Times New Roman" w:hAnsi="Arial" w:cs="Arial"/>
          <w:kern w:val="0"/>
          <w:lang w:eastAsia="en-GB"/>
          <w14:ligatures w14:val="none"/>
        </w:rPr>
        <w:t>The electric vehicle market has grown rapidly in recent years, reaching over 14 million units sold globally in 2023, accounting for nearly 18% of total vehicle sales worldwide (IEA, 2023).</w:t>
      </w:r>
      <w:r>
        <w:rPr>
          <w:rFonts w:ascii="Arial" w:eastAsia="Times New Roman" w:hAnsi="Arial" w:cs="Arial"/>
          <w:kern w:val="0"/>
          <w:lang w:eastAsia="en-GB"/>
          <w14:ligatures w14:val="none"/>
        </w:rPr>
        <w:t xml:space="preserve"> </w:t>
      </w:r>
      <w:r w:rsidR="00D5125D" w:rsidRPr="008C162F">
        <w:rPr>
          <w:rFonts w:ascii="Arial" w:eastAsia="Times New Roman" w:hAnsi="Arial" w:cs="Arial"/>
          <w:kern w:val="0"/>
          <w:lang w:eastAsia="en-GB"/>
          <w14:ligatures w14:val="none"/>
        </w:rPr>
        <w:t>Tesla and BYD have emerged as dominant competitors, with BYD surpassing Tesla in total EV sales volume in 2023 due to its cost leadership and large-scale production capacity (Statista, 2024). This demonstrates the increasing competitiveness of the industry and highlights the strategic importance of macro-environmental adaptation.</w:t>
      </w:r>
    </w:p>
    <w:p w:rsidR="004223A7" w:rsidRDefault="00034F7A" w:rsidP="00150FCE">
      <w:pPr>
        <w:spacing w:before="100" w:beforeAutospacing="1" w:after="100" w:afterAutospacing="1"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2.2 </w:t>
      </w:r>
      <w:r w:rsidR="004223A7" w:rsidRPr="008C162F">
        <w:rPr>
          <w:rFonts w:ascii="Arial" w:eastAsia="Times New Roman" w:hAnsi="Arial" w:cs="Arial"/>
          <w:b/>
          <w:bCs/>
          <w:kern w:val="0"/>
          <w:lang w:eastAsia="en-GB"/>
          <w14:ligatures w14:val="none"/>
        </w:rPr>
        <w:t>Macro Factor 1: Government Environmental Regulation (Political and Legal Factor)</w:t>
      </w:r>
    </w:p>
    <w:p w:rsidR="00C97907" w:rsidRDefault="00C97907" w:rsidP="00150FCE">
      <w:pPr>
        <w:spacing w:before="100" w:beforeAutospacing="1" w:after="100" w:afterAutospacing="1" w:line="360" w:lineRule="auto"/>
        <w:outlineLvl w:val="1"/>
      </w:pPr>
      <w:r>
        <w:fldChar w:fldCharType="begin"/>
      </w:r>
      <w:r>
        <w:instrText xml:space="preserve"> INCLUDEPICTURE "https://images.openai.com/static-rsc-3/tqkTkBxvpT9mdTmj22FWvNTXgivXfl8Qd7eRxma8Qmy0e4-a0Ze6g47M_t9W0Cd9wkPBdoABjJc069XL1wX2vHTzO_Ffpkz3B8YnW7hw9Co?purpose=fullsize&amp;v=1" \* MERGEFORMATINET </w:instrText>
      </w:r>
      <w:r>
        <w:fldChar w:fldCharType="separate"/>
      </w:r>
      <w:r>
        <w:rPr>
          <w:noProof/>
        </w:rPr>
        <w:drawing>
          <wp:inline distT="0" distB="0" distL="0" distR="0">
            <wp:extent cx="5731510" cy="3296992"/>
            <wp:effectExtent l="0" t="0" r="0" b="5080"/>
            <wp:docPr id="360995436" name="Picture 3" descr="PESTEL analysis is used to identify threats and weaknesses to examines the Political, Economic, Social, Technological, Environmental, and Legal factors in the external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EL analysis is used to identify threats and weaknesses to examines the Political, Economic, Social, Technological, Environmental, and Legal factors in the external environ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42640" cy="3303394"/>
                    </a:xfrm>
                    <a:prstGeom prst="rect">
                      <a:avLst/>
                    </a:prstGeom>
                    <a:noFill/>
                    <a:ln>
                      <a:noFill/>
                    </a:ln>
                  </pic:spPr>
                </pic:pic>
              </a:graphicData>
            </a:graphic>
          </wp:inline>
        </w:drawing>
      </w:r>
      <w:r>
        <w:fldChar w:fldCharType="end"/>
      </w:r>
    </w:p>
    <w:p w:rsidR="003D5DC9" w:rsidRPr="003D5DC9" w:rsidRDefault="00C97907" w:rsidP="00150FCE">
      <w:pPr>
        <w:spacing w:before="100" w:beforeAutospacing="1" w:after="100" w:afterAutospacing="1" w:line="360" w:lineRule="auto"/>
        <w:outlineLvl w:val="1"/>
        <w:rPr>
          <w:rFonts w:ascii="Arial" w:hAnsi="Arial" w:cs="Arial"/>
        </w:rPr>
      </w:pPr>
      <w:r w:rsidRPr="003D5DC9">
        <w:rPr>
          <w:rFonts w:ascii="Arial" w:eastAsia="Times New Roman" w:hAnsi="Arial" w:cs="Arial"/>
          <w:kern w:val="0"/>
          <w:lang w:eastAsia="en-GB"/>
          <w14:ligatures w14:val="none"/>
        </w:rPr>
        <w:t>Figure 2: PESTLE framework for analysing macro-environmental factors</w:t>
      </w:r>
      <w:r w:rsidR="003D5DC9">
        <w:rPr>
          <w:rFonts w:ascii="Arial" w:eastAsia="Times New Roman" w:hAnsi="Arial" w:cs="Arial"/>
          <w:kern w:val="0"/>
          <w:lang w:eastAsia="en-GB"/>
          <w14:ligatures w14:val="none"/>
        </w:rPr>
        <w:t>.</w:t>
      </w:r>
      <w:r w:rsidRPr="003D5DC9">
        <w:rPr>
          <w:rFonts w:ascii="Arial" w:eastAsia="Times New Roman" w:hAnsi="Arial" w:cs="Arial"/>
          <w:kern w:val="0"/>
          <w:lang w:eastAsia="en-GB"/>
          <w14:ligatures w14:val="none"/>
        </w:rPr>
        <w:t xml:space="preserve"> </w:t>
      </w:r>
      <w:r w:rsidR="003D5DC9" w:rsidRPr="003D5DC9">
        <w:rPr>
          <w:rFonts w:ascii="Arial" w:hAnsi="Arial" w:cs="Arial"/>
        </w:rPr>
        <w:t>Source: Kotler and Keller (2016).</w:t>
      </w:r>
    </w:p>
    <w:p w:rsidR="00C97907" w:rsidRPr="00C97907" w:rsidRDefault="00C97907" w:rsidP="00150FCE">
      <w:pPr>
        <w:spacing w:before="100" w:beforeAutospacing="1" w:after="100" w:afterAutospacing="1" w:line="360" w:lineRule="auto"/>
        <w:outlineLvl w:val="1"/>
        <w:rPr>
          <w:rFonts w:ascii="Arial" w:eastAsia="Times New Roman" w:hAnsi="Arial" w:cs="Arial"/>
          <w:kern w:val="0"/>
          <w:lang w:eastAsia="en-GB"/>
          <w14:ligatures w14:val="none"/>
        </w:rPr>
      </w:pPr>
      <w:r w:rsidRPr="00C97907">
        <w:rPr>
          <w:rFonts w:ascii="Arial" w:eastAsia="Times New Roman" w:hAnsi="Arial" w:cs="Arial"/>
          <w:kern w:val="0"/>
          <w:lang w:eastAsia="en-GB"/>
          <w14:ligatures w14:val="none"/>
        </w:rPr>
        <w:t>The PESTLE framework provides a structured approach to evaluating external macro-environmental forces affecting organisational strategy.</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lastRenderedPageBreak/>
        <w:t>Government regulation has played a critical role in accelerating EV adoption. Policies such as carbon emission targets, subsidies, and bans on internal combustion engine vehicles have significantly influenced market growth. Many governments, including China, the European Union, and the United States, have introduced incentives to promote EV adoption and reduce environmental impact (IEA, 2023).</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 xml:space="preserve">For Tesla, environmental regulation created significant opportunities. As an early entrant, Tesla benefited from government subsidies, tax credits, and regulatory credits. </w:t>
      </w:r>
      <w:r w:rsidR="001147EA" w:rsidRPr="001147EA">
        <w:rPr>
          <w:rFonts w:ascii="Arial" w:eastAsia="Times New Roman" w:hAnsi="Arial" w:cs="Arial"/>
          <w:kern w:val="0"/>
          <w:lang w:eastAsia="en-GB"/>
          <w14:ligatures w14:val="none"/>
        </w:rPr>
        <w:t>Tesla earned significant income by selling regulatory credits to conventional automakers that did not comply with emission requirements</w:t>
      </w:r>
      <w:r w:rsidRPr="008C162F">
        <w:rPr>
          <w:rFonts w:ascii="Arial" w:eastAsia="Times New Roman" w:hAnsi="Arial" w:cs="Arial"/>
          <w:kern w:val="0"/>
          <w:lang w:eastAsia="en-GB"/>
          <w14:ligatures w14:val="none"/>
        </w:rPr>
        <w:t>. This provided Tesla with additional financial resources to reinvest in innovation and expansion.</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 xml:space="preserve">However, regulation also created competitive threats. As governments encouraged EV adoption, traditional automakers and new entrants increased investment in electric vehicles. This reduced Tesla’s early </w:t>
      </w:r>
      <w:r w:rsidR="0098575B">
        <w:rPr>
          <w:rFonts w:ascii="Arial" w:eastAsia="Times New Roman" w:hAnsi="Arial" w:cs="Arial"/>
          <w:kern w:val="0"/>
          <w:lang w:eastAsia="en-GB"/>
          <w14:ligatures w14:val="none"/>
        </w:rPr>
        <w:t>structural competitive advantage</w:t>
      </w:r>
      <w:r w:rsidRPr="008C162F">
        <w:rPr>
          <w:rFonts w:ascii="Arial" w:eastAsia="Times New Roman" w:hAnsi="Arial" w:cs="Arial"/>
          <w:kern w:val="0"/>
          <w:lang w:eastAsia="en-GB"/>
          <w14:ligatures w14:val="none"/>
        </w:rPr>
        <w:t xml:space="preserve"> and intensified market competition.</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 benefited even more significantly from government regulation, particularly in China. The Chinese government provided strong financial support, subsidies, and infrastructure investment to domestic EV manufacturers. This enabled BYD to scale production rapidly and reduce costs. Government policies also favoured local manufacturers, strengthening BYD’s competitive position against foreign competitors.</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However, reliance on government support also creates risk for BYD. Reduction in subsidies or changes in policy could affect profitability and growth.</w:t>
      </w:r>
    </w:p>
    <w:p w:rsidR="0098575B" w:rsidRDefault="00D5125D" w:rsidP="00150FCE">
      <w:pPr>
        <w:pStyle w:val="NormalWeb"/>
        <w:spacing w:line="360" w:lineRule="auto"/>
        <w:rPr>
          <w:rFonts w:ascii="Arial" w:hAnsi="Arial" w:cs="Arial"/>
        </w:rPr>
      </w:pPr>
      <w:r w:rsidRPr="008C162F">
        <w:rPr>
          <w:rFonts w:ascii="Arial" w:hAnsi="Arial" w:cs="Arial"/>
        </w:rPr>
        <w:t xml:space="preserve">Overall, government environmental regulation created strategic opportunities for both firms, but BYD derived greater structural advantage due to stronger domestic industrial policy support and supply chain integration. However, reliance on government support creates long-term strategic vulnerability if subsidies decline, whereas Tesla’s </w:t>
      </w:r>
      <w:r w:rsidR="0098575B">
        <w:rPr>
          <w:rFonts w:ascii="Arial" w:hAnsi="Arial" w:cs="Arial"/>
        </w:rPr>
        <w:t>structural competitive advantage</w:t>
      </w:r>
      <w:r w:rsidRPr="008C162F">
        <w:rPr>
          <w:rFonts w:ascii="Arial" w:hAnsi="Arial" w:cs="Arial"/>
        </w:rPr>
        <w:t xml:space="preserve"> is more sustainable due to technological differentiation and global brand strength. This suggests Tesla’s </w:t>
      </w:r>
      <w:r w:rsidRPr="008C162F">
        <w:rPr>
          <w:rFonts w:ascii="Arial" w:hAnsi="Arial" w:cs="Arial"/>
        </w:rPr>
        <w:lastRenderedPageBreak/>
        <w:t>advantage is strategically more resilient despite BYD’s short-term regulatory benefits.</w:t>
      </w:r>
    </w:p>
    <w:p w:rsidR="004223A7" w:rsidRPr="008C162F" w:rsidRDefault="004223A7" w:rsidP="00150FCE">
      <w:pPr>
        <w:pStyle w:val="NormalWeb"/>
        <w:spacing w:line="360" w:lineRule="auto"/>
        <w:rPr>
          <w:rFonts w:ascii="Arial" w:hAnsi="Arial" w:cs="Arial"/>
        </w:rPr>
      </w:pPr>
      <w:r w:rsidRPr="008C162F">
        <w:rPr>
          <w:rFonts w:ascii="Arial" w:hAnsi="Arial" w:cs="Arial"/>
        </w:rPr>
        <w:t>However, regulatory shifts can also create uncertainty. For example, reductions in EV subsidies in China forced manufacturers to improve efficiency and reduce production costs to remain competitive. BYD responded effectively by leveraging vertical integration to reduce reliance on subsidies, demonstrating strategic adaptability. Tesla, meanwhile, relied more on brand strength and innovation to maintain demand despite subsidy reductions.</w:t>
      </w:r>
    </w:p>
    <w:p w:rsidR="004223A7" w:rsidRPr="008C162F" w:rsidRDefault="004223A7" w:rsidP="008C162F">
      <w:pPr>
        <w:pStyle w:val="NormalWeb"/>
        <w:spacing w:line="360" w:lineRule="auto"/>
        <w:rPr>
          <w:rFonts w:ascii="Arial" w:hAnsi="Arial" w:cs="Arial"/>
        </w:rPr>
      </w:pPr>
      <w:r w:rsidRPr="008C162F">
        <w:rPr>
          <w:rFonts w:ascii="Arial" w:hAnsi="Arial" w:cs="Arial"/>
        </w:rPr>
        <w:t>These regulatory dynamics illustrate that while government policy creates opportunities, long-term success depends on organisational capability to adapt independently of policy support. Tesla’s technological differentiation and BYD’s cost efficiency represent different strategic responses to the same regulatory environment.</w:t>
      </w:r>
    </w:p>
    <w:p w:rsidR="004223A7" w:rsidRPr="008C162F" w:rsidRDefault="00034F7A" w:rsidP="00150FCE">
      <w:pPr>
        <w:spacing w:before="100" w:beforeAutospacing="1" w:after="100" w:afterAutospacing="1"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2.3 </w:t>
      </w:r>
      <w:r w:rsidR="004223A7" w:rsidRPr="008C162F">
        <w:rPr>
          <w:rFonts w:ascii="Arial" w:eastAsia="Times New Roman" w:hAnsi="Arial" w:cs="Arial"/>
          <w:b/>
          <w:bCs/>
          <w:kern w:val="0"/>
          <w:lang w:eastAsia="en-GB"/>
          <w14:ligatures w14:val="none"/>
        </w:rPr>
        <w:t>Macro Factor 2: Technological Innovation (Technological Factor)</w:t>
      </w:r>
    </w:p>
    <w:p w:rsidR="001147EA" w:rsidRDefault="001147EA" w:rsidP="00150FCE">
      <w:pPr>
        <w:spacing w:before="100" w:beforeAutospacing="1" w:after="100" w:afterAutospacing="1" w:line="360" w:lineRule="auto"/>
        <w:rPr>
          <w:rFonts w:ascii="Arial" w:eastAsia="Times New Roman" w:hAnsi="Arial" w:cs="Arial"/>
          <w:kern w:val="0"/>
          <w:lang w:eastAsia="en-GB"/>
          <w14:ligatures w14:val="none"/>
        </w:rPr>
      </w:pPr>
      <w:r w:rsidRPr="001147EA">
        <w:rPr>
          <w:rFonts w:ascii="Arial" w:eastAsia="Times New Roman" w:hAnsi="Arial" w:cs="Arial"/>
          <w:kern w:val="0"/>
          <w:lang w:eastAsia="en-GB"/>
          <w14:ligatures w14:val="none"/>
        </w:rPr>
        <w:t xml:space="preserve">Technological advancement plays a fundamental role in shaping </w:t>
      </w:r>
      <w:r w:rsidR="0098575B">
        <w:rPr>
          <w:rFonts w:ascii="Arial" w:eastAsia="Times New Roman" w:hAnsi="Arial" w:cs="Arial"/>
          <w:kern w:val="0"/>
          <w:lang w:eastAsia="en-GB"/>
          <w14:ligatures w14:val="none"/>
        </w:rPr>
        <w:t>structural competitive advantage</w:t>
      </w:r>
      <w:r w:rsidRPr="001147EA">
        <w:rPr>
          <w:rFonts w:ascii="Arial" w:eastAsia="Times New Roman" w:hAnsi="Arial" w:cs="Arial"/>
          <w:kern w:val="0"/>
          <w:lang w:eastAsia="en-GB"/>
          <w14:ligatures w14:val="none"/>
        </w:rPr>
        <w:t xml:space="preserve"> within the EV sector. Improvements in battery systems, artificial intelligence, and production processes directly affect vehicle efficiency, affordability, and customer adoption. </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 leveraged technological innovation as a pioneering advantage. It invested heavily in battery technology, autonomous driving systems, and software integration. Tesla’s proprietary battery technology improved vehicle range and performance, strengthening its premium brand positioning.</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 also developed autonomous driving capabilities and over-the-air software updates, creating a strong technological ecosystem. This technological leadership enabled Tesla to differentiate itself from competitors and maintain strong brand loyalty.</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 xml:space="preserve">However, technological innovation also created threats. Competitors, including BYD, rapidly adopted and improved similar technologies. As technology diffused across the industry, Tesla’s </w:t>
      </w:r>
      <w:r w:rsidR="0098575B">
        <w:rPr>
          <w:rFonts w:ascii="Arial" w:eastAsia="Times New Roman" w:hAnsi="Arial" w:cs="Arial"/>
          <w:kern w:val="0"/>
          <w:lang w:eastAsia="en-GB"/>
          <w14:ligatures w14:val="none"/>
        </w:rPr>
        <w:t>structural competitive advantage</w:t>
      </w:r>
      <w:r w:rsidRPr="008C162F">
        <w:rPr>
          <w:rFonts w:ascii="Arial" w:eastAsia="Times New Roman" w:hAnsi="Arial" w:cs="Arial"/>
          <w:kern w:val="0"/>
          <w:lang w:eastAsia="en-GB"/>
          <w14:ligatures w14:val="none"/>
        </w:rPr>
        <w:t xml:space="preserve"> became less unique.</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lastRenderedPageBreak/>
        <w:t>BYD adopted a follower strategy focused on improving cost efficiency through innovation. BYD developed its Blade Battery technology, which improved safety and reduced costs. BYD also implemented vertical integration, controlling battery production, component manufacturing, and assembly.</w:t>
      </w:r>
      <w:r w:rsidR="008763D6">
        <w:rPr>
          <w:rFonts w:ascii="Arial" w:eastAsia="Times New Roman" w:hAnsi="Arial" w:cs="Arial"/>
          <w:kern w:val="0"/>
          <w:lang w:eastAsia="en-GB"/>
          <w14:ligatures w14:val="none"/>
        </w:rPr>
        <w:t xml:space="preserve"> </w:t>
      </w:r>
      <w:r w:rsidRPr="008C162F">
        <w:rPr>
          <w:rFonts w:ascii="Arial" w:eastAsia="Times New Roman" w:hAnsi="Arial" w:cs="Arial"/>
          <w:kern w:val="0"/>
          <w:lang w:eastAsia="en-GB"/>
          <w14:ligatures w14:val="none"/>
        </w:rPr>
        <w:t>This allowed BYD to achieve lower production costs than Tesla, enabling competitive pricing and market expansion.</w:t>
      </w:r>
    </w:p>
    <w:p w:rsidR="004223A7" w:rsidRPr="008C162F" w:rsidRDefault="004223A7" w:rsidP="00150FCE">
      <w:pPr>
        <w:pStyle w:val="NormalWeb"/>
        <w:spacing w:line="360" w:lineRule="auto"/>
        <w:rPr>
          <w:rFonts w:ascii="Arial" w:hAnsi="Arial" w:cs="Arial"/>
        </w:rPr>
      </w:pPr>
      <w:r w:rsidRPr="008C162F">
        <w:rPr>
          <w:rFonts w:ascii="Arial" w:hAnsi="Arial" w:cs="Arial"/>
        </w:rPr>
        <w:t>BYD, while less advanced in autonomous software, focused on manufacturing innovation and affordability. This strategic focus allowed BYD to target mass-market consumers rather than premium segments.</w:t>
      </w:r>
    </w:p>
    <w:p w:rsidR="004223A7" w:rsidRPr="008C162F" w:rsidRDefault="00034F7A" w:rsidP="00150FCE">
      <w:pPr>
        <w:spacing w:before="100" w:beforeAutospacing="1" w:after="100" w:afterAutospacing="1"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2.4 </w:t>
      </w:r>
      <w:r w:rsidR="004223A7" w:rsidRPr="008C162F">
        <w:rPr>
          <w:rFonts w:ascii="Arial" w:eastAsia="Times New Roman" w:hAnsi="Arial" w:cs="Arial"/>
          <w:b/>
          <w:bCs/>
          <w:kern w:val="0"/>
          <w:lang w:eastAsia="en-GB"/>
          <w14:ligatures w14:val="none"/>
        </w:rPr>
        <w:t>Impact on Competitive Position</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Macro-environmental forces affected Tesla and BYD differently based on their strategic positioning.</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 xml:space="preserve">Tesla benefited from </w:t>
      </w:r>
      <w:r w:rsidR="00034F7A">
        <w:rPr>
          <w:rFonts w:ascii="Arial" w:eastAsia="Times New Roman" w:hAnsi="Arial" w:cs="Arial"/>
          <w:kern w:val="0"/>
          <w:lang w:eastAsia="en-GB"/>
          <w14:ligatures w14:val="none"/>
        </w:rPr>
        <w:t xml:space="preserve">a </w:t>
      </w:r>
      <w:r w:rsidRPr="008C162F">
        <w:rPr>
          <w:rFonts w:ascii="Arial" w:eastAsia="Times New Roman" w:hAnsi="Arial" w:cs="Arial"/>
          <w:kern w:val="0"/>
          <w:lang w:eastAsia="en-GB"/>
          <w14:ligatures w14:val="none"/>
        </w:rPr>
        <w:t>first-mover advantage and technological leadership, allowing premium pricing and strong brand equity. However, increased competition reduced its technological uniqueness.</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 benefited from strong government support and cost-focused innovation, enabling rapid market expansion and increased global competitiveness.</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As a result, Tesla remains a technological and brand leader, while BYD has become a volume leader with strong cost competitiveness.</w:t>
      </w:r>
    </w:p>
    <w:p w:rsidR="00150FCE" w:rsidRPr="008C162F" w:rsidRDefault="00725D8B" w:rsidP="00150FCE">
      <w:pPr>
        <w:pStyle w:val="NormalWeb"/>
        <w:spacing w:line="360" w:lineRule="auto"/>
        <w:rPr>
          <w:rFonts w:ascii="Arial" w:hAnsi="Arial" w:cs="Arial"/>
        </w:rPr>
      </w:pPr>
      <w:r>
        <w:rPr>
          <w:rFonts w:ascii="Arial" w:hAnsi="Arial" w:cs="Arial"/>
        </w:rPr>
        <w:t>This shows that in competitive terms</w:t>
      </w:r>
      <w:r w:rsidR="00150FCE" w:rsidRPr="008C162F">
        <w:rPr>
          <w:rFonts w:ascii="Arial" w:hAnsi="Arial" w:cs="Arial"/>
        </w:rPr>
        <w:t xml:space="preserve"> macro-environmental forces do not determine competitive outcomes directly; rather, organisational capabilities and strategic responses determine whether firms convert external change into </w:t>
      </w:r>
      <w:r w:rsidR="0098575B">
        <w:rPr>
          <w:rFonts w:ascii="Arial" w:hAnsi="Arial" w:cs="Arial"/>
        </w:rPr>
        <w:t>structural competitive advantage</w:t>
      </w:r>
      <w:r w:rsidR="00150FCE" w:rsidRPr="008C162F">
        <w:rPr>
          <w:rFonts w:ascii="Arial" w:hAnsi="Arial" w:cs="Arial"/>
        </w:rPr>
        <w:t xml:space="preserve"> (Barney, 1991). Tesla leveraged technological capability to sustain differentiation, while BYD leveraged operational efficiency to achieve cost leadership.</w:t>
      </w:r>
    </w:p>
    <w:p w:rsidR="004223A7" w:rsidRDefault="00D5125D" w:rsidP="008C162F">
      <w:pPr>
        <w:pStyle w:val="NormalWeb"/>
        <w:spacing w:line="360" w:lineRule="auto"/>
        <w:rPr>
          <w:rFonts w:ascii="Arial" w:hAnsi="Arial" w:cs="Arial"/>
        </w:rPr>
      </w:pPr>
      <w:r w:rsidRPr="008C162F">
        <w:rPr>
          <w:rFonts w:ascii="Arial" w:hAnsi="Arial" w:cs="Arial"/>
        </w:rPr>
        <w:t xml:space="preserve">Tesla’s </w:t>
      </w:r>
      <w:r w:rsidR="0098575B">
        <w:rPr>
          <w:rFonts w:ascii="Arial" w:hAnsi="Arial" w:cs="Arial"/>
        </w:rPr>
        <w:t>structural competitive advantage</w:t>
      </w:r>
      <w:r w:rsidRPr="008C162F">
        <w:rPr>
          <w:rFonts w:ascii="Arial" w:hAnsi="Arial" w:cs="Arial"/>
        </w:rPr>
        <w:t xml:space="preserve"> is primarily based on differentiation through innovation, software integration, and brand equity, enabling premium pricing and strong customer loyalty. In contrast, BYD’s </w:t>
      </w:r>
      <w:r w:rsidR="0098575B">
        <w:rPr>
          <w:rFonts w:ascii="Arial" w:hAnsi="Arial" w:cs="Arial"/>
        </w:rPr>
        <w:t>structural competitive advantage</w:t>
      </w:r>
      <w:r w:rsidRPr="008C162F">
        <w:rPr>
          <w:rFonts w:ascii="Arial" w:hAnsi="Arial" w:cs="Arial"/>
        </w:rPr>
        <w:t xml:space="preserve"> is based </w:t>
      </w:r>
      <w:r w:rsidRPr="008C162F">
        <w:rPr>
          <w:rFonts w:ascii="Arial" w:hAnsi="Arial" w:cs="Arial"/>
        </w:rPr>
        <w:lastRenderedPageBreak/>
        <w:t xml:space="preserve">on cost leadership, scale efficiency, and vertical integration, enabling broader market penetration. While Tesla maintains technological leadership, BYD’s ability to produce affordable EVs at scale positions it strongly for long-term global market dominance. </w:t>
      </w:r>
      <w:r w:rsidR="00725D8B">
        <w:rPr>
          <w:rFonts w:ascii="Arial" w:hAnsi="Arial" w:cs="Arial"/>
        </w:rPr>
        <w:t>This indicates that strategically</w:t>
      </w:r>
      <w:r w:rsidRPr="008C162F">
        <w:rPr>
          <w:rFonts w:ascii="Arial" w:hAnsi="Arial" w:cs="Arial"/>
        </w:rPr>
        <w:t xml:space="preserve"> cost leadership may ultimately provide greater competitive sustainability in mass-market industries.</w:t>
      </w:r>
    </w:p>
    <w:p w:rsidR="00D62F1E" w:rsidRPr="008C162F" w:rsidRDefault="00D62F1E" w:rsidP="008C162F">
      <w:pPr>
        <w:pStyle w:val="NormalWeb"/>
        <w:spacing w:line="360" w:lineRule="auto"/>
        <w:rPr>
          <w:rFonts w:ascii="Arial" w:hAnsi="Arial" w:cs="Arial"/>
        </w:rPr>
      </w:pPr>
      <w:r w:rsidRPr="00D62F1E">
        <w:rPr>
          <w:rFonts w:ascii="Arial" w:hAnsi="Arial" w:cs="Arial"/>
        </w:rPr>
        <w:t xml:space="preserve">According to Porter (1985), </w:t>
      </w:r>
      <w:r w:rsidR="0098575B">
        <w:rPr>
          <w:rFonts w:ascii="Arial" w:hAnsi="Arial" w:cs="Arial"/>
        </w:rPr>
        <w:t>structural competitive advantage</w:t>
      </w:r>
      <w:r w:rsidRPr="00D62F1E">
        <w:rPr>
          <w:rFonts w:ascii="Arial" w:hAnsi="Arial" w:cs="Arial"/>
        </w:rPr>
        <w:t xml:space="preserve"> arises from a firm’s ability to create superior value through differentiation or cost leadership. Tesla converted technological innovation into differentiation advantage, enabling premium pricing and brand leadership. In contrast, BYD converted regulatory support and manufacturing efficiency into cost leadership advantage, enabling rapid market expansion. </w:t>
      </w:r>
      <w:r w:rsidR="00725D8B">
        <w:rPr>
          <w:rFonts w:ascii="Arial" w:hAnsi="Arial" w:cs="Arial"/>
        </w:rPr>
        <w:t>This shows that in competitive terms</w:t>
      </w:r>
      <w:r w:rsidRPr="00D62F1E">
        <w:rPr>
          <w:rFonts w:ascii="Arial" w:hAnsi="Arial" w:cs="Arial"/>
        </w:rPr>
        <w:t xml:space="preserve"> macro-environmental forces do not determine competitive outcomes directly; rather, firms must strategically convert environmental opportunities into </w:t>
      </w:r>
      <w:r w:rsidR="0098575B">
        <w:rPr>
          <w:rFonts w:ascii="Arial" w:hAnsi="Arial" w:cs="Arial"/>
        </w:rPr>
        <w:t>structural competitive advantage</w:t>
      </w:r>
      <w:r w:rsidRPr="00D62F1E">
        <w:rPr>
          <w:rFonts w:ascii="Arial" w:hAnsi="Arial" w:cs="Arial"/>
        </w:rPr>
        <w:t xml:space="preserve"> through effective resource utilisation.</w:t>
      </w:r>
    </w:p>
    <w:p w:rsidR="004223A7" w:rsidRPr="00FA3896" w:rsidRDefault="004223A7" w:rsidP="00150FCE">
      <w:pPr>
        <w:spacing w:before="100" w:beforeAutospacing="1" w:after="100" w:afterAutospacing="1" w:line="360" w:lineRule="auto"/>
        <w:outlineLvl w:val="0"/>
        <w:rPr>
          <w:rFonts w:ascii="Arial" w:eastAsia="Times New Roman" w:hAnsi="Arial" w:cs="Arial"/>
          <w:b/>
          <w:bCs/>
          <w:kern w:val="36"/>
          <w:sz w:val="26"/>
          <w:szCs w:val="26"/>
          <w:lang w:eastAsia="en-GB"/>
          <w14:ligatures w14:val="none"/>
        </w:rPr>
      </w:pPr>
      <w:r w:rsidRPr="00FA3896">
        <w:rPr>
          <w:rFonts w:ascii="Arial" w:eastAsia="Times New Roman" w:hAnsi="Arial" w:cs="Arial"/>
          <w:b/>
          <w:bCs/>
          <w:kern w:val="36"/>
          <w:sz w:val="26"/>
          <w:szCs w:val="26"/>
          <w:lang w:eastAsia="en-GB"/>
          <w14:ligatures w14:val="none"/>
        </w:rPr>
        <w:t>3. Task 2: Strategic Responses and Competitive Strategies</w:t>
      </w:r>
    </w:p>
    <w:p w:rsidR="004223A7" w:rsidRPr="008C162F" w:rsidRDefault="00034F7A" w:rsidP="00150FCE">
      <w:pPr>
        <w:spacing w:before="100" w:beforeAutospacing="1" w:after="100" w:afterAutospacing="1"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3.1 </w:t>
      </w:r>
      <w:r w:rsidR="004223A7" w:rsidRPr="008C162F">
        <w:rPr>
          <w:rFonts w:ascii="Arial" w:eastAsia="Times New Roman" w:hAnsi="Arial" w:cs="Arial"/>
          <w:b/>
          <w:bCs/>
          <w:kern w:val="0"/>
          <w:lang w:eastAsia="en-GB"/>
          <w14:ligatures w14:val="none"/>
        </w:rPr>
        <w:t>Tesla’s Strategic Response</w:t>
      </w:r>
    </w:p>
    <w:p w:rsidR="00150FCE" w:rsidRPr="008C162F" w:rsidRDefault="00150FCE" w:rsidP="00150FCE">
      <w:pPr>
        <w:pStyle w:val="NormalWeb"/>
        <w:spacing w:line="360" w:lineRule="auto"/>
        <w:rPr>
          <w:rFonts w:ascii="Arial" w:hAnsi="Arial" w:cs="Arial"/>
        </w:rPr>
      </w:pPr>
      <w:r w:rsidRPr="008C162F">
        <w:rPr>
          <w:rFonts w:ascii="Arial" w:hAnsi="Arial" w:cs="Arial"/>
        </w:rPr>
        <w:t xml:space="preserve">Tesla’s strategy aligns strongly with Porter’s differentiation model, where firms achieve </w:t>
      </w:r>
      <w:r w:rsidR="0098575B">
        <w:rPr>
          <w:rFonts w:ascii="Arial" w:hAnsi="Arial" w:cs="Arial"/>
        </w:rPr>
        <w:t>structural competitive advantage</w:t>
      </w:r>
      <w:r w:rsidRPr="008C162F">
        <w:rPr>
          <w:rFonts w:ascii="Arial" w:hAnsi="Arial" w:cs="Arial"/>
        </w:rPr>
        <w:t xml:space="preserve"> by offering unique value perceived by customers (Porter, 1985). Tesla’s ability to integrate software, hardware, and artificial intelligence strengthens its differentiation and creates barriers for competitors attempting to replicate its ecosystem.</w:t>
      </w:r>
    </w:p>
    <w:p w:rsidR="004223A7" w:rsidRDefault="00034F7A" w:rsidP="00150FCE">
      <w:pPr>
        <w:spacing w:before="100" w:beforeAutospacing="1" w:after="100" w:afterAutospacing="1" w:line="360" w:lineRule="auto"/>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3.2 </w:t>
      </w:r>
      <w:r w:rsidR="004223A7" w:rsidRPr="008C162F">
        <w:rPr>
          <w:rFonts w:ascii="Arial" w:eastAsia="Times New Roman" w:hAnsi="Arial" w:cs="Arial"/>
          <w:b/>
          <w:bCs/>
          <w:kern w:val="0"/>
          <w:lang w:eastAsia="en-GB"/>
          <w14:ligatures w14:val="none"/>
        </w:rPr>
        <w:t xml:space="preserve">Porter’s Generic Strategy: </w:t>
      </w:r>
    </w:p>
    <w:p w:rsidR="00C97907" w:rsidRDefault="00C97907" w:rsidP="00150FCE">
      <w:pPr>
        <w:spacing w:before="100" w:beforeAutospacing="1" w:after="100" w:afterAutospacing="1" w:line="360" w:lineRule="auto"/>
        <w:outlineLvl w:val="2"/>
      </w:pPr>
      <w:r>
        <w:lastRenderedPageBreak/>
        <w:fldChar w:fldCharType="begin"/>
      </w:r>
      <w:r>
        <w:instrText xml:space="preserve"> INCLUDEPICTURE "https://images.openai.com/static-rsc-3/pBubjrUEPltynCidQlJ_4uFqTVQO7VKGcSfdBkvUKXCFG0gtKau8MEFuLDBEX_7WT-zFpR9DHv4mKoSshBqHyY3CsDXdTh26VD1XehRPxTM?purpose=fullsize&amp;v=1" \* MERGEFORMATINET </w:instrText>
      </w:r>
      <w:r>
        <w:fldChar w:fldCharType="separate"/>
      </w:r>
      <w:r>
        <w:rPr>
          <w:noProof/>
        </w:rPr>
        <w:drawing>
          <wp:inline distT="0" distB="0" distL="0" distR="0">
            <wp:extent cx="5731510" cy="2897746"/>
            <wp:effectExtent l="0" t="0" r="0" b="0"/>
            <wp:docPr id="1027464994" name="Picture 4" descr="Porter generic strategies framework infographic diagram chart illustration banner with icon vector has cost leadership, differentiation, cost focus. Competitive advantage. Presentation layou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orter generic strategies framework infographic diagram chart illustration banner with icon vector has cost leadership, differentiation, cost focus. Competitive advantage. Presentation layout templat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46634" cy="2905393"/>
                    </a:xfrm>
                    <a:prstGeom prst="rect">
                      <a:avLst/>
                    </a:prstGeom>
                    <a:noFill/>
                    <a:ln>
                      <a:noFill/>
                    </a:ln>
                  </pic:spPr>
                </pic:pic>
              </a:graphicData>
            </a:graphic>
          </wp:inline>
        </w:drawing>
      </w:r>
      <w:r>
        <w:fldChar w:fldCharType="end"/>
      </w:r>
    </w:p>
    <w:p w:rsidR="00C97907" w:rsidRPr="00C97907" w:rsidRDefault="00C97907" w:rsidP="00C97907">
      <w:pPr>
        <w:spacing w:before="100" w:beforeAutospacing="1" w:after="100" w:afterAutospacing="1" w:line="360" w:lineRule="auto"/>
        <w:outlineLvl w:val="2"/>
        <w:rPr>
          <w:rFonts w:ascii="Arial" w:eastAsia="Times New Roman" w:hAnsi="Arial" w:cs="Arial"/>
          <w:kern w:val="0"/>
          <w:lang w:eastAsia="en-GB"/>
          <w14:ligatures w14:val="none"/>
        </w:rPr>
      </w:pPr>
      <w:r w:rsidRPr="00C97907">
        <w:rPr>
          <w:rFonts w:ascii="Arial" w:eastAsia="Times New Roman" w:hAnsi="Arial" w:cs="Arial"/>
          <w:kern w:val="0"/>
          <w:lang w:eastAsia="en-GB"/>
          <w14:ligatures w14:val="none"/>
        </w:rPr>
        <w:t>Figure 3: Porter’s Generic Competitive Strategies framework (Porter, 1985).</w:t>
      </w:r>
    </w:p>
    <w:p w:rsidR="00C97907" w:rsidRPr="00C97907" w:rsidRDefault="00C97907" w:rsidP="00C97907">
      <w:pPr>
        <w:spacing w:before="100" w:beforeAutospacing="1" w:after="100" w:afterAutospacing="1" w:line="360" w:lineRule="auto"/>
        <w:outlineLvl w:val="2"/>
        <w:rPr>
          <w:rFonts w:ascii="Arial" w:eastAsia="Times New Roman" w:hAnsi="Arial" w:cs="Arial"/>
          <w:kern w:val="0"/>
          <w:lang w:eastAsia="en-GB"/>
          <w14:ligatures w14:val="none"/>
        </w:rPr>
      </w:pPr>
      <w:r w:rsidRPr="00C97907">
        <w:rPr>
          <w:rFonts w:ascii="Arial" w:eastAsia="Times New Roman" w:hAnsi="Arial" w:cs="Arial"/>
          <w:kern w:val="0"/>
          <w:lang w:eastAsia="en-GB"/>
          <w14:ligatures w14:val="none"/>
        </w:rPr>
        <w:t>Tesla follows a differentiation strategy, while BYD follows a cost leadership strategy as illustrated in Figure 3.</w:t>
      </w:r>
    </w:p>
    <w:p w:rsidR="00A637C2" w:rsidRDefault="004223A7" w:rsidP="00150FCE">
      <w:pPr>
        <w:pStyle w:val="NormalWeb"/>
        <w:spacing w:line="360" w:lineRule="auto"/>
        <w:rPr>
          <w:rFonts w:ascii="Arial" w:hAnsi="Arial" w:cs="Arial"/>
        </w:rPr>
      </w:pPr>
      <w:r w:rsidRPr="008C162F">
        <w:rPr>
          <w:rFonts w:ascii="Arial" w:hAnsi="Arial" w:cs="Arial"/>
        </w:rPr>
        <w:t xml:space="preserve">Tesla’s differentiation strategy is reinforced by its brand positioning as a technology leader rather than a traditional automobile manufacturer. </w:t>
      </w:r>
    </w:p>
    <w:p w:rsidR="004223A7" w:rsidRPr="008C162F" w:rsidRDefault="004223A7" w:rsidP="00150FCE">
      <w:pPr>
        <w:pStyle w:val="NormalWeb"/>
        <w:spacing w:line="360" w:lineRule="auto"/>
        <w:rPr>
          <w:rFonts w:ascii="Arial" w:hAnsi="Arial" w:cs="Arial"/>
        </w:rPr>
      </w:pPr>
      <w:r w:rsidRPr="008C162F">
        <w:rPr>
          <w:rFonts w:ascii="Arial" w:hAnsi="Arial" w:cs="Arial"/>
        </w:rPr>
        <w:t xml:space="preserve">Furthermore, Tesla’s investment in autonomous driving technology creates future </w:t>
      </w:r>
      <w:r w:rsidR="0098575B">
        <w:rPr>
          <w:rFonts w:ascii="Arial" w:hAnsi="Arial" w:cs="Arial"/>
        </w:rPr>
        <w:t>structural competitive advantage</w:t>
      </w:r>
      <w:r w:rsidRPr="008C162F">
        <w:rPr>
          <w:rFonts w:ascii="Arial" w:hAnsi="Arial" w:cs="Arial"/>
        </w:rPr>
        <w:t>. Autonomous driving has the potential to transform the automotive industry by enabling mobility services and reducing transportation costs. Tesla’s early investment positions it strongly for future market opportunities.</w:t>
      </w:r>
    </w:p>
    <w:p w:rsidR="004223A7" w:rsidRPr="008C162F" w:rsidRDefault="004223A7" w:rsidP="00150FCE">
      <w:pPr>
        <w:pStyle w:val="NormalWeb"/>
        <w:spacing w:line="360" w:lineRule="auto"/>
        <w:rPr>
          <w:rFonts w:ascii="Arial" w:hAnsi="Arial" w:cs="Arial"/>
        </w:rPr>
      </w:pPr>
      <w:r w:rsidRPr="008C162F">
        <w:rPr>
          <w:rFonts w:ascii="Arial" w:hAnsi="Arial" w:cs="Arial"/>
        </w:rPr>
        <w:t>However, differentiation strategies also involve risks. High research and development costs require continuous innovation to justify premium pricing. If competitors close the technological gap, Tesla may face pressure to reduce prices, affecting profitability.</w:t>
      </w:r>
    </w:p>
    <w:p w:rsidR="004223A7" w:rsidRPr="008C162F" w:rsidRDefault="004223A7" w:rsidP="00150FCE">
      <w:pPr>
        <w:pStyle w:val="NormalWeb"/>
        <w:spacing w:line="360" w:lineRule="auto"/>
        <w:rPr>
          <w:rFonts w:ascii="Arial" w:hAnsi="Arial" w:cs="Arial"/>
        </w:rPr>
      </w:pPr>
      <w:r w:rsidRPr="008C162F">
        <w:rPr>
          <w:rFonts w:ascii="Arial" w:hAnsi="Arial" w:cs="Arial"/>
        </w:rPr>
        <w:t>Despite these risks, Tesla’s strong brand and innovation capability continue to support its differentiation strategy.</w:t>
      </w:r>
    </w:p>
    <w:p w:rsidR="00D5125D" w:rsidRPr="008C162F" w:rsidRDefault="00D5125D" w:rsidP="00150FCE">
      <w:pPr>
        <w:pStyle w:val="NormalWeb"/>
        <w:spacing w:line="360" w:lineRule="auto"/>
        <w:rPr>
          <w:rFonts w:ascii="Arial" w:hAnsi="Arial" w:cs="Arial"/>
        </w:rPr>
      </w:pPr>
      <w:r w:rsidRPr="008C162F">
        <w:rPr>
          <w:rFonts w:ascii="Arial" w:hAnsi="Arial" w:cs="Arial"/>
        </w:rPr>
        <w:t xml:space="preserve">However, Tesla’s differentiation advantage is increasingly challenged as competitors improve technological capabilities and offer similar features at lower prices. This </w:t>
      </w:r>
      <w:r w:rsidRPr="008C162F">
        <w:rPr>
          <w:rFonts w:ascii="Arial" w:hAnsi="Arial" w:cs="Arial"/>
        </w:rPr>
        <w:lastRenderedPageBreak/>
        <w:t xml:space="preserve">creates long-term strategic pressure, as differentiation advantages are difficult to sustain without continuous innovation. Therefore, Tesla must maintain technological leadership to prevent erosion of its </w:t>
      </w:r>
      <w:r w:rsidR="0098575B">
        <w:rPr>
          <w:rFonts w:ascii="Arial" w:hAnsi="Arial" w:cs="Arial"/>
        </w:rPr>
        <w:t>structural competitive advantage</w:t>
      </w:r>
      <w:r w:rsidRPr="008C162F">
        <w:rPr>
          <w:rFonts w:ascii="Arial" w:hAnsi="Arial" w:cs="Arial"/>
        </w:rPr>
        <w:t>.</w:t>
      </w:r>
    </w:p>
    <w:p w:rsidR="004223A7" w:rsidRPr="008C162F" w:rsidRDefault="004223A7" w:rsidP="00150FCE">
      <w:pPr>
        <w:spacing w:before="100" w:beforeAutospacing="1" w:after="100" w:afterAutospacing="1" w:line="360" w:lineRule="auto"/>
        <w:outlineLvl w:val="2"/>
        <w:rPr>
          <w:rFonts w:ascii="Arial" w:eastAsia="Times New Roman" w:hAnsi="Arial" w:cs="Arial"/>
          <w:b/>
          <w:bCs/>
          <w:kern w:val="0"/>
          <w:lang w:eastAsia="en-GB"/>
          <w14:ligatures w14:val="none"/>
        </w:rPr>
      </w:pPr>
      <w:r w:rsidRPr="008C162F">
        <w:rPr>
          <w:rFonts w:ascii="Arial" w:eastAsia="Times New Roman" w:hAnsi="Arial" w:cs="Arial"/>
          <w:b/>
          <w:bCs/>
          <w:kern w:val="0"/>
          <w:lang w:eastAsia="en-GB"/>
          <w14:ligatures w14:val="none"/>
        </w:rPr>
        <w:t>Differentiation</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 follows a differentiation strategy by offering technologically advanced and premium electric vehicles (Porter, 1985). Tesla differentiates through:</w:t>
      </w:r>
    </w:p>
    <w:p w:rsidR="004223A7" w:rsidRPr="008C162F" w:rsidRDefault="004223A7" w:rsidP="00150FCE">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Advanced autonomous driving capabilities</w:t>
      </w:r>
    </w:p>
    <w:p w:rsidR="004223A7" w:rsidRPr="008C162F" w:rsidRDefault="004223A7" w:rsidP="00150FCE">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Superior battery performance</w:t>
      </w:r>
    </w:p>
    <w:p w:rsidR="004223A7" w:rsidRPr="008C162F" w:rsidRDefault="004223A7" w:rsidP="00150FCE">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Premium brand positioning</w:t>
      </w:r>
    </w:p>
    <w:p w:rsidR="004223A7" w:rsidRPr="008C162F" w:rsidRDefault="004223A7" w:rsidP="00150FCE">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Software integration and innovation</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This allows Tesla to charge higher prices and maintain strong profit margins.</w:t>
      </w:r>
    </w:p>
    <w:p w:rsidR="004223A7" w:rsidRPr="008C162F" w:rsidRDefault="004223A7" w:rsidP="008C162F">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 focuses on innovation rather than cost leadership, reinforcing its premium positioning.</w:t>
      </w:r>
    </w:p>
    <w:p w:rsidR="004223A7" w:rsidRDefault="00034F7A" w:rsidP="00150FCE">
      <w:pPr>
        <w:spacing w:before="100" w:beforeAutospacing="1" w:after="100" w:afterAutospacing="1" w:line="360" w:lineRule="auto"/>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3.3 </w:t>
      </w:r>
      <w:r w:rsidR="004223A7" w:rsidRPr="008C162F">
        <w:rPr>
          <w:rFonts w:ascii="Arial" w:eastAsia="Times New Roman" w:hAnsi="Arial" w:cs="Arial"/>
          <w:b/>
          <w:bCs/>
          <w:kern w:val="0"/>
          <w:lang w:eastAsia="en-GB"/>
          <w14:ligatures w14:val="none"/>
        </w:rPr>
        <w:t>Ansoff Growth Matrix: Market Development and Product Development</w:t>
      </w:r>
    </w:p>
    <w:p w:rsidR="00C97907" w:rsidRDefault="00C97907" w:rsidP="00150FCE">
      <w:pPr>
        <w:spacing w:before="100" w:beforeAutospacing="1" w:after="100" w:afterAutospacing="1" w:line="360" w:lineRule="auto"/>
        <w:outlineLvl w:val="2"/>
      </w:pPr>
      <w:r>
        <w:fldChar w:fldCharType="begin"/>
      </w:r>
      <w:r>
        <w:instrText xml:space="preserve"> INCLUDEPICTURE "https://images.openai.com/static-rsc-3/Lq6UsCXbN6UOEnlrlcO30UYA6WiLYdLt_CSwUc0-JXSnfU9R5YZcb2bpAgOPbR_Z4mGDdUZX84gzokKFf3NUOfczuenE8sRtzLzwoGQqVhw?purpose=fullsize&amp;v=1" \* MERGEFORMATINET </w:instrText>
      </w:r>
      <w:r>
        <w:fldChar w:fldCharType="separate"/>
      </w:r>
      <w:r>
        <w:rPr>
          <w:noProof/>
        </w:rPr>
        <w:drawing>
          <wp:inline distT="0" distB="0" distL="0" distR="0">
            <wp:extent cx="5731081" cy="3561080"/>
            <wp:effectExtent l="0" t="0" r="0" b="0"/>
            <wp:docPr id="298309210" name="Picture 5" descr="Ansoff Growth Matrix Infographic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nsoff Growth Matrix Infographic Desig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74308" cy="3587939"/>
                    </a:xfrm>
                    <a:prstGeom prst="rect">
                      <a:avLst/>
                    </a:prstGeom>
                    <a:noFill/>
                    <a:ln>
                      <a:noFill/>
                    </a:ln>
                  </pic:spPr>
                </pic:pic>
              </a:graphicData>
            </a:graphic>
          </wp:inline>
        </w:drawing>
      </w:r>
      <w:r>
        <w:fldChar w:fldCharType="end"/>
      </w:r>
    </w:p>
    <w:p w:rsidR="00C97907" w:rsidRPr="00C97907" w:rsidRDefault="00C97907" w:rsidP="00C97907">
      <w:pPr>
        <w:spacing w:before="100" w:beforeAutospacing="1" w:after="100" w:afterAutospacing="1" w:line="360" w:lineRule="auto"/>
        <w:outlineLvl w:val="2"/>
        <w:rPr>
          <w:rFonts w:ascii="Arial" w:eastAsia="Times New Roman" w:hAnsi="Arial" w:cs="Arial"/>
          <w:kern w:val="0"/>
          <w:lang w:eastAsia="en-GB"/>
          <w14:ligatures w14:val="none"/>
        </w:rPr>
      </w:pPr>
      <w:r w:rsidRPr="00C97907">
        <w:rPr>
          <w:rFonts w:ascii="Arial" w:eastAsia="Times New Roman" w:hAnsi="Arial" w:cs="Arial"/>
          <w:kern w:val="0"/>
          <w:lang w:eastAsia="en-GB"/>
          <w14:ligatures w14:val="none"/>
        </w:rPr>
        <w:lastRenderedPageBreak/>
        <w:t>Figure 4: Ansoff Growth Matrix showing strategic growth options (Ansoff, 1957).</w:t>
      </w:r>
    </w:p>
    <w:p w:rsidR="00C97907" w:rsidRPr="00C97907" w:rsidRDefault="00C97907" w:rsidP="00C97907">
      <w:pPr>
        <w:spacing w:before="100" w:beforeAutospacing="1" w:after="100" w:afterAutospacing="1" w:line="360" w:lineRule="auto"/>
        <w:outlineLvl w:val="2"/>
        <w:rPr>
          <w:rFonts w:ascii="Arial" w:eastAsia="Times New Roman" w:hAnsi="Arial" w:cs="Arial"/>
          <w:kern w:val="0"/>
          <w:lang w:eastAsia="en-GB"/>
          <w14:ligatures w14:val="none"/>
        </w:rPr>
      </w:pPr>
      <w:r w:rsidRPr="00C97907">
        <w:rPr>
          <w:rFonts w:ascii="Arial" w:eastAsia="Times New Roman" w:hAnsi="Arial" w:cs="Arial"/>
          <w:kern w:val="0"/>
          <w:lang w:eastAsia="en-GB"/>
          <w14:ligatures w14:val="none"/>
        </w:rPr>
        <w:t>Tesla and BYD use different growth strategies within the Ansoff Matrix framework to expand their competitive positions.</w:t>
      </w:r>
    </w:p>
    <w:p w:rsidR="001147EA" w:rsidRDefault="001147EA" w:rsidP="00150FCE">
      <w:pPr>
        <w:spacing w:before="100" w:beforeAutospacing="1" w:after="100" w:afterAutospacing="1" w:line="360" w:lineRule="auto"/>
        <w:rPr>
          <w:rFonts w:ascii="Arial" w:eastAsia="Times New Roman" w:hAnsi="Arial" w:cs="Arial"/>
          <w:kern w:val="0"/>
          <w:lang w:eastAsia="en-GB"/>
          <w14:ligatures w14:val="none"/>
        </w:rPr>
      </w:pPr>
      <w:r w:rsidRPr="001147EA">
        <w:rPr>
          <w:rFonts w:ascii="Arial" w:eastAsia="Times New Roman" w:hAnsi="Arial" w:cs="Arial"/>
          <w:kern w:val="0"/>
          <w:lang w:eastAsia="en-GB"/>
          <w14:ligatures w14:val="none"/>
        </w:rPr>
        <w:t xml:space="preserve">Tesla implemented a product development strategy by consistently enhancing vehicle technology and launching new models, including the Model 3 and Model Y. </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 also pursued market development by expanding globally into Europe, China, and emerging markets.</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Tesla’s Gigafactories enabled increased production capacity and global expansion.</w:t>
      </w:r>
    </w:p>
    <w:p w:rsidR="004223A7" w:rsidRPr="008C162F" w:rsidRDefault="004223A7" w:rsidP="008C162F">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 also pursued diversification by developing energy products such as battery storage and solar technology.</w:t>
      </w:r>
    </w:p>
    <w:p w:rsidR="004223A7" w:rsidRPr="008C162F" w:rsidRDefault="00034F7A" w:rsidP="00150FCE">
      <w:pPr>
        <w:spacing w:before="100" w:beforeAutospacing="1" w:after="100" w:afterAutospacing="1"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3.4 </w:t>
      </w:r>
      <w:r w:rsidR="004223A7" w:rsidRPr="008C162F">
        <w:rPr>
          <w:rFonts w:ascii="Arial" w:eastAsia="Times New Roman" w:hAnsi="Arial" w:cs="Arial"/>
          <w:b/>
          <w:bCs/>
          <w:kern w:val="0"/>
          <w:lang w:eastAsia="en-GB"/>
          <w14:ligatures w14:val="none"/>
        </w:rPr>
        <w:t>BYD’s Strategic Response</w:t>
      </w:r>
    </w:p>
    <w:p w:rsidR="00150FCE" w:rsidRPr="008C162F" w:rsidRDefault="00150FCE" w:rsidP="00150FCE">
      <w:pPr>
        <w:spacing w:before="100" w:beforeAutospacing="1" w:after="100" w:afterAutospacing="1" w:line="360" w:lineRule="auto"/>
        <w:outlineLvl w:val="1"/>
        <w:rPr>
          <w:rFonts w:ascii="Arial" w:eastAsia="Times New Roman" w:hAnsi="Arial" w:cs="Arial"/>
          <w:b/>
          <w:bCs/>
          <w:kern w:val="0"/>
          <w:lang w:eastAsia="en-GB"/>
          <w14:ligatures w14:val="none"/>
        </w:rPr>
      </w:pPr>
      <w:r w:rsidRPr="008C162F">
        <w:rPr>
          <w:rFonts w:ascii="Arial" w:hAnsi="Arial" w:cs="Arial"/>
        </w:rPr>
        <w:t>BYD’s cost leadership strategy reflects efficient resource utilisation and economies of scale, enabling competitive pricing and market expansion. According to Porter (1985), cost leadership allows firms to achieve superior performance by operating at lower cost than competitors while maintaining acceptable product quality.</w:t>
      </w:r>
    </w:p>
    <w:p w:rsidR="004223A7" w:rsidRPr="008C162F" w:rsidRDefault="00034F7A" w:rsidP="00150FCE">
      <w:pPr>
        <w:spacing w:before="100" w:beforeAutospacing="1" w:after="100" w:afterAutospacing="1" w:line="360" w:lineRule="auto"/>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3.5 </w:t>
      </w:r>
      <w:r w:rsidR="004223A7" w:rsidRPr="008C162F">
        <w:rPr>
          <w:rFonts w:ascii="Arial" w:eastAsia="Times New Roman" w:hAnsi="Arial" w:cs="Arial"/>
          <w:b/>
          <w:bCs/>
          <w:kern w:val="0"/>
          <w:lang w:eastAsia="en-GB"/>
          <w14:ligatures w14:val="none"/>
        </w:rPr>
        <w:t xml:space="preserve">Porter’s Generic Strategy: </w:t>
      </w:r>
    </w:p>
    <w:p w:rsidR="004223A7" w:rsidRPr="008C162F" w:rsidRDefault="004223A7" w:rsidP="00150FCE">
      <w:pPr>
        <w:pStyle w:val="NormalWeb"/>
        <w:spacing w:line="360" w:lineRule="auto"/>
        <w:rPr>
          <w:rFonts w:ascii="Arial" w:hAnsi="Arial" w:cs="Arial"/>
        </w:rPr>
      </w:pPr>
      <w:r w:rsidRPr="008C162F">
        <w:rPr>
          <w:rFonts w:ascii="Arial" w:hAnsi="Arial" w:cs="Arial"/>
        </w:rPr>
        <w:t>BYD’s cost leadership strategy is strengthened by its vertically integrated business model. Vertical integration allows BYD to control critical components such as batteries and semiconductors, reducing dependence on external suppliers and improving cost efficiency.</w:t>
      </w:r>
    </w:p>
    <w:p w:rsidR="004223A7" w:rsidRPr="008C162F" w:rsidRDefault="004223A7" w:rsidP="00150FCE">
      <w:pPr>
        <w:pStyle w:val="NormalWeb"/>
        <w:spacing w:line="360" w:lineRule="auto"/>
        <w:rPr>
          <w:rFonts w:ascii="Arial" w:hAnsi="Arial" w:cs="Arial"/>
        </w:rPr>
      </w:pPr>
      <w:r w:rsidRPr="008C162F">
        <w:rPr>
          <w:rFonts w:ascii="Arial" w:hAnsi="Arial" w:cs="Arial"/>
        </w:rPr>
        <w:t>This strategic approach enables BYD to maintain lower production costs compared to competitors. However, cost leadership strategies may limit brand differentiation. Consumers may perceive lower-cost products as less technologically advanced compared to premium competitors like Tesla. To address this, BYD continues investing in innovation to improve product quality while maintaining affordability.</w:t>
      </w:r>
    </w:p>
    <w:p w:rsidR="004223A7" w:rsidRPr="008C162F" w:rsidRDefault="004223A7" w:rsidP="00150FCE">
      <w:pPr>
        <w:pStyle w:val="NormalWeb"/>
        <w:spacing w:line="360" w:lineRule="auto"/>
        <w:rPr>
          <w:rFonts w:ascii="Arial" w:hAnsi="Arial" w:cs="Arial"/>
        </w:rPr>
      </w:pPr>
      <w:r w:rsidRPr="008C162F">
        <w:rPr>
          <w:rFonts w:ascii="Arial" w:hAnsi="Arial" w:cs="Arial"/>
        </w:rPr>
        <w:t>This balanced approach strengthens BYD’s long-term competitive position.</w:t>
      </w:r>
      <w:r w:rsidR="00D5125D" w:rsidRPr="008C162F">
        <w:rPr>
          <w:rFonts w:ascii="Arial" w:hAnsi="Arial" w:cs="Arial"/>
        </w:rPr>
        <w:t xml:space="preserve"> </w:t>
      </w:r>
    </w:p>
    <w:p w:rsidR="00D5125D" w:rsidRPr="008C162F" w:rsidRDefault="00D5125D" w:rsidP="00150FCE">
      <w:pPr>
        <w:pStyle w:val="NormalWeb"/>
        <w:spacing w:line="360" w:lineRule="auto"/>
        <w:rPr>
          <w:rFonts w:ascii="Arial" w:hAnsi="Arial" w:cs="Arial"/>
        </w:rPr>
      </w:pPr>
      <w:r w:rsidRPr="008C162F">
        <w:rPr>
          <w:rFonts w:ascii="Arial" w:hAnsi="Arial" w:cs="Arial"/>
        </w:rPr>
        <w:lastRenderedPageBreak/>
        <w:t>BYD’s cost leadership strategy provides strong competitive sustainability because cost efficiency enables resilience against price competition and economic fluctuations. As EV adoption expands globally, affordability becomes a critical determinant of market success. This positions BYD strategically to capture larger market share compared to premium-focused competitors such as Tesla.</w:t>
      </w:r>
    </w:p>
    <w:p w:rsidR="004223A7" w:rsidRPr="008C162F" w:rsidRDefault="004223A7" w:rsidP="00150FCE">
      <w:pPr>
        <w:spacing w:before="100" w:beforeAutospacing="1" w:after="100" w:afterAutospacing="1" w:line="360" w:lineRule="auto"/>
        <w:outlineLvl w:val="2"/>
        <w:rPr>
          <w:rFonts w:ascii="Arial" w:eastAsia="Times New Roman" w:hAnsi="Arial" w:cs="Arial"/>
          <w:b/>
          <w:bCs/>
          <w:kern w:val="0"/>
          <w:lang w:eastAsia="en-GB"/>
          <w14:ligatures w14:val="none"/>
        </w:rPr>
      </w:pPr>
      <w:r w:rsidRPr="008C162F">
        <w:rPr>
          <w:rFonts w:ascii="Arial" w:eastAsia="Times New Roman" w:hAnsi="Arial" w:cs="Arial"/>
          <w:b/>
          <w:bCs/>
          <w:kern w:val="0"/>
          <w:lang w:eastAsia="en-GB"/>
          <w14:ligatures w14:val="none"/>
        </w:rPr>
        <w:t>Cost Leadership</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 follows a cost leadership strategy by producing affordable electric vehicles at scale. Vertical integration allows BYD to control supply chains and reduce production costs.</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 produces batteries, components, and vehicles internally, reducing dependence on external suppliers.</w:t>
      </w:r>
    </w:p>
    <w:p w:rsidR="004223A7" w:rsidRPr="008C162F" w:rsidRDefault="004223A7" w:rsidP="008C162F">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This allows BYD to offer competitively priced vehicles and expand market share rapidly.</w:t>
      </w:r>
    </w:p>
    <w:p w:rsidR="004223A7" w:rsidRPr="008C162F" w:rsidRDefault="00034F7A" w:rsidP="00150FCE">
      <w:pPr>
        <w:spacing w:before="100" w:beforeAutospacing="1" w:after="100" w:afterAutospacing="1" w:line="360" w:lineRule="auto"/>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3.6 </w:t>
      </w:r>
      <w:r w:rsidR="004223A7" w:rsidRPr="008C162F">
        <w:rPr>
          <w:rFonts w:ascii="Arial" w:eastAsia="Times New Roman" w:hAnsi="Arial" w:cs="Arial"/>
          <w:b/>
          <w:bCs/>
          <w:kern w:val="0"/>
          <w:lang w:eastAsia="en-GB"/>
          <w14:ligatures w14:val="none"/>
        </w:rPr>
        <w:t>Ansoff Growth Matrix: Market Penetration and Market Development</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 initially pursued market penetration by expanding EV adoption within China.</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 later pursued market development by expanding globally into Europe, Asia, and other markets.</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 focused on increasing production scale and improving efficiency.</w:t>
      </w:r>
    </w:p>
    <w:p w:rsidR="004223A7" w:rsidRPr="008C162F" w:rsidRDefault="004223A7" w:rsidP="008C162F">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BYD’s strategy allowed rapid expansion and increased competitiveness.</w:t>
      </w:r>
    </w:p>
    <w:p w:rsidR="004223A7" w:rsidRDefault="00034F7A" w:rsidP="00150FCE">
      <w:pPr>
        <w:spacing w:before="100" w:beforeAutospacing="1" w:after="100" w:afterAutospacing="1" w:line="36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3.7 </w:t>
      </w:r>
      <w:r w:rsidR="004223A7" w:rsidRPr="008C162F">
        <w:rPr>
          <w:rFonts w:ascii="Arial" w:eastAsia="Times New Roman" w:hAnsi="Arial" w:cs="Arial"/>
          <w:b/>
          <w:bCs/>
          <w:kern w:val="0"/>
          <w:lang w:eastAsia="en-GB"/>
          <w14:ligatures w14:val="none"/>
        </w:rPr>
        <w:t>Critical Comparison of Strategic Effectiveness</w:t>
      </w:r>
    </w:p>
    <w:p w:rsidR="00C97907" w:rsidRDefault="00C97907" w:rsidP="00150FCE">
      <w:pPr>
        <w:spacing w:before="100" w:beforeAutospacing="1" w:after="100" w:afterAutospacing="1" w:line="360" w:lineRule="auto"/>
        <w:outlineLvl w:val="1"/>
      </w:pPr>
      <w:r>
        <w:lastRenderedPageBreak/>
        <w:fldChar w:fldCharType="begin"/>
      </w:r>
      <w:r>
        <w:instrText xml:space="preserve"> INCLUDEPICTURE "https://cdn.statcdn.com/Infographic/images/normal/27733.jpeg" \* MERGEFORMATINET </w:instrText>
      </w:r>
      <w:r>
        <w:fldChar w:fldCharType="separate"/>
      </w:r>
      <w:r>
        <w:rPr>
          <w:noProof/>
        </w:rPr>
        <w:drawing>
          <wp:inline distT="0" distB="0" distL="0" distR="0">
            <wp:extent cx="5730931" cy="4584879"/>
            <wp:effectExtent l="0" t="0" r="0" b="0"/>
            <wp:docPr id="2140909878" name="Picture 6" descr="Chart: Tesla and BYD Claim a Third of the Global BEV Marke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hart: Tesla and BYD Claim a Third of the Global BEV Market | Statist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2811" cy="4602384"/>
                    </a:xfrm>
                    <a:prstGeom prst="rect">
                      <a:avLst/>
                    </a:prstGeom>
                    <a:noFill/>
                    <a:ln>
                      <a:noFill/>
                    </a:ln>
                  </pic:spPr>
                </pic:pic>
              </a:graphicData>
            </a:graphic>
          </wp:inline>
        </w:drawing>
      </w:r>
      <w:r>
        <w:fldChar w:fldCharType="end"/>
      </w:r>
    </w:p>
    <w:p w:rsidR="00C97907" w:rsidRPr="00C97907" w:rsidRDefault="00C97907" w:rsidP="00C97907">
      <w:pPr>
        <w:spacing w:before="100" w:beforeAutospacing="1" w:after="100" w:afterAutospacing="1" w:line="360" w:lineRule="auto"/>
        <w:outlineLvl w:val="1"/>
        <w:rPr>
          <w:rFonts w:ascii="Arial" w:eastAsia="Times New Roman" w:hAnsi="Arial" w:cs="Arial"/>
          <w:kern w:val="0"/>
          <w:lang w:eastAsia="en-GB"/>
          <w14:ligatures w14:val="none"/>
        </w:rPr>
      </w:pPr>
      <w:r w:rsidRPr="00C97907">
        <w:rPr>
          <w:rFonts w:ascii="Arial" w:eastAsia="Times New Roman" w:hAnsi="Arial" w:cs="Arial"/>
          <w:kern w:val="0"/>
          <w:lang w:eastAsia="en-GB"/>
          <w14:ligatures w14:val="none"/>
        </w:rPr>
        <w:t>Figure 5: Comparison of Tesla and BYD vehicle production and sales growth (IEA, 2023).</w:t>
      </w:r>
    </w:p>
    <w:p w:rsidR="00C97907" w:rsidRDefault="00C97907" w:rsidP="00C97907">
      <w:pPr>
        <w:spacing w:before="100" w:beforeAutospacing="1" w:after="100" w:afterAutospacing="1" w:line="360" w:lineRule="auto"/>
        <w:outlineLvl w:val="1"/>
        <w:rPr>
          <w:rFonts w:ascii="Arial" w:eastAsia="Times New Roman" w:hAnsi="Arial" w:cs="Arial"/>
          <w:kern w:val="0"/>
          <w:lang w:eastAsia="en-GB"/>
          <w14:ligatures w14:val="none"/>
        </w:rPr>
      </w:pPr>
      <w:r w:rsidRPr="00C97907">
        <w:rPr>
          <w:rFonts w:ascii="Arial" w:eastAsia="Times New Roman" w:hAnsi="Arial" w:cs="Arial"/>
          <w:kern w:val="0"/>
          <w:lang w:eastAsia="en-GB"/>
          <w14:ligatures w14:val="none"/>
        </w:rPr>
        <w:t>Figure 5 demonstrates BYD’s rapid production growth compared to Tesla, reflecting the effectiveness of its cost leadership strategy.</w:t>
      </w:r>
    </w:p>
    <w:p w:rsidR="00965B44" w:rsidRPr="00965B44" w:rsidRDefault="00FA3896" w:rsidP="00C97907">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 xml:space="preserve">3.8 </w:t>
      </w:r>
      <w:r w:rsidR="00965B44" w:rsidRPr="00965B44">
        <w:rPr>
          <w:rFonts w:ascii="Arial" w:eastAsia="Times New Roman" w:hAnsi="Arial" w:cs="Arial"/>
          <w:b/>
          <w:bCs/>
          <w:kern w:val="0"/>
          <w:sz w:val="28"/>
          <w:szCs w:val="28"/>
          <w:lang w:eastAsia="en-GB"/>
          <w14:ligatures w14:val="none"/>
        </w:rPr>
        <w:t>Strategic comparison of Tesla and BYD competitive positioning.</w:t>
      </w:r>
    </w:p>
    <w:tbl>
      <w:tblPr>
        <w:tblStyle w:val="TableGrid"/>
        <w:tblW w:w="9372" w:type="dxa"/>
        <w:tblLook w:val="04A0" w:firstRow="1" w:lastRow="0" w:firstColumn="1" w:lastColumn="0" w:noHBand="0" w:noVBand="1"/>
      </w:tblPr>
      <w:tblGrid>
        <w:gridCol w:w="3124"/>
        <w:gridCol w:w="3124"/>
        <w:gridCol w:w="3124"/>
      </w:tblGrid>
      <w:tr w:rsidR="00965B44" w:rsidTr="008763D6">
        <w:trPr>
          <w:trHeight w:val="514"/>
        </w:trPr>
        <w:tc>
          <w:tcPr>
            <w:tcW w:w="3124" w:type="dxa"/>
            <w:vAlign w:val="center"/>
          </w:tcPr>
          <w:p w:rsidR="00965B44" w:rsidRPr="003D5DC9" w:rsidRDefault="00965B44" w:rsidP="00965B44">
            <w:pPr>
              <w:spacing w:line="360" w:lineRule="auto"/>
              <w:jc w:val="center"/>
              <w:rPr>
                <w:rFonts w:ascii="Times New Roman" w:eastAsia="Times New Roman" w:hAnsi="Times New Roman" w:cs="Times New Roman"/>
                <w:b/>
                <w:bCs/>
                <w:kern w:val="0"/>
                <w:lang w:eastAsia="en-GB"/>
                <w14:ligatures w14:val="none"/>
              </w:rPr>
            </w:pPr>
            <w:r w:rsidRPr="003D5DC9">
              <w:rPr>
                <w:rFonts w:ascii="Times New Roman" w:eastAsia="Times New Roman" w:hAnsi="Times New Roman" w:cs="Times New Roman"/>
                <w:b/>
                <w:bCs/>
                <w:kern w:val="0"/>
                <w:lang w:eastAsia="en-GB"/>
                <w14:ligatures w14:val="none"/>
              </w:rPr>
              <w:t>Factor</w:t>
            </w:r>
          </w:p>
        </w:tc>
        <w:tc>
          <w:tcPr>
            <w:tcW w:w="3124" w:type="dxa"/>
            <w:vAlign w:val="center"/>
          </w:tcPr>
          <w:p w:rsidR="00965B44" w:rsidRPr="003D5DC9" w:rsidRDefault="00965B44" w:rsidP="00965B44">
            <w:pPr>
              <w:spacing w:line="360" w:lineRule="auto"/>
              <w:jc w:val="center"/>
              <w:rPr>
                <w:rFonts w:ascii="Times New Roman" w:eastAsia="Times New Roman" w:hAnsi="Times New Roman" w:cs="Times New Roman"/>
                <w:b/>
                <w:bCs/>
                <w:kern w:val="0"/>
                <w:lang w:eastAsia="en-GB"/>
                <w14:ligatures w14:val="none"/>
              </w:rPr>
            </w:pPr>
            <w:r w:rsidRPr="003D5DC9">
              <w:rPr>
                <w:rFonts w:ascii="Times New Roman" w:eastAsia="Times New Roman" w:hAnsi="Times New Roman" w:cs="Times New Roman"/>
                <w:b/>
                <w:bCs/>
                <w:kern w:val="0"/>
                <w:lang w:eastAsia="en-GB"/>
                <w14:ligatures w14:val="none"/>
              </w:rPr>
              <w:t>Tesla (Pioneer)</w:t>
            </w:r>
          </w:p>
        </w:tc>
        <w:tc>
          <w:tcPr>
            <w:tcW w:w="3124" w:type="dxa"/>
            <w:vAlign w:val="center"/>
          </w:tcPr>
          <w:p w:rsidR="00965B44" w:rsidRPr="003D5DC9" w:rsidRDefault="00965B44" w:rsidP="00965B44">
            <w:pPr>
              <w:spacing w:line="360" w:lineRule="auto"/>
              <w:jc w:val="center"/>
              <w:rPr>
                <w:rFonts w:ascii="Times New Roman" w:eastAsia="Times New Roman" w:hAnsi="Times New Roman" w:cs="Times New Roman"/>
                <w:b/>
                <w:bCs/>
                <w:kern w:val="0"/>
                <w:lang w:eastAsia="en-GB"/>
                <w14:ligatures w14:val="none"/>
              </w:rPr>
            </w:pPr>
            <w:r w:rsidRPr="003D5DC9">
              <w:rPr>
                <w:rFonts w:ascii="Times New Roman" w:eastAsia="Times New Roman" w:hAnsi="Times New Roman" w:cs="Times New Roman"/>
                <w:b/>
                <w:bCs/>
                <w:kern w:val="0"/>
                <w:lang w:eastAsia="en-GB"/>
                <w14:ligatures w14:val="none"/>
              </w:rPr>
              <w:t>BYD (Follower)</w:t>
            </w:r>
          </w:p>
        </w:tc>
      </w:tr>
      <w:tr w:rsidR="00965B44" w:rsidTr="008763D6">
        <w:trPr>
          <w:trHeight w:val="486"/>
        </w:trPr>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Market entry</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First mover</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Later entrant</w:t>
            </w:r>
          </w:p>
        </w:tc>
      </w:tr>
      <w:tr w:rsidR="00965B44" w:rsidTr="008763D6">
        <w:trPr>
          <w:trHeight w:val="514"/>
        </w:trPr>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Strategy</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Differentiation</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Cost leadership</w:t>
            </w:r>
          </w:p>
        </w:tc>
      </w:tr>
      <w:tr w:rsidR="00965B44" w:rsidTr="008763D6">
        <w:trPr>
          <w:trHeight w:val="514"/>
        </w:trPr>
        <w:tc>
          <w:tcPr>
            <w:tcW w:w="3124" w:type="dxa"/>
            <w:vAlign w:val="center"/>
          </w:tcPr>
          <w:p w:rsidR="00965B44" w:rsidRPr="003D5DC9" w:rsidRDefault="0098575B" w:rsidP="00965B44">
            <w:pPr>
              <w:spacing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Structural competitive advantage</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Technology and brand</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Cost efficiency and scale</w:t>
            </w:r>
          </w:p>
        </w:tc>
      </w:tr>
      <w:tr w:rsidR="00965B44" w:rsidTr="008763D6">
        <w:trPr>
          <w:trHeight w:val="486"/>
        </w:trPr>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Target market</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Premium segment</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Mass market</w:t>
            </w:r>
          </w:p>
        </w:tc>
      </w:tr>
      <w:tr w:rsidR="00965B44" w:rsidTr="008763D6">
        <w:trPr>
          <w:trHeight w:val="514"/>
        </w:trPr>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lastRenderedPageBreak/>
              <w:t>Strength</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Innovation leadership</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Manufacturing efficiency</w:t>
            </w:r>
          </w:p>
        </w:tc>
      </w:tr>
      <w:tr w:rsidR="00965B44" w:rsidTr="008763D6">
        <w:trPr>
          <w:trHeight w:val="514"/>
        </w:trPr>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Weakness</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Higher prices</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Lower brand prestige</w:t>
            </w:r>
          </w:p>
        </w:tc>
      </w:tr>
      <w:tr w:rsidR="00965B44" w:rsidTr="008763D6">
        <w:trPr>
          <w:trHeight w:val="514"/>
        </w:trPr>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Long-term sustainability</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Strong but expensive</w:t>
            </w:r>
          </w:p>
        </w:tc>
        <w:tc>
          <w:tcPr>
            <w:tcW w:w="3124" w:type="dxa"/>
            <w:vAlign w:val="center"/>
          </w:tcPr>
          <w:p w:rsidR="00965B44" w:rsidRPr="003D5DC9" w:rsidRDefault="00965B44" w:rsidP="00965B44">
            <w:pPr>
              <w:spacing w:line="360" w:lineRule="auto"/>
              <w:rPr>
                <w:rFonts w:ascii="Times New Roman" w:eastAsia="Times New Roman" w:hAnsi="Times New Roman" w:cs="Times New Roman"/>
                <w:kern w:val="0"/>
                <w:lang w:eastAsia="en-GB"/>
                <w14:ligatures w14:val="none"/>
              </w:rPr>
            </w:pPr>
            <w:r w:rsidRPr="003D5DC9">
              <w:rPr>
                <w:rFonts w:ascii="Times New Roman" w:eastAsia="Times New Roman" w:hAnsi="Times New Roman" w:cs="Times New Roman"/>
                <w:kern w:val="0"/>
                <w:lang w:eastAsia="en-GB"/>
                <w14:ligatures w14:val="none"/>
              </w:rPr>
              <w:t>Strong and scalable</w:t>
            </w:r>
          </w:p>
        </w:tc>
      </w:tr>
    </w:tbl>
    <w:p w:rsidR="003D5DC9" w:rsidRPr="00C97907" w:rsidRDefault="008763D6" w:rsidP="00C97907">
      <w:pPr>
        <w:spacing w:before="100" w:beforeAutospacing="1" w:after="100" w:afterAutospacing="1" w:line="360" w:lineRule="auto"/>
        <w:outlineLvl w:val="1"/>
        <w:rPr>
          <w:rFonts w:ascii="Arial" w:eastAsia="Times New Roman" w:hAnsi="Arial" w:cs="Arial"/>
          <w:kern w:val="0"/>
          <w:lang w:eastAsia="en-GB"/>
          <w14:ligatures w14:val="none"/>
        </w:rPr>
      </w:pPr>
      <w:r w:rsidRPr="008763D6">
        <w:rPr>
          <w:rFonts w:ascii="Arial" w:eastAsia="Times New Roman" w:hAnsi="Arial" w:cs="Arial"/>
          <w:kern w:val="0"/>
          <w:lang w:eastAsia="en-GB"/>
          <w14:ligatures w14:val="none"/>
        </w:rPr>
        <w:t>Table</w:t>
      </w:r>
      <w:r w:rsidR="00DD71DB">
        <w:rPr>
          <w:rFonts w:ascii="Arial" w:eastAsia="Times New Roman" w:hAnsi="Arial" w:cs="Arial"/>
          <w:kern w:val="0"/>
          <w:lang w:eastAsia="en-GB"/>
          <w14:ligatures w14:val="none"/>
        </w:rPr>
        <w:t xml:space="preserve"> </w:t>
      </w:r>
      <w:r w:rsidRPr="008763D6">
        <w:rPr>
          <w:rFonts w:ascii="Arial" w:eastAsia="Times New Roman" w:hAnsi="Arial" w:cs="Arial"/>
          <w:kern w:val="0"/>
          <w:lang w:eastAsia="en-GB"/>
          <w14:ligatures w14:val="none"/>
        </w:rPr>
        <w:t>1</w:t>
      </w:r>
      <w:r w:rsidR="00DD71DB">
        <w:rPr>
          <w:rFonts w:ascii="Arial" w:eastAsia="Times New Roman" w:hAnsi="Arial" w:cs="Arial"/>
          <w:kern w:val="0"/>
          <w:lang w:eastAsia="en-GB"/>
          <w14:ligatures w14:val="none"/>
        </w:rPr>
        <w:t>:</w:t>
      </w:r>
      <w:r w:rsidRPr="008763D6">
        <w:rPr>
          <w:rFonts w:ascii="Arial" w:eastAsia="Times New Roman" w:hAnsi="Arial" w:cs="Arial"/>
          <w:kern w:val="0"/>
          <w:lang w:eastAsia="en-GB"/>
          <w14:ligatures w14:val="none"/>
        </w:rPr>
        <w:t xml:space="preserve"> highlights the differences between Tesla’s differentiation strategy and BYD’s cost leadership strategy, demonstrating how cost efficiency provides stronger scalability while differentiation provides innovation advantage.</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Tesla’s differentiation strategy enabled strong brand identity and technological leadership. Tesla maintains strong brand loyalty and premium positioning.</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However, Tesla’s higher prices limit accessibility to mass-market consumers.</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BYD’s cost leadership strategy enabled rapid expansion and increased market share.</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BYD’s ability to produce affordable EVs allowed faster adoption, particularly in developing markets.</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 maintains leadership in innovation and brand strength, while BYD leads in production scale and affordability.</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BYD’s strategy may provide stronger long-term growth due to broader market accessibility.</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 xml:space="preserve">Tesla’s continued investment in innovation remains critical to sustaining </w:t>
      </w:r>
      <w:r w:rsidR="0098575B">
        <w:rPr>
          <w:rFonts w:ascii="Arial" w:eastAsia="Times New Roman" w:hAnsi="Arial" w:cs="Arial"/>
          <w:kern w:val="0"/>
          <w:lang w:eastAsia="en-GB"/>
          <w14:ligatures w14:val="none"/>
        </w:rPr>
        <w:t>structural competitive advantage</w:t>
      </w:r>
      <w:r w:rsidRPr="008C162F">
        <w:rPr>
          <w:rFonts w:ascii="Arial" w:eastAsia="Times New Roman" w:hAnsi="Arial" w:cs="Arial"/>
          <w:kern w:val="0"/>
          <w:lang w:eastAsia="en-GB"/>
          <w14:ligatures w14:val="none"/>
        </w:rPr>
        <w:t>.</w:t>
      </w:r>
    </w:p>
    <w:p w:rsidR="004223A7" w:rsidRPr="008C162F" w:rsidRDefault="00D5125D"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Overall, Tesla’s differentiation strategy provides strong brand and innovation leadership, but BYD’s cost leadership and vertical integration offer greater scalability and long-term competitive sustainability. As the EV industry matures and competition intensifies, cost efficiency is likely to become a more critical determinant of success than technological differentiation. This suggests BYD’s strategic positioning may provide stronger long-term growth potential.</w:t>
      </w:r>
    </w:p>
    <w:p w:rsidR="004223A7" w:rsidRPr="008C162F" w:rsidRDefault="004223A7" w:rsidP="00150FCE">
      <w:pPr>
        <w:spacing w:before="100" w:beforeAutospacing="1" w:after="100" w:afterAutospacing="1" w:line="360" w:lineRule="auto"/>
        <w:outlineLvl w:val="1"/>
        <w:rPr>
          <w:rFonts w:ascii="Arial" w:eastAsia="Times New Roman" w:hAnsi="Arial" w:cs="Arial"/>
          <w:b/>
          <w:bCs/>
          <w:kern w:val="0"/>
          <w:lang w:eastAsia="en-GB"/>
          <w14:ligatures w14:val="none"/>
        </w:rPr>
      </w:pPr>
      <w:r w:rsidRPr="008C162F">
        <w:rPr>
          <w:rFonts w:ascii="Arial" w:eastAsia="Times New Roman" w:hAnsi="Arial" w:cs="Arial"/>
          <w:b/>
          <w:bCs/>
          <w:kern w:val="0"/>
          <w:lang w:eastAsia="en-GB"/>
          <w14:ligatures w14:val="none"/>
        </w:rPr>
        <w:t>Strategic Sustainability and Future Competitive Outlook</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lastRenderedPageBreak/>
        <w:t xml:space="preserve">The long-term sustainability of Tesla and BYD’s competitive strategies depends on their ability to adapt to evolving macro-environmental conditions. </w:t>
      </w:r>
      <w:r w:rsidR="001147EA" w:rsidRPr="001147EA">
        <w:rPr>
          <w:rFonts w:ascii="Arial" w:eastAsia="Times New Roman" w:hAnsi="Arial" w:cs="Arial"/>
          <w:kern w:val="0"/>
          <w:lang w:eastAsia="en-GB"/>
          <w14:ligatures w14:val="none"/>
        </w:rPr>
        <w:t xml:space="preserve">Tesla’s ongoing investment in artificial intelligence, autonomous driving capabilities, and integrated software strengthens its position to compete effectively in future technological developments. </w:t>
      </w:r>
      <w:r w:rsidRPr="008C162F">
        <w:rPr>
          <w:rFonts w:ascii="Arial" w:eastAsia="Times New Roman" w:hAnsi="Arial" w:cs="Arial"/>
          <w:kern w:val="0"/>
          <w:lang w:eastAsia="en-GB"/>
          <w14:ligatures w14:val="none"/>
        </w:rPr>
        <w:t>However, maintaining technological leadership requires continuous investment and innovation.</w:t>
      </w:r>
    </w:p>
    <w:p w:rsidR="00A84034" w:rsidRDefault="004223A7" w:rsidP="00A84034">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BYD’s cost leadership strategy positions it strongly in emerging markets where affordability is critical. As global EV adoption increases, cost-efficient manufacturers may capture larger market share.</w:t>
      </w:r>
    </w:p>
    <w:p w:rsidR="004223A7" w:rsidRPr="00FA3896" w:rsidRDefault="004223A7" w:rsidP="00A84034">
      <w:pPr>
        <w:spacing w:before="100" w:beforeAutospacing="1" w:after="100" w:afterAutospacing="1" w:line="360" w:lineRule="auto"/>
        <w:rPr>
          <w:rFonts w:ascii="Arial" w:eastAsia="Times New Roman" w:hAnsi="Arial" w:cs="Arial"/>
          <w:kern w:val="0"/>
          <w:sz w:val="26"/>
          <w:szCs w:val="26"/>
          <w:lang w:eastAsia="en-GB"/>
          <w14:ligatures w14:val="none"/>
        </w:rPr>
      </w:pPr>
      <w:r w:rsidRPr="00FA3896">
        <w:rPr>
          <w:rFonts w:ascii="Arial" w:eastAsia="Times New Roman" w:hAnsi="Arial" w:cs="Arial"/>
          <w:b/>
          <w:bCs/>
          <w:kern w:val="36"/>
          <w:sz w:val="26"/>
          <w:szCs w:val="26"/>
          <w:lang w:eastAsia="en-GB"/>
          <w14:ligatures w14:val="none"/>
        </w:rPr>
        <w:t>4. Conclusion</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The global EV industry is heavily influenced by macro-environmental forces, particularly government regulation and technological innovation. These forces created both opportunities and threats for Tesla and BYD.</w:t>
      </w:r>
    </w:p>
    <w:p w:rsidR="004223A7" w:rsidRPr="008C162F" w:rsidRDefault="004223A7"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Tesla leveraged technological innovation and differentiation to establish early market leadership. BYD adopted a follower strategy focused on cost leadership and scale, benefiting from government support and vertical integration.</w:t>
      </w:r>
    </w:p>
    <w:p w:rsidR="00150FCE" w:rsidRPr="008C162F" w:rsidRDefault="00150FCE" w:rsidP="00150FCE">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The ability to respond effectively to macro-environmental forces remains the critical determinant of long-term competitive sustainability.</w:t>
      </w:r>
    </w:p>
    <w:p w:rsidR="00A637C2" w:rsidRPr="00A84034" w:rsidRDefault="00D5125D" w:rsidP="00A84034">
      <w:pPr>
        <w:spacing w:before="100" w:beforeAutospacing="1" w:after="100" w:afterAutospacing="1" w:line="360" w:lineRule="auto"/>
        <w:rPr>
          <w:rFonts w:ascii="Arial" w:eastAsia="Times New Roman" w:hAnsi="Arial" w:cs="Arial"/>
          <w:kern w:val="0"/>
          <w:lang w:eastAsia="en-GB"/>
          <w14:ligatures w14:val="none"/>
        </w:rPr>
      </w:pPr>
      <w:r w:rsidRPr="008C162F">
        <w:rPr>
          <w:rFonts w:ascii="Arial" w:eastAsia="Times New Roman" w:hAnsi="Arial" w:cs="Arial"/>
          <w:kern w:val="0"/>
          <w:lang w:eastAsia="en-GB"/>
          <w14:ligatures w14:val="none"/>
        </w:rPr>
        <w:t xml:space="preserve">Critically, while Tesla established pioneering advantage through innovation and brand leadership, BYD’s cost leadership and manufacturing efficiency provide greater long-term strategic sustainability in a rapidly expanding mass-market industry. As EV markets mature and price competition intensifies, cost efficiency and production scalability will become increasingly important determinants of competitive success. Therefore, BYD’s strategic positioning may provide stronger long-term </w:t>
      </w:r>
      <w:r w:rsidR="0098575B">
        <w:rPr>
          <w:rFonts w:ascii="Arial" w:eastAsia="Times New Roman" w:hAnsi="Arial" w:cs="Arial"/>
          <w:kern w:val="0"/>
          <w:lang w:eastAsia="en-GB"/>
          <w14:ligatures w14:val="none"/>
        </w:rPr>
        <w:t>structural competitive advantage</w:t>
      </w:r>
      <w:r w:rsidRPr="008C162F">
        <w:rPr>
          <w:rFonts w:ascii="Arial" w:eastAsia="Times New Roman" w:hAnsi="Arial" w:cs="Arial"/>
          <w:kern w:val="0"/>
          <w:lang w:eastAsia="en-GB"/>
          <w14:ligatures w14:val="none"/>
        </w:rPr>
        <w:t xml:space="preserve"> despite Tesla’s technological leadership</w:t>
      </w:r>
      <w:r w:rsidR="00A84034">
        <w:rPr>
          <w:rFonts w:ascii="Arial" w:eastAsia="Times New Roman" w:hAnsi="Arial" w:cs="Arial"/>
          <w:kern w:val="0"/>
          <w:lang w:eastAsia="en-GB"/>
          <w14:ligatures w14:val="none"/>
        </w:rPr>
        <w:t>.</w:t>
      </w:r>
    </w:p>
    <w:p w:rsidR="00A637C2" w:rsidRDefault="00A637C2" w:rsidP="00150FCE">
      <w:pPr>
        <w:spacing w:before="100" w:beforeAutospacing="1" w:after="100" w:afterAutospacing="1" w:line="240" w:lineRule="auto"/>
        <w:outlineLvl w:val="0"/>
        <w:rPr>
          <w:rFonts w:ascii="Arial" w:eastAsia="Times New Roman" w:hAnsi="Arial" w:cs="Arial"/>
          <w:b/>
          <w:bCs/>
          <w:kern w:val="36"/>
          <w:lang w:eastAsia="en-GB"/>
          <w14:ligatures w14:val="none"/>
        </w:rPr>
      </w:pPr>
    </w:p>
    <w:p w:rsidR="00A637C2" w:rsidRDefault="00A637C2" w:rsidP="00150FCE">
      <w:pPr>
        <w:spacing w:before="100" w:beforeAutospacing="1" w:after="100" w:afterAutospacing="1" w:line="240" w:lineRule="auto"/>
        <w:outlineLvl w:val="0"/>
        <w:rPr>
          <w:rFonts w:ascii="Arial" w:eastAsia="Times New Roman" w:hAnsi="Arial" w:cs="Arial"/>
          <w:b/>
          <w:bCs/>
          <w:kern w:val="36"/>
          <w:lang w:eastAsia="en-GB"/>
          <w14:ligatures w14:val="none"/>
        </w:rPr>
      </w:pPr>
    </w:p>
    <w:p w:rsidR="0098575B" w:rsidRDefault="0098575B" w:rsidP="00150FCE">
      <w:pPr>
        <w:spacing w:before="100" w:beforeAutospacing="1" w:after="100" w:afterAutospacing="1" w:line="240" w:lineRule="auto"/>
        <w:outlineLvl w:val="0"/>
        <w:rPr>
          <w:rFonts w:ascii="Arial" w:eastAsia="Times New Roman" w:hAnsi="Arial" w:cs="Arial"/>
          <w:b/>
          <w:bCs/>
          <w:kern w:val="36"/>
          <w:lang w:eastAsia="en-GB"/>
          <w14:ligatures w14:val="none"/>
        </w:rPr>
      </w:pPr>
    </w:p>
    <w:p w:rsidR="00150FCE" w:rsidRPr="008C162F" w:rsidRDefault="00150FCE" w:rsidP="00150FCE">
      <w:pPr>
        <w:spacing w:before="100" w:beforeAutospacing="1" w:after="100" w:afterAutospacing="1" w:line="240" w:lineRule="auto"/>
        <w:outlineLvl w:val="0"/>
        <w:rPr>
          <w:rFonts w:ascii="Arial" w:eastAsia="Times New Roman" w:hAnsi="Arial" w:cs="Arial"/>
          <w:b/>
          <w:bCs/>
          <w:kern w:val="36"/>
          <w:lang w:eastAsia="en-GB"/>
          <w14:ligatures w14:val="none"/>
        </w:rPr>
      </w:pPr>
      <w:r w:rsidRPr="008C162F">
        <w:rPr>
          <w:rFonts w:ascii="Arial" w:eastAsia="Times New Roman" w:hAnsi="Arial" w:cs="Arial"/>
          <w:b/>
          <w:bCs/>
          <w:kern w:val="36"/>
          <w:lang w:eastAsia="en-GB"/>
          <w14:ligatures w14:val="none"/>
        </w:rPr>
        <w:lastRenderedPageBreak/>
        <w:t>References</w:t>
      </w:r>
    </w:p>
    <w:p w:rsid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Ansoff, H.I. (1957)</w:t>
      </w:r>
      <w:r w:rsidRPr="005C0AAC">
        <w:rPr>
          <w:rFonts w:ascii="Arial" w:eastAsia="Times New Roman" w:hAnsi="Arial" w:cs="Arial"/>
          <w:kern w:val="0"/>
          <w:lang w:eastAsia="en-GB"/>
          <w14:ligatures w14:val="none"/>
        </w:rPr>
        <w:br/>
        <w:t xml:space="preserve">‘Strategies for diversification’, </w:t>
      </w:r>
      <w:r w:rsidRPr="005C0AAC">
        <w:rPr>
          <w:rFonts w:ascii="Arial" w:eastAsia="Times New Roman" w:hAnsi="Arial" w:cs="Arial"/>
          <w:i/>
          <w:iCs/>
          <w:kern w:val="0"/>
          <w:lang w:eastAsia="en-GB"/>
          <w14:ligatures w14:val="none"/>
        </w:rPr>
        <w:t>Harvard Business Review</w:t>
      </w:r>
      <w:r w:rsidRPr="005C0AAC">
        <w:rPr>
          <w:rFonts w:ascii="Arial" w:eastAsia="Times New Roman" w:hAnsi="Arial" w:cs="Arial"/>
          <w:kern w:val="0"/>
          <w:lang w:eastAsia="en-GB"/>
          <w14:ligatures w14:val="none"/>
        </w:rPr>
        <w:t>, 35(5), pp. 113–124.</w:t>
      </w:r>
      <w:r>
        <w:rPr>
          <w:rFonts w:ascii="Arial" w:eastAsia="Times New Roman" w:hAnsi="Arial" w:cs="Arial"/>
          <w:kern w:val="0"/>
          <w:lang w:eastAsia="en-GB"/>
          <w14:ligatures w14:val="none"/>
        </w:rPr>
        <w:t xml:space="preserve"> </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Barney, J. (1991)</w:t>
      </w:r>
      <w:r w:rsidRPr="005C0AAC">
        <w:rPr>
          <w:rFonts w:ascii="Arial" w:eastAsia="Times New Roman" w:hAnsi="Arial" w:cs="Arial"/>
          <w:kern w:val="0"/>
          <w:lang w:eastAsia="en-GB"/>
          <w14:ligatures w14:val="none"/>
        </w:rPr>
        <w:br/>
        <w:t xml:space="preserve">‘Firm resources and sustained competitive advantage’, </w:t>
      </w:r>
      <w:r w:rsidRPr="005C0AAC">
        <w:rPr>
          <w:rFonts w:ascii="Arial" w:eastAsia="Times New Roman" w:hAnsi="Arial" w:cs="Arial"/>
          <w:i/>
          <w:iCs/>
          <w:kern w:val="0"/>
          <w:lang w:eastAsia="en-GB"/>
          <w14:ligatures w14:val="none"/>
        </w:rPr>
        <w:t>Journal of Management</w:t>
      </w:r>
      <w:r w:rsidRPr="005C0AAC">
        <w:rPr>
          <w:rFonts w:ascii="Arial" w:eastAsia="Times New Roman" w:hAnsi="Arial" w:cs="Arial"/>
          <w:kern w:val="0"/>
          <w:lang w:eastAsia="en-GB"/>
          <w14:ligatures w14:val="none"/>
        </w:rPr>
        <w:t>, 17(1), pp. 99–120.</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BYD Company Ltd. (2023)</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Annual Report 2023</w:t>
      </w:r>
      <w:r w:rsidRPr="005C0AAC">
        <w:rPr>
          <w:rFonts w:ascii="Arial" w:eastAsia="Times New Roman" w:hAnsi="Arial" w:cs="Arial"/>
          <w:kern w:val="0"/>
          <w:lang w:eastAsia="en-GB"/>
          <w14:ligatures w14:val="none"/>
        </w:rPr>
        <w:t>. Shenzhen: BYD.</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Grant, R.M. (2022)</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Contemporary Strategy Analysis</w:t>
      </w:r>
      <w:r w:rsidRPr="005C0AAC">
        <w:rPr>
          <w:rFonts w:ascii="Arial" w:eastAsia="Times New Roman" w:hAnsi="Arial" w:cs="Arial"/>
          <w:kern w:val="0"/>
          <w:lang w:eastAsia="en-GB"/>
          <w14:ligatures w14:val="none"/>
        </w:rPr>
        <w:t>. 11th edn. Oxford: Wiley.</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International Energy Agency (2023)</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Global EV Outlook 2023</w:t>
      </w:r>
      <w:r w:rsidRPr="005C0AAC">
        <w:rPr>
          <w:rFonts w:ascii="Arial" w:eastAsia="Times New Roman" w:hAnsi="Arial" w:cs="Arial"/>
          <w:kern w:val="0"/>
          <w:lang w:eastAsia="en-GB"/>
          <w14:ligatures w14:val="none"/>
        </w:rPr>
        <w:t>. Paris: IEA.</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Johnson, G., Scholes, K. and Whittington, R. (2020)</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Exploring Corporate Strategy</w:t>
      </w:r>
      <w:r w:rsidRPr="005C0AAC">
        <w:rPr>
          <w:rFonts w:ascii="Arial" w:eastAsia="Times New Roman" w:hAnsi="Arial" w:cs="Arial"/>
          <w:kern w:val="0"/>
          <w:lang w:eastAsia="en-GB"/>
          <w14:ligatures w14:val="none"/>
        </w:rPr>
        <w:t>. 12th edn. Harlow: Pearson.</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Kotler, P. and Keller, K.L. (2016)</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Marketing Management</w:t>
      </w:r>
      <w:r w:rsidRPr="005C0AAC">
        <w:rPr>
          <w:rFonts w:ascii="Arial" w:eastAsia="Times New Roman" w:hAnsi="Arial" w:cs="Arial"/>
          <w:kern w:val="0"/>
          <w:lang w:eastAsia="en-GB"/>
          <w14:ligatures w14:val="none"/>
        </w:rPr>
        <w:t>. 15th edn. Harlow: Pearson.</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Li, Y., Jiao, J. and Cui, L. (2020)</w:t>
      </w:r>
      <w:r w:rsidRPr="005C0AAC">
        <w:rPr>
          <w:rFonts w:ascii="Arial" w:eastAsia="Times New Roman" w:hAnsi="Arial" w:cs="Arial"/>
          <w:kern w:val="0"/>
          <w:lang w:eastAsia="en-GB"/>
          <w14:ligatures w14:val="none"/>
        </w:rPr>
        <w:br/>
        <w:t xml:space="preserve">‘Emerging electric vehicle industry and technological innovation in China’, </w:t>
      </w:r>
      <w:r w:rsidRPr="005C0AAC">
        <w:rPr>
          <w:rFonts w:ascii="Arial" w:eastAsia="Times New Roman" w:hAnsi="Arial" w:cs="Arial"/>
          <w:i/>
          <w:iCs/>
          <w:kern w:val="0"/>
          <w:lang w:eastAsia="en-GB"/>
          <w14:ligatures w14:val="none"/>
        </w:rPr>
        <w:t>Technological Forecasting and Social Change</w:t>
      </w:r>
      <w:r w:rsidRPr="005C0AAC">
        <w:rPr>
          <w:rFonts w:ascii="Arial" w:eastAsia="Times New Roman" w:hAnsi="Arial" w:cs="Arial"/>
          <w:kern w:val="0"/>
          <w:lang w:eastAsia="en-GB"/>
          <w14:ligatures w14:val="none"/>
        </w:rPr>
        <w:t>, 153, 119970.</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Lieberman, M.B. and Montgomery, D.B. (1988)</w:t>
      </w:r>
      <w:r w:rsidRPr="005C0AAC">
        <w:rPr>
          <w:rFonts w:ascii="Arial" w:eastAsia="Times New Roman" w:hAnsi="Arial" w:cs="Arial"/>
          <w:kern w:val="0"/>
          <w:lang w:eastAsia="en-GB"/>
          <w14:ligatures w14:val="none"/>
        </w:rPr>
        <w:br/>
        <w:t xml:space="preserve">‘First-mover advantages’, </w:t>
      </w:r>
      <w:r w:rsidRPr="005C0AAC">
        <w:rPr>
          <w:rFonts w:ascii="Arial" w:eastAsia="Times New Roman" w:hAnsi="Arial" w:cs="Arial"/>
          <w:i/>
          <w:iCs/>
          <w:kern w:val="0"/>
          <w:lang w:eastAsia="en-GB"/>
          <w14:ligatures w14:val="none"/>
        </w:rPr>
        <w:t>Strategic Management Journal</w:t>
      </w:r>
      <w:r w:rsidRPr="005C0AAC">
        <w:rPr>
          <w:rFonts w:ascii="Arial" w:eastAsia="Times New Roman" w:hAnsi="Arial" w:cs="Arial"/>
          <w:kern w:val="0"/>
          <w:lang w:eastAsia="en-GB"/>
          <w14:ligatures w14:val="none"/>
        </w:rPr>
        <w:t>, 9(S1), pp. 41–58.</w:t>
      </w:r>
    </w:p>
    <w:p w:rsidR="005C0AAC" w:rsidRPr="005C0AAC" w:rsidRDefault="005C0AAC" w:rsidP="005C0AAC">
      <w:pPr>
        <w:spacing w:line="360" w:lineRule="auto"/>
        <w:outlineLvl w:val="0"/>
        <w:rPr>
          <w:rFonts w:ascii="Arial" w:hAnsi="Arial" w:cs="Arial"/>
        </w:rPr>
      </w:pPr>
      <w:r w:rsidRPr="005C0AAC">
        <w:rPr>
          <w:rFonts w:ascii="Arial" w:eastAsia="Times New Roman" w:hAnsi="Arial" w:cs="Arial"/>
          <w:kern w:val="0"/>
          <w:lang w:eastAsia="en-GB"/>
          <w14:ligatures w14:val="none"/>
        </w:rPr>
        <w:t>McKinsey &amp; Company (2023)</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Electric Vehicle Market Trends and Outlook</w:t>
      </w:r>
      <w:r w:rsidRPr="005C0AAC">
        <w:rPr>
          <w:rFonts w:ascii="Arial" w:eastAsia="Times New Roman" w:hAnsi="Arial" w:cs="Arial"/>
          <w:kern w:val="0"/>
          <w:lang w:eastAsia="en-GB"/>
          <w14:ligatures w14:val="none"/>
        </w:rPr>
        <w:t xml:space="preserve">. Available at: </w:t>
      </w:r>
      <w:hyperlink r:id="rId14" w:tgtFrame="_new" w:history="1">
        <w:r w:rsidRPr="005C0AAC">
          <w:rPr>
            <w:rStyle w:val="Hyperlink"/>
            <w:rFonts w:ascii="Arial" w:eastAsia="Times New Roman" w:hAnsi="Arial" w:cs="Arial"/>
            <w:kern w:val="0"/>
            <w:lang w:eastAsia="en-GB"/>
            <w14:ligatures w14:val="none"/>
          </w:rPr>
          <w:t>www.mckinsey.com</w:t>
        </w:r>
      </w:hyperlink>
      <w:r>
        <w:rPr>
          <w:rFonts w:ascii="Arial" w:eastAsia="Times New Roman" w:hAnsi="Arial" w:cs="Arial"/>
          <w:kern w:val="0"/>
          <w:lang w:eastAsia="en-GB"/>
          <w14:ligatures w14:val="none"/>
        </w:rPr>
        <w:t xml:space="preserve"> </w:t>
      </w:r>
      <w:r w:rsidRPr="005C0AAC">
        <w:rPr>
          <w:rFonts w:ascii="Arial" w:hAnsi="Arial" w:cs="Arial"/>
        </w:rPr>
        <w:t>(Accessed: 2</w:t>
      </w:r>
      <w:r>
        <w:rPr>
          <w:rFonts w:ascii="Arial" w:hAnsi="Arial" w:cs="Arial"/>
        </w:rPr>
        <w:t>5</w:t>
      </w:r>
      <w:r w:rsidRPr="005C0AAC">
        <w:rPr>
          <w:rFonts w:ascii="Arial" w:hAnsi="Arial" w:cs="Arial"/>
        </w:rPr>
        <w:t xml:space="preserve"> February 2026).</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lastRenderedPageBreak/>
        <w:t>Porter, M.E. (1985)</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Competitive Advantage: Creating and Sustaining Superior Performance</w:t>
      </w:r>
      <w:r w:rsidRPr="005C0AAC">
        <w:rPr>
          <w:rFonts w:ascii="Arial" w:eastAsia="Times New Roman" w:hAnsi="Arial" w:cs="Arial"/>
          <w:kern w:val="0"/>
          <w:lang w:eastAsia="en-GB"/>
          <w14:ligatures w14:val="none"/>
        </w:rPr>
        <w:t>. New York: Free Press.</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Porter, M.E. and Kramer, M.R. (2019)</w:t>
      </w:r>
      <w:r w:rsidRPr="005C0AAC">
        <w:rPr>
          <w:rFonts w:ascii="Arial" w:eastAsia="Times New Roman" w:hAnsi="Arial" w:cs="Arial"/>
          <w:kern w:val="0"/>
          <w:lang w:eastAsia="en-GB"/>
          <w14:ligatures w14:val="none"/>
        </w:rPr>
        <w:br/>
        <w:t xml:space="preserve">‘Creating shared value’, </w:t>
      </w:r>
      <w:r w:rsidRPr="005C0AAC">
        <w:rPr>
          <w:rFonts w:ascii="Arial" w:eastAsia="Times New Roman" w:hAnsi="Arial" w:cs="Arial"/>
          <w:i/>
          <w:iCs/>
          <w:kern w:val="0"/>
          <w:lang w:eastAsia="en-GB"/>
          <w14:ligatures w14:val="none"/>
        </w:rPr>
        <w:t>Harvard Business Review</w:t>
      </w:r>
      <w:r w:rsidRPr="005C0AAC">
        <w:rPr>
          <w:rFonts w:ascii="Arial" w:eastAsia="Times New Roman" w:hAnsi="Arial" w:cs="Arial"/>
          <w:kern w:val="0"/>
          <w:lang w:eastAsia="en-GB"/>
          <w14:ligatures w14:val="none"/>
        </w:rPr>
        <w:t>, 97(1), pp. 78–88.</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Sierzchula, W., Bakker, S., Maat, K. and van Wee, B. (2014)</w:t>
      </w:r>
      <w:r w:rsidRPr="005C0AAC">
        <w:rPr>
          <w:rFonts w:ascii="Arial" w:eastAsia="Times New Roman" w:hAnsi="Arial" w:cs="Arial"/>
          <w:kern w:val="0"/>
          <w:lang w:eastAsia="en-GB"/>
          <w14:ligatures w14:val="none"/>
        </w:rPr>
        <w:br/>
        <w:t xml:space="preserve">‘The influence of financial incentives and other socio-economic factors on electric vehicle adoption’, </w:t>
      </w:r>
      <w:r w:rsidRPr="005C0AAC">
        <w:rPr>
          <w:rFonts w:ascii="Arial" w:eastAsia="Times New Roman" w:hAnsi="Arial" w:cs="Arial"/>
          <w:i/>
          <w:iCs/>
          <w:kern w:val="0"/>
          <w:lang w:eastAsia="en-GB"/>
          <w14:ligatures w14:val="none"/>
        </w:rPr>
        <w:t>Energy Policy</w:t>
      </w:r>
      <w:r w:rsidRPr="005C0AAC">
        <w:rPr>
          <w:rFonts w:ascii="Arial" w:eastAsia="Times New Roman" w:hAnsi="Arial" w:cs="Arial"/>
          <w:kern w:val="0"/>
          <w:lang w:eastAsia="en-GB"/>
          <w14:ligatures w14:val="none"/>
        </w:rPr>
        <w:t>, 68, pp. 183–194.</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Statista (2024)</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Global Electric Vehicle Market Share by Manufacturer</w:t>
      </w:r>
      <w:r w:rsidRPr="005C0AAC">
        <w:rPr>
          <w:rFonts w:ascii="Arial" w:eastAsia="Times New Roman" w:hAnsi="Arial" w:cs="Arial"/>
          <w:kern w:val="0"/>
          <w:lang w:eastAsia="en-GB"/>
          <w14:ligatures w14:val="none"/>
        </w:rPr>
        <w:t xml:space="preserve">. Available at: </w:t>
      </w:r>
      <w:hyperlink r:id="rId15" w:tgtFrame="_new" w:history="1">
        <w:r w:rsidRPr="005C0AAC">
          <w:rPr>
            <w:rStyle w:val="Hyperlink"/>
            <w:rFonts w:ascii="Arial" w:eastAsia="Times New Roman" w:hAnsi="Arial" w:cs="Arial"/>
            <w:kern w:val="0"/>
            <w:lang w:eastAsia="en-GB"/>
            <w14:ligatures w14:val="none"/>
          </w:rPr>
          <w:t>www.statista.com</w:t>
        </w:r>
      </w:hyperlink>
      <w:r>
        <w:rPr>
          <w:rFonts w:ascii="Arial" w:eastAsia="Times New Roman" w:hAnsi="Arial" w:cs="Arial"/>
          <w:kern w:val="0"/>
          <w:lang w:eastAsia="en-GB"/>
          <w14:ligatures w14:val="none"/>
        </w:rPr>
        <w:t xml:space="preserve"> </w:t>
      </w:r>
      <w:r w:rsidRPr="005C0AAC">
        <w:rPr>
          <w:rFonts w:ascii="Arial" w:hAnsi="Arial" w:cs="Arial"/>
        </w:rPr>
        <w:t>(Accessed: 2</w:t>
      </w:r>
      <w:r>
        <w:rPr>
          <w:rFonts w:ascii="Arial" w:hAnsi="Arial" w:cs="Arial"/>
        </w:rPr>
        <w:t>6</w:t>
      </w:r>
      <w:r w:rsidRPr="005C0AAC">
        <w:rPr>
          <w:rFonts w:ascii="Arial" w:hAnsi="Arial" w:cs="Arial"/>
        </w:rPr>
        <w:t xml:space="preserve"> February 2026).</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Tesla, Inc. (2023)</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Annual Report 2023</w:t>
      </w:r>
      <w:r w:rsidRPr="005C0AAC">
        <w:rPr>
          <w:rFonts w:ascii="Arial" w:eastAsia="Times New Roman" w:hAnsi="Arial" w:cs="Arial"/>
          <w:kern w:val="0"/>
          <w:lang w:eastAsia="en-GB"/>
          <w14:ligatures w14:val="none"/>
        </w:rPr>
        <w:t>. Austin: Tesla.</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Teece, D.J. (2018)</w:t>
      </w:r>
      <w:r w:rsidRPr="005C0AAC">
        <w:rPr>
          <w:rFonts w:ascii="Arial" w:eastAsia="Times New Roman" w:hAnsi="Arial" w:cs="Arial"/>
          <w:kern w:val="0"/>
          <w:lang w:eastAsia="en-GB"/>
          <w14:ligatures w14:val="none"/>
        </w:rPr>
        <w:br/>
        <w:t xml:space="preserve">‘Business models and dynamic capabilities’, </w:t>
      </w:r>
      <w:r w:rsidRPr="005C0AAC">
        <w:rPr>
          <w:rFonts w:ascii="Arial" w:eastAsia="Times New Roman" w:hAnsi="Arial" w:cs="Arial"/>
          <w:i/>
          <w:iCs/>
          <w:kern w:val="0"/>
          <w:lang w:eastAsia="en-GB"/>
          <w14:ligatures w14:val="none"/>
        </w:rPr>
        <w:t>Long Range Planning</w:t>
      </w:r>
      <w:r w:rsidRPr="005C0AAC">
        <w:rPr>
          <w:rFonts w:ascii="Arial" w:eastAsia="Times New Roman" w:hAnsi="Arial" w:cs="Arial"/>
          <w:kern w:val="0"/>
          <w:lang w:eastAsia="en-GB"/>
          <w14:ligatures w14:val="none"/>
        </w:rPr>
        <w:t>, 51(1), pp. 40–49.</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Wells, P. and Nieuwenhuis, P. (2012)</w:t>
      </w:r>
      <w:r w:rsidRPr="005C0AAC">
        <w:rPr>
          <w:rFonts w:ascii="Arial" w:eastAsia="Times New Roman" w:hAnsi="Arial" w:cs="Arial"/>
          <w:kern w:val="0"/>
          <w:lang w:eastAsia="en-GB"/>
          <w14:ligatures w14:val="none"/>
        </w:rPr>
        <w:br/>
        <w:t xml:space="preserve">‘Transition failure: Understanding continuity in the automotive industry’, </w:t>
      </w:r>
      <w:r w:rsidRPr="005C0AAC">
        <w:rPr>
          <w:rFonts w:ascii="Arial" w:eastAsia="Times New Roman" w:hAnsi="Arial" w:cs="Arial"/>
          <w:i/>
          <w:iCs/>
          <w:kern w:val="0"/>
          <w:lang w:eastAsia="en-GB"/>
          <w14:ligatures w14:val="none"/>
        </w:rPr>
        <w:t>Technological Forecasting and Social Change</w:t>
      </w:r>
      <w:r w:rsidRPr="005C0AAC">
        <w:rPr>
          <w:rFonts w:ascii="Arial" w:eastAsia="Times New Roman" w:hAnsi="Arial" w:cs="Arial"/>
          <w:kern w:val="0"/>
          <w:lang w:eastAsia="en-GB"/>
          <w14:ligatures w14:val="none"/>
        </w:rPr>
        <w:t>, 79(9), pp. 1681–1692.</w:t>
      </w:r>
    </w:p>
    <w:p w:rsidR="005C0AAC" w:rsidRPr="005C0AAC" w:rsidRDefault="005C0AAC" w:rsidP="005C0AAC">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World Economic Forum (2023)</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Global Future of Mobility Report</w:t>
      </w:r>
      <w:r w:rsidRPr="005C0AAC">
        <w:rPr>
          <w:rFonts w:ascii="Arial" w:eastAsia="Times New Roman" w:hAnsi="Arial" w:cs="Arial"/>
          <w:kern w:val="0"/>
          <w:lang w:eastAsia="en-GB"/>
          <w14:ligatures w14:val="none"/>
        </w:rPr>
        <w:t>. Geneva: WEF.</w:t>
      </w:r>
    </w:p>
    <w:p w:rsidR="004223A7" w:rsidRPr="00A97720" w:rsidRDefault="005C0AAC" w:rsidP="00150FCE">
      <w:pPr>
        <w:spacing w:before="100" w:beforeAutospacing="1" w:after="100" w:afterAutospacing="1" w:line="360" w:lineRule="auto"/>
        <w:outlineLvl w:val="0"/>
        <w:rPr>
          <w:rFonts w:ascii="Arial" w:eastAsia="Times New Roman" w:hAnsi="Arial" w:cs="Arial"/>
          <w:kern w:val="0"/>
          <w:lang w:eastAsia="en-GB"/>
          <w14:ligatures w14:val="none"/>
        </w:rPr>
      </w:pPr>
      <w:r w:rsidRPr="005C0AAC">
        <w:rPr>
          <w:rFonts w:ascii="Arial" w:eastAsia="Times New Roman" w:hAnsi="Arial" w:cs="Arial"/>
          <w:kern w:val="0"/>
          <w:lang w:eastAsia="en-GB"/>
          <w14:ligatures w14:val="none"/>
        </w:rPr>
        <w:t>Bloomberg (2024)</w:t>
      </w:r>
      <w:r w:rsidRPr="005C0AAC">
        <w:rPr>
          <w:rFonts w:ascii="Arial" w:eastAsia="Times New Roman" w:hAnsi="Arial" w:cs="Arial"/>
          <w:kern w:val="0"/>
          <w:lang w:eastAsia="en-GB"/>
          <w14:ligatures w14:val="none"/>
        </w:rPr>
        <w:br/>
      </w:r>
      <w:r w:rsidRPr="005C0AAC">
        <w:rPr>
          <w:rFonts w:ascii="Arial" w:eastAsia="Times New Roman" w:hAnsi="Arial" w:cs="Arial"/>
          <w:i/>
          <w:iCs/>
          <w:kern w:val="0"/>
          <w:lang w:eastAsia="en-GB"/>
          <w14:ligatures w14:val="none"/>
        </w:rPr>
        <w:t>Global Electric Vehicle Outlook</w:t>
      </w:r>
      <w:r w:rsidRPr="005C0AAC">
        <w:rPr>
          <w:rFonts w:ascii="Arial" w:eastAsia="Times New Roman" w:hAnsi="Arial" w:cs="Arial"/>
          <w:kern w:val="0"/>
          <w:lang w:eastAsia="en-GB"/>
          <w14:ligatures w14:val="none"/>
        </w:rPr>
        <w:t xml:space="preserve">. Available at: </w:t>
      </w:r>
      <w:hyperlink r:id="rId16" w:history="1">
        <w:r w:rsidRPr="005C0AAC">
          <w:rPr>
            <w:rStyle w:val="Hyperlink"/>
            <w:rFonts w:ascii="Arial" w:eastAsia="Times New Roman" w:hAnsi="Arial" w:cs="Arial"/>
            <w:kern w:val="0"/>
            <w:lang w:eastAsia="en-GB"/>
            <w14:ligatures w14:val="none"/>
          </w:rPr>
          <w:t>www.bloomberg.com</w:t>
        </w:r>
      </w:hyperlink>
      <w:r>
        <w:rPr>
          <w:rFonts w:ascii="Arial" w:eastAsia="Times New Roman" w:hAnsi="Arial" w:cs="Arial"/>
          <w:kern w:val="0"/>
          <w:lang w:eastAsia="en-GB"/>
          <w14:ligatures w14:val="none"/>
        </w:rPr>
        <w:t xml:space="preserve"> </w:t>
      </w:r>
      <w:r w:rsidRPr="005C0AAC">
        <w:rPr>
          <w:rFonts w:ascii="Arial" w:hAnsi="Arial" w:cs="Arial"/>
        </w:rPr>
        <w:t>(Accessed: 2</w:t>
      </w:r>
      <w:r>
        <w:rPr>
          <w:rFonts w:ascii="Arial" w:hAnsi="Arial" w:cs="Arial"/>
        </w:rPr>
        <w:t>3</w:t>
      </w:r>
      <w:r w:rsidRPr="005C0AAC">
        <w:rPr>
          <w:rFonts w:ascii="Arial" w:hAnsi="Arial" w:cs="Arial"/>
        </w:rPr>
        <w:t xml:space="preserve"> February 2026).</w:t>
      </w:r>
    </w:p>
    <w:sectPr w:rsidR="004223A7" w:rsidRPr="00A97720">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64D9D" w:rsidRDefault="00F64D9D" w:rsidP="00965B44">
      <w:pPr>
        <w:spacing w:after="0" w:line="240" w:lineRule="auto"/>
      </w:pPr>
      <w:r>
        <w:separator/>
      </w:r>
    </w:p>
  </w:endnote>
  <w:endnote w:type="continuationSeparator" w:id="0">
    <w:p w:rsidR="00F64D9D" w:rsidRDefault="00F64D9D" w:rsidP="00965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5136608"/>
      <w:docPartObj>
        <w:docPartGallery w:val="Page Numbers (Bottom of Page)"/>
        <w:docPartUnique/>
      </w:docPartObj>
    </w:sdtPr>
    <w:sdtContent>
      <w:p w:rsidR="00034F7A" w:rsidRDefault="00034F7A" w:rsidP="00034F7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034F7A" w:rsidRDefault="00034F7A" w:rsidP="00034F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6123998"/>
      <w:docPartObj>
        <w:docPartGallery w:val="Page Numbers (Bottom of Page)"/>
        <w:docPartUnique/>
      </w:docPartObj>
    </w:sdtPr>
    <w:sdtContent>
      <w:p w:rsidR="00034F7A" w:rsidRDefault="00034F7A" w:rsidP="00034F7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34F7A" w:rsidRDefault="00034F7A" w:rsidP="00034F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64D9D" w:rsidRDefault="00F64D9D" w:rsidP="00965B44">
      <w:pPr>
        <w:spacing w:after="0" w:line="240" w:lineRule="auto"/>
      </w:pPr>
      <w:r>
        <w:separator/>
      </w:r>
    </w:p>
  </w:footnote>
  <w:footnote w:type="continuationSeparator" w:id="0">
    <w:p w:rsidR="00F64D9D" w:rsidRDefault="00F64D9D" w:rsidP="00965B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BA45B0"/>
    <w:multiLevelType w:val="multilevel"/>
    <w:tmpl w:val="49B04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7A7CAE"/>
    <w:multiLevelType w:val="multilevel"/>
    <w:tmpl w:val="02667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5181587">
    <w:abstractNumId w:val="1"/>
  </w:num>
  <w:num w:numId="2" w16cid:durableId="2078046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3A7"/>
    <w:rsid w:val="00033046"/>
    <w:rsid w:val="00034F7A"/>
    <w:rsid w:val="001147EA"/>
    <w:rsid w:val="00150FCE"/>
    <w:rsid w:val="001543DE"/>
    <w:rsid w:val="00166C41"/>
    <w:rsid w:val="001939B9"/>
    <w:rsid w:val="003D5DC9"/>
    <w:rsid w:val="003F3326"/>
    <w:rsid w:val="004223A7"/>
    <w:rsid w:val="00514A0E"/>
    <w:rsid w:val="005519C2"/>
    <w:rsid w:val="005A77B2"/>
    <w:rsid w:val="005C0AAC"/>
    <w:rsid w:val="006A3684"/>
    <w:rsid w:val="00725D8B"/>
    <w:rsid w:val="007B7AB3"/>
    <w:rsid w:val="008763D6"/>
    <w:rsid w:val="008C162F"/>
    <w:rsid w:val="008E4D10"/>
    <w:rsid w:val="00965B44"/>
    <w:rsid w:val="0098575B"/>
    <w:rsid w:val="00A315F7"/>
    <w:rsid w:val="00A637C2"/>
    <w:rsid w:val="00A84034"/>
    <w:rsid w:val="00A97720"/>
    <w:rsid w:val="00AA0C1C"/>
    <w:rsid w:val="00C12E1F"/>
    <w:rsid w:val="00C2668A"/>
    <w:rsid w:val="00C97907"/>
    <w:rsid w:val="00CE6791"/>
    <w:rsid w:val="00D5125D"/>
    <w:rsid w:val="00D62F1E"/>
    <w:rsid w:val="00D6641B"/>
    <w:rsid w:val="00DD71DB"/>
    <w:rsid w:val="00E618BE"/>
    <w:rsid w:val="00E67B7E"/>
    <w:rsid w:val="00E86AFF"/>
    <w:rsid w:val="00E921C5"/>
    <w:rsid w:val="00EE5186"/>
    <w:rsid w:val="00F64D9D"/>
    <w:rsid w:val="00FA35DA"/>
    <w:rsid w:val="00FA3896"/>
    <w:rsid w:val="00FC0C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3C241"/>
  <w15:chartTrackingRefBased/>
  <w15:docId w15:val="{06B13259-82B1-394D-8A39-4D3AACBDE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7EA"/>
  </w:style>
  <w:style w:type="paragraph" w:styleId="Heading1">
    <w:name w:val="heading 1"/>
    <w:basedOn w:val="Normal"/>
    <w:next w:val="Normal"/>
    <w:link w:val="Heading1Char"/>
    <w:uiPriority w:val="9"/>
    <w:qFormat/>
    <w:rsid w:val="004223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223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223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23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23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23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3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3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3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3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223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223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23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23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2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3A7"/>
    <w:rPr>
      <w:rFonts w:eastAsiaTheme="majorEastAsia" w:cstheme="majorBidi"/>
      <w:color w:val="272727" w:themeColor="text1" w:themeTint="D8"/>
    </w:rPr>
  </w:style>
  <w:style w:type="paragraph" w:styleId="Title">
    <w:name w:val="Title"/>
    <w:basedOn w:val="Normal"/>
    <w:next w:val="Normal"/>
    <w:link w:val="TitleChar"/>
    <w:uiPriority w:val="10"/>
    <w:qFormat/>
    <w:rsid w:val="004223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3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3A7"/>
    <w:pPr>
      <w:spacing w:before="160"/>
      <w:jc w:val="center"/>
    </w:pPr>
    <w:rPr>
      <w:i/>
      <w:iCs/>
      <w:color w:val="404040" w:themeColor="text1" w:themeTint="BF"/>
    </w:rPr>
  </w:style>
  <w:style w:type="character" w:customStyle="1" w:styleId="QuoteChar">
    <w:name w:val="Quote Char"/>
    <w:basedOn w:val="DefaultParagraphFont"/>
    <w:link w:val="Quote"/>
    <w:uiPriority w:val="29"/>
    <w:rsid w:val="004223A7"/>
    <w:rPr>
      <w:i/>
      <w:iCs/>
      <w:color w:val="404040" w:themeColor="text1" w:themeTint="BF"/>
    </w:rPr>
  </w:style>
  <w:style w:type="paragraph" w:styleId="ListParagraph">
    <w:name w:val="List Paragraph"/>
    <w:basedOn w:val="Normal"/>
    <w:uiPriority w:val="34"/>
    <w:qFormat/>
    <w:rsid w:val="004223A7"/>
    <w:pPr>
      <w:ind w:left="720"/>
      <w:contextualSpacing/>
    </w:pPr>
  </w:style>
  <w:style w:type="character" w:styleId="IntenseEmphasis">
    <w:name w:val="Intense Emphasis"/>
    <w:basedOn w:val="DefaultParagraphFont"/>
    <w:uiPriority w:val="21"/>
    <w:qFormat/>
    <w:rsid w:val="004223A7"/>
    <w:rPr>
      <w:i/>
      <w:iCs/>
      <w:color w:val="2F5496" w:themeColor="accent1" w:themeShade="BF"/>
    </w:rPr>
  </w:style>
  <w:style w:type="paragraph" w:styleId="IntenseQuote">
    <w:name w:val="Intense Quote"/>
    <w:basedOn w:val="Normal"/>
    <w:next w:val="Normal"/>
    <w:link w:val="IntenseQuoteChar"/>
    <w:uiPriority w:val="30"/>
    <w:qFormat/>
    <w:rsid w:val="004223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23A7"/>
    <w:rPr>
      <w:i/>
      <w:iCs/>
      <w:color w:val="2F5496" w:themeColor="accent1" w:themeShade="BF"/>
    </w:rPr>
  </w:style>
  <w:style w:type="character" w:styleId="IntenseReference">
    <w:name w:val="Intense Reference"/>
    <w:basedOn w:val="DefaultParagraphFont"/>
    <w:uiPriority w:val="32"/>
    <w:qFormat/>
    <w:rsid w:val="004223A7"/>
    <w:rPr>
      <w:b/>
      <w:bCs/>
      <w:smallCaps/>
      <w:color w:val="2F5496" w:themeColor="accent1" w:themeShade="BF"/>
      <w:spacing w:val="5"/>
    </w:rPr>
  </w:style>
  <w:style w:type="paragraph" w:styleId="NormalWeb">
    <w:name w:val="Normal (Web)"/>
    <w:basedOn w:val="Normal"/>
    <w:uiPriority w:val="99"/>
    <w:unhideWhenUsed/>
    <w:rsid w:val="004223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223A7"/>
    <w:rPr>
      <w:b/>
      <w:bCs/>
    </w:rPr>
  </w:style>
  <w:style w:type="character" w:styleId="Emphasis">
    <w:name w:val="Emphasis"/>
    <w:basedOn w:val="DefaultParagraphFont"/>
    <w:uiPriority w:val="20"/>
    <w:qFormat/>
    <w:rsid w:val="00150FCE"/>
    <w:rPr>
      <w:i/>
      <w:iCs/>
    </w:rPr>
  </w:style>
  <w:style w:type="paragraph" w:styleId="TOCHeading">
    <w:name w:val="TOC Heading"/>
    <w:basedOn w:val="Heading1"/>
    <w:next w:val="Normal"/>
    <w:uiPriority w:val="39"/>
    <w:unhideWhenUsed/>
    <w:qFormat/>
    <w:rsid w:val="00150FC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50FCE"/>
    <w:pPr>
      <w:spacing w:before="120" w:after="120"/>
    </w:pPr>
    <w:rPr>
      <w:rFonts w:cstheme="minorHAnsi"/>
      <w:b/>
      <w:bCs/>
      <w:caps/>
      <w:sz w:val="20"/>
      <w:szCs w:val="20"/>
    </w:rPr>
  </w:style>
  <w:style w:type="paragraph" w:styleId="TOC2">
    <w:name w:val="toc 2"/>
    <w:basedOn w:val="Normal"/>
    <w:next w:val="Normal"/>
    <w:autoRedefine/>
    <w:uiPriority w:val="39"/>
    <w:unhideWhenUsed/>
    <w:rsid w:val="00150FCE"/>
    <w:pPr>
      <w:spacing w:after="0"/>
      <w:ind w:left="240"/>
    </w:pPr>
    <w:rPr>
      <w:rFonts w:cstheme="minorHAnsi"/>
      <w:smallCaps/>
      <w:sz w:val="20"/>
      <w:szCs w:val="20"/>
    </w:rPr>
  </w:style>
  <w:style w:type="paragraph" w:styleId="TOC3">
    <w:name w:val="toc 3"/>
    <w:basedOn w:val="Normal"/>
    <w:next w:val="Normal"/>
    <w:autoRedefine/>
    <w:uiPriority w:val="39"/>
    <w:unhideWhenUsed/>
    <w:rsid w:val="00150FCE"/>
    <w:pPr>
      <w:spacing w:after="0"/>
      <w:ind w:left="480"/>
    </w:pPr>
    <w:rPr>
      <w:rFonts w:cstheme="minorHAnsi"/>
      <w:i/>
      <w:iCs/>
      <w:sz w:val="20"/>
      <w:szCs w:val="20"/>
    </w:rPr>
  </w:style>
  <w:style w:type="character" w:styleId="Hyperlink">
    <w:name w:val="Hyperlink"/>
    <w:basedOn w:val="DefaultParagraphFont"/>
    <w:uiPriority w:val="99"/>
    <w:unhideWhenUsed/>
    <w:rsid w:val="00150FCE"/>
    <w:rPr>
      <w:color w:val="0563C1" w:themeColor="hyperlink"/>
      <w:u w:val="single"/>
    </w:rPr>
  </w:style>
  <w:style w:type="paragraph" w:styleId="TOC4">
    <w:name w:val="toc 4"/>
    <w:basedOn w:val="Normal"/>
    <w:next w:val="Normal"/>
    <w:autoRedefine/>
    <w:uiPriority w:val="39"/>
    <w:semiHidden/>
    <w:unhideWhenUsed/>
    <w:rsid w:val="00150FCE"/>
    <w:pPr>
      <w:spacing w:after="0"/>
      <w:ind w:left="720"/>
    </w:pPr>
    <w:rPr>
      <w:rFonts w:cstheme="minorHAnsi"/>
      <w:sz w:val="18"/>
      <w:szCs w:val="18"/>
    </w:rPr>
  </w:style>
  <w:style w:type="paragraph" w:styleId="TOC5">
    <w:name w:val="toc 5"/>
    <w:basedOn w:val="Normal"/>
    <w:next w:val="Normal"/>
    <w:autoRedefine/>
    <w:uiPriority w:val="39"/>
    <w:semiHidden/>
    <w:unhideWhenUsed/>
    <w:rsid w:val="00150FCE"/>
    <w:pPr>
      <w:spacing w:after="0"/>
      <w:ind w:left="960"/>
    </w:pPr>
    <w:rPr>
      <w:rFonts w:cstheme="minorHAnsi"/>
      <w:sz w:val="18"/>
      <w:szCs w:val="18"/>
    </w:rPr>
  </w:style>
  <w:style w:type="paragraph" w:styleId="TOC6">
    <w:name w:val="toc 6"/>
    <w:basedOn w:val="Normal"/>
    <w:next w:val="Normal"/>
    <w:autoRedefine/>
    <w:uiPriority w:val="39"/>
    <w:semiHidden/>
    <w:unhideWhenUsed/>
    <w:rsid w:val="00150FCE"/>
    <w:pPr>
      <w:spacing w:after="0"/>
      <w:ind w:left="1200"/>
    </w:pPr>
    <w:rPr>
      <w:rFonts w:cstheme="minorHAnsi"/>
      <w:sz w:val="18"/>
      <w:szCs w:val="18"/>
    </w:rPr>
  </w:style>
  <w:style w:type="paragraph" w:styleId="TOC7">
    <w:name w:val="toc 7"/>
    <w:basedOn w:val="Normal"/>
    <w:next w:val="Normal"/>
    <w:autoRedefine/>
    <w:uiPriority w:val="39"/>
    <w:semiHidden/>
    <w:unhideWhenUsed/>
    <w:rsid w:val="00150FCE"/>
    <w:pPr>
      <w:spacing w:after="0"/>
      <w:ind w:left="1440"/>
    </w:pPr>
    <w:rPr>
      <w:rFonts w:cstheme="minorHAnsi"/>
      <w:sz w:val="18"/>
      <w:szCs w:val="18"/>
    </w:rPr>
  </w:style>
  <w:style w:type="paragraph" w:styleId="TOC8">
    <w:name w:val="toc 8"/>
    <w:basedOn w:val="Normal"/>
    <w:next w:val="Normal"/>
    <w:autoRedefine/>
    <w:uiPriority w:val="39"/>
    <w:semiHidden/>
    <w:unhideWhenUsed/>
    <w:rsid w:val="00150FCE"/>
    <w:pPr>
      <w:spacing w:after="0"/>
      <w:ind w:left="1680"/>
    </w:pPr>
    <w:rPr>
      <w:rFonts w:cstheme="minorHAnsi"/>
      <w:sz w:val="18"/>
      <w:szCs w:val="18"/>
    </w:rPr>
  </w:style>
  <w:style w:type="paragraph" w:styleId="TOC9">
    <w:name w:val="toc 9"/>
    <w:basedOn w:val="Normal"/>
    <w:next w:val="Normal"/>
    <w:autoRedefine/>
    <w:uiPriority w:val="39"/>
    <w:semiHidden/>
    <w:unhideWhenUsed/>
    <w:rsid w:val="00150FCE"/>
    <w:pPr>
      <w:spacing w:after="0"/>
      <w:ind w:left="1920"/>
    </w:pPr>
    <w:rPr>
      <w:rFonts w:cstheme="minorHAnsi"/>
      <w:sz w:val="18"/>
      <w:szCs w:val="18"/>
    </w:rPr>
  </w:style>
  <w:style w:type="table" w:styleId="TableGrid">
    <w:name w:val="Table Grid"/>
    <w:basedOn w:val="TableNormal"/>
    <w:uiPriority w:val="39"/>
    <w:rsid w:val="00965B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65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B44"/>
  </w:style>
  <w:style w:type="paragraph" w:styleId="Footer">
    <w:name w:val="footer"/>
    <w:basedOn w:val="Normal"/>
    <w:link w:val="FooterChar"/>
    <w:uiPriority w:val="99"/>
    <w:unhideWhenUsed/>
    <w:rsid w:val="00965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B44"/>
  </w:style>
  <w:style w:type="character" w:styleId="PageNumber">
    <w:name w:val="page number"/>
    <w:basedOn w:val="DefaultParagraphFont"/>
    <w:uiPriority w:val="99"/>
    <w:semiHidden/>
    <w:unhideWhenUsed/>
    <w:rsid w:val="00034F7A"/>
  </w:style>
  <w:style w:type="paragraph" w:styleId="Revision">
    <w:name w:val="Revision"/>
    <w:hidden/>
    <w:uiPriority w:val="99"/>
    <w:semiHidden/>
    <w:rsid w:val="00D6641B"/>
    <w:pPr>
      <w:spacing w:after="0" w:line="240" w:lineRule="auto"/>
    </w:pPr>
  </w:style>
  <w:style w:type="character" w:styleId="UnresolvedMention">
    <w:name w:val="Unresolved Mention"/>
    <w:basedOn w:val="DefaultParagraphFont"/>
    <w:uiPriority w:val="99"/>
    <w:semiHidden/>
    <w:unhideWhenUsed/>
    <w:rsid w:val="005C0A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bloomberg.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www.statista.com"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mckinse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F494F8-3757-9C4F-B164-59919BB2D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18</Pages>
  <Words>3925</Words>
  <Characters>22373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cp:revision>
  <dcterms:created xsi:type="dcterms:W3CDTF">2026-02-14T15:59:00Z</dcterms:created>
  <dcterms:modified xsi:type="dcterms:W3CDTF">2026-02-27T09:08:00Z</dcterms:modified>
</cp:coreProperties>
</file>