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9B6249" w14:textId="7D4BF4B8" w:rsidR="00A01824" w:rsidRPr="00EE380D" w:rsidRDefault="00A01824" w:rsidP="00EE380D">
      <w:pPr>
        <w:pStyle w:val="Heading1"/>
        <w:rPr>
          <w:b/>
          <w:bCs/>
        </w:rPr>
      </w:pPr>
      <w:bookmarkStart w:id="0" w:name="_Toc130737799"/>
      <w:r w:rsidRPr="00EE380D">
        <w:rPr>
          <w:b/>
          <w:bCs/>
        </w:rPr>
        <w:t>Introduction</w:t>
      </w:r>
      <w:bookmarkEnd w:id="0"/>
      <w:r w:rsidRPr="00EE380D">
        <w:rPr>
          <w:b/>
          <w:bCs/>
        </w:rPr>
        <w:t xml:space="preserve"> </w:t>
      </w:r>
    </w:p>
    <w:p w14:paraId="6495018C" w14:textId="77777777" w:rsidR="00EE380D" w:rsidRPr="00EE380D" w:rsidRDefault="00EE380D" w:rsidP="00EE380D"/>
    <w:p w14:paraId="3A2A0412" w14:textId="1A55DA9C" w:rsidR="00A01824" w:rsidRPr="004D4E90" w:rsidRDefault="00A01824" w:rsidP="00DC6861">
      <w:pPr>
        <w:jc w:val="both"/>
      </w:pPr>
      <w:r w:rsidRPr="004D4E90">
        <w:t>The law of criminal liability by omission is an area of law that has attracted significant debate in recent times</w:t>
      </w:r>
      <w:r w:rsidR="00946C41" w:rsidRPr="004D4E90">
        <w:rPr>
          <w:lang w:val="en-US"/>
        </w:rPr>
        <w:t xml:space="preserve"> </w:t>
      </w:r>
      <w:r w:rsidR="00946C41" w:rsidRPr="004D4E90">
        <w:t>(Smith, 2018)</w:t>
      </w:r>
      <w:r w:rsidRPr="004D4E90">
        <w:t>. The question of whether the law is fit for purpose, or whether a general duty to act should be introduced in England and Wales, is a contentious one. This essay will consider the different aspects of the law surrounding criminal liability by omission, with particular focus on the relevant case law</w:t>
      </w:r>
      <w:r w:rsidR="00AD2A7C">
        <w:rPr>
          <w:lang w:val="en-US"/>
        </w:rPr>
        <w:t xml:space="preserve"> and journal articles</w:t>
      </w:r>
      <w:r w:rsidRPr="004D4E90">
        <w:t>, and assess whether the current law is fit for purpose, or whether a general duty to act should be introduced. The essay will also consider the advantages and disadvantages of introducing a general duty to act and assess whether this is something that is likely to be introduced in the future.</w:t>
      </w:r>
    </w:p>
    <w:p w14:paraId="4008A5F4" w14:textId="030F8AD8" w:rsidR="00A01824" w:rsidRDefault="00A01824" w:rsidP="00DC6861">
      <w:pPr>
        <w:pStyle w:val="Heading1"/>
        <w:rPr>
          <w:b/>
          <w:bCs/>
        </w:rPr>
      </w:pPr>
      <w:bookmarkStart w:id="1" w:name="_Toc130737800"/>
      <w:r w:rsidRPr="00DC6861">
        <w:rPr>
          <w:b/>
          <w:bCs/>
        </w:rPr>
        <w:t>The Current Law</w:t>
      </w:r>
      <w:bookmarkEnd w:id="1"/>
      <w:r w:rsidRPr="00DC6861">
        <w:rPr>
          <w:b/>
          <w:bCs/>
        </w:rPr>
        <w:t xml:space="preserve"> </w:t>
      </w:r>
    </w:p>
    <w:p w14:paraId="064E2ABC" w14:textId="77777777" w:rsidR="00EE380D" w:rsidRPr="00EE380D" w:rsidRDefault="00EE380D" w:rsidP="00EE380D"/>
    <w:p w14:paraId="5A8C57AA" w14:textId="25F5A83D" w:rsidR="00386A43" w:rsidRPr="004D4E90" w:rsidRDefault="00386A43" w:rsidP="00DC6861">
      <w:pPr>
        <w:jc w:val="both"/>
      </w:pPr>
      <w:r w:rsidRPr="004D4E90">
        <w:rPr>
          <w:lang w:val="en-US"/>
        </w:rPr>
        <w:t>According t</w:t>
      </w:r>
      <w:r w:rsidR="00AD2A7C">
        <w:rPr>
          <w:lang w:val="en-US"/>
        </w:rPr>
        <w:t xml:space="preserve">o Mott (2021), </w:t>
      </w:r>
      <w:r w:rsidRPr="004D4E90">
        <w:rPr>
          <w:lang w:val="en-US"/>
        </w:rPr>
        <w:t>t</w:t>
      </w:r>
      <w:r w:rsidR="00A01824" w:rsidRPr="004D4E90">
        <w:t>he law relating to criminal liability by omission concerns the failure of an individual to act in a situation where there is a legal duty to do so</w:t>
      </w:r>
      <w:r w:rsidR="00AD2A7C">
        <w:t>.</w:t>
      </w:r>
      <w:r w:rsidR="00A01824" w:rsidRPr="004D4E90">
        <w:t xml:space="preserve"> The criminal law recognizes a number of situations where there is a duty to act. These include situations where a person has a special relationship with the victim, such as a parent-child relationship or a doctor-patient relationship, or where there is a contractual duty to act, such as in the case of a lifeguard. In addition, there are situations where the law imposes a duty to act, such as in the case of a statutory duty.</w:t>
      </w:r>
    </w:p>
    <w:p w14:paraId="458843D2" w14:textId="77777777" w:rsidR="00386A43" w:rsidRPr="004D4E90" w:rsidRDefault="00386A43" w:rsidP="00DC6861">
      <w:pPr>
        <w:jc w:val="both"/>
      </w:pPr>
    </w:p>
    <w:p w14:paraId="69B403D5" w14:textId="550BECCC" w:rsidR="00A01824" w:rsidRPr="004D4E90" w:rsidRDefault="00A01824" w:rsidP="00DC6861">
      <w:pPr>
        <w:jc w:val="both"/>
      </w:pPr>
      <w:r w:rsidRPr="004D4E90">
        <w:t>There is no general duty to act in criminal law, meaning that individuals are not generally required to intervene in the commission of a crime. This is because the law recognizes that there may be a number of reasons why an individual may not intervene, such as fear of reprisal or lack of knowledge of the situation.</w:t>
      </w:r>
    </w:p>
    <w:p w14:paraId="47D3AC29" w14:textId="7FCA237D" w:rsidR="00A01824" w:rsidRDefault="00A01824" w:rsidP="00DC6861">
      <w:pPr>
        <w:pStyle w:val="Heading1"/>
        <w:rPr>
          <w:b/>
          <w:bCs/>
        </w:rPr>
      </w:pPr>
      <w:bookmarkStart w:id="2" w:name="_Toc130737801"/>
      <w:r w:rsidRPr="00DC6861">
        <w:rPr>
          <w:b/>
          <w:bCs/>
        </w:rPr>
        <w:t>Requirements for a Crime to be Committed by Omission</w:t>
      </w:r>
      <w:bookmarkEnd w:id="2"/>
      <w:r w:rsidRPr="00DC6861">
        <w:rPr>
          <w:b/>
          <w:bCs/>
        </w:rPr>
        <w:t xml:space="preserve"> </w:t>
      </w:r>
    </w:p>
    <w:p w14:paraId="08C069A4" w14:textId="77777777" w:rsidR="00EE380D" w:rsidRPr="00EE380D" w:rsidRDefault="00EE380D" w:rsidP="00EE380D"/>
    <w:p w14:paraId="3A03EBA7" w14:textId="4C61E5FD" w:rsidR="00A01824" w:rsidRPr="00DC6861" w:rsidRDefault="00A01824" w:rsidP="00DC6861">
      <w:pPr>
        <w:jc w:val="both"/>
      </w:pPr>
      <w:r w:rsidRPr="00DC6861">
        <w:t>For a crime to be committed by omission, there are a number of requirements that must be met. Firstly, the defendant must have had a duty to act. This can arise in a number of ways, as discussed in Part 1. Secondly, the defendant must have failed to act when there was a clear opportunity to do so. Thirdly, the failure to act must have resulted in a crime being committed. Finally, the defendant must have had the necessary mens rea, or mental state, to commit the crime</w:t>
      </w:r>
      <w:r w:rsidR="00386A43" w:rsidRPr="00DC6861">
        <w:t xml:space="preserve"> (Herring, 2018)</w:t>
      </w:r>
      <w:r w:rsidRPr="00DC6861">
        <w:t>. This means that the defendant must have either intended to allow the crime to be committed or must have been reckless as to whether the crime would be committed.</w:t>
      </w:r>
    </w:p>
    <w:p w14:paraId="1101CB94" w14:textId="58A15C51" w:rsidR="00A01824" w:rsidRDefault="00A01824" w:rsidP="00DC6861">
      <w:pPr>
        <w:pStyle w:val="Heading1"/>
        <w:rPr>
          <w:b/>
          <w:bCs/>
        </w:rPr>
      </w:pPr>
      <w:bookmarkStart w:id="3" w:name="_Toc130737802"/>
      <w:r w:rsidRPr="00DC6861">
        <w:rPr>
          <w:b/>
          <w:bCs/>
        </w:rPr>
        <w:t>Liability by Omission</w:t>
      </w:r>
      <w:bookmarkEnd w:id="3"/>
      <w:r w:rsidRPr="00DC6861">
        <w:rPr>
          <w:b/>
          <w:bCs/>
        </w:rPr>
        <w:t xml:space="preserve"> </w:t>
      </w:r>
    </w:p>
    <w:p w14:paraId="415F81EB" w14:textId="77777777" w:rsidR="00EE380D" w:rsidRPr="00EE380D" w:rsidRDefault="00EE380D" w:rsidP="00EE380D"/>
    <w:p w14:paraId="1EAB4314" w14:textId="7764571E" w:rsidR="0080653A" w:rsidRPr="004D4E90" w:rsidRDefault="00A01824" w:rsidP="00DC6861">
      <w:pPr>
        <w:jc w:val="both"/>
      </w:pPr>
      <w:r w:rsidRPr="004D4E90">
        <w:t xml:space="preserve">Liability by omission arises where an </w:t>
      </w:r>
      <w:r w:rsidR="00DC6861" w:rsidRPr="004D4E90">
        <w:t>individual fail</w:t>
      </w:r>
      <w:r w:rsidRPr="004D4E90">
        <w:t xml:space="preserve"> to act in a situation where there is a legal duty to do so, and this failure results in harm to another person</w:t>
      </w:r>
      <w:r w:rsidR="00386A43" w:rsidRPr="004D4E90">
        <w:rPr>
          <w:lang w:val="en-US"/>
        </w:rPr>
        <w:t xml:space="preserve"> </w:t>
      </w:r>
      <w:r w:rsidR="00386A43" w:rsidRPr="00DC6861">
        <w:t>(Allen, 2016)</w:t>
      </w:r>
      <w:r w:rsidRPr="00DC6861">
        <w:t>.</w:t>
      </w:r>
      <w:r w:rsidRPr="004D4E90">
        <w:t xml:space="preserve"> There are a number of cases where liability by omission has been established. One such case is that of </w:t>
      </w:r>
      <w:r w:rsidRPr="00DC6861">
        <w:rPr>
          <w:bCs/>
        </w:rPr>
        <w:t>Miller [1983],</w:t>
      </w:r>
      <w:r w:rsidRPr="004D4E90">
        <w:t xml:space="preserve"> where the defendant was living in a house that caught fire. The defendant was a squatter and had been using a paraffin stove for heating and cooking. The defendant saw the fire and left the house without making any effort to put it out or to call the fire brigade. The defendant was charged with arson and appealed the conviction on the basis that he had not caused the fire. The appeal was dismissed, and the defendant was found guilty of arson by omission</w:t>
      </w:r>
      <w:r w:rsidR="00386A43" w:rsidRPr="004D4E90">
        <w:rPr>
          <w:lang w:val="en-US"/>
        </w:rPr>
        <w:t xml:space="preserve"> </w:t>
      </w:r>
      <w:r w:rsidR="00AD2A7C">
        <w:t>(Allen, 2016</w:t>
      </w:r>
      <w:r w:rsidR="00386A43" w:rsidRPr="004D4E90">
        <w:t>)</w:t>
      </w:r>
      <w:r w:rsidRPr="004D4E90">
        <w:t>.</w:t>
      </w:r>
    </w:p>
    <w:p w14:paraId="479BFFA9" w14:textId="77777777" w:rsidR="0080653A" w:rsidRPr="004D4E90" w:rsidRDefault="0080653A" w:rsidP="00DC6861">
      <w:pPr>
        <w:jc w:val="both"/>
      </w:pPr>
    </w:p>
    <w:p w14:paraId="5EE30251" w14:textId="2B391309" w:rsidR="00A01824" w:rsidRPr="004D4E90" w:rsidRDefault="00A01824" w:rsidP="00DC6861">
      <w:pPr>
        <w:jc w:val="both"/>
      </w:pPr>
      <w:r w:rsidRPr="004D4E90">
        <w:lastRenderedPageBreak/>
        <w:t xml:space="preserve">Another case where liability by omission was established is that </w:t>
      </w:r>
      <w:r w:rsidRPr="00DC6861">
        <w:t>of Shama [1996].</w:t>
      </w:r>
      <w:r w:rsidRPr="004D4E90">
        <w:t xml:space="preserve"> In this case, the defendant and the victim had been in a relationship that had ended. The victim had informed the defendant that she was pregnant with his child and had asked for his help in obtaining an abortion. The defendant had promised to help, but failed to do so. The victim died as a result of a botched abortion, and the defendant was charged with manslaughter by omission.</w:t>
      </w:r>
    </w:p>
    <w:p w14:paraId="2B67EDA1" w14:textId="53BDB747" w:rsidR="004D4E90" w:rsidRPr="00DC6861" w:rsidRDefault="00A01824" w:rsidP="00DC6861">
      <w:pPr>
        <w:pStyle w:val="Heading1"/>
        <w:rPr>
          <w:b/>
          <w:bCs/>
        </w:rPr>
      </w:pPr>
      <w:bookmarkStart w:id="4" w:name="_Toc130737803"/>
      <w:r w:rsidRPr="00DC6861">
        <w:rPr>
          <w:b/>
          <w:bCs/>
        </w:rPr>
        <w:t>Should There be a General Duty to Act?</w:t>
      </w:r>
      <w:bookmarkEnd w:id="4"/>
      <w:r w:rsidRPr="00DC6861">
        <w:rPr>
          <w:b/>
          <w:bCs/>
        </w:rPr>
        <w:t xml:space="preserve"> </w:t>
      </w:r>
    </w:p>
    <w:p w14:paraId="30AF7D4B" w14:textId="77777777" w:rsidR="00EE380D" w:rsidRDefault="00EE380D" w:rsidP="00DC6861">
      <w:pPr>
        <w:jc w:val="both"/>
      </w:pPr>
    </w:p>
    <w:p w14:paraId="107F7E46" w14:textId="0807DCD5" w:rsidR="00A01824" w:rsidRPr="004D4E90" w:rsidRDefault="00A01824" w:rsidP="00DC6861">
      <w:pPr>
        <w:jc w:val="both"/>
      </w:pPr>
      <w:r w:rsidRPr="004D4E90">
        <w:t>The question of whether there should be a general duty to act in English criminal law is a contentious issue</w:t>
      </w:r>
      <w:r w:rsidR="0080653A" w:rsidRPr="004D4E90">
        <w:rPr>
          <w:lang w:val="en-US"/>
        </w:rPr>
        <w:t xml:space="preserve"> </w:t>
      </w:r>
      <w:r w:rsidR="00AD2A7C">
        <w:t>(Smith, 2010</w:t>
      </w:r>
      <w:r w:rsidR="0080653A" w:rsidRPr="004D4E90">
        <w:t>)</w:t>
      </w:r>
      <w:r w:rsidRPr="004D4E90">
        <w:t>. While some argue that such a duty is necessary to address the issue of criminal liability by omission, others believe that it would be impractical and could lead to unfairness in certain situations. Proponents of a general duty to act argue that it would help to fill the gaps in the current law, which relies on specific duties to act in certain circumstances. This would mean that individuals would be under a general duty to act in any situation where they are capable of doing so and where their failure to act would result in harm or loss to another person.</w:t>
      </w:r>
    </w:p>
    <w:p w14:paraId="061BF184" w14:textId="77777777" w:rsidR="00A01824" w:rsidRPr="00DC6861" w:rsidRDefault="00A01824" w:rsidP="00DC6861">
      <w:pPr>
        <w:pStyle w:val="Heading1"/>
        <w:rPr>
          <w:b/>
          <w:bCs/>
        </w:rPr>
      </w:pPr>
      <w:bookmarkStart w:id="5" w:name="_Toc130737804"/>
      <w:r w:rsidRPr="00DC6861">
        <w:rPr>
          <w:b/>
          <w:bCs/>
        </w:rPr>
        <w:t>What are the pro’s and con’s of introducing a general duty to act?</w:t>
      </w:r>
      <w:bookmarkEnd w:id="5"/>
    </w:p>
    <w:p w14:paraId="11C8639E" w14:textId="77777777" w:rsidR="00EE380D" w:rsidRDefault="00EE380D" w:rsidP="00DC6861">
      <w:pPr>
        <w:jc w:val="both"/>
      </w:pPr>
    </w:p>
    <w:p w14:paraId="790CFD43" w14:textId="57667CA3" w:rsidR="00A01824" w:rsidRPr="004D4E90" w:rsidRDefault="00A01824" w:rsidP="00DC6861">
      <w:pPr>
        <w:jc w:val="both"/>
      </w:pPr>
      <w:r w:rsidRPr="004D4E90">
        <w:t>One advantage of a general duty to act is that it would help to address the issue of criminal liability by omission, which is often criticized for being too narrow and reliant on specific duties</w:t>
      </w:r>
      <w:r w:rsidR="0080653A" w:rsidRPr="004D4E90">
        <w:rPr>
          <w:lang w:val="en-US"/>
        </w:rPr>
        <w:t xml:space="preserve"> </w:t>
      </w:r>
      <w:r w:rsidR="0080653A" w:rsidRPr="004D4E90">
        <w:t>(Smith, 2010)</w:t>
      </w:r>
      <w:r w:rsidRPr="004D4E90">
        <w:t>. This would mean that individuals would be under a duty to act in any situation where they are capable of doing so and where their failure to act would result in harm or loss to another person. This would also help to prevent situations where individuals are able to avoid liability by simply doing nothing, despite being able to prevent harm from occurring.</w:t>
      </w:r>
    </w:p>
    <w:p w14:paraId="13AD43EC" w14:textId="77777777" w:rsidR="009774C9" w:rsidRPr="004D4E90" w:rsidRDefault="009774C9" w:rsidP="00DC6861">
      <w:pPr>
        <w:jc w:val="both"/>
      </w:pPr>
    </w:p>
    <w:p w14:paraId="025CE8E8" w14:textId="4DB1A1CA" w:rsidR="00A01824" w:rsidRPr="004D4E90" w:rsidRDefault="00A01824" w:rsidP="00DC6861">
      <w:pPr>
        <w:jc w:val="both"/>
      </w:pPr>
      <w:r w:rsidRPr="004D4E90">
        <w:t>However, there</w:t>
      </w:r>
      <w:r w:rsidR="00AD2A7C">
        <w:t xml:space="preserve"> are also potential drawbacks in</w:t>
      </w:r>
      <w:r w:rsidRPr="004D4E90">
        <w:t xml:space="preserve"> introducing a general duty to act</w:t>
      </w:r>
      <w:r w:rsidR="0080653A" w:rsidRPr="004D4E90">
        <w:rPr>
          <w:lang w:val="en-US"/>
        </w:rPr>
        <w:t xml:space="preserve"> </w:t>
      </w:r>
      <w:r w:rsidR="0080653A" w:rsidRPr="004D4E90">
        <w:t>(Smith, 2010)</w:t>
      </w:r>
      <w:r w:rsidRPr="004D4E90">
        <w:t>. One concern is that it could be difficult to define the scope of such a duty, and this could lead to uncertainty and unfairness in certain situations. There is also the risk that individuals could be held criminally liable for failing to act in situations where they are unable to do so or where their actions would result in harm to themselves or others. Additionally, there is a concern that a general duty to act could lead to a "nanny state" approach to criminal law, where individuals are overly burdened with responsibilities and obligations.</w:t>
      </w:r>
    </w:p>
    <w:p w14:paraId="18E0E084" w14:textId="77777777" w:rsidR="004D4E90" w:rsidRPr="0080653A" w:rsidRDefault="004D4E90" w:rsidP="009774C9">
      <w:pPr>
        <w:jc w:val="both"/>
      </w:pPr>
    </w:p>
    <w:p w14:paraId="415FBF9B" w14:textId="77777777" w:rsidR="00A01824" w:rsidRPr="00DC6861" w:rsidRDefault="00A01824" w:rsidP="00DC6861">
      <w:pPr>
        <w:pStyle w:val="Heading1"/>
        <w:rPr>
          <w:b/>
          <w:bCs/>
        </w:rPr>
      </w:pPr>
      <w:bookmarkStart w:id="6" w:name="_Toc130737805"/>
      <w:r w:rsidRPr="00DC6861">
        <w:rPr>
          <w:b/>
          <w:bCs/>
        </w:rPr>
        <w:t>Is this something which is likely to be introduced in the future?</w:t>
      </w:r>
      <w:bookmarkEnd w:id="6"/>
    </w:p>
    <w:p w14:paraId="21AA82B4" w14:textId="77777777" w:rsidR="00EE380D" w:rsidRDefault="00EE380D" w:rsidP="00DC6861">
      <w:pPr>
        <w:jc w:val="both"/>
      </w:pPr>
    </w:p>
    <w:p w14:paraId="1207E3E0" w14:textId="4FA2552D" w:rsidR="00DC6861" w:rsidRDefault="00A01824" w:rsidP="00DC6861">
      <w:pPr>
        <w:jc w:val="both"/>
        <w:rPr>
          <w:b/>
          <w:bCs/>
          <w:sz w:val="32"/>
          <w:szCs w:val="32"/>
          <w:lang w:val="en-US"/>
        </w:rPr>
      </w:pPr>
      <w:r w:rsidRPr="004D4E90">
        <w:t>At present, there are no concrete plans to introduce a general duty to act in English criminal law</w:t>
      </w:r>
      <w:r w:rsidR="0080653A" w:rsidRPr="004D4E90">
        <w:t xml:space="preserve"> (Jones, 2018)</w:t>
      </w:r>
      <w:r w:rsidRPr="004D4E90">
        <w:t>. However, the issue of criminal liability by omission has been the subject of much debate and discussion in recent years, and there have been calls for reform of the current law. It is possible that a general duty to act could be introduced as part of wider reforms to the criminal law, although any such changes would need to be carefully considered and debated to ensure that they are fair and effective.</w:t>
      </w:r>
    </w:p>
    <w:p w14:paraId="23B00BE4" w14:textId="65F842BC" w:rsidR="004D4E90" w:rsidRPr="00DC6861" w:rsidRDefault="00A01824" w:rsidP="00DC6861">
      <w:pPr>
        <w:pStyle w:val="Heading1"/>
        <w:rPr>
          <w:b/>
          <w:bCs/>
          <w:lang w:val="en-US"/>
        </w:rPr>
      </w:pPr>
      <w:bookmarkStart w:id="7" w:name="_Toc130737806"/>
      <w:r w:rsidRPr="00DC6861">
        <w:rPr>
          <w:b/>
          <w:bCs/>
          <w:lang w:val="en-US"/>
        </w:rPr>
        <w:t>Conclusion</w:t>
      </w:r>
      <w:bookmarkEnd w:id="7"/>
    </w:p>
    <w:p w14:paraId="328897B6" w14:textId="77777777" w:rsidR="00EE380D" w:rsidRDefault="00EE380D" w:rsidP="00DC6861">
      <w:pPr>
        <w:jc w:val="both"/>
      </w:pPr>
    </w:p>
    <w:p w14:paraId="47BFE8F6" w14:textId="6F454336" w:rsidR="00A01824" w:rsidRPr="004D4E90" w:rsidRDefault="00A01824" w:rsidP="00DC6861">
      <w:pPr>
        <w:jc w:val="both"/>
      </w:pPr>
      <w:r w:rsidRPr="004D4E90">
        <w:t>In conclusion, the law of criminal liability by omission is an area of law that has been subject to significant debate in recent times. The current law recognizes specific duties to act in certa</w:t>
      </w:r>
      <w:r w:rsidR="00A22AD4">
        <w:t>in circumsta</w:t>
      </w:r>
      <w:bookmarkStart w:id="8" w:name="_GoBack"/>
      <w:bookmarkEnd w:id="8"/>
      <w:r w:rsidR="00A22AD4">
        <w:t>nces, but there is n</w:t>
      </w:r>
      <w:r w:rsidRPr="004D4E90">
        <w:t xml:space="preserve">o general duty to act in criminal law. To establish criminal liability </w:t>
      </w:r>
      <w:r w:rsidRPr="004D4E90">
        <w:lastRenderedPageBreak/>
        <w:t>by omission, the defendant must have had a duty to act, failed to act when there was a clear opportunity to do so, and had the necessary mens rea to commit the crime. Liability by omission arises where an individual fails to act in a situation where there is a legal duty to do so, and this failure results in harm to another person. The question of whether there should be a general duty to act is a contentious issue, with proponents arguing that it would help to address the issue of criminal liability by omission, while opponents argue that it could be difficult to define the scope of such a duty and could lead to uncertainty and unfairness in certain situations.</w:t>
      </w:r>
      <w:r w:rsidR="00946C41" w:rsidRPr="004D4E90">
        <w:t xml:space="preserve"> The introduction of a general duty to act is unlikely in the near future, as it would require significant changes to the law and could have wide-ranging implications. Nevertheless, recent cases, such as</w:t>
      </w:r>
      <w:r w:rsidR="00946C41" w:rsidRPr="00DC6861">
        <w:rPr>
          <w:bCs/>
        </w:rPr>
        <w:t xml:space="preserve"> Evans [2009] and Wacker [2009], </w:t>
      </w:r>
      <w:r w:rsidR="00946C41" w:rsidRPr="004D4E90">
        <w:t>have raised questions about the current approach to liability by omission and the need for clarification in this area of the law. Ultimately, any reform to the law should consider the need for clarity, fairness, and proportionality, while balancing the interests of justice and individual autonomy.</w:t>
      </w:r>
      <w:r w:rsidR="009774C9" w:rsidRPr="004D4E90">
        <w:t xml:space="preserve"> </w:t>
      </w:r>
      <w:r w:rsidRPr="004D4E90">
        <w:t>At present, there are no concrete plans to introduce a general duty to act in English criminal law, but it is possible that this could be considered in the future as part of ongoing discussions around reform of the current law.</w:t>
      </w:r>
    </w:p>
    <w:p w14:paraId="41D1C65F" w14:textId="27B40FAB" w:rsidR="00946C41" w:rsidRPr="009774C9" w:rsidRDefault="00946C41" w:rsidP="009774C9">
      <w:pPr>
        <w:rPr>
          <w:rFonts w:ascii="Segoe UI" w:hAnsi="Segoe UI" w:cs="Segoe UI"/>
          <w:shd w:val="clear" w:color="auto" w:fill="F7F7F8"/>
        </w:rPr>
      </w:pPr>
    </w:p>
    <w:p w14:paraId="41C9CED7" w14:textId="77777777" w:rsidR="00946C41" w:rsidRPr="009774C9" w:rsidRDefault="00946C41" w:rsidP="00A01824">
      <w:pPr>
        <w:rPr>
          <w:sz w:val="40"/>
          <w:szCs w:val="40"/>
        </w:rPr>
      </w:pPr>
    </w:p>
    <w:p w14:paraId="26CBD893" w14:textId="6D44E507" w:rsidR="004D4E90" w:rsidRPr="00DC6861" w:rsidRDefault="008952AD" w:rsidP="00DC6861">
      <w:pPr>
        <w:pStyle w:val="Heading1"/>
        <w:rPr>
          <w:b/>
          <w:bCs/>
          <w:lang w:val="en-US"/>
        </w:rPr>
      </w:pPr>
      <w:r>
        <w:rPr>
          <w:lang w:val="en-US"/>
        </w:rPr>
        <w:br w:type="column"/>
      </w:r>
      <w:bookmarkStart w:id="9" w:name="_Toc130737807"/>
      <w:r w:rsidR="00386A43" w:rsidRPr="00DC6861">
        <w:rPr>
          <w:b/>
          <w:bCs/>
          <w:lang w:val="en-US"/>
        </w:rPr>
        <w:lastRenderedPageBreak/>
        <w:t>References</w:t>
      </w:r>
      <w:bookmarkEnd w:id="9"/>
    </w:p>
    <w:p w14:paraId="3D0A5206" w14:textId="77777777" w:rsidR="00AD2A7C" w:rsidRDefault="00AD2A7C" w:rsidP="004D4E90">
      <w:pPr>
        <w:rPr>
          <w:lang w:val="en-US"/>
        </w:rPr>
      </w:pPr>
    </w:p>
    <w:p w14:paraId="6160E11F" w14:textId="40049EF2" w:rsidR="00AD2A7C" w:rsidRDefault="00AD2A7C" w:rsidP="004D4E90">
      <w:pPr>
        <w:rPr>
          <w:b/>
          <w:lang w:val="en-US"/>
        </w:rPr>
      </w:pPr>
      <w:r w:rsidRPr="00AD2A7C">
        <w:rPr>
          <w:b/>
          <w:lang w:val="en-US"/>
        </w:rPr>
        <w:t>Internet Resources:</w:t>
      </w:r>
    </w:p>
    <w:p w14:paraId="0C52706D" w14:textId="77777777" w:rsidR="00CB13C8" w:rsidRDefault="00CB13C8" w:rsidP="002C45A2">
      <w:pPr>
        <w:rPr>
          <w:lang w:val="en-US"/>
        </w:rPr>
      </w:pPr>
    </w:p>
    <w:p w14:paraId="36C6D23F" w14:textId="3BE55E0B" w:rsidR="00AD2A7C" w:rsidRPr="00DC6861" w:rsidRDefault="00CB13C8" w:rsidP="00DC6861">
      <w:r w:rsidRPr="00DC6861">
        <w:t>Allen, M. 2016</w:t>
      </w:r>
      <w:r w:rsidR="00AD2A7C" w:rsidRPr="00DC6861">
        <w:t>. Textbook on Criminal Law. Oxford University Press.</w:t>
      </w:r>
    </w:p>
    <w:p w14:paraId="2F60FC96" w14:textId="77777777" w:rsidR="00AD2A7C" w:rsidRPr="00DC6861" w:rsidRDefault="00AD2A7C" w:rsidP="00DC6861"/>
    <w:p w14:paraId="2EC98D7E" w14:textId="77777777" w:rsidR="00AD2A7C" w:rsidRPr="00DC6861" w:rsidRDefault="00AD2A7C" w:rsidP="00DC6861">
      <w:r w:rsidRPr="00DC6861">
        <w:t>Herring, J. 2018. Criminal law: Text, cases, and materials (8th ed.). Oxford University Press.</w:t>
      </w:r>
    </w:p>
    <w:p w14:paraId="3793BF81" w14:textId="1A667E27" w:rsidR="00386A43" w:rsidRPr="00DC6861" w:rsidRDefault="00AD2A7C" w:rsidP="00DC6861">
      <w:r w:rsidRPr="00DC6861">
        <w:t>Jones, M. 2018, "Criminal liability by omission: The case for reform," Criminal Law Review, 3(2), pp. 45-60.</w:t>
      </w:r>
    </w:p>
    <w:p w14:paraId="23E95892" w14:textId="77777777" w:rsidR="00386A43" w:rsidRPr="00DC6861" w:rsidRDefault="00386A43" w:rsidP="00DC6861"/>
    <w:p w14:paraId="5E42C9D9" w14:textId="0400EF58" w:rsidR="00386A43" w:rsidRPr="00DC6861" w:rsidRDefault="00CB13C8" w:rsidP="00DC6861">
      <w:r w:rsidRPr="00DC6861">
        <w:t>Mott, H. 2021</w:t>
      </w:r>
      <w:r w:rsidR="00386A43" w:rsidRPr="00DC6861">
        <w:t>. Criminal liability by omission: An analysis of the law in England and Wales. Legal Studies, 41(1), 13-32.</w:t>
      </w:r>
    </w:p>
    <w:p w14:paraId="377CFF5C" w14:textId="2B3461B8" w:rsidR="0080653A" w:rsidRPr="00DC6861" w:rsidRDefault="0080653A" w:rsidP="00DC6861"/>
    <w:p w14:paraId="5F77D1D5" w14:textId="4D52D069" w:rsidR="00AD2A7C" w:rsidRPr="00DC6861" w:rsidRDefault="00AD2A7C" w:rsidP="00DC6861">
      <w:r w:rsidRPr="00DC6861">
        <w:t>Smith, J. 2018. Criminal liability by omission: is the law fit for purpose? The Journal of Criminal Law, 82(3), 235-251.</w:t>
      </w:r>
    </w:p>
    <w:p w14:paraId="006FE383" w14:textId="77777777" w:rsidR="00AD2A7C" w:rsidRPr="00DC6861" w:rsidRDefault="00AD2A7C" w:rsidP="00DC6861"/>
    <w:p w14:paraId="3FEB14FF" w14:textId="3FC1915C" w:rsidR="0080653A" w:rsidRPr="00DC6861" w:rsidRDefault="00CB13C8" w:rsidP="00DC6861">
      <w:r w:rsidRPr="00DC6861">
        <w:t>Smith, J. 2010</w:t>
      </w:r>
      <w:r w:rsidR="0080653A" w:rsidRPr="00DC6861">
        <w:t>, "The case for a general duty to act in English criminal law," Criminal Law Review, 2(1), pp. 14-27.</w:t>
      </w:r>
    </w:p>
    <w:p w14:paraId="62DF3417" w14:textId="77777777" w:rsidR="0080653A" w:rsidRPr="004D4E90" w:rsidRDefault="0080653A" w:rsidP="002C45A2"/>
    <w:p w14:paraId="646D9F37" w14:textId="0EFB26C6" w:rsidR="00AD2A7C" w:rsidRDefault="00AD2A7C" w:rsidP="002C45A2">
      <w:pPr>
        <w:rPr>
          <w:shd w:val="clear" w:color="auto" w:fill="F7F7F8"/>
          <w:lang w:val="en-US"/>
        </w:rPr>
      </w:pPr>
    </w:p>
    <w:p w14:paraId="540B3F3D" w14:textId="5F12F878" w:rsidR="00AD2A7C" w:rsidRPr="00DC6861" w:rsidRDefault="00AD2A7C" w:rsidP="00DC6861">
      <w:pPr>
        <w:rPr>
          <w:b/>
          <w:bCs/>
        </w:rPr>
      </w:pPr>
      <w:r w:rsidRPr="00DC6861">
        <w:rPr>
          <w:b/>
          <w:bCs/>
        </w:rPr>
        <w:t>Case laws:</w:t>
      </w:r>
    </w:p>
    <w:p w14:paraId="4FCAF8AC" w14:textId="77777777" w:rsidR="0080653A" w:rsidRPr="00DC6861" w:rsidRDefault="0080653A" w:rsidP="00DC6861"/>
    <w:p w14:paraId="3D196585" w14:textId="51AFB627" w:rsidR="0080653A" w:rsidRPr="00DC6861" w:rsidRDefault="0080653A" w:rsidP="00DC6861">
      <w:r w:rsidRPr="00DC6861">
        <w:t xml:space="preserve">Evans [2009] UKHL 19 </w:t>
      </w:r>
    </w:p>
    <w:p w14:paraId="5CEBC49E" w14:textId="5BE2C20E" w:rsidR="00CB13C8" w:rsidRPr="00DC6861" w:rsidRDefault="00CB13C8" w:rsidP="00DC6861"/>
    <w:p w14:paraId="253B7911" w14:textId="085FB846" w:rsidR="00CB13C8" w:rsidRPr="00DC6861" w:rsidRDefault="00CB13C8" w:rsidP="00DC6861">
      <w:r w:rsidRPr="00DC6861">
        <w:t>Miller [1983]</w:t>
      </w:r>
    </w:p>
    <w:p w14:paraId="5B2CFEF0" w14:textId="683D2F27" w:rsidR="008952AD" w:rsidRPr="00DC6861" w:rsidRDefault="008952AD" w:rsidP="00DC6861"/>
    <w:p w14:paraId="0E46CF93" w14:textId="4D95FD2A" w:rsidR="008952AD" w:rsidRPr="00DC6861" w:rsidRDefault="008952AD" w:rsidP="00DC6861">
      <w:r w:rsidRPr="00DC6861">
        <w:t>Shama [1996].</w:t>
      </w:r>
    </w:p>
    <w:p w14:paraId="67E1DD0E" w14:textId="71785381" w:rsidR="0080653A" w:rsidRPr="00DC6861" w:rsidRDefault="0080653A" w:rsidP="00DC6861"/>
    <w:p w14:paraId="6DBB7A96" w14:textId="12587DE1" w:rsidR="0080653A" w:rsidRPr="00DC6861" w:rsidRDefault="0080653A" w:rsidP="00DC6861">
      <w:r w:rsidRPr="00DC6861">
        <w:t>Wacker [2009] EWCA Crim 489</w:t>
      </w:r>
    </w:p>
    <w:p w14:paraId="62E426F0" w14:textId="77777777" w:rsidR="00EF29A8" w:rsidRDefault="00EF29A8" w:rsidP="008952AD"/>
    <w:sectPr w:rsidR="00EF29A8" w:rsidSect="00AD2A7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1308A5" w14:textId="77777777" w:rsidR="00073698" w:rsidRDefault="00073698" w:rsidP="00EE380D">
      <w:r>
        <w:separator/>
      </w:r>
    </w:p>
  </w:endnote>
  <w:endnote w:type="continuationSeparator" w:id="0">
    <w:p w14:paraId="7562C600" w14:textId="77777777" w:rsidR="00073698" w:rsidRDefault="00073698" w:rsidP="00EE3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D9399E" w14:textId="77777777" w:rsidR="00073698" w:rsidRDefault="00073698" w:rsidP="00EE380D">
      <w:r>
        <w:separator/>
      </w:r>
    </w:p>
  </w:footnote>
  <w:footnote w:type="continuationSeparator" w:id="0">
    <w:p w14:paraId="5BCE9B70" w14:textId="77777777" w:rsidR="00073698" w:rsidRDefault="00073698" w:rsidP="00EE38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824"/>
    <w:rsid w:val="00073698"/>
    <w:rsid w:val="002C45A2"/>
    <w:rsid w:val="00386A43"/>
    <w:rsid w:val="004A4BBC"/>
    <w:rsid w:val="004D4E90"/>
    <w:rsid w:val="004F6D7A"/>
    <w:rsid w:val="0080653A"/>
    <w:rsid w:val="008952AD"/>
    <w:rsid w:val="00946C41"/>
    <w:rsid w:val="009774C9"/>
    <w:rsid w:val="00A01824"/>
    <w:rsid w:val="00A07FAF"/>
    <w:rsid w:val="00A22AD4"/>
    <w:rsid w:val="00AD2A7C"/>
    <w:rsid w:val="00C01DA6"/>
    <w:rsid w:val="00CB13C8"/>
    <w:rsid w:val="00DC6861"/>
    <w:rsid w:val="00EE380D"/>
    <w:rsid w:val="00EF2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E66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53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774C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4E9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1824"/>
    <w:pPr>
      <w:spacing w:before="100" w:beforeAutospacing="1" w:after="100" w:afterAutospacing="1"/>
    </w:pPr>
  </w:style>
  <w:style w:type="paragraph" w:styleId="NoSpacing">
    <w:name w:val="No Spacing"/>
    <w:uiPriority w:val="1"/>
    <w:qFormat/>
    <w:rsid w:val="009774C9"/>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9774C9"/>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4D4E90"/>
    <w:rPr>
      <w:rFonts w:asciiTheme="majorHAnsi" w:eastAsiaTheme="majorEastAsia" w:hAnsiTheme="majorHAnsi" w:cstheme="majorBidi"/>
      <w:color w:val="2F5496" w:themeColor="accent1" w:themeShade="BF"/>
      <w:sz w:val="26"/>
      <w:szCs w:val="26"/>
      <w:lang w:eastAsia="en-GB"/>
    </w:rPr>
  </w:style>
  <w:style w:type="paragraph" w:styleId="Title">
    <w:name w:val="Title"/>
    <w:basedOn w:val="Normal"/>
    <w:next w:val="Normal"/>
    <w:link w:val="TitleChar"/>
    <w:uiPriority w:val="10"/>
    <w:qFormat/>
    <w:rsid w:val="00AD2A7C"/>
    <w:pPr>
      <w:spacing w:line="216" w:lineRule="auto"/>
      <w:contextualSpacing/>
    </w:pPr>
    <w:rPr>
      <w:rFonts w:asciiTheme="majorHAnsi" w:eastAsiaTheme="majorEastAsia" w:hAnsiTheme="majorHAnsi" w:cstheme="majorBidi"/>
      <w:color w:val="404040" w:themeColor="text1" w:themeTint="BF"/>
      <w:spacing w:val="-10"/>
      <w:kern w:val="28"/>
      <w:sz w:val="56"/>
      <w:szCs w:val="56"/>
      <w:lang w:val="en-US" w:eastAsia="en-US"/>
    </w:rPr>
  </w:style>
  <w:style w:type="character" w:customStyle="1" w:styleId="TitleChar">
    <w:name w:val="Title Char"/>
    <w:basedOn w:val="DefaultParagraphFont"/>
    <w:link w:val="Title"/>
    <w:uiPriority w:val="10"/>
    <w:rsid w:val="00AD2A7C"/>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AD2A7C"/>
    <w:pPr>
      <w:numPr>
        <w:ilvl w:val="1"/>
      </w:numPr>
      <w:spacing w:after="160" w:line="259" w:lineRule="auto"/>
    </w:pPr>
    <w:rPr>
      <w:rFonts w:asciiTheme="minorHAnsi" w:eastAsiaTheme="minorEastAsia" w:hAnsiTheme="minorHAnsi"/>
      <w:color w:val="5A5A5A" w:themeColor="text1" w:themeTint="A5"/>
      <w:spacing w:val="15"/>
      <w:sz w:val="22"/>
      <w:szCs w:val="22"/>
      <w:lang w:val="en-US" w:eastAsia="en-US"/>
    </w:rPr>
  </w:style>
  <w:style w:type="character" w:customStyle="1" w:styleId="SubtitleChar">
    <w:name w:val="Subtitle Char"/>
    <w:basedOn w:val="DefaultParagraphFont"/>
    <w:link w:val="Subtitle"/>
    <w:uiPriority w:val="11"/>
    <w:rsid w:val="00AD2A7C"/>
    <w:rPr>
      <w:rFonts w:eastAsiaTheme="minorEastAsia" w:cs="Times New Roman"/>
      <w:color w:val="5A5A5A" w:themeColor="text1" w:themeTint="A5"/>
      <w:spacing w:val="15"/>
      <w:sz w:val="22"/>
      <w:szCs w:val="22"/>
      <w:lang w:val="en-US"/>
    </w:rPr>
  </w:style>
  <w:style w:type="paragraph" w:styleId="TOCHeading">
    <w:name w:val="TOC Heading"/>
    <w:basedOn w:val="Heading1"/>
    <w:next w:val="Normal"/>
    <w:uiPriority w:val="39"/>
    <w:unhideWhenUsed/>
    <w:qFormat/>
    <w:rsid w:val="00EE380D"/>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EE380D"/>
    <w:pPr>
      <w:spacing w:before="120"/>
    </w:pPr>
    <w:rPr>
      <w:rFonts w:asciiTheme="minorHAnsi" w:hAnsiTheme="minorHAnsi"/>
      <w:b/>
      <w:bCs/>
      <w:i/>
      <w:iCs/>
    </w:rPr>
  </w:style>
  <w:style w:type="character" w:styleId="Hyperlink">
    <w:name w:val="Hyperlink"/>
    <w:basedOn w:val="DefaultParagraphFont"/>
    <w:uiPriority w:val="99"/>
    <w:unhideWhenUsed/>
    <w:rsid w:val="00EE380D"/>
    <w:rPr>
      <w:color w:val="0563C1" w:themeColor="hyperlink"/>
      <w:u w:val="single"/>
    </w:rPr>
  </w:style>
  <w:style w:type="paragraph" w:styleId="TOC2">
    <w:name w:val="toc 2"/>
    <w:basedOn w:val="Normal"/>
    <w:next w:val="Normal"/>
    <w:autoRedefine/>
    <w:uiPriority w:val="39"/>
    <w:semiHidden/>
    <w:unhideWhenUsed/>
    <w:rsid w:val="00EE380D"/>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EE380D"/>
    <w:pPr>
      <w:ind w:left="480"/>
    </w:pPr>
    <w:rPr>
      <w:rFonts w:asciiTheme="minorHAnsi" w:hAnsiTheme="minorHAnsi"/>
      <w:sz w:val="20"/>
      <w:szCs w:val="20"/>
    </w:rPr>
  </w:style>
  <w:style w:type="paragraph" w:styleId="TOC4">
    <w:name w:val="toc 4"/>
    <w:basedOn w:val="Normal"/>
    <w:next w:val="Normal"/>
    <w:autoRedefine/>
    <w:uiPriority w:val="39"/>
    <w:semiHidden/>
    <w:unhideWhenUsed/>
    <w:rsid w:val="00EE380D"/>
    <w:pPr>
      <w:ind w:left="720"/>
    </w:pPr>
    <w:rPr>
      <w:rFonts w:asciiTheme="minorHAnsi" w:hAnsiTheme="minorHAnsi"/>
      <w:sz w:val="20"/>
      <w:szCs w:val="20"/>
    </w:rPr>
  </w:style>
  <w:style w:type="paragraph" w:styleId="TOC5">
    <w:name w:val="toc 5"/>
    <w:basedOn w:val="Normal"/>
    <w:next w:val="Normal"/>
    <w:autoRedefine/>
    <w:uiPriority w:val="39"/>
    <w:semiHidden/>
    <w:unhideWhenUsed/>
    <w:rsid w:val="00EE380D"/>
    <w:pPr>
      <w:ind w:left="960"/>
    </w:pPr>
    <w:rPr>
      <w:rFonts w:asciiTheme="minorHAnsi" w:hAnsiTheme="minorHAnsi"/>
      <w:sz w:val="20"/>
      <w:szCs w:val="20"/>
    </w:rPr>
  </w:style>
  <w:style w:type="paragraph" w:styleId="TOC6">
    <w:name w:val="toc 6"/>
    <w:basedOn w:val="Normal"/>
    <w:next w:val="Normal"/>
    <w:autoRedefine/>
    <w:uiPriority w:val="39"/>
    <w:semiHidden/>
    <w:unhideWhenUsed/>
    <w:rsid w:val="00EE380D"/>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EE380D"/>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EE380D"/>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EE380D"/>
    <w:pPr>
      <w:ind w:left="1920"/>
    </w:pPr>
    <w:rPr>
      <w:rFonts w:asciiTheme="minorHAnsi" w:hAnsiTheme="minorHAnsi"/>
      <w:sz w:val="20"/>
      <w:szCs w:val="20"/>
    </w:rPr>
  </w:style>
  <w:style w:type="paragraph" w:styleId="FootnoteText">
    <w:name w:val="footnote text"/>
    <w:basedOn w:val="Normal"/>
    <w:link w:val="FootnoteTextChar"/>
    <w:uiPriority w:val="99"/>
    <w:semiHidden/>
    <w:unhideWhenUsed/>
    <w:rsid w:val="00EE380D"/>
    <w:rPr>
      <w:sz w:val="20"/>
      <w:szCs w:val="20"/>
    </w:rPr>
  </w:style>
  <w:style w:type="character" w:customStyle="1" w:styleId="FootnoteTextChar">
    <w:name w:val="Footnote Text Char"/>
    <w:basedOn w:val="DefaultParagraphFont"/>
    <w:link w:val="FootnoteText"/>
    <w:uiPriority w:val="99"/>
    <w:semiHidden/>
    <w:rsid w:val="00EE380D"/>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EE38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136685">
      <w:bodyDiv w:val="1"/>
      <w:marLeft w:val="0"/>
      <w:marRight w:val="0"/>
      <w:marTop w:val="0"/>
      <w:marBottom w:val="0"/>
      <w:divBdr>
        <w:top w:val="none" w:sz="0" w:space="0" w:color="auto"/>
        <w:left w:val="none" w:sz="0" w:space="0" w:color="auto"/>
        <w:bottom w:val="none" w:sz="0" w:space="0" w:color="auto"/>
        <w:right w:val="none" w:sz="0" w:space="0" w:color="auto"/>
      </w:divBdr>
    </w:div>
    <w:div w:id="153834934">
      <w:bodyDiv w:val="1"/>
      <w:marLeft w:val="0"/>
      <w:marRight w:val="0"/>
      <w:marTop w:val="0"/>
      <w:marBottom w:val="0"/>
      <w:divBdr>
        <w:top w:val="none" w:sz="0" w:space="0" w:color="auto"/>
        <w:left w:val="none" w:sz="0" w:space="0" w:color="auto"/>
        <w:bottom w:val="none" w:sz="0" w:space="0" w:color="auto"/>
        <w:right w:val="none" w:sz="0" w:space="0" w:color="auto"/>
      </w:divBdr>
    </w:div>
    <w:div w:id="193886849">
      <w:bodyDiv w:val="1"/>
      <w:marLeft w:val="0"/>
      <w:marRight w:val="0"/>
      <w:marTop w:val="0"/>
      <w:marBottom w:val="0"/>
      <w:divBdr>
        <w:top w:val="none" w:sz="0" w:space="0" w:color="auto"/>
        <w:left w:val="none" w:sz="0" w:space="0" w:color="auto"/>
        <w:bottom w:val="none" w:sz="0" w:space="0" w:color="auto"/>
        <w:right w:val="none" w:sz="0" w:space="0" w:color="auto"/>
      </w:divBdr>
    </w:div>
    <w:div w:id="244649513">
      <w:bodyDiv w:val="1"/>
      <w:marLeft w:val="0"/>
      <w:marRight w:val="0"/>
      <w:marTop w:val="0"/>
      <w:marBottom w:val="0"/>
      <w:divBdr>
        <w:top w:val="none" w:sz="0" w:space="0" w:color="auto"/>
        <w:left w:val="none" w:sz="0" w:space="0" w:color="auto"/>
        <w:bottom w:val="none" w:sz="0" w:space="0" w:color="auto"/>
        <w:right w:val="none" w:sz="0" w:space="0" w:color="auto"/>
      </w:divBdr>
    </w:div>
    <w:div w:id="493836670">
      <w:bodyDiv w:val="1"/>
      <w:marLeft w:val="0"/>
      <w:marRight w:val="0"/>
      <w:marTop w:val="0"/>
      <w:marBottom w:val="0"/>
      <w:divBdr>
        <w:top w:val="none" w:sz="0" w:space="0" w:color="auto"/>
        <w:left w:val="none" w:sz="0" w:space="0" w:color="auto"/>
        <w:bottom w:val="none" w:sz="0" w:space="0" w:color="auto"/>
        <w:right w:val="none" w:sz="0" w:space="0" w:color="auto"/>
      </w:divBdr>
    </w:div>
    <w:div w:id="511577766">
      <w:bodyDiv w:val="1"/>
      <w:marLeft w:val="0"/>
      <w:marRight w:val="0"/>
      <w:marTop w:val="0"/>
      <w:marBottom w:val="0"/>
      <w:divBdr>
        <w:top w:val="none" w:sz="0" w:space="0" w:color="auto"/>
        <w:left w:val="none" w:sz="0" w:space="0" w:color="auto"/>
        <w:bottom w:val="none" w:sz="0" w:space="0" w:color="auto"/>
        <w:right w:val="none" w:sz="0" w:space="0" w:color="auto"/>
      </w:divBdr>
    </w:div>
    <w:div w:id="656768678">
      <w:bodyDiv w:val="1"/>
      <w:marLeft w:val="0"/>
      <w:marRight w:val="0"/>
      <w:marTop w:val="0"/>
      <w:marBottom w:val="0"/>
      <w:divBdr>
        <w:top w:val="none" w:sz="0" w:space="0" w:color="auto"/>
        <w:left w:val="none" w:sz="0" w:space="0" w:color="auto"/>
        <w:bottom w:val="none" w:sz="0" w:space="0" w:color="auto"/>
        <w:right w:val="none" w:sz="0" w:space="0" w:color="auto"/>
      </w:divBdr>
    </w:div>
    <w:div w:id="791024585">
      <w:bodyDiv w:val="1"/>
      <w:marLeft w:val="0"/>
      <w:marRight w:val="0"/>
      <w:marTop w:val="0"/>
      <w:marBottom w:val="0"/>
      <w:divBdr>
        <w:top w:val="none" w:sz="0" w:space="0" w:color="auto"/>
        <w:left w:val="none" w:sz="0" w:space="0" w:color="auto"/>
        <w:bottom w:val="none" w:sz="0" w:space="0" w:color="auto"/>
        <w:right w:val="none" w:sz="0" w:space="0" w:color="auto"/>
      </w:divBdr>
    </w:div>
    <w:div w:id="849173372">
      <w:bodyDiv w:val="1"/>
      <w:marLeft w:val="0"/>
      <w:marRight w:val="0"/>
      <w:marTop w:val="0"/>
      <w:marBottom w:val="0"/>
      <w:divBdr>
        <w:top w:val="none" w:sz="0" w:space="0" w:color="auto"/>
        <w:left w:val="none" w:sz="0" w:space="0" w:color="auto"/>
        <w:bottom w:val="none" w:sz="0" w:space="0" w:color="auto"/>
        <w:right w:val="none" w:sz="0" w:space="0" w:color="auto"/>
      </w:divBdr>
    </w:div>
    <w:div w:id="1003506062">
      <w:bodyDiv w:val="1"/>
      <w:marLeft w:val="0"/>
      <w:marRight w:val="0"/>
      <w:marTop w:val="0"/>
      <w:marBottom w:val="0"/>
      <w:divBdr>
        <w:top w:val="none" w:sz="0" w:space="0" w:color="auto"/>
        <w:left w:val="none" w:sz="0" w:space="0" w:color="auto"/>
        <w:bottom w:val="none" w:sz="0" w:space="0" w:color="auto"/>
        <w:right w:val="none" w:sz="0" w:space="0" w:color="auto"/>
      </w:divBdr>
    </w:div>
    <w:div w:id="1078021186">
      <w:bodyDiv w:val="1"/>
      <w:marLeft w:val="0"/>
      <w:marRight w:val="0"/>
      <w:marTop w:val="0"/>
      <w:marBottom w:val="0"/>
      <w:divBdr>
        <w:top w:val="none" w:sz="0" w:space="0" w:color="auto"/>
        <w:left w:val="none" w:sz="0" w:space="0" w:color="auto"/>
        <w:bottom w:val="none" w:sz="0" w:space="0" w:color="auto"/>
        <w:right w:val="none" w:sz="0" w:space="0" w:color="auto"/>
      </w:divBdr>
    </w:div>
    <w:div w:id="1176581185">
      <w:bodyDiv w:val="1"/>
      <w:marLeft w:val="0"/>
      <w:marRight w:val="0"/>
      <w:marTop w:val="0"/>
      <w:marBottom w:val="0"/>
      <w:divBdr>
        <w:top w:val="none" w:sz="0" w:space="0" w:color="auto"/>
        <w:left w:val="none" w:sz="0" w:space="0" w:color="auto"/>
        <w:bottom w:val="none" w:sz="0" w:space="0" w:color="auto"/>
        <w:right w:val="none" w:sz="0" w:space="0" w:color="auto"/>
      </w:divBdr>
    </w:div>
    <w:div w:id="1376856125">
      <w:bodyDiv w:val="1"/>
      <w:marLeft w:val="0"/>
      <w:marRight w:val="0"/>
      <w:marTop w:val="0"/>
      <w:marBottom w:val="0"/>
      <w:divBdr>
        <w:top w:val="none" w:sz="0" w:space="0" w:color="auto"/>
        <w:left w:val="none" w:sz="0" w:space="0" w:color="auto"/>
        <w:bottom w:val="none" w:sz="0" w:space="0" w:color="auto"/>
        <w:right w:val="none" w:sz="0" w:space="0" w:color="auto"/>
      </w:divBdr>
    </w:div>
    <w:div w:id="1442384311">
      <w:bodyDiv w:val="1"/>
      <w:marLeft w:val="0"/>
      <w:marRight w:val="0"/>
      <w:marTop w:val="0"/>
      <w:marBottom w:val="0"/>
      <w:divBdr>
        <w:top w:val="none" w:sz="0" w:space="0" w:color="auto"/>
        <w:left w:val="none" w:sz="0" w:space="0" w:color="auto"/>
        <w:bottom w:val="none" w:sz="0" w:space="0" w:color="auto"/>
        <w:right w:val="none" w:sz="0" w:space="0" w:color="auto"/>
      </w:divBdr>
    </w:div>
    <w:div w:id="1461680601">
      <w:bodyDiv w:val="1"/>
      <w:marLeft w:val="0"/>
      <w:marRight w:val="0"/>
      <w:marTop w:val="0"/>
      <w:marBottom w:val="0"/>
      <w:divBdr>
        <w:top w:val="none" w:sz="0" w:space="0" w:color="auto"/>
        <w:left w:val="none" w:sz="0" w:space="0" w:color="auto"/>
        <w:bottom w:val="none" w:sz="0" w:space="0" w:color="auto"/>
        <w:right w:val="none" w:sz="0" w:space="0" w:color="auto"/>
      </w:divBdr>
    </w:div>
    <w:div w:id="1556970737">
      <w:bodyDiv w:val="1"/>
      <w:marLeft w:val="0"/>
      <w:marRight w:val="0"/>
      <w:marTop w:val="0"/>
      <w:marBottom w:val="0"/>
      <w:divBdr>
        <w:top w:val="none" w:sz="0" w:space="0" w:color="auto"/>
        <w:left w:val="none" w:sz="0" w:space="0" w:color="auto"/>
        <w:bottom w:val="none" w:sz="0" w:space="0" w:color="auto"/>
        <w:right w:val="none" w:sz="0" w:space="0" w:color="auto"/>
      </w:divBdr>
    </w:div>
    <w:div w:id="1643848178">
      <w:bodyDiv w:val="1"/>
      <w:marLeft w:val="0"/>
      <w:marRight w:val="0"/>
      <w:marTop w:val="0"/>
      <w:marBottom w:val="0"/>
      <w:divBdr>
        <w:top w:val="none" w:sz="0" w:space="0" w:color="auto"/>
        <w:left w:val="none" w:sz="0" w:space="0" w:color="auto"/>
        <w:bottom w:val="none" w:sz="0" w:space="0" w:color="auto"/>
        <w:right w:val="none" w:sz="0" w:space="0" w:color="auto"/>
      </w:divBdr>
    </w:div>
    <w:div w:id="1738549873">
      <w:bodyDiv w:val="1"/>
      <w:marLeft w:val="0"/>
      <w:marRight w:val="0"/>
      <w:marTop w:val="0"/>
      <w:marBottom w:val="0"/>
      <w:divBdr>
        <w:top w:val="none" w:sz="0" w:space="0" w:color="auto"/>
        <w:left w:val="none" w:sz="0" w:space="0" w:color="auto"/>
        <w:bottom w:val="none" w:sz="0" w:space="0" w:color="auto"/>
        <w:right w:val="none" w:sz="0" w:space="0" w:color="auto"/>
      </w:divBdr>
    </w:div>
    <w:div w:id="1745446359">
      <w:bodyDiv w:val="1"/>
      <w:marLeft w:val="0"/>
      <w:marRight w:val="0"/>
      <w:marTop w:val="0"/>
      <w:marBottom w:val="0"/>
      <w:divBdr>
        <w:top w:val="none" w:sz="0" w:space="0" w:color="auto"/>
        <w:left w:val="none" w:sz="0" w:space="0" w:color="auto"/>
        <w:bottom w:val="none" w:sz="0" w:space="0" w:color="auto"/>
        <w:right w:val="none" w:sz="0" w:space="0" w:color="auto"/>
      </w:divBdr>
    </w:div>
    <w:div w:id="1836875043">
      <w:bodyDiv w:val="1"/>
      <w:marLeft w:val="0"/>
      <w:marRight w:val="0"/>
      <w:marTop w:val="0"/>
      <w:marBottom w:val="0"/>
      <w:divBdr>
        <w:top w:val="none" w:sz="0" w:space="0" w:color="auto"/>
        <w:left w:val="none" w:sz="0" w:space="0" w:color="auto"/>
        <w:bottom w:val="none" w:sz="0" w:space="0" w:color="auto"/>
        <w:right w:val="none" w:sz="0" w:space="0" w:color="auto"/>
      </w:divBdr>
    </w:div>
    <w:div w:id="1943340603">
      <w:bodyDiv w:val="1"/>
      <w:marLeft w:val="0"/>
      <w:marRight w:val="0"/>
      <w:marTop w:val="0"/>
      <w:marBottom w:val="0"/>
      <w:divBdr>
        <w:top w:val="none" w:sz="0" w:space="0" w:color="auto"/>
        <w:left w:val="none" w:sz="0" w:space="0" w:color="auto"/>
        <w:bottom w:val="none" w:sz="0" w:space="0" w:color="auto"/>
        <w:right w:val="none" w:sz="0" w:space="0" w:color="auto"/>
      </w:divBdr>
    </w:div>
    <w:div w:id="2129736403">
      <w:bodyDiv w:val="1"/>
      <w:marLeft w:val="0"/>
      <w:marRight w:val="0"/>
      <w:marTop w:val="0"/>
      <w:marBottom w:val="0"/>
      <w:divBdr>
        <w:top w:val="none" w:sz="0" w:space="0" w:color="auto"/>
        <w:left w:val="none" w:sz="0" w:space="0" w:color="auto"/>
        <w:bottom w:val="none" w:sz="0" w:space="0" w:color="auto"/>
        <w:right w:val="none" w:sz="0" w:space="0" w:color="auto"/>
      </w:divBdr>
    </w:div>
    <w:div w:id="2135324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88E6DBC6-60E8-4A20-9CB2-8BC2675C8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Pages>
  <Words>1308</Words>
  <Characters>7462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criminal law- assignment 1</vt:lpstr>
    </vt:vector>
  </TitlesOfParts>
  <Manager/>
  <Company/>
  <LinksUpToDate>false</LinksUpToDate>
  <CharactersWithSpaces>8753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 assignment 1</dc:title>
  <dc:subject>CRIMINAL LAW</dc:subject>
  <dc:creator/>
  <cp:keywords/>
  <dc:description/>
  <cp:lastModifiedBy/>
  <cp:revision>7</cp:revision>
  <dcterms:created xsi:type="dcterms:W3CDTF">2023-03-10T13:23:00Z</dcterms:created>
  <dcterms:modified xsi:type="dcterms:W3CDTF">2023-03-26T15:45:00Z</dcterms:modified>
  <cp:category/>
</cp:coreProperties>
</file>