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33E95" w14:textId="77777777" w:rsidR="00F203EE" w:rsidRDefault="00F203EE" w:rsidP="00D83304">
      <w:pPr>
        <w:jc w:val="center"/>
        <w:rPr>
          <w:rFonts w:ascii="Arial" w:hAnsi="Arial" w:cs="Arial"/>
          <w:b/>
          <w:bCs/>
          <w:sz w:val="32"/>
          <w:szCs w:val="32"/>
        </w:rPr>
      </w:pPr>
    </w:p>
    <w:p w14:paraId="1FE037A5" w14:textId="77777777" w:rsidR="00F203EE" w:rsidRDefault="00F203EE" w:rsidP="00D83304">
      <w:pPr>
        <w:jc w:val="center"/>
        <w:rPr>
          <w:rFonts w:ascii="Arial" w:hAnsi="Arial" w:cs="Arial"/>
          <w:b/>
          <w:bCs/>
          <w:sz w:val="32"/>
          <w:szCs w:val="32"/>
        </w:rPr>
      </w:pPr>
    </w:p>
    <w:p w14:paraId="6BEE59B6" w14:textId="77C38530" w:rsidR="0082100E" w:rsidRPr="00F203EE" w:rsidRDefault="00D83304" w:rsidP="00F203EE">
      <w:pPr>
        <w:jc w:val="center"/>
        <w:rPr>
          <w:rFonts w:ascii="Arial" w:hAnsi="Arial" w:cs="Arial"/>
          <w:b/>
          <w:bCs/>
          <w:sz w:val="32"/>
          <w:szCs w:val="32"/>
        </w:rPr>
      </w:pPr>
      <w:r w:rsidRPr="00D83304">
        <w:rPr>
          <w:rFonts w:ascii="Arial" w:hAnsi="Arial" w:cs="Arial"/>
          <w:b/>
          <w:bCs/>
          <w:sz w:val="32"/>
          <w:szCs w:val="32"/>
        </w:rPr>
        <w:t>Portfolio – Two Tasks</w:t>
      </w:r>
    </w:p>
    <w:p w14:paraId="4AC4D66F" w14:textId="77777777" w:rsidR="0082100E" w:rsidRDefault="0082100E" w:rsidP="0082100E">
      <w:pPr>
        <w:jc w:val="center"/>
        <w:rPr>
          <w:rFonts w:ascii="Arial" w:hAnsi="Arial" w:cs="Arial"/>
          <w:b/>
          <w:bCs/>
          <w:sz w:val="22"/>
          <w:szCs w:val="22"/>
        </w:rPr>
      </w:pPr>
    </w:p>
    <w:p w14:paraId="6C7BD49D" w14:textId="6B8AE6CA" w:rsidR="0082100E" w:rsidRPr="0082100E" w:rsidRDefault="0082100E" w:rsidP="0082100E">
      <w:pPr>
        <w:jc w:val="center"/>
        <w:rPr>
          <w:rFonts w:ascii="Arial" w:hAnsi="Arial" w:cs="Arial"/>
          <w:b/>
          <w:bCs/>
          <w:sz w:val="22"/>
          <w:szCs w:val="22"/>
        </w:rPr>
      </w:pPr>
      <w:r w:rsidRPr="0082100E">
        <w:rPr>
          <w:rFonts w:ascii="Arial" w:hAnsi="Arial" w:cs="Arial"/>
          <w:b/>
          <w:bCs/>
          <w:sz w:val="22"/>
          <w:szCs w:val="22"/>
        </w:rPr>
        <w:t>Student Name:</w:t>
      </w:r>
      <w:r>
        <w:rPr>
          <w:rFonts w:ascii="Arial" w:hAnsi="Arial" w:cs="Arial"/>
          <w:b/>
          <w:bCs/>
          <w:sz w:val="22"/>
          <w:szCs w:val="22"/>
        </w:rPr>
        <w:t xml:space="preserve"> Nageena Akhtar</w:t>
      </w:r>
    </w:p>
    <w:p w14:paraId="44D6E17D" w14:textId="095A62BF" w:rsidR="0082100E" w:rsidRPr="0082100E" w:rsidRDefault="0082100E" w:rsidP="0082100E">
      <w:pPr>
        <w:jc w:val="center"/>
        <w:rPr>
          <w:rFonts w:ascii="Arial" w:hAnsi="Arial" w:cs="Arial"/>
          <w:b/>
          <w:bCs/>
          <w:sz w:val="22"/>
          <w:szCs w:val="22"/>
        </w:rPr>
      </w:pPr>
      <w:r w:rsidRPr="0082100E">
        <w:rPr>
          <w:rFonts w:ascii="Arial" w:hAnsi="Arial" w:cs="Arial"/>
          <w:b/>
          <w:bCs/>
          <w:sz w:val="22"/>
          <w:szCs w:val="22"/>
        </w:rPr>
        <w:t>Student ID:</w:t>
      </w:r>
      <w:r>
        <w:rPr>
          <w:rFonts w:ascii="Arial" w:hAnsi="Arial" w:cs="Arial"/>
          <w:b/>
          <w:bCs/>
          <w:sz w:val="22"/>
          <w:szCs w:val="22"/>
        </w:rPr>
        <w:t xml:space="preserve"> 2232594</w:t>
      </w:r>
    </w:p>
    <w:p w14:paraId="14D81E87" w14:textId="1C45847A" w:rsidR="0082100E" w:rsidRPr="0082100E" w:rsidRDefault="0082100E" w:rsidP="0082100E">
      <w:pPr>
        <w:jc w:val="center"/>
        <w:rPr>
          <w:rFonts w:ascii="Arial" w:hAnsi="Arial" w:cs="Arial"/>
          <w:b/>
          <w:bCs/>
          <w:sz w:val="22"/>
          <w:szCs w:val="22"/>
        </w:rPr>
      </w:pPr>
      <w:r w:rsidRPr="0082100E">
        <w:rPr>
          <w:rFonts w:ascii="Arial" w:hAnsi="Arial" w:cs="Arial"/>
          <w:b/>
          <w:bCs/>
          <w:sz w:val="22"/>
          <w:szCs w:val="22"/>
        </w:rPr>
        <w:t>Module: LCHS4003 - Introduction to Health and Social Care</w:t>
      </w:r>
    </w:p>
    <w:p w14:paraId="6ED663F1" w14:textId="713B9023" w:rsidR="0082100E" w:rsidRPr="0082100E" w:rsidRDefault="0082100E" w:rsidP="0082100E">
      <w:pPr>
        <w:jc w:val="center"/>
        <w:rPr>
          <w:rFonts w:ascii="Arial" w:hAnsi="Arial" w:cs="Arial"/>
          <w:b/>
          <w:bCs/>
          <w:sz w:val="22"/>
          <w:szCs w:val="22"/>
        </w:rPr>
      </w:pPr>
      <w:r w:rsidRPr="0082100E">
        <w:rPr>
          <w:rFonts w:ascii="Arial" w:hAnsi="Arial" w:cs="Arial"/>
          <w:b/>
          <w:bCs/>
          <w:sz w:val="22"/>
          <w:szCs w:val="22"/>
        </w:rPr>
        <w:t xml:space="preserve">Lecturer’s Name: </w:t>
      </w:r>
      <w:r w:rsidR="00D26ED6">
        <w:rPr>
          <w:rFonts w:ascii="Arial" w:hAnsi="Arial" w:cs="Arial"/>
          <w:b/>
          <w:bCs/>
          <w:sz w:val="22"/>
          <w:szCs w:val="22"/>
        </w:rPr>
        <w:t>Debra odeh</w:t>
      </w:r>
    </w:p>
    <w:p w14:paraId="5DB38A73" w14:textId="77777777" w:rsidR="00144D2E" w:rsidRDefault="00144D2E" w:rsidP="00FA69AA">
      <w:pPr>
        <w:rPr>
          <w:rFonts w:ascii="Arial" w:hAnsi="Arial" w:cs="Arial"/>
          <w:sz w:val="22"/>
          <w:szCs w:val="22"/>
        </w:rPr>
      </w:pPr>
    </w:p>
    <w:p w14:paraId="0142F77D" w14:textId="77777777" w:rsidR="00144D2E" w:rsidRDefault="00144D2E" w:rsidP="00FA69AA">
      <w:pPr>
        <w:rPr>
          <w:rFonts w:ascii="Arial" w:hAnsi="Arial" w:cs="Arial"/>
          <w:sz w:val="22"/>
          <w:szCs w:val="22"/>
        </w:rPr>
      </w:pPr>
    </w:p>
    <w:p w14:paraId="55F105BE" w14:textId="77777777" w:rsidR="00144D2E" w:rsidRDefault="00144D2E" w:rsidP="00FA69AA">
      <w:pPr>
        <w:rPr>
          <w:rFonts w:ascii="Arial" w:hAnsi="Arial" w:cs="Arial"/>
          <w:sz w:val="22"/>
          <w:szCs w:val="22"/>
        </w:rPr>
      </w:pPr>
    </w:p>
    <w:p w14:paraId="41D8D997" w14:textId="77777777" w:rsidR="00144D2E" w:rsidRDefault="00144D2E" w:rsidP="00FA69AA">
      <w:pPr>
        <w:rPr>
          <w:rFonts w:ascii="Arial" w:hAnsi="Arial" w:cs="Arial"/>
          <w:sz w:val="22"/>
          <w:szCs w:val="22"/>
        </w:rPr>
      </w:pPr>
    </w:p>
    <w:p w14:paraId="6D9B5176" w14:textId="77777777" w:rsidR="00144D2E" w:rsidRDefault="00144D2E" w:rsidP="00FA69AA">
      <w:pPr>
        <w:rPr>
          <w:rFonts w:ascii="Arial" w:hAnsi="Arial" w:cs="Arial"/>
          <w:sz w:val="22"/>
          <w:szCs w:val="22"/>
        </w:rPr>
      </w:pPr>
    </w:p>
    <w:p w14:paraId="7672587C" w14:textId="77777777" w:rsidR="00C06ECA" w:rsidRDefault="00C06ECA" w:rsidP="00FA69AA">
      <w:pPr>
        <w:rPr>
          <w:rFonts w:ascii="Arial" w:hAnsi="Arial" w:cs="Arial"/>
          <w:sz w:val="22"/>
          <w:szCs w:val="22"/>
        </w:rPr>
      </w:pPr>
    </w:p>
    <w:p w14:paraId="38D41D58" w14:textId="77777777" w:rsidR="00C06ECA" w:rsidRDefault="00C06ECA" w:rsidP="00FA69AA">
      <w:pPr>
        <w:rPr>
          <w:rFonts w:ascii="Arial" w:hAnsi="Arial" w:cs="Arial"/>
          <w:sz w:val="22"/>
          <w:szCs w:val="22"/>
        </w:rPr>
      </w:pPr>
    </w:p>
    <w:p w14:paraId="27E8AF0B" w14:textId="77777777" w:rsidR="00C06ECA" w:rsidRDefault="00C06ECA" w:rsidP="00FA69AA">
      <w:pPr>
        <w:rPr>
          <w:rFonts w:ascii="Arial" w:hAnsi="Arial" w:cs="Arial"/>
          <w:sz w:val="22"/>
          <w:szCs w:val="22"/>
        </w:rPr>
      </w:pPr>
    </w:p>
    <w:p w14:paraId="4260F941" w14:textId="77777777" w:rsidR="00C06ECA" w:rsidRDefault="00C06ECA" w:rsidP="00FA69AA">
      <w:pPr>
        <w:rPr>
          <w:rFonts w:ascii="Arial" w:hAnsi="Arial" w:cs="Arial"/>
          <w:sz w:val="22"/>
          <w:szCs w:val="22"/>
        </w:rPr>
      </w:pPr>
    </w:p>
    <w:p w14:paraId="4C08950B" w14:textId="77777777" w:rsidR="00C06ECA" w:rsidRDefault="00C06ECA" w:rsidP="00FA69AA">
      <w:pPr>
        <w:rPr>
          <w:rFonts w:ascii="Arial" w:hAnsi="Arial" w:cs="Arial"/>
          <w:sz w:val="22"/>
          <w:szCs w:val="22"/>
        </w:rPr>
      </w:pPr>
    </w:p>
    <w:p w14:paraId="62183D02" w14:textId="77777777" w:rsidR="00C06ECA" w:rsidRDefault="00C06ECA" w:rsidP="00FA69AA">
      <w:pPr>
        <w:rPr>
          <w:rFonts w:ascii="Arial" w:hAnsi="Arial" w:cs="Arial"/>
          <w:sz w:val="22"/>
          <w:szCs w:val="22"/>
        </w:rPr>
      </w:pPr>
    </w:p>
    <w:p w14:paraId="548C2693" w14:textId="77777777" w:rsidR="00C06ECA" w:rsidRDefault="00C06ECA" w:rsidP="00FA69AA">
      <w:pPr>
        <w:rPr>
          <w:rFonts w:ascii="Arial" w:hAnsi="Arial" w:cs="Arial"/>
          <w:sz w:val="22"/>
          <w:szCs w:val="22"/>
        </w:rPr>
      </w:pPr>
    </w:p>
    <w:p w14:paraId="29B1EC0E" w14:textId="42791CAA" w:rsidR="00C06ECA" w:rsidRPr="00C06ECA" w:rsidRDefault="00C06ECA" w:rsidP="00C06ECA">
      <w:pPr>
        <w:rPr>
          <w:rFonts w:ascii="Arial" w:hAnsi="Arial" w:cs="Arial"/>
          <w:sz w:val="22"/>
          <w:szCs w:val="22"/>
          <w:lang w:val="de-DE"/>
        </w:rPr>
      </w:pPr>
      <w:r w:rsidRPr="00C06ECA">
        <w:rPr>
          <w:rFonts w:ascii="Arial" w:hAnsi="Arial" w:cs="Arial"/>
          <w:noProof/>
          <w:sz w:val="22"/>
          <w:szCs w:val="22"/>
          <w:lang w:val="de-DE"/>
        </w:rPr>
        <w:lastRenderedPageBreak/>
        <w:drawing>
          <wp:inline distT="0" distB="0" distL="0" distR="0" wp14:anchorId="252C25C6" wp14:editId="1D503F62">
            <wp:extent cx="5943600" cy="4457700"/>
            <wp:effectExtent l="0" t="0" r="0" b="0"/>
            <wp:docPr id="227983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7459A72" w14:textId="77777777" w:rsidR="00C06ECA" w:rsidRDefault="00C06ECA" w:rsidP="00FA69AA">
      <w:pPr>
        <w:rPr>
          <w:rFonts w:ascii="Arial" w:hAnsi="Arial" w:cs="Arial"/>
          <w:sz w:val="22"/>
          <w:szCs w:val="22"/>
        </w:rPr>
      </w:pPr>
    </w:p>
    <w:p w14:paraId="36B3D62C" w14:textId="77777777" w:rsidR="00C06ECA" w:rsidRDefault="00C06ECA" w:rsidP="00FA69AA">
      <w:pPr>
        <w:rPr>
          <w:rFonts w:ascii="Arial" w:hAnsi="Arial" w:cs="Arial"/>
          <w:sz w:val="22"/>
          <w:szCs w:val="22"/>
        </w:rPr>
      </w:pPr>
    </w:p>
    <w:p w14:paraId="3402FC8B" w14:textId="77777777" w:rsidR="00C06ECA" w:rsidRDefault="00C06ECA" w:rsidP="00FA69AA">
      <w:pPr>
        <w:rPr>
          <w:rFonts w:ascii="Arial" w:hAnsi="Arial" w:cs="Arial"/>
          <w:sz w:val="22"/>
          <w:szCs w:val="22"/>
        </w:rPr>
      </w:pPr>
    </w:p>
    <w:p w14:paraId="042EEB30" w14:textId="77777777" w:rsidR="00C06ECA" w:rsidRDefault="00C06ECA" w:rsidP="00FA69AA">
      <w:pPr>
        <w:rPr>
          <w:rFonts w:ascii="Arial" w:hAnsi="Arial" w:cs="Arial"/>
          <w:sz w:val="22"/>
          <w:szCs w:val="22"/>
        </w:rPr>
      </w:pPr>
    </w:p>
    <w:p w14:paraId="23EB1876" w14:textId="77777777" w:rsidR="00C06ECA" w:rsidRDefault="00C06ECA" w:rsidP="00FA69AA">
      <w:pPr>
        <w:rPr>
          <w:rFonts w:ascii="Arial" w:hAnsi="Arial" w:cs="Arial"/>
          <w:sz w:val="22"/>
          <w:szCs w:val="22"/>
        </w:rPr>
      </w:pPr>
    </w:p>
    <w:p w14:paraId="272DCEEA" w14:textId="77777777" w:rsidR="00C06ECA" w:rsidRDefault="00C06ECA" w:rsidP="00FA69AA">
      <w:pPr>
        <w:rPr>
          <w:rFonts w:ascii="Arial" w:hAnsi="Arial" w:cs="Arial"/>
          <w:sz w:val="22"/>
          <w:szCs w:val="22"/>
        </w:rPr>
      </w:pPr>
    </w:p>
    <w:p w14:paraId="5B6178E7" w14:textId="77777777" w:rsidR="00C06ECA" w:rsidRDefault="00C06ECA" w:rsidP="00FA69AA">
      <w:pPr>
        <w:rPr>
          <w:rFonts w:ascii="Arial" w:hAnsi="Arial" w:cs="Arial"/>
          <w:sz w:val="22"/>
          <w:szCs w:val="22"/>
        </w:rPr>
      </w:pPr>
    </w:p>
    <w:p w14:paraId="476D31E7" w14:textId="77777777" w:rsidR="00C06ECA" w:rsidRDefault="00C06ECA" w:rsidP="00FA69AA">
      <w:pPr>
        <w:rPr>
          <w:rFonts w:ascii="Arial" w:hAnsi="Arial" w:cs="Arial"/>
          <w:sz w:val="22"/>
          <w:szCs w:val="22"/>
        </w:rPr>
      </w:pPr>
    </w:p>
    <w:p w14:paraId="484554C9" w14:textId="77777777" w:rsidR="00C06ECA" w:rsidRDefault="00C06ECA" w:rsidP="00FA69AA">
      <w:pPr>
        <w:rPr>
          <w:rFonts w:ascii="Arial" w:hAnsi="Arial" w:cs="Arial"/>
          <w:sz w:val="22"/>
          <w:szCs w:val="22"/>
        </w:rPr>
      </w:pPr>
    </w:p>
    <w:p w14:paraId="1396A8FA" w14:textId="77777777" w:rsidR="00144D2E" w:rsidRDefault="00144D2E" w:rsidP="00C06ECA">
      <w:pPr>
        <w:rPr>
          <w:rFonts w:ascii="Arial" w:hAnsi="Arial" w:cs="Arial"/>
          <w:b/>
          <w:bCs/>
          <w:sz w:val="22"/>
          <w:szCs w:val="22"/>
        </w:rPr>
      </w:pPr>
    </w:p>
    <w:p w14:paraId="6158455C" w14:textId="77777777" w:rsidR="00144D2E" w:rsidRPr="00FA69AA" w:rsidRDefault="00144D2E" w:rsidP="00FA69AA">
      <w:pPr>
        <w:jc w:val="center"/>
        <w:rPr>
          <w:rFonts w:ascii="Arial" w:hAnsi="Arial" w:cs="Arial"/>
          <w:b/>
          <w:bCs/>
          <w:sz w:val="22"/>
          <w:szCs w:val="22"/>
        </w:rPr>
      </w:pPr>
    </w:p>
    <w:p w14:paraId="0D4B417F" w14:textId="120FDB12" w:rsidR="00FA69AA" w:rsidRPr="00FA69AA" w:rsidRDefault="00FA69AA" w:rsidP="00FA69AA">
      <w:pPr>
        <w:jc w:val="center"/>
        <w:rPr>
          <w:rFonts w:ascii="Arial" w:hAnsi="Arial" w:cs="Arial"/>
          <w:b/>
          <w:bCs/>
          <w:sz w:val="22"/>
          <w:szCs w:val="22"/>
        </w:rPr>
      </w:pPr>
      <w:r w:rsidRPr="00FA69AA">
        <w:rPr>
          <w:rFonts w:ascii="Arial" w:hAnsi="Arial" w:cs="Arial"/>
          <w:b/>
          <w:bCs/>
          <w:sz w:val="22"/>
          <w:szCs w:val="22"/>
        </w:rPr>
        <w:lastRenderedPageBreak/>
        <w:t>The National Health Service (NHS): Origins, Principles, and Current Functioning</w:t>
      </w:r>
    </w:p>
    <w:p w14:paraId="5076F820" w14:textId="1C948FE1" w:rsidR="00FA69AA" w:rsidRPr="00FA69AA" w:rsidRDefault="00FA69AA" w:rsidP="00FA69AA">
      <w:pPr>
        <w:pStyle w:val="Heading1"/>
        <w:numPr>
          <w:ilvl w:val="0"/>
          <w:numId w:val="1"/>
        </w:numPr>
        <w:rPr>
          <w:rFonts w:ascii="Arial" w:hAnsi="Arial" w:cs="Arial"/>
          <w:sz w:val="22"/>
          <w:szCs w:val="36"/>
        </w:rPr>
      </w:pPr>
      <w:r w:rsidRPr="00FA69AA">
        <w:rPr>
          <w:rFonts w:ascii="Arial" w:hAnsi="Arial" w:cs="Arial"/>
          <w:sz w:val="22"/>
          <w:szCs w:val="36"/>
        </w:rPr>
        <w:t xml:space="preserve">Introduction </w:t>
      </w:r>
    </w:p>
    <w:p w14:paraId="270658B1" w14:textId="7473260F" w:rsidR="00FA69AA" w:rsidRPr="00FA69AA" w:rsidRDefault="00FA69AA" w:rsidP="00FA69AA">
      <w:pPr>
        <w:rPr>
          <w:rFonts w:ascii="Arial" w:hAnsi="Arial" w:cs="Arial"/>
          <w:sz w:val="22"/>
          <w:szCs w:val="22"/>
        </w:rPr>
      </w:pPr>
      <w:r w:rsidRPr="00FA69AA">
        <w:rPr>
          <w:rFonts w:ascii="Arial" w:hAnsi="Arial" w:cs="Arial"/>
          <w:sz w:val="22"/>
          <w:szCs w:val="22"/>
        </w:rPr>
        <w:t>The National Health Service (NHS) is one of the greatest social reforms in British history. It was founded in 1948 to offer elaborate healthcare services to every citizen and free at the point of delivery. It was based on the social needs after the war, the political intentions, and the idea that healthcare should not be a privilege, but a right of the people. This essay will discuss the history of the NHS, the principles of its formation, its present organization and operations, as well as the challenges it is dealing with nowadays.</w:t>
      </w:r>
    </w:p>
    <w:p w14:paraId="47298D14" w14:textId="45ED67E2" w:rsidR="00FA69AA" w:rsidRPr="00FA69AA" w:rsidRDefault="00FA69AA" w:rsidP="00FA69AA">
      <w:pPr>
        <w:pStyle w:val="Heading1"/>
        <w:numPr>
          <w:ilvl w:val="0"/>
          <w:numId w:val="1"/>
        </w:numPr>
        <w:rPr>
          <w:rFonts w:ascii="Arial" w:hAnsi="Arial" w:cs="Arial"/>
          <w:sz w:val="22"/>
          <w:szCs w:val="36"/>
        </w:rPr>
      </w:pPr>
      <w:r w:rsidRPr="00FA69AA">
        <w:rPr>
          <w:rFonts w:ascii="Arial" w:hAnsi="Arial" w:cs="Arial"/>
          <w:sz w:val="22"/>
          <w:szCs w:val="36"/>
        </w:rPr>
        <w:t>Origins of the NHS</w:t>
      </w:r>
    </w:p>
    <w:p w14:paraId="2016024C" w14:textId="792593E8" w:rsidR="00FA69AA" w:rsidRPr="00FA69AA" w:rsidRDefault="00FA69AA" w:rsidP="00FA69AA">
      <w:pPr>
        <w:rPr>
          <w:rFonts w:ascii="Arial" w:hAnsi="Arial" w:cs="Arial"/>
          <w:sz w:val="22"/>
          <w:szCs w:val="22"/>
        </w:rPr>
      </w:pPr>
      <w:r w:rsidRPr="00FA69AA">
        <w:rPr>
          <w:rFonts w:ascii="Arial" w:hAnsi="Arial" w:cs="Arial"/>
          <w:sz w:val="22"/>
          <w:szCs w:val="22"/>
        </w:rPr>
        <w:t>The establishment of the NHS was strongly affected by the social and economic circumstances of the aftermath of the Second World War. Medical services were mass organized during the war to take care of the civilians and soldiers, and this showed the advantage of having a single healthcare system. But until 1948, healthcare access in the UK was highly income-based; the majority of the services were privately funded and delivered under charity, which meant many people could not afford to receive medical care.</w:t>
      </w:r>
    </w:p>
    <w:p w14:paraId="4A8D2AB1" w14:textId="77777777" w:rsidR="00971E1B" w:rsidRDefault="00FA69AA" w:rsidP="00971E1B">
      <w:pPr>
        <w:rPr>
          <w:rFonts w:ascii="Arial" w:hAnsi="Arial" w:cs="Arial"/>
          <w:sz w:val="22"/>
          <w:szCs w:val="22"/>
        </w:rPr>
      </w:pPr>
      <w:r w:rsidRPr="00FA69AA">
        <w:rPr>
          <w:rFonts w:ascii="Arial" w:hAnsi="Arial" w:cs="Arial"/>
          <w:sz w:val="22"/>
          <w:szCs w:val="22"/>
        </w:rPr>
        <w:t>The Beveridge Report (1942), which was written by Sir William Beveridge, was the basis of the post-war welfare reform. It revealed five so-called giant evils, such as want, disease, ignorance, squalor, and idleness, and suggested the creation of a full-fledged welfare state, including universal healthcare. These proposals gave Aneurin Bevan, the then Minister of Health, the impetus to propose the National Health Service Act (1946), which resulted in the making of the NHS official in 1948</w:t>
      </w:r>
      <w:r w:rsidR="00971E1B">
        <w:rPr>
          <w:rFonts w:ascii="Arial" w:hAnsi="Arial" w:cs="Arial"/>
          <w:sz w:val="22"/>
          <w:szCs w:val="22"/>
        </w:rPr>
        <w:t xml:space="preserve"> (</w:t>
      </w:r>
      <w:r w:rsidR="00971E1B" w:rsidRPr="00971E1B">
        <w:rPr>
          <w:rFonts w:ascii="Arial" w:hAnsi="Arial" w:cs="Arial"/>
          <w:sz w:val="22"/>
          <w:szCs w:val="22"/>
        </w:rPr>
        <w:t>Ham,</w:t>
      </w:r>
      <w:r w:rsidR="00971E1B">
        <w:rPr>
          <w:rFonts w:ascii="Arial" w:hAnsi="Arial" w:cs="Arial"/>
          <w:sz w:val="22"/>
          <w:szCs w:val="22"/>
        </w:rPr>
        <w:t xml:space="preserve"> 2024)</w:t>
      </w:r>
      <w:r w:rsidRPr="00FA69AA">
        <w:rPr>
          <w:rFonts w:ascii="Arial" w:hAnsi="Arial" w:cs="Arial"/>
          <w:sz w:val="22"/>
          <w:szCs w:val="22"/>
        </w:rPr>
        <w:t>. The NHS united hospitals, general practitioners (GPs), dentists, and pharmacists under a unified publicly funded structure. Its opening was the first in history when all UK citizens, irrespective of their wealth and social status, had access to healthcare</w:t>
      </w:r>
      <w:r w:rsidR="00971E1B">
        <w:rPr>
          <w:rFonts w:ascii="Arial" w:hAnsi="Arial" w:cs="Arial"/>
          <w:sz w:val="22"/>
          <w:szCs w:val="22"/>
        </w:rPr>
        <w:t>.</w:t>
      </w:r>
      <w:r w:rsidRPr="00FA69AA">
        <w:rPr>
          <w:rFonts w:ascii="Arial" w:hAnsi="Arial" w:cs="Arial"/>
          <w:sz w:val="22"/>
          <w:szCs w:val="22"/>
        </w:rPr>
        <w:t xml:space="preserve"> </w:t>
      </w:r>
    </w:p>
    <w:p w14:paraId="15F070F6" w14:textId="0885FFFD" w:rsidR="00FA69AA" w:rsidRPr="00FA69AA" w:rsidRDefault="00FA69AA" w:rsidP="00971E1B">
      <w:pPr>
        <w:pStyle w:val="Heading1"/>
        <w:numPr>
          <w:ilvl w:val="0"/>
          <w:numId w:val="1"/>
        </w:numPr>
      </w:pPr>
      <w:r w:rsidRPr="00FA69AA">
        <w:t>Key Principles of the NHS</w:t>
      </w:r>
    </w:p>
    <w:p w14:paraId="442A469D" w14:textId="24A63DF0" w:rsidR="00FA69AA" w:rsidRPr="00FA69AA" w:rsidRDefault="00FA69AA" w:rsidP="00FA69AA">
      <w:pPr>
        <w:rPr>
          <w:rFonts w:ascii="Arial" w:hAnsi="Arial" w:cs="Arial"/>
          <w:sz w:val="22"/>
          <w:szCs w:val="22"/>
        </w:rPr>
      </w:pPr>
      <w:r w:rsidRPr="00FA69AA">
        <w:rPr>
          <w:rFonts w:ascii="Arial" w:hAnsi="Arial" w:cs="Arial"/>
          <w:sz w:val="22"/>
          <w:szCs w:val="22"/>
        </w:rPr>
        <w:t>The Universal, accessibility, and free care at the point of use are the three principles on which the NHS was established. Universality guaranteed that all citizens had the same access to healthcare, accessibility meant that all citizens had access to the services no matter their income or location, and free care at the point of use ensured that the cost of treatment could be covered by government taxation and not by patients themselves (</w:t>
      </w:r>
      <w:r w:rsidR="00971E1B" w:rsidRPr="00971E1B">
        <w:rPr>
          <w:rFonts w:ascii="Arial" w:hAnsi="Arial" w:cs="Arial"/>
          <w:sz w:val="22"/>
          <w:szCs w:val="22"/>
        </w:rPr>
        <w:t>Garbi</w:t>
      </w:r>
      <w:r w:rsidRPr="00FA69AA">
        <w:rPr>
          <w:rFonts w:ascii="Arial" w:hAnsi="Arial" w:cs="Arial"/>
          <w:sz w:val="22"/>
          <w:szCs w:val="22"/>
        </w:rPr>
        <w:t xml:space="preserve">, 2021). These principles were based on the belief that good health was the key to social equality and national productivity. </w:t>
      </w:r>
      <w:r w:rsidRPr="00FA69AA">
        <w:rPr>
          <w:rFonts w:ascii="Arial" w:hAnsi="Arial" w:cs="Arial"/>
          <w:sz w:val="22"/>
          <w:szCs w:val="22"/>
        </w:rPr>
        <w:lastRenderedPageBreak/>
        <w:t>Throughout the years, these values have been part of the heart of the NHS policy, but today, new reforms have broadened the scope to encompass patient choice, quality of care, and efficiency.</w:t>
      </w:r>
    </w:p>
    <w:p w14:paraId="5136C80C" w14:textId="2A2F962C" w:rsidR="00FA69AA" w:rsidRPr="00FA69AA" w:rsidRDefault="00FA69AA" w:rsidP="00FA69AA">
      <w:pPr>
        <w:pStyle w:val="Heading1"/>
        <w:numPr>
          <w:ilvl w:val="0"/>
          <w:numId w:val="1"/>
        </w:numPr>
        <w:rPr>
          <w:rFonts w:ascii="Arial" w:hAnsi="Arial" w:cs="Arial"/>
          <w:sz w:val="22"/>
          <w:szCs w:val="36"/>
        </w:rPr>
      </w:pPr>
      <w:r w:rsidRPr="00FA69AA">
        <w:rPr>
          <w:rFonts w:ascii="Arial" w:hAnsi="Arial" w:cs="Arial"/>
          <w:sz w:val="22"/>
          <w:szCs w:val="36"/>
        </w:rPr>
        <w:t>Present Day Organization and Workings of the NHS.</w:t>
      </w:r>
    </w:p>
    <w:p w14:paraId="0C4AEE75" w14:textId="7BD4EC0B" w:rsidR="00FA69AA" w:rsidRPr="00FA69AA" w:rsidRDefault="00FA69AA" w:rsidP="00FA69AA">
      <w:pPr>
        <w:rPr>
          <w:rFonts w:ascii="Arial" w:hAnsi="Arial" w:cs="Arial"/>
          <w:sz w:val="22"/>
          <w:szCs w:val="22"/>
        </w:rPr>
      </w:pPr>
      <w:r w:rsidRPr="00FA69AA">
        <w:rPr>
          <w:rFonts w:ascii="Arial" w:hAnsi="Arial" w:cs="Arial"/>
          <w:sz w:val="22"/>
          <w:szCs w:val="22"/>
        </w:rPr>
        <w:t>The NHS has become one of the largest publicly-funded healthcare systems in the world today. It functions under four distinct systems in England, Scotland, Wales, and Northern Ireland, and each has its devolved government in control. In England, NHS England regulates the provision of services, which liaise with Integrated Care Boards (ICBs) who organize local primary, secondary, and community care. The NHS offers an extensive list of services, such as general practice, hospital services, emergency services, mental health services, and the prevention of public health.</w:t>
      </w:r>
    </w:p>
    <w:p w14:paraId="31AABCC5" w14:textId="486D4F97" w:rsidR="00FA69AA" w:rsidRPr="00FA69AA" w:rsidRDefault="00FA69AA" w:rsidP="00FA69AA">
      <w:pPr>
        <w:rPr>
          <w:rFonts w:ascii="Arial" w:hAnsi="Arial" w:cs="Arial"/>
          <w:sz w:val="22"/>
          <w:szCs w:val="22"/>
        </w:rPr>
      </w:pPr>
      <w:r w:rsidRPr="00FA69AA">
        <w:rPr>
          <w:rFonts w:ascii="Arial" w:hAnsi="Arial" w:cs="Arial"/>
          <w:sz w:val="22"/>
          <w:szCs w:val="22"/>
        </w:rPr>
        <w:t>Nevertheless, the current pressing issues in the NHS include the problem of budget constraints, increasing patient numbers, and the lack of personnel. The population that is aging has contributed to the high demand for long-term care, and the availability of finances has contributed to long queues and delays in the provision of services. The COVID-19 pandemic also revealed the vulnerabilities in both the capacity of the workforce and the distribution of resources. Nevertheless, the NHS has continued to transform digitally, integrate services, and implement a policy agenda to enhance efficiency and patient outcomes (</w:t>
      </w:r>
      <w:r w:rsidR="00971E1B">
        <w:rPr>
          <w:rFonts w:ascii="Arial" w:hAnsi="Arial" w:cs="Arial"/>
          <w:sz w:val="22"/>
          <w:szCs w:val="22"/>
        </w:rPr>
        <w:t>NHS,</w:t>
      </w:r>
      <w:r w:rsidRPr="00FA69AA">
        <w:rPr>
          <w:rFonts w:ascii="Arial" w:hAnsi="Arial" w:cs="Arial"/>
          <w:sz w:val="22"/>
          <w:szCs w:val="22"/>
        </w:rPr>
        <w:t xml:space="preserve"> 20</w:t>
      </w:r>
      <w:r w:rsidR="00971E1B">
        <w:rPr>
          <w:rFonts w:ascii="Arial" w:hAnsi="Arial" w:cs="Arial"/>
          <w:sz w:val="22"/>
          <w:szCs w:val="22"/>
        </w:rPr>
        <w:t>19</w:t>
      </w:r>
      <w:r w:rsidRPr="00FA69AA">
        <w:rPr>
          <w:rFonts w:ascii="Arial" w:hAnsi="Arial" w:cs="Arial"/>
          <w:sz w:val="22"/>
          <w:szCs w:val="22"/>
        </w:rPr>
        <w:t>).</w:t>
      </w:r>
    </w:p>
    <w:p w14:paraId="13212A35" w14:textId="56FBA0CE" w:rsidR="00FA69AA" w:rsidRPr="00FA69AA" w:rsidRDefault="00FA69AA" w:rsidP="00FA69AA">
      <w:pPr>
        <w:pStyle w:val="Heading1"/>
        <w:numPr>
          <w:ilvl w:val="0"/>
          <w:numId w:val="1"/>
        </w:numPr>
        <w:rPr>
          <w:rFonts w:ascii="Arial" w:hAnsi="Arial" w:cs="Arial"/>
          <w:sz w:val="22"/>
          <w:szCs w:val="36"/>
        </w:rPr>
      </w:pPr>
      <w:r w:rsidRPr="00FA69AA">
        <w:rPr>
          <w:rFonts w:ascii="Arial" w:hAnsi="Arial" w:cs="Arial"/>
          <w:sz w:val="22"/>
          <w:szCs w:val="36"/>
        </w:rPr>
        <w:t>Conclusion</w:t>
      </w:r>
    </w:p>
    <w:p w14:paraId="2D7B7C1F" w14:textId="5E99778E" w:rsidR="00FA69AA" w:rsidRDefault="00FA69AA" w:rsidP="00FA69AA">
      <w:pPr>
        <w:rPr>
          <w:rFonts w:ascii="Arial" w:hAnsi="Arial" w:cs="Arial"/>
          <w:sz w:val="22"/>
          <w:szCs w:val="22"/>
        </w:rPr>
      </w:pPr>
      <w:r w:rsidRPr="00FA69AA">
        <w:rPr>
          <w:rFonts w:ascii="Arial" w:hAnsi="Arial" w:cs="Arial"/>
          <w:sz w:val="22"/>
          <w:szCs w:val="22"/>
        </w:rPr>
        <w:t>It is the vision of equality, compassion, and shared responsibility that led to the birth of the National Health Service. It was based on the values of universality and free access and changed healthcare in the UK, becoming an example for other countries. Despite financial and manpower pressures being experienced in the present day by the NHS, the ideals of the system still dictate its development. It is necessary to continue investing and innovating so that the NHS can be in a position to fulfill the health requirements of the generations to come without compromising on its defining values.</w:t>
      </w:r>
    </w:p>
    <w:p w14:paraId="3E5B0B2E" w14:textId="77777777" w:rsidR="00971E1B" w:rsidRDefault="00971E1B" w:rsidP="00FA69AA">
      <w:pPr>
        <w:rPr>
          <w:rFonts w:ascii="Arial" w:hAnsi="Arial" w:cs="Arial"/>
          <w:sz w:val="22"/>
          <w:szCs w:val="22"/>
        </w:rPr>
      </w:pPr>
    </w:p>
    <w:p w14:paraId="407BA323" w14:textId="77777777" w:rsidR="00971E1B" w:rsidRDefault="00971E1B" w:rsidP="00FA69AA">
      <w:pPr>
        <w:rPr>
          <w:rFonts w:ascii="Arial" w:hAnsi="Arial" w:cs="Arial"/>
          <w:sz w:val="22"/>
          <w:szCs w:val="22"/>
        </w:rPr>
      </w:pPr>
    </w:p>
    <w:p w14:paraId="25B48C00" w14:textId="77777777" w:rsidR="00971E1B" w:rsidRDefault="00971E1B" w:rsidP="00FA69AA">
      <w:pPr>
        <w:rPr>
          <w:rFonts w:ascii="Arial" w:hAnsi="Arial" w:cs="Arial"/>
          <w:sz w:val="22"/>
          <w:szCs w:val="22"/>
        </w:rPr>
      </w:pPr>
    </w:p>
    <w:p w14:paraId="65B28205" w14:textId="77777777" w:rsidR="00971E1B" w:rsidRDefault="00971E1B" w:rsidP="00FA69AA">
      <w:pPr>
        <w:rPr>
          <w:rFonts w:ascii="Arial" w:hAnsi="Arial" w:cs="Arial"/>
          <w:sz w:val="22"/>
          <w:szCs w:val="22"/>
        </w:rPr>
      </w:pPr>
    </w:p>
    <w:p w14:paraId="17614983" w14:textId="05AE7508" w:rsidR="00971E1B" w:rsidRDefault="00971E1B" w:rsidP="00971E1B">
      <w:pPr>
        <w:pStyle w:val="Heading1"/>
      </w:pPr>
      <w:r>
        <w:lastRenderedPageBreak/>
        <w:t>References</w:t>
      </w:r>
    </w:p>
    <w:p w14:paraId="6927FD6C" w14:textId="77777777" w:rsidR="00971E1B" w:rsidRPr="00971E1B" w:rsidRDefault="00971E1B" w:rsidP="00971E1B">
      <w:proofErr w:type="spellStart"/>
      <w:r w:rsidRPr="00971E1B">
        <w:t>Abuzour</w:t>
      </w:r>
      <w:proofErr w:type="spellEnd"/>
      <w:r w:rsidRPr="00971E1B">
        <w:t xml:space="preserve">, A.S., Hoad-Reddick, G., Shahid, M., Steinke, D.T., Tully, M.P., Williams, S.D. and Lewis, P.J. (2021) ‘Patient </w:t>
      </w:r>
      <w:proofErr w:type="spellStart"/>
      <w:r w:rsidRPr="00971E1B">
        <w:t>prioritisation</w:t>
      </w:r>
      <w:proofErr w:type="spellEnd"/>
      <w:r w:rsidRPr="00971E1B">
        <w:t xml:space="preserve"> for hospital pharmacy services: current approaches in the UK’, </w:t>
      </w:r>
      <w:r w:rsidRPr="00971E1B">
        <w:rPr>
          <w:i/>
          <w:iCs/>
        </w:rPr>
        <w:t>European Journal of Hospital Pharmacy,</w:t>
      </w:r>
      <w:r w:rsidRPr="00971E1B">
        <w:t xml:space="preserve"> 28(e1), pp. e102–e108.</w:t>
      </w:r>
    </w:p>
    <w:p w14:paraId="3E320F85" w14:textId="77777777" w:rsidR="00971E1B" w:rsidRPr="00971E1B" w:rsidRDefault="00971E1B" w:rsidP="00971E1B">
      <w:r w:rsidRPr="00971E1B">
        <w:t xml:space="preserve">England, N.H.S. (2019) </w:t>
      </w:r>
      <w:r w:rsidRPr="00971E1B">
        <w:rPr>
          <w:i/>
          <w:iCs/>
        </w:rPr>
        <w:t>NHS England and NHS Improvement: Diagnostic Imaging Dataset Annual Statistical Release 2020.</w:t>
      </w:r>
      <w:r w:rsidRPr="00971E1B">
        <w:t xml:space="preserve"> London: NHS England.</w:t>
      </w:r>
    </w:p>
    <w:p w14:paraId="218A41C0" w14:textId="77777777" w:rsidR="00971E1B" w:rsidRPr="00971E1B" w:rsidRDefault="00971E1B" w:rsidP="00971E1B">
      <w:r w:rsidRPr="00971E1B">
        <w:t xml:space="preserve">Garbi, M. (2021) ‘National Institute for Health and Care Excellence clinical guidelines development principles and processes’, </w:t>
      </w:r>
      <w:r w:rsidRPr="00971E1B">
        <w:rPr>
          <w:i/>
          <w:iCs/>
        </w:rPr>
        <w:t>Heart,</w:t>
      </w:r>
      <w:r w:rsidRPr="00971E1B">
        <w:t xml:space="preserve"> 107(12), pp. 949–953.</w:t>
      </w:r>
    </w:p>
    <w:p w14:paraId="500933D2" w14:textId="77777777" w:rsidR="00971E1B" w:rsidRPr="00971E1B" w:rsidRDefault="00971E1B" w:rsidP="00971E1B">
      <w:r w:rsidRPr="00971E1B">
        <w:t xml:space="preserve">Ham, C. (2024) </w:t>
      </w:r>
      <w:r w:rsidRPr="00971E1B">
        <w:rPr>
          <w:i/>
          <w:iCs/>
        </w:rPr>
        <w:t>Health Policy in Britain: The Politics and Organization of the National Health Service.</w:t>
      </w:r>
      <w:r w:rsidRPr="00971E1B">
        <w:t xml:space="preserve"> London: Routledge.</w:t>
      </w:r>
    </w:p>
    <w:p w14:paraId="0C15EDA9" w14:textId="77777777" w:rsidR="00971E1B" w:rsidRPr="00971E1B" w:rsidRDefault="00971E1B" w:rsidP="00971E1B">
      <w:r w:rsidRPr="00971E1B">
        <w:t xml:space="preserve">Mohiuddin, A.K. (2019) ‘The excellence of pharmacy service: past, present and future’, </w:t>
      </w:r>
      <w:r w:rsidRPr="00971E1B">
        <w:rPr>
          <w:i/>
          <w:iCs/>
        </w:rPr>
        <w:t>International Journal of Clinical and Developmental Anatomy,</w:t>
      </w:r>
      <w:r w:rsidRPr="00971E1B">
        <w:t xml:space="preserve"> 5(2), pp. 15–36.</w:t>
      </w:r>
    </w:p>
    <w:p w14:paraId="404B353A" w14:textId="77777777" w:rsidR="00971E1B" w:rsidRPr="00971E1B" w:rsidRDefault="00971E1B" w:rsidP="00971E1B">
      <w:r w:rsidRPr="00971E1B">
        <w:t xml:space="preserve">Savickas, V., Foreman, E., Ladva, A., Bhamra, S.K., Sharma, R. and Corlett, S.A. (2021) ‘Pharmacy services and role development in UK general practice: a cross-sectional survey’, </w:t>
      </w:r>
      <w:r w:rsidRPr="00971E1B">
        <w:rPr>
          <w:i/>
          <w:iCs/>
        </w:rPr>
        <w:t>International Journal of Pharmacy Practice,</w:t>
      </w:r>
      <w:r w:rsidRPr="00971E1B">
        <w:t xml:space="preserve"> 29(1), pp. 37–44.</w:t>
      </w:r>
    </w:p>
    <w:p w14:paraId="0B3F9C71" w14:textId="77777777" w:rsidR="00971E1B" w:rsidRPr="00971E1B" w:rsidRDefault="00971E1B" w:rsidP="00971E1B"/>
    <w:sectPr w:rsidR="00971E1B" w:rsidRPr="00971E1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9AF77" w14:textId="77777777" w:rsidR="007959D8" w:rsidRDefault="007959D8" w:rsidP="00C06ECA">
      <w:pPr>
        <w:spacing w:after="0" w:line="240" w:lineRule="auto"/>
      </w:pPr>
      <w:r>
        <w:separator/>
      </w:r>
    </w:p>
  </w:endnote>
  <w:endnote w:type="continuationSeparator" w:id="0">
    <w:p w14:paraId="1C6BD213" w14:textId="77777777" w:rsidR="007959D8" w:rsidRDefault="007959D8" w:rsidP="00C06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8078727"/>
      <w:docPartObj>
        <w:docPartGallery w:val="Page Numbers (Bottom of Page)"/>
        <w:docPartUnique/>
      </w:docPartObj>
    </w:sdtPr>
    <w:sdtContent>
      <w:p w14:paraId="59F644B6" w14:textId="56885BA4" w:rsidR="00C06ECA" w:rsidRDefault="00C06ECA">
        <w:pPr>
          <w:pStyle w:val="Footer"/>
          <w:jc w:val="right"/>
        </w:pPr>
        <w:r>
          <w:fldChar w:fldCharType="begin"/>
        </w:r>
        <w:r>
          <w:instrText>PAGE   \* MERGEFORMAT</w:instrText>
        </w:r>
        <w:r>
          <w:fldChar w:fldCharType="separate"/>
        </w:r>
        <w:r>
          <w:rPr>
            <w:lang w:val="de-DE"/>
          </w:rPr>
          <w:t>2</w:t>
        </w:r>
        <w:r>
          <w:fldChar w:fldCharType="end"/>
        </w:r>
      </w:p>
    </w:sdtContent>
  </w:sdt>
  <w:p w14:paraId="11BC2E49" w14:textId="77777777" w:rsidR="00C06ECA" w:rsidRDefault="00C06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18887" w14:textId="77777777" w:rsidR="007959D8" w:rsidRDefault="007959D8" w:rsidP="00C06ECA">
      <w:pPr>
        <w:spacing w:after="0" w:line="240" w:lineRule="auto"/>
      </w:pPr>
      <w:r>
        <w:separator/>
      </w:r>
    </w:p>
  </w:footnote>
  <w:footnote w:type="continuationSeparator" w:id="0">
    <w:p w14:paraId="2027EA85" w14:textId="77777777" w:rsidR="007959D8" w:rsidRDefault="007959D8" w:rsidP="00C06E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E3E70"/>
    <w:multiLevelType w:val="hybridMultilevel"/>
    <w:tmpl w:val="BAB8A9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2189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9AA"/>
    <w:rsid w:val="0014216C"/>
    <w:rsid w:val="00144D2E"/>
    <w:rsid w:val="001A4066"/>
    <w:rsid w:val="002A53F8"/>
    <w:rsid w:val="005B2D1A"/>
    <w:rsid w:val="005E3B7F"/>
    <w:rsid w:val="006E7E23"/>
    <w:rsid w:val="007959D8"/>
    <w:rsid w:val="007C4169"/>
    <w:rsid w:val="0082100E"/>
    <w:rsid w:val="00955E3F"/>
    <w:rsid w:val="00971E1B"/>
    <w:rsid w:val="0099244A"/>
    <w:rsid w:val="009E4268"/>
    <w:rsid w:val="00A22F7A"/>
    <w:rsid w:val="00C06ECA"/>
    <w:rsid w:val="00CF6DF6"/>
    <w:rsid w:val="00D26ED6"/>
    <w:rsid w:val="00D83304"/>
    <w:rsid w:val="00DC19C1"/>
    <w:rsid w:val="00E7389C"/>
    <w:rsid w:val="00EA19A7"/>
    <w:rsid w:val="00EA5A48"/>
    <w:rsid w:val="00F203EE"/>
    <w:rsid w:val="00F871EC"/>
    <w:rsid w:val="00FA69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E09673"/>
  <w15:chartTrackingRefBased/>
  <w15:docId w15:val="{8FFC30D3-C1EF-4894-B855-B23DCBE29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16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E3B7F"/>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5E3B7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FA69AA"/>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A69AA"/>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A69AA"/>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FA69A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69A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69A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69A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B7F"/>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semiHidden/>
    <w:rsid w:val="005E3B7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FA69AA"/>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A69A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A69A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A69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9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9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9AA"/>
    <w:rPr>
      <w:rFonts w:eastAsiaTheme="majorEastAsia" w:cstheme="majorBidi"/>
      <w:color w:val="272727" w:themeColor="text1" w:themeTint="D8"/>
    </w:rPr>
  </w:style>
  <w:style w:type="paragraph" w:styleId="Title">
    <w:name w:val="Title"/>
    <w:basedOn w:val="Normal"/>
    <w:next w:val="Normal"/>
    <w:link w:val="TitleChar"/>
    <w:uiPriority w:val="10"/>
    <w:qFormat/>
    <w:rsid w:val="00FA69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9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9A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9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9AA"/>
    <w:pPr>
      <w:spacing w:before="160"/>
      <w:jc w:val="center"/>
    </w:pPr>
    <w:rPr>
      <w:i/>
      <w:iCs/>
      <w:color w:val="404040" w:themeColor="text1" w:themeTint="BF"/>
    </w:rPr>
  </w:style>
  <w:style w:type="character" w:customStyle="1" w:styleId="QuoteChar">
    <w:name w:val="Quote Char"/>
    <w:basedOn w:val="DefaultParagraphFont"/>
    <w:link w:val="Quote"/>
    <w:uiPriority w:val="29"/>
    <w:rsid w:val="00FA69AA"/>
    <w:rPr>
      <w:rFonts w:ascii="Times New Roman" w:hAnsi="Times New Roman"/>
      <w:i/>
      <w:iCs/>
      <w:color w:val="404040" w:themeColor="text1" w:themeTint="BF"/>
    </w:rPr>
  </w:style>
  <w:style w:type="paragraph" w:styleId="ListParagraph">
    <w:name w:val="List Paragraph"/>
    <w:basedOn w:val="Normal"/>
    <w:uiPriority w:val="34"/>
    <w:qFormat/>
    <w:rsid w:val="00FA69AA"/>
    <w:pPr>
      <w:ind w:left="720"/>
      <w:contextualSpacing/>
    </w:pPr>
  </w:style>
  <w:style w:type="character" w:styleId="IntenseEmphasis">
    <w:name w:val="Intense Emphasis"/>
    <w:basedOn w:val="DefaultParagraphFont"/>
    <w:uiPriority w:val="21"/>
    <w:qFormat/>
    <w:rsid w:val="00FA69AA"/>
    <w:rPr>
      <w:i/>
      <w:iCs/>
      <w:color w:val="2E74B5" w:themeColor="accent1" w:themeShade="BF"/>
    </w:rPr>
  </w:style>
  <w:style w:type="paragraph" w:styleId="IntenseQuote">
    <w:name w:val="Intense Quote"/>
    <w:basedOn w:val="Normal"/>
    <w:next w:val="Normal"/>
    <w:link w:val="IntenseQuoteChar"/>
    <w:uiPriority w:val="30"/>
    <w:qFormat/>
    <w:rsid w:val="00FA69A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A69AA"/>
    <w:rPr>
      <w:rFonts w:ascii="Times New Roman" w:hAnsi="Times New Roman"/>
      <w:i/>
      <w:iCs/>
      <w:color w:val="2E74B5" w:themeColor="accent1" w:themeShade="BF"/>
    </w:rPr>
  </w:style>
  <w:style w:type="character" w:styleId="IntenseReference">
    <w:name w:val="Intense Reference"/>
    <w:basedOn w:val="DefaultParagraphFont"/>
    <w:uiPriority w:val="32"/>
    <w:qFormat/>
    <w:rsid w:val="00FA69AA"/>
    <w:rPr>
      <w:b/>
      <w:bCs/>
      <w:smallCaps/>
      <w:color w:val="2E74B5" w:themeColor="accent1" w:themeShade="BF"/>
      <w:spacing w:val="5"/>
    </w:rPr>
  </w:style>
  <w:style w:type="paragraph" w:styleId="Header">
    <w:name w:val="header"/>
    <w:basedOn w:val="Normal"/>
    <w:link w:val="HeaderChar"/>
    <w:uiPriority w:val="99"/>
    <w:unhideWhenUsed/>
    <w:rsid w:val="00C06ECA"/>
    <w:pPr>
      <w:tabs>
        <w:tab w:val="center" w:pos="4536"/>
        <w:tab w:val="right" w:pos="9072"/>
      </w:tabs>
      <w:spacing w:after="0" w:line="240" w:lineRule="auto"/>
    </w:pPr>
  </w:style>
  <w:style w:type="character" w:customStyle="1" w:styleId="HeaderChar">
    <w:name w:val="Header Char"/>
    <w:basedOn w:val="DefaultParagraphFont"/>
    <w:link w:val="Header"/>
    <w:uiPriority w:val="99"/>
    <w:rsid w:val="00C06ECA"/>
    <w:rPr>
      <w:rFonts w:ascii="Times New Roman" w:hAnsi="Times New Roman"/>
    </w:rPr>
  </w:style>
  <w:style w:type="paragraph" w:styleId="Footer">
    <w:name w:val="footer"/>
    <w:basedOn w:val="Normal"/>
    <w:link w:val="FooterChar"/>
    <w:uiPriority w:val="99"/>
    <w:unhideWhenUsed/>
    <w:rsid w:val="00C06ECA"/>
    <w:pPr>
      <w:tabs>
        <w:tab w:val="center" w:pos="4536"/>
        <w:tab w:val="right" w:pos="9072"/>
      </w:tabs>
      <w:spacing w:after="0" w:line="240" w:lineRule="auto"/>
    </w:pPr>
  </w:style>
  <w:style w:type="character" w:customStyle="1" w:styleId="FooterChar">
    <w:name w:val="Footer Char"/>
    <w:basedOn w:val="DefaultParagraphFont"/>
    <w:link w:val="Footer"/>
    <w:uiPriority w:val="99"/>
    <w:rsid w:val="00C06ECA"/>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876</Words>
  <Characters>4996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Nageena Akhtar</dc:creator>
  <cp:keywords/>
  <dc:description/>
  <cp:lastModifiedBy>Nageena Akhtar</cp:lastModifiedBy>
  <cp:revision>9</cp:revision>
  <dcterms:created xsi:type="dcterms:W3CDTF">2025-10-19T11:24:00Z</dcterms:created>
  <dcterms:modified xsi:type="dcterms:W3CDTF">2025-10-19T21:50:00Z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7101eaf3-a046-4944-b795-b6ce42f765e8</vt:lpwstr>
  </property>
</Properties>
</file>