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4"/>
        <w:gridCol w:w="5851"/>
      </w:tblGrid>
      <w:tr w:rsidR="006B375E" w:rsidRPr="00863B95" w:rsidTr="00971C39">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rFonts w:eastAsia="Times New Roman"/>
                <w:b/>
                <w:bCs/>
              </w:rPr>
            </w:pPr>
            <w:r w:rsidRPr="00863B95">
              <w:rPr>
                <w:b/>
                <w:bCs/>
              </w:rPr>
              <w:t>Title: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widowControl/>
              <w:autoSpaceDE/>
              <w:autoSpaceDN/>
              <w:spacing w:after="160" w:line="259" w:lineRule="auto"/>
              <w:jc w:val="both"/>
            </w:pPr>
            <w:r w:rsidRPr="00100282">
              <w:rPr>
                <w:shd w:val="clear" w:color="auto" w:fill="F7F7F8"/>
              </w:rPr>
              <w:t xml:space="preserve">Influence of Business </w:t>
            </w:r>
            <w:proofErr w:type="spellStart"/>
            <w:r w:rsidRPr="00100282">
              <w:rPr>
                <w:shd w:val="clear" w:color="auto" w:fill="F7F7F8"/>
              </w:rPr>
              <w:t>Behavior</w:t>
            </w:r>
            <w:proofErr w:type="spellEnd"/>
            <w:r w:rsidRPr="00100282">
              <w:rPr>
                <w:shd w:val="clear" w:color="auto" w:fill="F7F7F8"/>
              </w:rPr>
              <w:t xml:space="preserve"> on the Broader External Business Environmen</w:t>
            </w:r>
            <w:r>
              <w:rPr>
                <w:shd w:val="clear" w:color="auto" w:fill="F7F7F8"/>
              </w:rPr>
              <w:t>t</w:t>
            </w:r>
          </w:p>
        </w:tc>
      </w:tr>
      <w:tr w:rsidR="006B375E" w:rsidRPr="00863B95" w:rsidTr="00971C39">
        <w:trPr>
          <w:trHeight w:val="242"/>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b/>
                <w:bCs/>
              </w:rPr>
            </w:pPr>
            <w:r w:rsidRPr="00863B95">
              <w:rPr>
                <w:b/>
                <w:bCs/>
              </w:rPr>
              <w:t>Module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jc w:val="both"/>
            </w:pPr>
            <w:r>
              <w:t>Global Business Management</w:t>
            </w:r>
          </w:p>
        </w:tc>
      </w:tr>
      <w:tr w:rsidR="006B375E" w:rsidRPr="00863B95" w:rsidTr="00971C39">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b/>
                <w:bCs/>
              </w:rPr>
            </w:pPr>
            <w:r w:rsidRPr="00863B95">
              <w:rPr>
                <w:b/>
                <w:bCs/>
              </w:rPr>
              <w:t>Module Code: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jc w:val="both"/>
            </w:pPr>
            <w:r>
              <w:t>LCBB40_1</w:t>
            </w:r>
          </w:p>
        </w:tc>
      </w:tr>
      <w:tr w:rsidR="006B375E" w:rsidRPr="00863B95" w:rsidTr="00971C39">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b/>
                <w:bCs/>
              </w:rPr>
            </w:pPr>
            <w:r w:rsidRPr="00863B95">
              <w:rPr>
                <w:b/>
                <w:bCs/>
              </w:rPr>
              <w:t>Student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jc w:val="both"/>
            </w:pPr>
          </w:p>
        </w:tc>
      </w:tr>
      <w:tr w:rsidR="006B375E" w:rsidRPr="00863B95" w:rsidTr="00971C39">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b/>
                <w:bCs/>
              </w:rPr>
            </w:pPr>
            <w:r w:rsidRPr="00863B95">
              <w:rPr>
                <w:b/>
                <w:bCs/>
              </w:rPr>
              <w:t>Student Number:</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jc w:val="both"/>
            </w:pPr>
          </w:p>
        </w:tc>
      </w:tr>
      <w:tr w:rsidR="006B375E" w:rsidRPr="00863B95" w:rsidTr="00971C39">
        <w:trPr>
          <w:trHeight w:val="255"/>
        </w:trPr>
        <w:tc>
          <w:tcPr>
            <w:tcW w:w="3684" w:type="dxa"/>
            <w:tcBorders>
              <w:top w:val="single" w:sz="4" w:space="0" w:color="auto"/>
              <w:left w:val="single" w:sz="4" w:space="0" w:color="auto"/>
              <w:bottom w:val="single" w:sz="4" w:space="0" w:color="auto"/>
              <w:right w:val="single" w:sz="4" w:space="0" w:color="auto"/>
            </w:tcBorders>
            <w:shd w:val="clear" w:color="auto" w:fill="auto"/>
            <w:hideMark/>
          </w:tcPr>
          <w:p w:rsidR="006B375E" w:rsidRPr="00863B95" w:rsidRDefault="006B375E" w:rsidP="00971C39">
            <w:pPr>
              <w:jc w:val="both"/>
              <w:rPr>
                <w:b/>
                <w:bCs/>
              </w:rPr>
            </w:pPr>
            <w:r w:rsidRPr="00863B95">
              <w:rPr>
                <w:b/>
                <w:bCs/>
              </w:rPr>
              <w:t>Lecturer Name:</w:t>
            </w:r>
          </w:p>
        </w:tc>
        <w:tc>
          <w:tcPr>
            <w:tcW w:w="5851" w:type="dxa"/>
            <w:tcBorders>
              <w:top w:val="single" w:sz="4" w:space="0" w:color="auto"/>
              <w:left w:val="single" w:sz="4" w:space="0" w:color="auto"/>
              <w:bottom w:val="single" w:sz="4" w:space="0" w:color="auto"/>
              <w:right w:val="single" w:sz="4" w:space="0" w:color="auto"/>
            </w:tcBorders>
            <w:shd w:val="clear" w:color="auto" w:fill="auto"/>
          </w:tcPr>
          <w:p w:rsidR="006B375E" w:rsidRPr="00863B95" w:rsidRDefault="006B375E" w:rsidP="00971C39">
            <w:pPr>
              <w:jc w:val="both"/>
            </w:pPr>
            <w:proofErr w:type="spellStart"/>
            <w:r>
              <w:t>Dr.</w:t>
            </w:r>
            <w:proofErr w:type="spellEnd"/>
            <w:r>
              <w:t xml:space="preserve"> </w:t>
            </w:r>
            <w:proofErr w:type="spellStart"/>
            <w:r>
              <w:t>Essa</w:t>
            </w:r>
            <w:proofErr w:type="spellEnd"/>
            <w:r>
              <w:t xml:space="preserve"> Bah</w:t>
            </w:r>
          </w:p>
        </w:tc>
      </w:tr>
    </w:tbl>
    <w:p w:rsidR="006B375E" w:rsidRPr="00863B95" w:rsidRDefault="006B375E" w:rsidP="006B375E"/>
    <w:p w:rsidR="006B375E" w:rsidRPr="00863B95" w:rsidRDefault="006B375E" w:rsidP="006B375E">
      <w:pPr>
        <w:widowControl/>
        <w:autoSpaceDE/>
        <w:autoSpaceDN/>
        <w:spacing w:after="160" w:line="259" w:lineRule="auto"/>
        <w:jc w:val="center"/>
        <w:rPr>
          <w:b/>
          <w:color w:val="374151"/>
          <w:shd w:val="clear" w:color="auto" w:fill="F7F7F8"/>
        </w:rPr>
      </w:pPr>
    </w:p>
    <w:p w:rsidR="006B375E" w:rsidRPr="00863B95" w:rsidRDefault="006B375E" w:rsidP="006B375E">
      <w:pPr>
        <w:widowControl/>
        <w:autoSpaceDE/>
        <w:autoSpaceDN/>
        <w:spacing w:after="160" w:line="259" w:lineRule="auto"/>
        <w:jc w:val="center"/>
        <w:rPr>
          <w:b/>
          <w:color w:val="374151"/>
          <w:shd w:val="clear" w:color="auto" w:fill="F7F7F8"/>
        </w:rPr>
      </w:pPr>
    </w:p>
    <w:p w:rsidR="006B375E" w:rsidRPr="00863B95" w:rsidRDefault="006B375E" w:rsidP="006B375E">
      <w:pPr>
        <w:widowControl/>
        <w:autoSpaceDE/>
        <w:autoSpaceDN/>
        <w:spacing w:after="160" w:line="259" w:lineRule="auto"/>
        <w:jc w:val="center"/>
        <w:rPr>
          <w:b/>
          <w:color w:val="374151"/>
          <w:shd w:val="clear" w:color="auto" w:fill="F7F7F8"/>
        </w:rPr>
      </w:pPr>
    </w:p>
    <w:p w:rsidR="006B375E" w:rsidRPr="00863B95" w:rsidRDefault="006B375E" w:rsidP="006B375E">
      <w:pPr>
        <w:widowControl/>
        <w:autoSpaceDE/>
        <w:autoSpaceDN/>
        <w:spacing w:after="160" w:line="259" w:lineRule="auto"/>
        <w:jc w:val="center"/>
        <w:rPr>
          <w:b/>
          <w:color w:val="374151"/>
          <w:shd w:val="clear" w:color="auto" w:fill="F7F7F8"/>
        </w:rPr>
      </w:pPr>
    </w:p>
    <w:p w:rsidR="006B375E" w:rsidRPr="00863B95" w:rsidRDefault="006B375E" w:rsidP="006B375E">
      <w:pPr>
        <w:widowControl/>
        <w:autoSpaceDE/>
        <w:autoSpaceDN/>
        <w:spacing w:after="160" w:line="259" w:lineRule="auto"/>
        <w:jc w:val="center"/>
        <w:rPr>
          <w:b/>
          <w:color w:val="374151"/>
          <w:shd w:val="clear" w:color="auto" w:fill="F7F7F8"/>
        </w:rPr>
      </w:pPr>
    </w:p>
    <w:p w:rsidR="006B375E" w:rsidRPr="00863B95" w:rsidRDefault="006B375E" w:rsidP="006B375E">
      <w:pPr>
        <w:widowControl/>
        <w:autoSpaceDE/>
        <w:autoSpaceDN/>
        <w:spacing w:after="160" w:line="259" w:lineRule="auto"/>
        <w:jc w:val="center"/>
        <w:rPr>
          <w:b/>
          <w:color w:val="374151"/>
          <w:shd w:val="clear" w:color="auto" w:fill="F7F7F8"/>
        </w:rPr>
      </w:pPr>
    </w:p>
    <w:p w:rsidR="006B375E" w:rsidRDefault="006B375E" w:rsidP="006B375E">
      <w:pPr>
        <w:widowControl/>
        <w:autoSpaceDE/>
        <w:autoSpaceDN/>
        <w:spacing w:after="160" w:line="259" w:lineRule="auto"/>
        <w:rPr>
          <w:b/>
          <w:u w:val="single"/>
          <w:shd w:val="clear" w:color="auto" w:fill="F7F7F8"/>
        </w:rPr>
      </w:pPr>
      <w:r>
        <w:rPr>
          <w:b/>
          <w:u w:val="single"/>
          <w:shd w:val="clear" w:color="auto" w:fill="F7F7F8"/>
        </w:rPr>
        <w:br w:type="page"/>
      </w:r>
    </w:p>
    <w:p w:rsidR="006B375E" w:rsidRDefault="006B375E" w:rsidP="006B375E">
      <w:pPr>
        <w:spacing w:line="360" w:lineRule="auto"/>
      </w:pPr>
      <w:r>
        <w:lastRenderedPageBreak/>
        <w:t>Table of content:</w:t>
      </w:r>
    </w:p>
    <w:p w:rsidR="006B375E" w:rsidRDefault="006B375E" w:rsidP="006B375E">
      <w:pPr>
        <w:spacing w:line="360" w:lineRule="auto"/>
      </w:pPr>
    </w:p>
    <w:p w:rsidR="006B375E" w:rsidRDefault="006B375E" w:rsidP="006B375E">
      <w:pPr>
        <w:pStyle w:val="ListParagraph"/>
        <w:numPr>
          <w:ilvl w:val="0"/>
          <w:numId w:val="1"/>
        </w:numPr>
        <w:spacing w:line="360" w:lineRule="auto"/>
      </w:pPr>
      <w:r>
        <w:t>Introduction</w:t>
      </w:r>
    </w:p>
    <w:p w:rsidR="006B375E" w:rsidRDefault="006B375E" w:rsidP="006B375E">
      <w:pPr>
        <w:pStyle w:val="ListParagraph"/>
        <w:numPr>
          <w:ilvl w:val="0"/>
          <w:numId w:val="1"/>
        </w:numPr>
        <w:spacing w:line="360" w:lineRule="auto"/>
      </w:pPr>
      <w:r>
        <w:t>Main discussions</w:t>
      </w:r>
    </w:p>
    <w:p w:rsidR="006B375E" w:rsidRDefault="006B375E" w:rsidP="006B375E">
      <w:pPr>
        <w:pStyle w:val="ListParagraph"/>
        <w:numPr>
          <w:ilvl w:val="0"/>
          <w:numId w:val="1"/>
        </w:numPr>
        <w:spacing w:line="360" w:lineRule="auto"/>
      </w:pPr>
      <w:r>
        <w:t xml:space="preserve">Conclusions </w:t>
      </w:r>
    </w:p>
    <w:p w:rsidR="006B375E" w:rsidRDefault="006B375E" w:rsidP="006B375E">
      <w:pPr>
        <w:pStyle w:val="ListParagraph"/>
        <w:numPr>
          <w:ilvl w:val="0"/>
          <w:numId w:val="1"/>
        </w:numPr>
        <w:spacing w:line="360" w:lineRule="auto"/>
      </w:pPr>
      <w:r>
        <w:t>References</w:t>
      </w:r>
    </w:p>
    <w:p w:rsidR="006B375E" w:rsidRDefault="006B375E" w:rsidP="006B375E"/>
    <w:p w:rsidR="006B375E" w:rsidRDefault="006B375E" w:rsidP="006B375E"/>
    <w:p w:rsidR="006B375E" w:rsidRDefault="006B375E" w:rsidP="006B375E">
      <w:pPr>
        <w:widowControl/>
        <w:autoSpaceDE/>
        <w:autoSpaceDN/>
        <w:spacing w:after="160" w:line="259" w:lineRule="auto"/>
      </w:pPr>
      <w:r>
        <w:br w:type="page"/>
      </w:r>
    </w:p>
    <w:p w:rsidR="006B375E" w:rsidRPr="00863B95" w:rsidRDefault="00A672F8" w:rsidP="006B375E">
      <w:pPr>
        <w:pStyle w:val="ListParagraph"/>
        <w:numPr>
          <w:ilvl w:val="0"/>
          <w:numId w:val="2"/>
        </w:numPr>
        <w:spacing w:line="360" w:lineRule="auto"/>
        <w:rPr>
          <w:b/>
          <w:u w:val="single"/>
        </w:rPr>
      </w:pPr>
      <w:r>
        <w:rPr>
          <w:b/>
          <w:u w:val="single"/>
        </w:rPr>
        <w:lastRenderedPageBreak/>
        <w:t>Introduction</w:t>
      </w:r>
    </w:p>
    <w:p w:rsidR="006B375E" w:rsidRPr="00863B95" w:rsidRDefault="006B375E" w:rsidP="006B375E">
      <w:pPr>
        <w:spacing w:line="360" w:lineRule="auto"/>
      </w:pPr>
    </w:p>
    <w:p w:rsidR="006B375E" w:rsidRDefault="006B375E" w:rsidP="006B375E">
      <w:pPr>
        <w:spacing w:line="360" w:lineRule="auto"/>
        <w:ind w:firstLine="720"/>
        <w:jc w:val="both"/>
      </w:pPr>
      <w:r w:rsidRPr="00863B95">
        <w:t>Numerous elements, including economic, social, technological, regulatory, and environmental dynamics, influence the world of business. Businesses play a crucial role in this complex environment, not only as players but also as influencers that can mould and have an impact on the larger external business environment. For organisations hoping to succeed in the linked and quickly changing business world of today, understanding how business behaviour can affect this environment is essential.</w:t>
      </w:r>
    </w:p>
    <w:p w:rsidR="00A672F8" w:rsidRPr="00863B95" w:rsidRDefault="00A672F8" w:rsidP="006B375E">
      <w:pPr>
        <w:spacing w:line="360" w:lineRule="auto"/>
        <w:ind w:firstLine="720"/>
        <w:jc w:val="both"/>
      </w:pPr>
    </w:p>
    <w:p w:rsidR="00A672F8" w:rsidRPr="00863B95" w:rsidRDefault="00A672F8" w:rsidP="00A672F8">
      <w:pPr>
        <w:spacing w:line="360" w:lineRule="auto"/>
        <w:ind w:firstLine="720"/>
        <w:jc w:val="both"/>
      </w:pPr>
      <w:r w:rsidRPr="00863B95">
        <w:t xml:space="preserve">The purpose of this report is to identify and assess the several ways that business behaviour can have an impact on the larger external business environment. </w:t>
      </w:r>
      <w:r>
        <w:t>This report</w:t>
      </w:r>
      <w:r w:rsidRPr="00863B95">
        <w:t xml:space="preserve"> will dig into the numerous ways in which organisations' actions can have long-lasting repercussions by exploring how they interact with their external environments. Economic variables, social and cultural characteristics, technical developments, governmental policies, market conditions, and environmental sustainability are all </w:t>
      </w:r>
      <w:r>
        <w:t>included in these consequences.</w:t>
      </w:r>
    </w:p>
    <w:p w:rsidR="00A672F8" w:rsidRPr="00863B95" w:rsidRDefault="00A672F8" w:rsidP="00A672F8">
      <w:pPr>
        <w:spacing w:line="360" w:lineRule="auto"/>
        <w:jc w:val="both"/>
      </w:pPr>
    </w:p>
    <w:p w:rsidR="00A672F8" w:rsidRPr="00863B95" w:rsidRDefault="00A672F8" w:rsidP="00A672F8">
      <w:pPr>
        <w:spacing w:line="360" w:lineRule="auto"/>
        <w:ind w:firstLine="720"/>
        <w:jc w:val="both"/>
      </w:pPr>
      <w:r w:rsidRPr="00863B95">
        <w:t xml:space="preserve">To provide a thorough analysis, the study will use proven business models and analytical methods. To learn more about how business behaviour affects the context of the global business environment, concepts like Porter's Diamond, Value Network analysis, the Five Forces framework, and PESTEL (Political, Economic, Social, Technological, Environmental, and Legal) analysis </w:t>
      </w:r>
      <w:proofErr w:type="gramStart"/>
      <w:r w:rsidRPr="00863B95">
        <w:t>will be used</w:t>
      </w:r>
      <w:proofErr w:type="gramEnd"/>
      <w:r w:rsidRPr="00863B95">
        <w:t>.</w:t>
      </w:r>
    </w:p>
    <w:p w:rsidR="00A672F8" w:rsidRPr="00A672F8" w:rsidRDefault="00A672F8" w:rsidP="00A672F8">
      <w:pPr>
        <w:spacing w:line="360" w:lineRule="auto"/>
        <w:jc w:val="both"/>
        <w:rPr>
          <w:b/>
        </w:rPr>
      </w:pPr>
    </w:p>
    <w:p w:rsidR="00D9356E" w:rsidRPr="00A672F8" w:rsidRDefault="00A672F8" w:rsidP="00A672F8">
      <w:pPr>
        <w:pStyle w:val="ListParagraph"/>
        <w:numPr>
          <w:ilvl w:val="0"/>
          <w:numId w:val="2"/>
        </w:numPr>
        <w:rPr>
          <w:b/>
        </w:rPr>
      </w:pPr>
      <w:r w:rsidRPr="00A672F8">
        <w:rPr>
          <w:b/>
          <w:u w:val="single"/>
        </w:rPr>
        <w:t>Main</w:t>
      </w:r>
      <w:r>
        <w:rPr>
          <w:b/>
        </w:rPr>
        <w:t xml:space="preserve"> </w:t>
      </w:r>
      <w:r w:rsidRPr="00A672F8">
        <w:rPr>
          <w:b/>
          <w:u w:val="single"/>
        </w:rPr>
        <w:t>Discussions</w:t>
      </w:r>
    </w:p>
    <w:p w:rsidR="00A672F8" w:rsidRDefault="00A672F8" w:rsidP="00A672F8">
      <w:pPr>
        <w:rPr>
          <w:b/>
        </w:rPr>
      </w:pPr>
    </w:p>
    <w:p w:rsidR="00A672F8" w:rsidRDefault="00A672F8" w:rsidP="00A672F8">
      <w:pPr>
        <w:spacing w:line="360" w:lineRule="auto"/>
        <w:jc w:val="both"/>
      </w:pPr>
    </w:p>
    <w:p w:rsidR="00A672F8" w:rsidRDefault="00A672F8" w:rsidP="00A672F8">
      <w:pPr>
        <w:spacing w:line="360" w:lineRule="auto"/>
        <w:ind w:firstLine="720"/>
        <w:jc w:val="both"/>
      </w:pPr>
      <w:proofErr w:type="gramStart"/>
      <w:r>
        <w:t>There are several influential factors that</w:t>
      </w:r>
      <w:proofErr w:type="gramEnd"/>
      <w:r>
        <w:t xml:space="preserve"> significantly affect organisations operating at a global scale and exert a substantial influence on the global business environment. In order to effectively navigate the intricacies and capitalise on potential advantages, organisations must possess an awareness of these fundamental dynamics and possess a comprehensive understanding of the evolving nature of the global business landscape. </w:t>
      </w:r>
    </w:p>
    <w:p w:rsidR="00A672F8" w:rsidRDefault="00A672F8" w:rsidP="00A672F8">
      <w:pPr>
        <w:spacing w:line="360" w:lineRule="auto"/>
        <w:jc w:val="both"/>
      </w:pPr>
    </w:p>
    <w:p w:rsidR="00A672F8" w:rsidRDefault="00A672F8" w:rsidP="00A672F8">
      <w:pPr>
        <w:spacing w:line="360" w:lineRule="auto"/>
        <w:ind w:firstLine="720"/>
        <w:jc w:val="both"/>
      </w:pPr>
      <w:r>
        <w:t xml:space="preserve">According to </w:t>
      </w:r>
      <w:proofErr w:type="spellStart"/>
      <w:r>
        <w:t>Gereffi</w:t>
      </w:r>
      <w:proofErr w:type="spellEnd"/>
      <w:r>
        <w:t xml:space="preserve"> </w:t>
      </w:r>
      <w:proofErr w:type="gramStart"/>
      <w:r>
        <w:t>et</w:t>
      </w:r>
      <w:proofErr w:type="gramEnd"/>
      <w:r>
        <w:t xml:space="preserve">. </w:t>
      </w:r>
      <w:proofErr w:type="gramStart"/>
      <w:r>
        <w:t>al</w:t>
      </w:r>
      <w:proofErr w:type="gramEnd"/>
      <w:r>
        <w:t xml:space="preserve"> </w:t>
      </w:r>
      <w:r w:rsidR="00EB0261">
        <w:t>(2005)</w:t>
      </w:r>
      <w:r>
        <w:t>, several significant factors exert influence on the global business environment.</w:t>
      </w:r>
    </w:p>
    <w:p w:rsidR="00A672F8" w:rsidRDefault="00A672F8" w:rsidP="00A672F8">
      <w:pPr>
        <w:spacing w:line="360" w:lineRule="auto"/>
        <w:jc w:val="both"/>
      </w:pPr>
    </w:p>
    <w:p w:rsidR="00A672F8" w:rsidRDefault="00A672F8" w:rsidP="00A672F8">
      <w:pPr>
        <w:spacing w:line="360" w:lineRule="auto"/>
        <w:ind w:firstLine="720"/>
        <w:jc w:val="both"/>
      </w:pPr>
      <w:r>
        <w:t xml:space="preserve">Economic forces exert a substantial impact on the international business environment, </w:t>
      </w:r>
      <w:r>
        <w:lastRenderedPageBreak/>
        <w:t>encompassing key factors such as economic growth, inflation, interest rates, currency exchange rates, and trade policies. Changes in economic conditions and market trends have the potential to exert influence on consumer behaviour, investment decisions, and market competitiveness.</w:t>
      </w:r>
    </w:p>
    <w:p w:rsidR="00A672F8" w:rsidRDefault="00A672F8" w:rsidP="00A672F8">
      <w:pPr>
        <w:spacing w:line="360" w:lineRule="auto"/>
        <w:jc w:val="both"/>
      </w:pPr>
    </w:p>
    <w:p w:rsidR="00A672F8" w:rsidRDefault="009947AE" w:rsidP="00A672F8">
      <w:pPr>
        <w:spacing w:line="360" w:lineRule="auto"/>
        <w:ind w:firstLine="720"/>
        <w:jc w:val="both"/>
      </w:pPr>
      <w:r>
        <w:t xml:space="preserve">According to </w:t>
      </w:r>
      <w:proofErr w:type="spellStart"/>
      <w:r>
        <w:t>Cavusgil</w:t>
      </w:r>
      <w:proofErr w:type="spellEnd"/>
      <w:r w:rsidRPr="00A672F8">
        <w:t xml:space="preserve"> </w:t>
      </w:r>
      <w:r>
        <w:t>et al. (</w:t>
      </w:r>
      <w:r w:rsidRPr="00A672F8">
        <w:t>2014)</w:t>
      </w:r>
      <w:r>
        <w:t>, t</w:t>
      </w:r>
      <w:r w:rsidR="00A672F8">
        <w:t xml:space="preserve">he global corporate landscape has undergone significant transformation </w:t>
      </w:r>
      <w:proofErr w:type="gramStart"/>
      <w:r w:rsidR="00A672F8">
        <w:t>as a result</w:t>
      </w:r>
      <w:proofErr w:type="gramEnd"/>
      <w:r w:rsidR="00A672F8">
        <w:t xml:space="preserve"> of rapid technological advancements. Technological factors such as digitalization, automation, artificial intelligence, the Internet of Things (</w:t>
      </w:r>
      <w:proofErr w:type="spellStart"/>
      <w:r w:rsidR="00A672F8">
        <w:t>IoT</w:t>
      </w:r>
      <w:proofErr w:type="spellEnd"/>
      <w:r w:rsidR="00A672F8">
        <w:t xml:space="preserve">), and </w:t>
      </w:r>
      <w:proofErr w:type="spellStart"/>
      <w:r w:rsidR="00A672F8">
        <w:t>blockchain</w:t>
      </w:r>
      <w:proofErr w:type="spellEnd"/>
      <w:r w:rsidR="00A672F8">
        <w:t xml:space="preserve"> have significantly transformed various sectors, disrupted traditional business models, and created novel market prospects.</w:t>
      </w:r>
    </w:p>
    <w:p w:rsidR="00A672F8" w:rsidRDefault="00A672F8" w:rsidP="00A672F8">
      <w:pPr>
        <w:spacing w:line="360" w:lineRule="auto"/>
        <w:jc w:val="both"/>
      </w:pPr>
    </w:p>
    <w:p w:rsidR="00A672F8" w:rsidRDefault="00A672F8" w:rsidP="00A672F8">
      <w:pPr>
        <w:spacing w:line="360" w:lineRule="auto"/>
        <w:ind w:firstLine="720"/>
        <w:jc w:val="both"/>
      </w:pPr>
      <w:r>
        <w:t>Political and legal factors encompass a range of variables that exert influence on the global economic landscape. These include government policies, regulations, taxation structures, trade agreements, and geopolitical developments, among others. Political stability, regulatory frameworks, and international ties exert influence on market access, legal compliance requirements, and the ease of conducting business activities</w:t>
      </w:r>
      <w:r w:rsidR="009947AE">
        <w:t xml:space="preserve"> (</w:t>
      </w:r>
      <w:r w:rsidR="009947AE" w:rsidRPr="00A672F8">
        <w:t>Krugman</w:t>
      </w:r>
      <w:r w:rsidR="009947AE">
        <w:t xml:space="preserve"> et al., </w:t>
      </w:r>
      <w:r w:rsidR="009947AE" w:rsidRPr="00A672F8">
        <w:t>2014).</w:t>
      </w:r>
    </w:p>
    <w:p w:rsidR="00A672F8" w:rsidRDefault="00A672F8" w:rsidP="00A672F8">
      <w:pPr>
        <w:spacing w:line="360" w:lineRule="auto"/>
        <w:jc w:val="both"/>
      </w:pPr>
    </w:p>
    <w:p w:rsidR="00A672F8" w:rsidRDefault="00A672F8" w:rsidP="00A672F8">
      <w:pPr>
        <w:spacing w:line="360" w:lineRule="auto"/>
        <w:ind w:firstLine="720"/>
        <w:jc w:val="both"/>
      </w:pPr>
      <w:r>
        <w:t>Social and cultural forces exert influence on societal norms, market dynamics, and consumer choices. The formulation of business strategy, product development, and marketing tactics is subject to the influence of dynamic demographic patterns, cultural heterogeneity, societal movements, and evolving consumer behaviours</w:t>
      </w:r>
      <w:r w:rsidR="00EB0261">
        <w:t xml:space="preserve"> (</w:t>
      </w:r>
      <w:proofErr w:type="spellStart"/>
      <w:r w:rsidR="00EB0261">
        <w:t>Cavusgil</w:t>
      </w:r>
      <w:proofErr w:type="spellEnd"/>
      <w:r w:rsidR="00EB0261" w:rsidRPr="00A672F8">
        <w:t xml:space="preserve"> </w:t>
      </w:r>
      <w:r w:rsidR="00EB0261">
        <w:t xml:space="preserve">et al., </w:t>
      </w:r>
      <w:r w:rsidR="00EB0261" w:rsidRPr="00A672F8">
        <w:t>2014).</w:t>
      </w:r>
    </w:p>
    <w:p w:rsidR="00A672F8" w:rsidRDefault="00A672F8" w:rsidP="00A672F8">
      <w:pPr>
        <w:spacing w:line="360" w:lineRule="auto"/>
        <w:jc w:val="both"/>
      </w:pPr>
    </w:p>
    <w:p w:rsidR="00A672F8" w:rsidRDefault="00A672F8" w:rsidP="00A672F8">
      <w:pPr>
        <w:spacing w:line="360" w:lineRule="auto"/>
        <w:ind w:firstLine="720"/>
        <w:jc w:val="both"/>
      </w:pPr>
      <w:r>
        <w:t>The global business environment is increasingly being impacted by environmental factors, including climate change, sustainability, resource scarcity, and ecological consequences. Business enterprises are facing mounting pressure to embrace environmentally sustainable practises and mitigate their ecological footprint</w:t>
      </w:r>
      <w:r w:rsidR="009947AE">
        <w:t xml:space="preserve"> (Dunning, </w:t>
      </w:r>
      <w:r w:rsidR="009947AE" w:rsidRPr="00A672F8">
        <w:t>2015).</w:t>
      </w:r>
    </w:p>
    <w:p w:rsidR="00A672F8" w:rsidRDefault="00A672F8" w:rsidP="00A672F8">
      <w:pPr>
        <w:spacing w:line="360" w:lineRule="auto"/>
        <w:jc w:val="both"/>
      </w:pPr>
    </w:p>
    <w:p w:rsidR="00A672F8" w:rsidRDefault="00EB0261" w:rsidP="00A672F8">
      <w:pPr>
        <w:spacing w:line="360" w:lineRule="auto"/>
        <w:ind w:firstLine="720"/>
        <w:jc w:val="both"/>
      </w:pPr>
      <w:r>
        <w:t>According to Porter (2008), t</w:t>
      </w:r>
      <w:r w:rsidR="00A672F8">
        <w:t xml:space="preserve">he global business landscape </w:t>
      </w:r>
      <w:proofErr w:type="gramStart"/>
      <w:r w:rsidR="00A672F8">
        <w:t>is shaped</w:t>
      </w:r>
      <w:proofErr w:type="gramEnd"/>
      <w:r w:rsidR="00A672F8">
        <w:t xml:space="preserve"> by intense market rivalry, evolving industry dynamics, and transformative technological advancements. The competitive landscape </w:t>
      </w:r>
      <w:proofErr w:type="gramStart"/>
      <w:r w:rsidR="00A672F8">
        <w:t>is influenced</w:t>
      </w:r>
      <w:proofErr w:type="gramEnd"/>
      <w:r w:rsidR="00A672F8">
        <w:t xml:space="preserve"> by various factors, including the strategies employed by competitors, barriers to market entry, the bargaining power of suppliers and buyers, and the potential for substitutes or new entrants.</w:t>
      </w:r>
    </w:p>
    <w:p w:rsidR="00A672F8" w:rsidRDefault="00A672F8" w:rsidP="00A672F8">
      <w:pPr>
        <w:spacing w:line="360" w:lineRule="auto"/>
        <w:jc w:val="both"/>
      </w:pPr>
    </w:p>
    <w:p w:rsidR="00A672F8" w:rsidRDefault="00EB0261" w:rsidP="00A672F8">
      <w:pPr>
        <w:spacing w:line="360" w:lineRule="auto"/>
        <w:ind w:firstLine="720"/>
        <w:jc w:val="both"/>
      </w:pPr>
      <w:r>
        <w:t>According to Grant (2013), g</w:t>
      </w:r>
      <w:r w:rsidR="00A672F8">
        <w:t xml:space="preserve">lobalisation has significantly transformed the business landscape through the expansion of markets, increased interconnectedness, and facilitation of </w:t>
      </w:r>
      <w:r w:rsidR="00A672F8">
        <w:lastRenderedPageBreak/>
        <w:t>cross-border trade and investment. The phenomenon of globalisation has significantly expanded the avenues available to businesses for penetrating new markets, establishing global supply chains, and collaborating with international partners.</w:t>
      </w:r>
    </w:p>
    <w:p w:rsidR="00A672F8" w:rsidRDefault="00A672F8" w:rsidP="00A672F8">
      <w:pPr>
        <w:spacing w:line="360" w:lineRule="auto"/>
        <w:jc w:val="both"/>
      </w:pPr>
    </w:p>
    <w:p w:rsidR="00A672F8" w:rsidRDefault="00A672F8" w:rsidP="00A672F8">
      <w:pPr>
        <w:spacing w:line="360" w:lineRule="auto"/>
        <w:ind w:firstLine="720"/>
        <w:jc w:val="both"/>
      </w:pPr>
      <w:r>
        <w:t xml:space="preserve">It is imperative to comprehend the dynamic and constantly evolving nature of the global business landscape. The global business landscape is undergoing transformation </w:t>
      </w:r>
      <w:proofErr w:type="gramStart"/>
      <w:r>
        <w:t>as a result</w:t>
      </w:r>
      <w:proofErr w:type="gramEnd"/>
      <w:r>
        <w:t xml:space="preserve"> of several factors, encompassing shifts in consumer demands, geopolitical dynamics, and emerging market patterns. In order to sustain competitiveness and facilitate growth, organisations must uphold their agility, adapt to these fluctuations, and proactively address the factors that impact the global business landscape</w:t>
      </w:r>
      <w:r w:rsidR="009947AE">
        <w:t xml:space="preserve"> (WTO, </w:t>
      </w:r>
      <w:r w:rsidR="009947AE" w:rsidRPr="00A672F8">
        <w:t>2020).</w:t>
      </w:r>
    </w:p>
    <w:p w:rsidR="00A672F8" w:rsidRDefault="00A672F8" w:rsidP="00A672F8">
      <w:pPr>
        <w:spacing w:line="360" w:lineRule="auto"/>
        <w:jc w:val="both"/>
      </w:pPr>
    </w:p>
    <w:p w:rsidR="00A672F8" w:rsidRDefault="00A672F8" w:rsidP="00A672F8">
      <w:pPr>
        <w:spacing w:line="360" w:lineRule="auto"/>
        <w:ind w:firstLine="720"/>
        <w:jc w:val="both"/>
      </w:pPr>
      <w:r>
        <w:t xml:space="preserve">Understanding the connections, partnerships, and dependencies between organisations and their external environment </w:t>
      </w:r>
      <w:proofErr w:type="gramStart"/>
      <w:r>
        <w:t>can be gained</w:t>
      </w:r>
      <w:proofErr w:type="gramEnd"/>
      <w:r>
        <w:t xml:space="preserve"> by implementing the Value Network analysis within the context of a global environmental analysis utilising the PESTEL framework. </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Political</w:t>
      </w:r>
      <w:r>
        <w:t xml:space="preserve">: The political element in the Value Network analysis takes into account the connections and partnerships between organisations and political institutions. It looks at how businesses work with governmental bodies, advocate for favoured regulations, and adhere to them. Organisations can find collaboration opportunities, overcome regulatory obstacles, and comprehend how political issues affect their value network by mapping these political relationships (Porter, </w:t>
      </w:r>
      <w:r w:rsidRPr="00A672F8">
        <w:t>1990).</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Economic</w:t>
      </w:r>
      <w:r>
        <w:t>: The Value Network analysis's economic element focuses on the financial connections between organisations, such as partners, customers, and suppliers. It takes into account the ways in which businesses exchange goods and services, create value together, and pool resources. Organisations can find cost-saving possibilities, improve supply chain effectiveness, and fortify alliances for mutual gain by analysing economic interactions within the value network</w:t>
      </w:r>
      <w:r w:rsidR="00EB0261">
        <w:t xml:space="preserve"> (Grant, 2013)</w:t>
      </w:r>
      <w:r>
        <w:t>.</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Social</w:t>
      </w:r>
      <w:r>
        <w:t xml:space="preserve">: The social element in the Value Network study looks at how organisations and different stakeholders, such as customers, communities, and advocacy groups, collaborate socially. It takes into account how businesses interact with society, react to social movements, and deal with social issues. Organisations may establish socially responsible practises, increase customer loyalty, and make constructive contributions to the communities they operate in by </w:t>
      </w:r>
      <w:r>
        <w:lastRenderedPageBreak/>
        <w:t>comprehending these social linkages inside the value network</w:t>
      </w:r>
      <w:r w:rsidR="00EB0261">
        <w:t xml:space="preserve"> (Porter, </w:t>
      </w:r>
      <w:r w:rsidR="00EB0261" w:rsidRPr="00A672F8">
        <w:t>2008).</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Technology</w:t>
      </w:r>
      <w:r>
        <w:t>: The technological component of the Value Network analysis focuses on the connections and partnerships that organisations have with one another in terms of technology</w:t>
      </w:r>
      <w:r w:rsidR="00EB0261">
        <w:t xml:space="preserve"> (</w:t>
      </w:r>
      <w:r w:rsidR="00EB0261" w:rsidRPr="00A672F8">
        <w:t>Hill</w:t>
      </w:r>
      <w:r w:rsidR="00EB0261">
        <w:t xml:space="preserve"> &amp; Jones, 2012).</w:t>
      </w:r>
      <w:r>
        <w:t xml:space="preserve"> It examines how businesses use technological platforms, trade technical </w:t>
      </w:r>
      <w:proofErr w:type="gramStart"/>
      <w:r>
        <w:t>know-how</w:t>
      </w:r>
      <w:proofErr w:type="gramEnd"/>
      <w:r>
        <w:t>, and communicate knowledge. Organisations can find possibilities for innovation, take advantage of complementary technologies, and improve their competitiveness within the value network by mapping these technical interactions.</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Environmental</w:t>
      </w:r>
      <w:r>
        <w:t>: The Value Network analysis's environmental element takes into account the interactions between organisations and the environment. It looks at how businesses work together to tackle environmental problems, implement sustainable practises, and lessen environmental effects. Organisations can find chances for eco-friendly collaborations, enhance environmental performance, and satisfy the rising demand for sustainable solutions by analysing these environmental relationships inside the value network</w:t>
      </w:r>
      <w:r w:rsidR="00EB0261">
        <w:t xml:space="preserve"> (Rugman &amp; Collinson, 2012).</w:t>
      </w:r>
    </w:p>
    <w:p w:rsidR="00A672F8" w:rsidRDefault="00A672F8" w:rsidP="00A672F8">
      <w:pPr>
        <w:spacing w:line="360" w:lineRule="auto"/>
        <w:jc w:val="both"/>
      </w:pPr>
    </w:p>
    <w:p w:rsidR="00A672F8" w:rsidRDefault="00A672F8" w:rsidP="00A672F8">
      <w:pPr>
        <w:spacing w:line="360" w:lineRule="auto"/>
        <w:ind w:firstLine="720"/>
        <w:jc w:val="both"/>
      </w:pPr>
      <w:r w:rsidRPr="00A672F8">
        <w:rPr>
          <w:i/>
        </w:rPr>
        <w:t>Legal</w:t>
      </w:r>
      <w:r>
        <w:t>: The legal component of the Value Network analysis is concerned with how organisations collaborate and interact legally. It takes into account how businesses adhere to legal obligations, share legal knowledge, and form legal relationships. Organisations can maintain compliance, manage legal risks, and promote stakeholder trust by understanding these legal linkages inside the value network</w:t>
      </w:r>
      <w:r w:rsidR="00EB0261">
        <w:t xml:space="preserve"> (</w:t>
      </w:r>
      <w:proofErr w:type="spellStart"/>
      <w:r w:rsidR="00EB0261" w:rsidRPr="00A672F8">
        <w:t>Gereffi</w:t>
      </w:r>
      <w:proofErr w:type="spellEnd"/>
      <w:r w:rsidR="00EB0261" w:rsidRPr="00A672F8">
        <w:t xml:space="preserve">, </w:t>
      </w:r>
      <w:r w:rsidR="00EB0261">
        <w:t>et al., 2005).</w:t>
      </w:r>
    </w:p>
    <w:p w:rsidR="00A672F8" w:rsidRDefault="00A672F8" w:rsidP="00A672F8">
      <w:pPr>
        <w:spacing w:line="360" w:lineRule="auto"/>
        <w:jc w:val="both"/>
      </w:pPr>
    </w:p>
    <w:p w:rsidR="00A672F8" w:rsidRDefault="00A672F8" w:rsidP="00A672F8">
      <w:pPr>
        <w:spacing w:line="360" w:lineRule="auto"/>
        <w:ind w:firstLine="720"/>
        <w:jc w:val="both"/>
      </w:pPr>
      <w:r>
        <w:t>Organisations can acquire a thorough understanding of the connections and partnerships within their value network by using the Value Network analysis within the framework of a PESTEL analysis of the global environment. This study aids in locating joint venture prospects, resource allocation optimisation, competitiveness enhancement, and alignment of organisational strategies with the external environment. Additionally, it enables businesses to deal with the larger environmental issues that have an impact on their value creation and delivery processes while navigating the intricacies of the global business landscape.</w:t>
      </w:r>
    </w:p>
    <w:p w:rsidR="00A672F8" w:rsidRDefault="00A672F8" w:rsidP="00A672F8"/>
    <w:p w:rsidR="00A672F8" w:rsidRDefault="00A672F8" w:rsidP="00A672F8"/>
    <w:p w:rsidR="00A672F8" w:rsidRDefault="00A672F8" w:rsidP="00A672F8">
      <w:pPr>
        <w:spacing w:line="360" w:lineRule="auto"/>
        <w:ind w:firstLine="720"/>
        <w:jc w:val="both"/>
      </w:pPr>
      <w:r>
        <w:t xml:space="preserve">Organisations </w:t>
      </w:r>
      <w:proofErr w:type="gramStart"/>
      <w:r>
        <w:t>are driven</w:t>
      </w:r>
      <w:proofErr w:type="gramEnd"/>
      <w:r>
        <w:t xml:space="preserve"> to participate in international trade due to the potential benefits and opportunities it offers. This discourse aims to enumerate and critically examine the primary rationales that underpin the involvement of businesses in international trade.</w:t>
      </w:r>
    </w:p>
    <w:p w:rsidR="00A672F8" w:rsidRDefault="00A672F8" w:rsidP="00A672F8">
      <w:pPr>
        <w:spacing w:line="360" w:lineRule="auto"/>
        <w:jc w:val="both"/>
      </w:pPr>
    </w:p>
    <w:p w:rsidR="00A672F8" w:rsidRDefault="00A672F8" w:rsidP="00A672F8">
      <w:pPr>
        <w:spacing w:line="360" w:lineRule="auto"/>
        <w:ind w:firstLine="720"/>
        <w:jc w:val="both"/>
      </w:pPr>
      <w:r>
        <w:lastRenderedPageBreak/>
        <w:t xml:space="preserve">International trade enables businesses to establish connections with a broader clientele beyond their domestic markets. </w:t>
      </w:r>
      <w:r w:rsidR="00EB0261">
        <w:t>According to Rugman &amp; Collinson (2012), b</w:t>
      </w:r>
      <w:r>
        <w:t>y expanding into international markets, businesses have the opportunity to access a larger consumer base, thereby enhancing their potential for increased sales and revenue streams. Companies that operate within specialised or competitive domestic markets can derive significant advantages from this phenomenon.</w:t>
      </w:r>
    </w:p>
    <w:p w:rsidR="00A672F8" w:rsidRDefault="00A672F8" w:rsidP="00A672F8">
      <w:pPr>
        <w:spacing w:line="360" w:lineRule="auto"/>
        <w:jc w:val="both"/>
      </w:pPr>
    </w:p>
    <w:p w:rsidR="00A672F8" w:rsidRDefault="00A672F8" w:rsidP="00A672F8">
      <w:pPr>
        <w:spacing w:line="360" w:lineRule="auto"/>
        <w:ind w:firstLine="720"/>
        <w:jc w:val="both"/>
      </w:pPr>
      <w:r>
        <w:t>The diversification of revenue streams is a strategic approach that businesses can employ to mitigate risks and enhance financial stability. International trade plays a pivotal role in facilitating this diversification by enabling businesses to expand their revenue streams beyond domestic markets</w:t>
      </w:r>
      <w:r w:rsidR="00EB0261">
        <w:t xml:space="preserve"> (Porter, </w:t>
      </w:r>
      <w:r w:rsidR="00EB0261" w:rsidRPr="00A672F8">
        <w:t>2008).</w:t>
      </w:r>
      <w:r>
        <w:t xml:space="preserve"> Businesses can reduce their vulnerability to changes in consumer behaviour, political instability, or economic volatility in a specific country by expanding their operations into new markets. This diversification strategy allows businesses to decrease their dependence on a single market. Enhancing long-term sustainability and mitigating risks through the implementation of diversification strategies.</w:t>
      </w:r>
    </w:p>
    <w:p w:rsidR="00A672F8" w:rsidRDefault="00A672F8" w:rsidP="00A672F8">
      <w:pPr>
        <w:spacing w:line="360" w:lineRule="auto"/>
        <w:jc w:val="both"/>
      </w:pPr>
    </w:p>
    <w:p w:rsidR="00A672F8" w:rsidRDefault="00A672F8" w:rsidP="00A672F8">
      <w:pPr>
        <w:spacing w:line="360" w:lineRule="auto"/>
        <w:ind w:firstLine="720"/>
        <w:jc w:val="both"/>
      </w:pPr>
      <w:r>
        <w:t>Enterprises participate in global trade to exploit their competitive advantages in specific goods or services. Certain nations or businesses may possess sole control over resources, knowledge, or cost advantages within specific industries. Organisations have the potential to enhance their operational efficiency, productivity, and financial performance by directing their attention towards the production of goods or services in which they possess a comparative advantage.</w:t>
      </w:r>
    </w:p>
    <w:p w:rsidR="00A672F8" w:rsidRDefault="00A672F8" w:rsidP="00A672F8">
      <w:pPr>
        <w:spacing w:line="360" w:lineRule="auto"/>
        <w:jc w:val="both"/>
      </w:pPr>
    </w:p>
    <w:p w:rsidR="00A672F8" w:rsidRDefault="00EB0261" w:rsidP="00A672F8">
      <w:pPr>
        <w:spacing w:line="360" w:lineRule="auto"/>
        <w:ind w:firstLine="720"/>
        <w:jc w:val="both"/>
      </w:pPr>
      <w:r>
        <w:t xml:space="preserve">According to </w:t>
      </w:r>
      <w:r w:rsidRPr="00A672F8">
        <w:t>Hill</w:t>
      </w:r>
      <w:r>
        <w:t xml:space="preserve"> &amp; Jones, (2012), e</w:t>
      </w:r>
      <w:r w:rsidR="00A672F8">
        <w:t>nterprises have the ability to utilise international trade as a means of acquiring resources, raw materials, and inputs that may be limited or non-existent within their domestic market. Companies have the ability to decrease production costs, enhance product quality, or augment production capacity through the utilisation of imported resources. Moreover, it provides businesses with the opportunity to leverage the knowledge and technology that are accessible in foreign countries.</w:t>
      </w:r>
    </w:p>
    <w:p w:rsidR="00A672F8" w:rsidRDefault="00A672F8" w:rsidP="00A672F8">
      <w:pPr>
        <w:spacing w:line="360" w:lineRule="auto"/>
        <w:jc w:val="both"/>
      </w:pPr>
    </w:p>
    <w:p w:rsidR="00A672F8" w:rsidRDefault="00A672F8" w:rsidP="00A672F8">
      <w:pPr>
        <w:spacing w:line="360" w:lineRule="auto"/>
        <w:ind w:firstLine="720"/>
        <w:jc w:val="both"/>
      </w:pPr>
      <w:proofErr w:type="gramStart"/>
      <w:r>
        <w:t>Economies of scale can be achieved by firms through engagement in international trade</w:t>
      </w:r>
      <w:proofErr w:type="gramEnd"/>
      <w:r>
        <w:t xml:space="preserve">. </w:t>
      </w:r>
      <w:r w:rsidR="00EB0261">
        <w:t xml:space="preserve">According to </w:t>
      </w:r>
      <w:proofErr w:type="spellStart"/>
      <w:r w:rsidR="00EB0261" w:rsidRPr="00A672F8">
        <w:t>Gereffi</w:t>
      </w:r>
      <w:proofErr w:type="spellEnd"/>
      <w:r w:rsidR="00EB0261" w:rsidRPr="00A672F8">
        <w:t xml:space="preserve">, </w:t>
      </w:r>
      <w:r w:rsidR="00EB0261">
        <w:t>et al. (2005), o</w:t>
      </w:r>
      <w:r>
        <w:t xml:space="preserve">ne potential strategy for companies to lower their average production costs is to expand their operations and increase their output volume. This leads to financial benefits by enhancing operational effectiveness, increasing the ability to make </w:t>
      </w:r>
      <w:r>
        <w:lastRenderedPageBreak/>
        <w:t>purchases, and distributing fixed expenses across a larger production volume. Scale economies have the potential to enhance both profitability and competitiveness.</w:t>
      </w:r>
    </w:p>
    <w:p w:rsidR="00A672F8" w:rsidRDefault="00A672F8" w:rsidP="00A672F8">
      <w:pPr>
        <w:spacing w:line="360" w:lineRule="auto"/>
        <w:jc w:val="both"/>
      </w:pPr>
    </w:p>
    <w:p w:rsidR="00A672F8" w:rsidRDefault="00A672F8" w:rsidP="00A672F8">
      <w:pPr>
        <w:spacing w:line="360" w:lineRule="auto"/>
        <w:ind w:firstLine="720"/>
        <w:jc w:val="both"/>
      </w:pPr>
      <w:r>
        <w:t xml:space="preserve">The process of transferring technology and knowledge </w:t>
      </w:r>
      <w:proofErr w:type="gramStart"/>
      <w:r>
        <w:t>is facilitated</w:t>
      </w:r>
      <w:proofErr w:type="gramEnd"/>
      <w:r>
        <w:t xml:space="preserve"> through international trade, which allows for the exchange of best practises, knowledge, and technology among nations and organisations. </w:t>
      </w:r>
      <w:r w:rsidR="00EB0261">
        <w:t>According to Rugman &amp; Collinson (2012), c</w:t>
      </w:r>
      <w:r>
        <w:t>ompanies have the opportunity to gain access to novel technology, innovation, and knowledge by engaging in collaborative efforts, forming partnerships, and making investments in global markets. Organisations have the potential to enhance the quality of their products, augment their own capacities, and consequently attain a competitive edge.</w:t>
      </w:r>
    </w:p>
    <w:p w:rsidR="00A672F8" w:rsidRDefault="00A672F8" w:rsidP="00A672F8">
      <w:pPr>
        <w:spacing w:line="360" w:lineRule="auto"/>
        <w:jc w:val="both"/>
      </w:pPr>
    </w:p>
    <w:p w:rsidR="00A672F8" w:rsidRDefault="00EB0261" w:rsidP="00A672F8">
      <w:pPr>
        <w:spacing w:line="360" w:lineRule="auto"/>
        <w:ind w:firstLine="720"/>
        <w:jc w:val="both"/>
      </w:pPr>
      <w:r>
        <w:t xml:space="preserve">According to </w:t>
      </w:r>
      <w:r w:rsidRPr="00A672F8">
        <w:t>Hill</w:t>
      </w:r>
      <w:r>
        <w:t xml:space="preserve"> &amp; Jones, (2012), t</w:t>
      </w:r>
      <w:r w:rsidR="00A672F8">
        <w:t>hrough the participation in international trade, enterprises have the opportunity to cultivate a distinct competitive advantage and differentiate themselves within the global market. Companies that expand their operations internationally have the opportunity to position themselves as prominent participants in the global market, thereby acquiring a reputation for exceptional performance, elevated standing, and enhanced credibility that is associated with conducting business on an international scale. This may lead to an increase in brand recognition and customer loyalty.</w:t>
      </w:r>
    </w:p>
    <w:p w:rsidR="00A672F8" w:rsidRDefault="00A672F8" w:rsidP="00A672F8">
      <w:pPr>
        <w:spacing w:line="360" w:lineRule="auto"/>
        <w:jc w:val="both"/>
      </w:pPr>
    </w:p>
    <w:p w:rsidR="00A672F8" w:rsidRDefault="00A672F8" w:rsidP="00A672F8">
      <w:pPr>
        <w:spacing w:line="360" w:lineRule="auto"/>
        <w:ind w:firstLine="720"/>
        <w:jc w:val="both"/>
      </w:pPr>
      <w:r>
        <w:t xml:space="preserve">Nevertheless, it is imperative to evaluate the rationales behind engaging in international trade. There exist significant advantages, alongside associated risks and obstacles. The efficacy of international trade initiatives </w:t>
      </w:r>
      <w:proofErr w:type="gramStart"/>
      <w:r>
        <w:t>can be influenced</w:t>
      </w:r>
      <w:proofErr w:type="gramEnd"/>
      <w:r>
        <w:t xml:space="preserve"> by various factors, such as disparities in cultural norms, intricacies in regulatory frameworks, uncertainties in political landscapes, impediments to trade, and fluctuations in currency values. In order to ensure a successful outcome, it is imperative for organisations to diligently identify and effectively manage these risks.</w:t>
      </w:r>
    </w:p>
    <w:p w:rsidR="00A672F8" w:rsidRDefault="00A672F8" w:rsidP="00A672F8">
      <w:pPr>
        <w:spacing w:line="360" w:lineRule="auto"/>
        <w:jc w:val="both"/>
      </w:pPr>
    </w:p>
    <w:p w:rsidR="00A672F8" w:rsidRDefault="00500F10" w:rsidP="00A672F8">
      <w:pPr>
        <w:spacing w:line="360" w:lineRule="auto"/>
        <w:ind w:firstLine="720"/>
        <w:jc w:val="both"/>
      </w:pPr>
      <w:r>
        <w:t>E</w:t>
      </w:r>
      <w:bookmarkStart w:id="0" w:name="_GoBack"/>
      <w:bookmarkEnd w:id="0"/>
      <w:r w:rsidR="00A672F8">
        <w:t xml:space="preserve">nterprises engage in global trade with the objective of extending their presence in untapped markets, broadening their revenue streams, leveraging their comparative strengths, accessing resources and inputs, attaining economies of scale, fostering technological progress, and attaining a competitive advantage. </w:t>
      </w:r>
      <w:r w:rsidR="00EB0261">
        <w:t>Grant (2013) argue that t</w:t>
      </w:r>
      <w:r w:rsidR="00A672F8">
        <w:t>o ensure effective decision-making and the formulation of successful strategies for international trade initiatives, organisations must engage in a thorough assessment of pertinent factors. This evaluation is essential for comprehending the inherent risks and challenges associated with such endeavours.</w:t>
      </w:r>
    </w:p>
    <w:p w:rsidR="00A672F8" w:rsidRDefault="00A672F8" w:rsidP="00A672F8">
      <w:pPr>
        <w:spacing w:line="360" w:lineRule="auto"/>
        <w:jc w:val="both"/>
      </w:pPr>
    </w:p>
    <w:p w:rsidR="00A672F8" w:rsidRDefault="00A672F8" w:rsidP="00A672F8">
      <w:pPr>
        <w:spacing w:line="360" w:lineRule="auto"/>
        <w:ind w:firstLine="720"/>
        <w:jc w:val="both"/>
      </w:pPr>
      <w:proofErr w:type="gramStart"/>
      <w:r>
        <w:lastRenderedPageBreak/>
        <w:t>In order to effectively evaluate</w:t>
      </w:r>
      <w:proofErr w:type="gramEnd"/>
      <w:r>
        <w:t xml:space="preserve"> markets in action, it is imperative to possess a comprehensive understanding of the microeconomic and macroeconomic foundations that underlie these markets. This entails grasping the intricacies of different market structures and their impact on business strategy, as well as being cognizant of the fluctuations in market dynamics over both short and long time horizons. The analysis of the fundamental elements of the present-day global economy is imperative as well.</w:t>
      </w:r>
    </w:p>
    <w:p w:rsidR="00A672F8" w:rsidRDefault="00A672F8" w:rsidP="00A672F8">
      <w:pPr>
        <w:spacing w:line="360" w:lineRule="auto"/>
        <w:jc w:val="both"/>
      </w:pPr>
    </w:p>
    <w:p w:rsidR="00A672F8" w:rsidRDefault="00A672F8" w:rsidP="00A672F8">
      <w:pPr>
        <w:spacing w:line="360" w:lineRule="auto"/>
        <w:ind w:firstLine="720"/>
        <w:jc w:val="both"/>
      </w:pPr>
      <w:r>
        <w:t>The primary subjects of analysis in microeconomics encompass individual firms, consumers, and the dynamics of market interactions. In order to gain a comprehensive understanding of the fundamental principles of microeconomics, it is imperative to engage in the examination of various factors such as supply and demand dynamics, price elasticity, cost structures, market competitiveness, as well as buyer and seller behaviour. This knowledge facilitates decision-making processes related to pricing, production, resource allocation, and market positioning.</w:t>
      </w:r>
    </w:p>
    <w:p w:rsidR="00A672F8" w:rsidRDefault="00A672F8" w:rsidP="00A672F8">
      <w:pPr>
        <w:spacing w:line="360" w:lineRule="auto"/>
        <w:jc w:val="both"/>
      </w:pPr>
    </w:p>
    <w:p w:rsidR="00A672F8" w:rsidRDefault="00EB0261" w:rsidP="00A672F8">
      <w:pPr>
        <w:spacing w:line="360" w:lineRule="auto"/>
        <w:ind w:firstLine="720"/>
        <w:jc w:val="both"/>
      </w:pPr>
      <w:r>
        <w:t>According to Porter (2008), m</w:t>
      </w:r>
      <w:r w:rsidR="00A672F8">
        <w:t>acroeconomics is a field of study that focuses on analysing various aspects of the economy at a broader level. This includes examining indicators such as Gross Domestic Product (GDP) growth, inflation rates, unemployment levels, as well as the impact of fiscal and monetary policies, and international trade. These elements exert influence on the overall economic milieu within which businesses operate. Organisations possess the ability to assess prevailing market conditions, predict alterations in overall demand, recognise potential risks and opportunities, and adapt their strategic approach accordingly through a comprehensive comprehension of macroeconomic fundamentals.</w:t>
      </w:r>
    </w:p>
    <w:p w:rsidR="00A672F8" w:rsidRDefault="00A672F8" w:rsidP="00A672F8">
      <w:pPr>
        <w:spacing w:line="360" w:lineRule="auto"/>
        <w:jc w:val="both"/>
      </w:pPr>
    </w:p>
    <w:p w:rsidR="00A672F8" w:rsidRDefault="00EB0261" w:rsidP="00A672F8">
      <w:pPr>
        <w:spacing w:line="360" w:lineRule="auto"/>
        <w:ind w:firstLine="720"/>
        <w:jc w:val="both"/>
      </w:pPr>
      <w:r>
        <w:t>According to Rugman &amp; Collinson (2012), m</w:t>
      </w:r>
      <w:r w:rsidR="00A672F8">
        <w:t xml:space="preserve">arket structures encompass a range of distinct economic arrangements, which include monopoly, monopolistic competition, oligopoly, and perfect competition. Each structure possesses unique characteristics that exert influence on profitability, market dynamics, and corporate behaviour. In the context of market structures, it </w:t>
      </w:r>
      <w:proofErr w:type="gramStart"/>
      <w:r w:rsidR="00A672F8">
        <w:t>can be observed</w:t>
      </w:r>
      <w:proofErr w:type="gramEnd"/>
      <w:r w:rsidR="00A672F8">
        <w:t xml:space="preserve"> that under conditions of perfect competition, firms possess limited market power and primarily engage in price-setting activities. Conversely, in a monopoly scenario, a sole business entity wields significant control and influence over the market. In order to comprehend market structures, it is imperative to have a grasp on a firm's competitive position, pricing tactics, and potential entry barriers.</w:t>
      </w:r>
    </w:p>
    <w:p w:rsidR="00A672F8" w:rsidRDefault="00A672F8" w:rsidP="00A672F8">
      <w:pPr>
        <w:spacing w:line="360" w:lineRule="auto"/>
        <w:jc w:val="both"/>
      </w:pPr>
    </w:p>
    <w:p w:rsidR="00A672F8" w:rsidRDefault="00A672F8" w:rsidP="00A672F8">
      <w:pPr>
        <w:spacing w:line="360" w:lineRule="auto"/>
        <w:ind w:firstLine="720"/>
        <w:jc w:val="both"/>
      </w:pPr>
      <w:r>
        <w:lastRenderedPageBreak/>
        <w:t xml:space="preserve">The influence of market dynamics and organisational structures on corporate strategy is significant. Businesses must consider various factors such as pricing, product differentiation, market entry restrictions, intense competition, and customer preferences. The segmentation, targeting, and positioning strategies of businesses, as well as their pursuit of cost leadership, differentiation, innovation, and global expansion plans, </w:t>
      </w:r>
      <w:proofErr w:type="gramStart"/>
      <w:r>
        <w:t>are influenced</w:t>
      </w:r>
      <w:proofErr w:type="gramEnd"/>
      <w:r>
        <w:t xml:space="preserve"> by market structures and conditions.</w:t>
      </w:r>
    </w:p>
    <w:p w:rsidR="00A672F8" w:rsidRDefault="00A672F8" w:rsidP="00A672F8">
      <w:pPr>
        <w:spacing w:line="360" w:lineRule="auto"/>
        <w:jc w:val="both"/>
      </w:pPr>
    </w:p>
    <w:p w:rsidR="00A672F8" w:rsidRDefault="00EB0261" w:rsidP="00A672F8">
      <w:pPr>
        <w:spacing w:line="360" w:lineRule="auto"/>
        <w:ind w:firstLine="720"/>
        <w:jc w:val="both"/>
      </w:pPr>
      <w:r>
        <w:t xml:space="preserve">According to </w:t>
      </w:r>
      <w:r w:rsidRPr="00A672F8">
        <w:t>Hill</w:t>
      </w:r>
      <w:r>
        <w:t xml:space="preserve"> &amp; Jones (2012), m</w:t>
      </w:r>
      <w:r w:rsidR="00A672F8">
        <w:t xml:space="preserve">arket dynamics have the potential to undergo fluctuations both in the long and short term. Long-term alterations in market equilibrium resulting from advancements in technology, shifts in consumer behaviour, or industry consolidation </w:t>
      </w:r>
      <w:proofErr w:type="gramStart"/>
      <w:r w:rsidR="00A672F8">
        <w:t>are regarded</w:t>
      </w:r>
      <w:proofErr w:type="gramEnd"/>
      <w:r w:rsidR="00A672F8">
        <w:t xml:space="preserve"> as enduring changes. Short-term fluctuations refer to temporary changes that occur due to factors such as shifts in demand, disruptions in supply, or economic shocks. In order to maintain competitiveness, businesses must possess a comprehensive understanding of and adapt to both enduring patterns and transient fluctuations.</w:t>
      </w:r>
    </w:p>
    <w:p w:rsidR="00A672F8" w:rsidRDefault="00A672F8" w:rsidP="00A672F8">
      <w:pPr>
        <w:spacing w:line="360" w:lineRule="auto"/>
        <w:jc w:val="both"/>
      </w:pPr>
    </w:p>
    <w:p w:rsidR="00A672F8" w:rsidRDefault="00A672F8" w:rsidP="00A672F8">
      <w:pPr>
        <w:spacing w:line="360" w:lineRule="auto"/>
        <w:ind w:firstLine="720"/>
        <w:jc w:val="both"/>
      </w:pPr>
      <w:r>
        <w:t>Examining the fundamental elements of the present-day global economy provides valuable perspectives on the overall condition of the global economic system. Examples of factors that influence the global economy include globalisation, patterns of international trade, regional economic integration, currency exchange rates, geopolitical variables, and the impacts of technological advancements. Firms can effectively discern market opportunities, assess risks, and adapt their strategic approach to the global business landscape through a comprehensive comprehension of the prevailing conditions within the global economy.</w:t>
      </w:r>
    </w:p>
    <w:p w:rsidR="00A672F8" w:rsidRDefault="00A672F8" w:rsidP="00A672F8">
      <w:pPr>
        <w:spacing w:line="360" w:lineRule="auto"/>
        <w:jc w:val="both"/>
      </w:pPr>
    </w:p>
    <w:p w:rsidR="00A672F8" w:rsidRDefault="00A672F8" w:rsidP="00A672F8">
      <w:pPr>
        <w:spacing w:line="360" w:lineRule="auto"/>
        <w:ind w:firstLine="720"/>
        <w:jc w:val="both"/>
      </w:pPr>
      <w:r>
        <w:t>Firms have the ability to make well-informed decisions, develop effective strategies, and navigate the intricate dynamics of the global marketplace through the process of evaluating markets in operation. This entails considering both microeconomic and macroeconomic underpinnings, conducting an analysis of market structures, and comprehending their impact on firm strategy.</w:t>
      </w:r>
    </w:p>
    <w:p w:rsidR="00A672F8" w:rsidRDefault="00A672F8" w:rsidP="00A672F8"/>
    <w:p w:rsidR="00A672F8" w:rsidRDefault="00A672F8" w:rsidP="00A672F8"/>
    <w:p w:rsidR="00A672F8" w:rsidRDefault="00A672F8" w:rsidP="00A672F8">
      <w:pPr>
        <w:pStyle w:val="ListParagraph"/>
        <w:numPr>
          <w:ilvl w:val="0"/>
          <w:numId w:val="2"/>
        </w:numPr>
        <w:rPr>
          <w:b/>
          <w:u w:val="single"/>
        </w:rPr>
      </w:pPr>
      <w:r w:rsidRPr="00A672F8">
        <w:rPr>
          <w:b/>
          <w:u w:val="single"/>
        </w:rPr>
        <w:t>Conclusions</w:t>
      </w:r>
    </w:p>
    <w:p w:rsidR="00A672F8" w:rsidRDefault="00A672F8" w:rsidP="00A672F8">
      <w:pPr>
        <w:rPr>
          <w:b/>
          <w:u w:val="single"/>
        </w:rPr>
      </w:pPr>
    </w:p>
    <w:p w:rsidR="00A672F8" w:rsidRDefault="00A672F8" w:rsidP="00A672F8">
      <w:pPr>
        <w:spacing w:line="360" w:lineRule="auto"/>
        <w:ind w:firstLine="720"/>
        <w:jc w:val="both"/>
      </w:pPr>
      <w:r>
        <w:t xml:space="preserve">In conclusion, evaluating markets in action necessitates a thorough knowledge of their microeconomic and macroeconomic underpinnings, various market configurations, and their impact on business strategy. In addition, it is crucial to take into account the key aspects of the </w:t>
      </w:r>
      <w:r>
        <w:lastRenderedPageBreak/>
        <w:t>current global economy as well as both long- and short-term changes in market dynamics.</w:t>
      </w:r>
    </w:p>
    <w:p w:rsidR="00A672F8" w:rsidRDefault="00A672F8" w:rsidP="00A672F8">
      <w:pPr>
        <w:spacing w:line="360" w:lineRule="auto"/>
        <w:ind w:firstLine="720"/>
        <w:jc w:val="both"/>
      </w:pPr>
    </w:p>
    <w:p w:rsidR="00A672F8" w:rsidRDefault="00A672F8" w:rsidP="00A672F8">
      <w:pPr>
        <w:spacing w:line="360" w:lineRule="auto"/>
        <w:ind w:firstLine="720"/>
        <w:jc w:val="both"/>
      </w:pPr>
      <w:r>
        <w:t>Firms can decide on pricing, output, and resource allocation by looking at microeconomic aspects such supply and demand, price elasticity, cost structures, and market competitiveness. Businesses may assess market conditions and modify their plans by having a solid understanding of macroeconomic variables, such as GDP growth, inflation, and fiscal policies.</w:t>
      </w:r>
    </w:p>
    <w:p w:rsidR="00A672F8" w:rsidRDefault="00A672F8" w:rsidP="00A672F8">
      <w:pPr>
        <w:spacing w:line="360" w:lineRule="auto"/>
        <w:ind w:firstLine="720"/>
        <w:jc w:val="both"/>
      </w:pPr>
    </w:p>
    <w:p w:rsidR="00A672F8" w:rsidRDefault="00A672F8" w:rsidP="00A672F8">
      <w:pPr>
        <w:spacing w:line="360" w:lineRule="auto"/>
        <w:ind w:firstLine="720"/>
        <w:jc w:val="both"/>
      </w:pPr>
      <w:r>
        <w:t xml:space="preserve">Different market structures, including monopoly, oligopoly, perfect competition, and monopoly, have an impact on corporate behaviour, market dynamics, and profitability. When establishing their competitive position, pricing tactics, and potential entry barriers, businesses must </w:t>
      </w:r>
      <w:proofErr w:type="gramStart"/>
      <w:r>
        <w:t>take market structures into account</w:t>
      </w:r>
      <w:proofErr w:type="gramEnd"/>
      <w:r>
        <w:t>.</w:t>
      </w:r>
    </w:p>
    <w:p w:rsidR="00A672F8" w:rsidRDefault="00A672F8" w:rsidP="00A672F8">
      <w:pPr>
        <w:spacing w:line="360" w:lineRule="auto"/>
        <w:ind w:firstLine="720"/>
        <w:jc w:val="both"/>
      </w:pPr>
    </w:p>
    <w:p w:rsidR="00A672F8" w:rsidRDefault="00A672F8" w:rsidP="00A672F8">
      <w:pPr>
        <w:rPr>
          <w:b/>
          <w:u w:val="single"/>
        </w:rPr>
      </w:pPr>
    </w:p>
    <w:p w:rsidR="00A672F8" w:rsidRDefault="00A672F8" w:rsidP="00A672F8">
      <w:pPr>
        <w:rPr>
          <w:b/>
          <w:u w:val="single"/>
        </w:rPr>
      </w:pPr>
    </w:p>
    <w:p w:rsidR="00A672F8" w:rsidRDefault="00A672F8" w:rsidP="00A672F8">
      <w:pPr>
        <w:rPr>
          <w:b/>
          <w:u w:val="single"/>
        </w:rPr>
      </w:pPr>
      <w:r>
        <w:rPr>
          <w:b/>
          <w:u w:val="single"/>
        </w:rPr>
        <w:t xml:space="preserve">References list: </w:t>
      </w:r>
    </w:p>
    <w:p w:rsidR="00A672F8" w:rsidRDefault="00A672F8" w:rsidP="00A672F8">
      <w:pPr>
        <w:rPr>
          <w:b/>
          <w:u w:val="single"/>
        </w:rPr>
      </w:pPr>
    </w:p>
    <w:p w:rsidR="00A672F8" w:rsidRPr="00A672F8" w:rsidRDefault="00A672F8" w:rsidP="00A672F8">
      <w:r w:rsidRPr="00A672F8">
        <w:t xml:space="preserve">Porter, M. E. (1990). </w:t>
      </w:r>
      <w:r w:rsidRPr="00A672F8">
        <w:rPr>
          <w:i/>
        </w:rPr>
        <w:t>The Competitive Advantage of Nations</w:t>
      </w:r>
      <w:r w:rsidRPr="00A672F8">
        <w:t xml:space="preserve">. </w:t>
      </w:r>
      <w:r>
        <w:t xml:space="preserve">pp. 77-80, </w:t>
      </w:r>
      <w:r w:rsidRPr="00A672F8">
        <w:t>Harvard Business Review.</w:t>
      </w:r>
    </w:p>
    <w:p w:rsidR="00A672F8" w:rsidRPr="00A672F8" w:rsidRDefault="00A672F8" w:rsidP="00A672F8"/>
    <w:p w:rsidR="00A672F8" w:rsidRPr="00A672F8" w:rsidRDefault="00A672F8" w:rsidP="00A672F8">
      <w:proofErr w:type="spellStart"/>
      <w:r w:rsidRPr="00A672F8">
        <w:t>Gereffi</w:t>
      </w:r>
      <w:proofErr w:type="spellEnd"/>
      <w:r w:rsidRPr="00A672F8">
        <w:t xml:space="preserve">, G., Humphrey, J., &amp; Sturgeon, T. (2005). </w:t>
      </w:r>
      <w:r w:rsidRPr="00A672F8">
        <w:rPr>
          <w:i/>
        </w:rPr>
        <w:t>The Governance of Global Value Chains. Review of International Political Economy</w:t>
      </w:r>
      <w:r w:rsidRPr="00A672F8">
        <w:t xml:space="preserve">, 12(1), </w:t>
      </w:r>
      <w:r>
        <w:t xml:space="preserve">pp. </w:t>
      </w:r>
      <w:r w:rsidRPr="00A672F8">
        <w:t>78-104.</w:t>
      </w:r>
    </w:p>
    <w:p w:rsidR="00A672F8" w:rsidRPr="00A672F8" w:rsidRDefault="00A672F8" w:rsidP="00A672F8"/>
    <w:p w:rsidR="00A672F8" w:rsidRPr="00A672F8" w:rsidRDefault="00A672F8" w:rsidP="00A672F8">
      <w:r w:rsidRPr="00A672F8">
        <w:t xml:space="preserve">Porter, M. E. (2008). </w:t>
      </w:r>
      <w:r w:rsidRPr="00A672F8">
        <w:rPr>
          <w:i/>
        </w:rPr>
        <w:t>Competitive Advantage: Creating and Sustaining Superior Performance</w:t>
      </w:r>
      <w:r w:rsidRPr="00A672F8">
        <w:t xml:space="preserve">. </w:t>
      </w:r>
      <w:r>
        <w:t xml:space="preserve">pp. 59-64, </w:t>
      </w:r>
      <w:r w:rsidRPr="00A672F8">
        <w:t>Simon and Schuster.</w:t>
      </w:r>
    </w:p>
    <w:p w:rsidR="00A672F8" w:rsidRPr="00A672F8" w:rsidRDefault="00A672F8" w:rsidP="00A672F8"/>
    <w:p w:rsidR="00A672F8" w:rsidRPr="00A672F8" w:rsidRDefault="00A672F8" w:rsidP="00A672F8">
      <w:r w:rsidRPr="00A672F8">
        <w:t xml:space="preserve">Hill, C. W., &amp; Jones, G. R. (2012). </w:t>
      </w:r>
      <w:r w:rsidRPr="00A672F8">
        <w:rPr>
          <w:i/>
        </w:rPr>
        <w:t>Strategic Management: An Integrated Approach</w:t>
      </w:r>
      <w:r w:rsidRPr="00A672F8">
        <w:t>.</w:t>
      </w:r>
      <w:r>
        <w:t xml:space="preserve"> pp. 68-72</w:t>
      </w:r>
      <w:r w:rsidRPr="00A672F8">
        <w:t xml:space="preserve"> Cengage Learning.</w:t>
      </w:r>
    </w:p>
    <w:p w:rsidR="00A672F8" w:rsidRPr="00A672F8" w:rsidRDefault="00A672F8" w:rsidP="00A672F8"/>
    <w:p w:rsidR="00A672F8" w:rsidRPr="00A672F8" w:rsidRDefault="00A672F8" w:rsidP="00A672F8">
      <w:r w:rsidRPr="00A672F8">
        <w:t xml:space="preserve">Rugman, A. M., &amp; Collinson, S. (2012). </w:t>
      </w:r>
      <w:r w:rsidRPr="00A672F8">
        <w:rPr>
          <w:i/>
        </w:rPr>
        <w:t>International Business</w:t>
      </w:r>
      <w:r w:rsidRPr="00A672F8">
        <w:t>.</w:t>
      </w:r>
      <w:r>
        <w:t xml:space="preserve"> pp. 33-38. </w:t>
      </w:r>
      <w:r w:rsidRPr="00A672F8">
        <w:t>Pearson.</w:t>
      </w:r>
    </w:p>
    <w:p w:rsidR="00A672F8" w:rsidRPr="00A672F8" w:rsidRDefault="00A672F8" w:rsidP="00A672F8"/>
    <w:p w:rsidR="00A672F8" w:rsidRPr="00A672F8" w:rsidRDefault="00A672F8" w:rsidP="00A672F8">
      <w:r w:rsidRPr="00A672F8">
        <w:t xml:space="preserve">Grant, R. M. (2013). </w:t>
      </w:r>
      <w:r w:rsidRPr="00A672F8">
        <w:rPr>
          <w:i/>
        </w:rPr>
        <w:t>Contemporary Strategy Analysis: Text and Cases Edition</w:t>
      </w:r>
      <w:r w:rsidRPr="00A672F8">
        <w:t>.</w:t>
      </w:r>
      <w:r>
        <w:t xml:space="preserve"> pp. 112-115.</w:t>
      </w:r>
      <w:r w:rsidRPr="00A672F8">
        <w:t xml:space="preserve"> John Wiley &amp; Sons.</w:t>
      </w:r>
    </w:p>
    <w:p w:rsidR="00A672F8" w:rsidRPr="00A672F8" w:rsidRDefault="00A672F8" w:rsidP="00A672F8"/>
    <w:p w:rsidR="00A672F8" w:rsidRPr="00A672F8" w:rsidRDefault="00A672F8" w:rsidP="00A672F8">
      <w:proofErr w:type="spellStart"/>
      <w:r w:rsidRPr="00A672F8">
        <w:t>Cavusgil</w:t>
      </w:r>
      <w:proofErr w:type="spellEnd"/>
      <w:r w:rsidRPr="00A672F8">
        <w:t xml:space="preserve">, S. T., Knight, G., &amp; </w:t>
      </w:r>
      <w:proofErr w:type="spellStart"/>
      <w:r w:rsidRPr="00A672F8">
        <w:t>Riesenberger</w:t>
      </w:r>
      <w:proofErr w:type="spellEnd"/>
      <w:r w:rsidRPr="00A672F8">
        <w:t xml:space="preserve">, J. R. (2014). </w:t>
      </w:r>
      <w:r w:rsidRPr="00A672F8">
        <w:rPr>
          <w:i/>
        </w:rPr>
        <w:t>International Business</w:t>
      </w:r>
      <w:r w:rsidRPr="00A672F8">
        <w:t xml:space="preserve">: </w:t>
      </w:r>
      <w:r w:rsidRPr="00A672F8">
        <w:rPr>
          <w:i/>
        </w:rPr>
        <w:t>The New Realities</w:t>
      </w:r>
      <w:r w:rsidRPr="00A672F8">
        <w:t xml:space="preserve">. </w:t>
      </w:r>
      <w:r>
        <w:t xml:space="preserve">pp. 88-92. </w:t>
      </w:r>
      <w:r w:rsidRPr="00A672F8">
        <w:t>Pearson.</w:t>
      </w:r>
    </w:p>
    <w:p w:rsidR="00A672F8" w:rsidRPr="00A672F8" w:rsidRDefault="00A672F8" w:rsidP="00A672F8"/>
    <w:p w:rsidR="00A672F8" w:rsidRPr="00A672F8" w:rsidRDefault="00A672F8" w:rsidP="00A672F8">
      <w:r w:rsidRPr="00A672F8">
        <w:t xml:space="preserve">Krugman, P. R., Obstfeld, M., &amp; Melitz, M. J. (2014). </w:t>
      </w:r>
      <w:r w:rsidRPr="00A672F8">
        <w:rPr>
          <w:i/>
        </w:rPr>
        <w:t>International Economics: Theory and Policy</w:t>
      </w:r>
      <w:r w:rsidRPr="00A672F8">
        <w:t xml:space="preserve">. </w:t>
      </w:r>
      <w:r>
        <w:t xml:space="preserve">pp. 55-60. </w:t>
      </w:r>
      <w:r w:rsidRPr="00A672F8">
        <w:t>Pearson.</w:t>
      </w:r>
    </w:p>
    <w:p w:rsidR="00A672F8" w:rsidRPr="00A672F8" w:rsidRDefault="00A672F8" w:rsidP="00A672F8"/>
    <w:p w:rsidR="00A672F8" w:rsidRPr="00A672F8" w:rsidRDefault="00A672F8" w:rsidP="00A672F8">
      <w:r w:rsidRPr="00A672F8">
        <w:t xml:space="preserve">Dunning, J. H. (2015). </w:t>
      </w:r>
      <w:r w:rsidRPr="00A672F8">
        <w:rPr>
          <w:i/>
        </w:rPr>
        <w:t>The Globalization of Business (Routledge Revivals): The Challenge of the 1990s</w:t>
      </w:r>
      <w:r w:rsidRPr="00A672F8">
        <w:t>.</w:t>
      </w:r>
      <w:r>
        <w:t xml:space="preserve"> pp. 142-146.</w:t>
      </w:r>
      <w:r w:rsidRPr="00A672F8">
        <w:t xml:space="preserve"> Routledge.</w:t>
      </w:r>
    </w:p>
    <w:p w:rsidR="00A672F8" w:rsidRPr="00A672F8" w:rsidRDefault="00A672F8" w:rsidP="00A672F8"/>
    <w:p w:rsidR="00A672F8" w:rsidRPr="00A672F8" w:rsidRDefault="00A672F8" w:rsidP="00A672F8">
      <w:r w:rsidRPr="00A672F8">
        <w:t xml:space="preserve">WTO (World Trade Organization). (2020). </w:t>
      </w:r>
      <w:r w:rsidRPr="00A672F8">
        <w:rPr>
          <w:i/>
        </w:rPr>
        <w:t>World Trade Report 2020</w:t>
      </w:r>
      <w:r w:rsidRPr="00A672F8">
        <w:t>: Government Policies to Promote Innovation in the Digital Age.</w:t>
      </w:r>
    </w:p>
    <w:sectPr w:rsidR="00A672F8" w:rsidRPr="00A672F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A92" w:rsidRDefault="00677A92" w:rsidP="00500F10">
      <w:r>
        <w:separator/>
      </w:r>
    </w:p>
  </w:endnote>
  <w:endnote w:type="continuationSeparator" w:id="0">
    <w:p w:rsidR="00677A92" w:rsidRDefault="00677A92" w:rsidP="00500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884307"/>
      <w:docPartObj>
        <w:docPartGallery w:val="Page Numbers (Bottom of Page)"/>
        <w:docPartUnique/>
      </w:docPartObj>
    </w:sdtPr>
    <w:sdtEndPr>
      <w:rPr>
        <w:noProof/>
      </w:rPr>
    </w:sdtEndPr>
    <w:sdtContent>
      <w:p w:rsidR="00500F10" w:rsidRDefault="00500F10">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500F10" w:rsidRDefault="00500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A92" w:rsidRDefault="00677A92" w:rsidP="00500F10">
      <w:r>
        <w:separator/>
      </w:r>
    </w:p>
  </w:footnote>
  <w:footnote w:type="continuationSeparator" w:id="0">
    <w:p w:rsidR="00677A92" w:rsidRDefault="00677A92" w:rsidP="00500F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EC3C3F"/>
    <w:multiLevelType w:val="multilevel"/>
    <w:tmpl w:val="30743DA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6152A26"/>
    <w:multiLevelType w:val="hybridMultilevel"/>
    <w:tmpl w:val="6298E9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75E"/>
    <w:rsid w:val="00500F10"/>
    <w:rsid w:val="00677A92"/>
    <w:rsid w:val="006B375E"/>
    <w:rsid w:val="009947AE"/>
    <w:rsid w:val="00A672F8"/>
    <w:rsid w:val="00D9356E"/>
    <w:rsid w:val="00EB02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D7AE"/>
  <w15:chartTrackingRefBased/>
  <w15:docId w15:val="{F75B2827-AC24-44CF-880D-2D9818FC9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B375E"/>
    <w:pPr>
      <w:widowControl w:val="0"/>
      <w:autoSpaceDE w:val="0"/>
      <w:autoSpaceDN w:val="0"/>
      <w:spacing w:after="0" w:line="240" w:lineRule="auto"/>
    </w:pPr>
    <w:rPr>
      <w:rFonts w:ascii="Arial" w:eastAsia="Arial" w:hAnsi="Arial" w:cs="Arial"/>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75E"/>
    <w:pPr>
      <w:ind w:left="720"/>
      <w:contextualSpacing/>
    </w:pPr>
  </w:style>
  <w:style w:type="paragraph" w:styleId="Header">
    <w:name w:val="header"/>
    <w:basedOn w:val="Normal"/>
    <w:link w:val="HeaderChar"/>
    <w:uiPriority w:val="99"/>
    <w:unhideWhenUsed/>
    <w:rsid w:val="00500F10"/>
    <w:pPr>
      <w:tabs>
        <w:tab w:val="center" w:pos="4680"/>
        <w:tab w:val="right" w:pos="9360"/>
      </w:tabs>
    </w:pPr>
  </w:style>
  <w:style w:type="character" w:customStyle="1" w:styleId="HeaderChar">
    <w:name w:val="Header Char"/>
    <w:basedOn w:val="DefaultParagraphFont"/>
    <w:link w:val="Header"/>
    <w:uiPriority w:val="99"/>
    <w:rsid w:val="00500F10"/>
    <w:rPr>
      <w:rFonts w:ascii="Arial" w:eastAsia="Arial" w:hAnsi="Arial" w:cs="Arial"/>
      <w:lang w:val="en-GB"/>
    </w:rPr>
  </w:style>
  <w:style w:type="paragraph" w:styleId="Footer">
    <w:name w:val="footer"/>
    <w:basedOn w:val="Normal"/>
    <w:link w:val="FooterChar"/>
    <w:uiPriority w:val="99"/>
    <w:unhideWhenUsed/>
    <w:rsid w:val="00500F10"/>
    <w:pPr>
      <w:tabs>
        <w:tab w:val="center" w:pos="4680"/>
        <w:tab w:val="right" w:pos="9360"/>
      </w:tabs>
    </w:pPr>
  </w:style>
  <w:style w:type="character" w:customStyle="1" w:styleId="FooterChar">
    <w:name w:val="Footer Char"/>
    <w:basedOn w:val="DefaultParagraphFont"/>
    <w:link w:val="Footer"/>
    <w:uiPriority w:val="99"/>
    <w:rsid w:val="00500F10"/>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3241</Words>
  <Characters>18474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BC2</dc:creator>
  <cp:keywords/>
  <dc:description/>
  <cp:lastModifiedBy>BC2</cp:lastModifiedBy>
  <cp:revision>4</cp:revision>
  <dcterms:created xsi:type="dcterms:W3CDTF">2023-06-28T07:07:00Z</dcterms:created>
  <dcterms:modified xsi:type="dcterms:W3CDTF">2023-06-28T07:58:00Z</dcterms:modified>
</cp:coreProperties>
</file>