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E944854">
      <w:pPr>
        <w:jc w:val="center"/>
        <w:rPr>
          <w:i/>
          <w:iCs/>
          <w:sz w:val="28"/>
          <w:szCs w:val="24"/>
        </w:rPr>
      </w:pPr>
    </w:p>
    <w:p w14:paraId="51835F14">
      <w:pPr>
        <w:jc w:val="center"/>
        <w:rPr>
          <w:i/>
          <w:iCs/>
          <w:sz w:val="28"/>
          <w:szCs w:val="24"/>
        </w:rPr>
      </w:pPr>
    </w:p>
    <w:p w14:paraId="02D17E3F">
      <w:pPr>
        <w:jc w:val="center"/>
        <w:rPr>
          <w:i/>
          <w:iCs/>
          <w:sz w:val="28"/>
          <w:szCs w:val="24"/>
        </w:rPr>
      </w:pPr>
      <w:r>
        <w:rPr>
          <w:rFonts w:hint="default" w:ascii="Arial" w:hAnsi="Arial" w:cs="Arial"/>
          <w:i/>
          <w:iCs/>
          <w:sz w:val="40"/>
          <w:szCs w:val="40"/>
        </w:rPr>
        <w:t>BA (Hons) Leadership and Management Skills for the Workplace</w:t>
      </w:r>
    </w:p>
    <w:p w14:paraId="7B994F84">
      <w:pPr>
        <w:jc w:val="center"/>
        <w:rPr>
          <w:b/>
          <w:bCs/>
          <w:sz w:val="28"/>
          <w:szCs w:val="24"/>
        </w:rPr>
      </w:pPr>
      <w:r>
        <w:rPr>
          <w:rFonts w:hint="default" w:ascii="Arial" w:hAnsi="Arial" w:cs="Arial"/>
          <w:b/>
          <w:bCs/>
          <w:sz w:val="44"/>
          <w:szCs w:val="44"/>
        </w:rPr>
        <w:t xml:space="preserve">Module: </w:t>
      </w:r>
    </w:p>
    <w:p w14:paraId="39E4EC9C">
      <w:pPr>
        <w:jc w:val="center"/>
        <w:rPr>
          <w:rFonts w:hint="default" w:ascii="Arial" w:hAnsi="Arial" w:cs="Arial"/>
          <w:i/>
          <w:iCs/>
          <w:sz w:val="40"/>
          <w:szCs w:val="40"/>
        </w:rPr>
      </w:pPr>
      <w:r>
        <w:rPr>
          <w:rFonts w:hint="default" w:ascii="Arial" w:hAnsi="Arial" w:cs="Arial"/>
          <w:i/>
          <w:iCs/>
          <w:sz w:val="40"/>
          <w:szCs w:val="40"/>
        </w:rPr>
        <w:t>Developing Emotional Intelligence Skills for the Workplace (BMSW6106)</w:t>
      </w:r>
    </w:p>
    <w:p w14:paraId="1E55FF95">
      <w:pPr>
        <w:jc w:val="center"/>
        <w:rPr>
          <w:sz w:val="28"/>
          <w:szCs w:val="24"/>
        </w:rPr>
      </w:pPr>
    </w:p>
    <w:p w14:paraId="643AB89D">
      <w:pPr>
        <w:jc w:val="center"/>
        <w:rPr>
          <w:rFonts w:hint="default" w:ascii="Arial" w:hAnsi="Arial" w:cs="Arial"/>
          <w:b/>
          <w:bCs/>
          <w:sz w:val="44"/>
          <w:szCs w:val="44"/>
        </w:rPr>
      </w:pPr>
      <w:r>
        <w:rPr>
          <w:rFonts w:hint="default" w:ascii="Arial" w:hAnsi="Arial" w:cs="Arial"/>
          <w:b/>
          <w:bCs/>
          <w:sz w:val="44"/>
          <w:szCs w:val="44"/>
        </w:rPr>
        <w:t>Assignment Title:</w:t>
      </w:r>
    </w:p>
    <w:p w14:paraId="3BC955CC">
      <w:pPr>
        <w:jc w:val="center"/>
        <w:rPr>
          <w:rFonts w:hint="default" w:ascii="Arial" w:hAnsi="Arial" w:cs="Arial"/>
          <w:i/>
          <w:iCs/>
          <w:sz w:val="40"/>
          <w:szCs w:val="40"/>
        </w:rPr>
      </w:pPr>
      <w:r>
        <w:rPr>
          <w:rFonts w:hint="default" w:ascii="Arial" w:hAnsi="Arial" w:cs="Arial"/>
          <w:i/>
          <w:iCs/>
          <w:sz w:val="40"/>
          <w:szCs w:val="40"/>
        </w:rPr>
        <w:t>Assessment Task 1 – Individual Report</w:t>
      </w:r>
    </w:p>
    <w:p w14:paraId="35ED4921">
      <w:pPr>
        <w:jc w:val="center"/>
        <w:rPr>
          <w:sz w:val="28"/>
          <w:szCs w:val="24"/>
        </w:rPr>
      </w:pPr>
    </w:p>
    <w:p w14:paraId="0F3B463F">
      <w:pPr>
        <w:jc w:val="center"/>
        <w:rPr>
          <w:i/>
          <w:iCs/>
          <w:sz w:val="28"/>
          <w:szCs w:val="24"/>
        </w:rPr>
      </w:pPr>
    </w:p>
    <w:p w14:paraId="70029A27">
      <w:pPr>
        <w:jc w:val="center"/>
        <w:rPr>
          <w:sz w:val="28"/>
          <w:szCs w:val="24"/>
        </w:rPr>
      </w:pPr>
    </w:p>
    <w:p w14:paraId="2EE0BE02">
      <w:pPr>
        <w:jc w:val="center"/>
        <w:rPr>
          <w:rFonts w:hint="default"/>
          <w:b/>
          <w:bCs/>
          <w:sz w:val="28"/>
          <w:szCs w:val="24"/>
          <w:lang w:val="en-GB"/>
        </w:rPr>
      </w:pPr>
      <w:r>
        <w:rPr>
          <w:b/>
          <w:bCs/>
          <w:sz w:val="28"/>
          <w:szCs w:val="24"/>
        </w:rPr>
        <w:t>S</w:t>
      </w:r>
      <w:r>
        <w:rPr>
          <w:rFonts w:hint="default"/>
          <w:b/>
          <w:bCs/>
          <w:sz w:val="28"/>
          <w:szCs w:val="24"/>
          <w:lang w:val="en-GB"/>
        </w:rPr>
        <w:t>tudent Name: Marina Ivanova</w:t>
      </w:r>
    </w:p>
    <w:p w14:paraId="225F09DA">
      <w:pPr>
        <w:jc w:val="center"/>
        <w:rPr>
          <w:rFonts w:hint="default"/>
          <w:b/>
          <w:bCs/>
          <w:sz w:val="28"/>
          <w:szCs w:val="24"/>
          <w:lang w:val="en-GB"/>
        </w:rPr>
      </w:pPr>
      <w:r>
        <w:rPr>
          <w:rFonts w:hint="default"/>
          <w:b/>
          <w:bCs/>
          <w:sz w:val="28"/>
          <w:szCs w:val="24"/>
          <w:lang w:val="en-GB"/>
        </w:rPr>
        <w:t>Student Number: 2128092</w:t>
      </w:r>
    </w:p>
    <w:p w14:paraId="4B66C93B">
      <w:pPr>
        <w:jc w:val="center"/>
        <w:rPr>
          <w:rFonts w:hint="default"/>
          <w:b/>
          <w:bCs/>
          <w:sz w:val="28"/>
          <w:szCs w:val="24"/>
          <w:lang w:val="en-GB"/>
        </w:rPr>
      </w:pPr>
      <w:r>
        <w:rPr>
          <w:rFonts w:hint="default"/>
          <w:b/>
          <w:bCs/>
          <w:sz w:val="28"/>
          <w:szCs w:val="24"/>
          <w:lang w:val="en-GB"/>
        </w:rPr>
        <w:t>Lecturer Name: Masoud Keimasi</w:t>
      </w:r>
    </w:p>
    <w:p w14:paraId="10F9931A">
      <w:pPr>
        <w:jc w:val="center"/>
        <w:rPr>
          <w:i/>
          <w:iCs/>
          <w:sz w:val="28"/>
          <w:szCs w:val="24"/>
        </w:rPr>
      </w:pPr>
    </w:p>
    <w:p w14:paraId="2BA1571F">
      <w:pPr>
        <w:jc w:val="left"/>
        <w:rPr>
          <w:b/>
          <w:bCs/>
        </w:rPr>
      </w:pPr>
      <w:r>
        <w:rPr>
          <w:b/>
          <w:bCs/>
        </w:rPr>
        <w:br w:type="page"/>
      </w:r>
    </w:p>
    <w:sdt>
      <w:sdtPr>
        <w:rPr>
          <w:rFonts w:ascii="Times New Roman" w:hAnsi="Times New Roman" w:eastAsiaTheme="minorHAnsi" w:cstheme="minorBidi"/>
          <w:color w:val="auto"/>
          <w:sz w:val="24"/>
          <w:szCs w:val="22"/>
          <w:lang w:val="en-GB"/>
          <w14:ligatures w14:val="standardContextual"/>
        </w:rPr>
        <w:id w:val="970331640"/>
        <w:docPartObj>
          <w:docPartGallery w:val="Table of Contents"/>
          <w:docPartUnique/>
        </w:docPartObj>
      </w:sdtPr>
      <w:sdtEndPr>
        <w:rPr>
          <w:rFonts w:ascii="Times New Roman" w:hAnsi="Times New Roman" w:eastAsiaTheme="minorHAnsi" w:cstheme="minorBidi"/>
          <w:b/>
          <w:bCs/>
          <w:color w:val="auto"/>
          <w:sz w:val="24"/>
          <w:szCs w:val="22"/>
          <w:lang w:val="en-GB"/>
          <w14:ligatures w14:val="standardContextual"/>
        </w:rPr>
      </w:sdtEndPr>
      <w:sdtContent>
        <w:p w14:paraId="33D5BDBD">
          <w:pPr>
            <w:pStyle w:val="39"/>
            <w:spacing w:line="360" w:lineRule="auto"/>
          </w:pPr>
          <w:r>
            <w:t>Contents</w:t>
          </w:r>
        </w:p>
        <w:p w14:paraId="5A6D064C">
          <w:pPr>
            <w:pStyle w:val="18"/>
            <w:tabs>
              <w:tab w:val="right" w:leader="dot" w:pos="9350"/>
            </w:tabs>
            <w:rPr>
              <w:rFonts w:asciiTheme="minorHAnsi" w:hAnsiTheme="minorHAnsi" w:eastAsiaTheme="minorEastAsia"/>
              <w:kern w:val="2"/>
              <w:szCs w:val="24"/>
              <w:lang w:eastAsia="en-GB"/>
            </w:rPr>
          </w:pPr>
          <w:r>
            <w:fldChar w:fldCharType="begin"/>
          </w:r>
          <w:r>
            <w:instrText xml:space="preserve"> TOC \o "1-3" \h \z \u </w:instrText>
          </w:r>
          <w:r>
            <w:fldChar w:fldCharType="separate"/>
          </w:r>
          <w:r>
            <w:fldChar w:fldCharType="begin"/>
          </w:r>
          <w:r>
            <w:instrText xml:space="preserve"> HYPERLINK \l "_Toc190810642" </w:instrText>
          </w:r>
          <w:r>
            <w:fldChar w:fldCharType="separate"/>
          </w:r>
          <w:r>
            <w:rPr>
              <w:rStyle w:val="15"/>
            </w:rPr>
            <w:t>Introduction to Pym and Wildsmith (Metal Finishers) Ltd</w:t>
          </w:r>
          <w:r>
            <w:tab/>
          </w:r>
          <w:r>
            <w:fldChar w:fldCharType="begin"/>
          </w:r>
          <w:r>
            <w:instrText xml:space="preserve"> PAGEREF _Toc190810642 \h </w:instrText>
          </w:r>
          <w:r>
            <w:fldChar w:fldCharType="separate"/>
          </w:r>
          <w:r>
            <w:t>3</w:t>
          </w:r>
          <w:r>
            <w:fldChar w:fldCharType="end"/>
          </w:r>
          <w:r>
            <w:fldChar w:fldCharType="end"/>
          </w:r>
        </w:p>
        <w:p w14:paraId="23977484">
          <w:pPr>
            <w:pStyle w:val="18"/>
            <w:tabs>
              <w:tab w:val="right" w:leader="dot" w:pos="9350"/>
            </w:tabs>
            <w:rPr>
              <w:rFonts w:asciiTheme="minorHAnsi" w:hAnsiTheme="minorHAnsi" w:eastAsiaTheme="minorEastAsia"/>
              <w:kern w:val="2"/>
              <w:szCs w:val="24"/>
              <w:lang w:eastAsia="en-GB"/>
            </w:rPr>
          </w:pPr>
          <w:r>
            <w:fldChar w:fldCharType="begin"/>
          </w:r>
          <w:r>
            <w:instrText xml:space="preserve"> HYPERLINK \l "_Toc190810643" </w:instrText>
          </w:r>
          <w:r>
            <w:fldChar w:fldCharType="separate"/>
          </w:r>
          <w:r>
            <w:rPr>
              <w:rStyle w:val="15"/>
            </w:rPr>
            <w:t>Key Models of Emotional Intelligence</w:t>
          </w:r>
          <w:r>
            <w:tab/>
          </w:r>
          <w:r>
            <w:fldChar w:fldCharType="begin"/>
          </w:r>
          <w:r>
            <w:instrText xml:space="preserve"> PAGEREF _Toc190810643 \h </w:instrText>
          </w:r>
          <w:r>
            <w:fldChar w:fldCharType="separate"/>
          </w:r>
          <w:r>
            <w:t>3</w:t>
          </w:r>
          <w:r>
            <w:fldChar w:fldCharType="end"/>
          </w:r>
          <w:r>
            <w:fldChar w:fldCharType="end"/>
          </w:r>
        </w:p>
        <w:p w14:paraId="045DBCCE">
          <w:pPr>
            <w:pStyle w:val="18"/>
            <w:tabs>
              <w:tab w:val="right" w:leader="dot" w:pos="9350"/>
            </w:tabs>
            <w:rPr>
              <w:rFonts w:asciiTheme="minorHAnsi" w:hAnsiTheme="minorHAnsi" w:eastAsiaTheme="minorEastAsia"/>
              <w:kern w:val="2"/>
              <w:szCs w:val="24"/>
              <w:lang w:eastAsia="en-GB"/>
            </w:rPr>
          </w:pPr>
          <w:r>
            <w:fldChar w:fldCharType="begin"/>
          </w:r>
          <w:r>
            <w:instrText xml:space="preserve"> HYPERLINK \l "_Toc190810644" </w:instrText>
          </w:r>
          <w:r>
            <w:fldChar w:fldCharType="separate"/>
          </w:r>
          <w:r>
            <w:rPr>
              <w:rStyle w:val="15"/>
            </w:rPr>
            <w:t>Importance of Developing Emotional Intelligence at Pym and Wildsmith</w:t>
          </w:r>
          <w:r>
            <w:tab/>
          </w:r>
          <w:r>
            <w:fldChar w:fldCharType="begin"/>
          </w:r>
          <w:r>
            <w:instrText xml:space="preserve"> PAGEREF _Toc190810644 \h </w:instrText>
          </w:r>
          <w:r>
            <w:fldChar w:fldCharType="separate"/>
          </w:r>
          <w:r>
            <w:t>4</w:t>
          </w:r>
          <w:r>
            <w:fldChar w:fldCharType="end"/>
          </w:r>
          <w:r>
            <w:fldChar w:fldCharType="end"/>
          </w:r>
        </w:p>
        <w:p w14:paraId="1B20DDF1">
          <w:pPr>
            <w:pStyle w:val="19"/>
            <w:tabs>
              <w:tab w:val="right" w:leader="dot" w:pos="9350"/>
            </w:tabs>
            <w:rPr>
              <w:rFonts w:asciiTheme="minorHAnsi" w:hAnsiTheme="minorHAnsi" w:eastAsiaTheme="minorEastAsia"/>
              <w:kern w:val="2"/>
              <w:szCs w:val="24"/>
              <w:lang w:eastAsia="en-GB"/>
            </w:rPr>
          </w:pPr>
          <w:r>
            <w:fldChar w:fldCharType="begin"/>
          </w:r>
          <w:r>
            <w:instrText xml:space="preserve"> HYPERLINK \l "_Toc190810645" </w:instrText>
          </w:r>
          <w:r>
            <w:fldChar w:fldCharType="separate"/>
          </w:r>
          <w:r>
            <w:rPr>
              <w:rStyle w:val="15"/>
            </w:rPr>
            <w:t>EI and Workforce Dynamics</w:t>
          </w:r>
          <w:r>
            <w:tab/>
          </w:r>
          <w:r>
            <w:fldChar w:fldCharType="begin"/>
          </w:r>
          <w:r>
            <w:instrText xml:space="preserve"> PAGEREF _Toc190810645 \h </w:instrText>
          </w:r>
          <w:r>
            <w:fldChar w:fldCharType="separate"/>
          </w:r>
          <w:r>
            <w:t>5</w:t>
          </w:r>
          <w:r>
            <w:fldChar w:fldCharType="end"/>
          </w:r>
          <w:r>
            <w:fldChar w:fldCharType="end"/>
          </w:r>
        </w:p>
        <w:p w14:paraId="56EF1561">
          <w:pPr>
            <w:pStyle w:val="19"/>
            <w:tabs>
              <w:tab w:val="right" w:leader="dot" w:pos="9350"/>
            </w:tabs>
            <w:rPr>
              <w:rFonts w:asciiTheme="minorHAnsi" w:hAnsiTheme="minorHAnsi" w:eastAsiaTheme="minorEastAsia"/>
              <w:kern w:val="2"/>
              <w:szCs w:val="24"/>
              <w:lang w:eastAsia="en-GB"/>
            </w:rPr>
          </w:pPr>
          <w:r>
            <w:fldChar w:fldCharType="begin"/>
          </w:r>
          <w:r>
            <w:instrText xml:space="preserve"> HYPERLINK \l "_Toc190810646" </w:instrText>
          </w:r>
          <w:r>
            <w:fldChar w:fldCharType="separate"/>
          </w:r>
          <w:r>
            <w:rPr>
              <w:rStyle w:val="15"/>
            </w:rPr>
            <w:t>Economic Volatility and EI</w:t>
          </w:r>
          <w:r>
            <w:tab/>
          </w:r>
          <w:r>
            <w:fldChar w:fldCharType="begin"/>
          </w:r>
          <w:r>
            <w:instrText xml:space="preserve"> PAGEREF _Toc190810646 \h </w:instrText>
          </w:r>
          <w:r>
            <w:fldChar w:fldCharType="separate"/>
          </w:r>
          <w:r>
            <w:t>5</w:t>
          </w:r>
          <w:r>
            <w:fldChar w:fldCharType="end"/>
          </w:r>
          <w:r>
            <w:fldChar w:fldCharType="end"/>
          </w:r>
        </w:p>
        <w:p w14:paraId="2D14183C">
          <w:pPr>
            <w:pStyle w:val="19"/>
            <w:tabs>
              <w:tab w:val="right" w:leader="dot" w:pos="9350"/>
            </w:tabs>
            <w:rPr>
              <w:rFonts w:asciiTheme="minorHAnsi" w:hAnsiTheme="minorHAnsi" w:eastAsiaTheme="minorEastAsia"/>
              <w:kern w:val="2"/>
              <w:szCs w:val="24"/>
              <w:lang w:eastAsia="en-GB"/>
            </w:rPr>
          </w:pPr>
          <w:r>
            <w:fldChar w:fldCharType="begin"/>
          </w:r>
          <w:r>
            <w:instrText xml:space="preserve"> HYPERLINK \l "_Toc190810647" </w:instrText>
          </w:r>
          <w:r>
            <w:fldChar w:fldCharType="separate"/>
          </w:r>
          <w:r>
            <w:rPr>
              <w:rStyle w:val="15"/>
            </w:rPr>
            <w:t>Competitive Advantage</w:t>
          </w:r>
          <w:r>
            <w:tab/>
          </w:r>
          <w:r>
            <w:fldChar w:fldCharType="begin"/>
          </w:r>
          <w:r>
            <w:instrText xml:space="preserve"> PAGEREF _Toc190810647 \h </w:instrText>
          </w:r>
          <w:r>
            <w:fldChar w:fldCharType="separate"/>
          </w:r>
          <w:r>
            <w:t>6</w:t>
          </w:r>
          <w:r>
            <w:fldChar w:fldCharType="end"/>
          </w:r>
          <w:r>
            <w:fldChar w:fldCharType="end"/>
          </w:r>
        </w:p>
        <w:p w14:paraId="76F28225">
          <w:pPr>
            <w:pStyle w:val="19"/>
            <w:tabs>
              <w:tab w:val="right" w:leader="dot" w:pos="9350"/>
            </w:tabs>
            <w:rPr>
              <w:rFonts w:asciiTheme="minorHAnsi" w:hAnsiTheme="minorHAnsi" w:eastAsiaTheme="minorEastAsia"/>
              <w:kern w:val="2"/>
              <w:szCs w:val="24"/>
              <w:lang w:eastAsia="en-GB"/>
            </w:rPr>
          </w:pPr>
          <w:r>
            <w:fldChar w:fldCharType="begin"/>
          </w:r>
          <w:r>
            <w:instrText xml:space="preserve"> HYPERLINK \l "_Toc190810648" </w:instrText>
          </w:r>
          <w:r>
            <w:fldChar w:fldCharType="separate"/>
          </w:r>
          <w:r>
            <w:rPr>
              <w:rStyle w:val="15"/>
            </w:rPr>
            <w:t>Mindfulness and EI Development</w:t>
          </w:r>
          <w:r>
            <w:tab/>
          </w:r>
          <w:r>
            <w:fldChar w:fldCharType="begin"/>
          </w:r>
          <w:r>
            <w:instrText xml:space="preserve"> PAGEREF _Toc190810648 \h </w:instrText>
          </w:r>
          <w:r>
            <w:fldChar w:fldCharType="separate"/>
          </w:r>
          <w:r>
            <w:t>7</w:t>
          </w:r>
          <w:r>
            <w:fldChar w:fldCharType="end"/>
          </w:r>
          <w:r>
            <w:fldChar w:fldCharType="end"/>
          </w:r>
        </w:p>
        <w:p w14:paraId="5077C92A">
          <w:pPr>
            <w:pStyle w:val="19"/>
            <w:tabs>
              <w:tab w:val="right" w:leader="dot" w:pos="9350"/>
            </w:tabs>
            <w:rPr>
              <w:rFonts w:asciiTheme="minorHAnsi" w:hAnsiTheme="minorHAnsi" w:eastAsiaTheme="minorEastAsia"/>
              <w:kern w:val="2"/>
              <w:szCs w:val="24"/>
              <w:lang w:eastAsia="en-GB"/>
            </w:rPr>
          </w:pPr>
          <w:r>
            <w:fldChar w:fldCharType="begin"/>
          </w:r>
          <w:r>
            <w:instrText xml:space="preserve"> HYPERLINK \l "_Toc190810649" </w:instrText>
          </w:r>
          <w:r>
            <w:fldChar w:fldCharType="separate"/>
          </w:r>
          <w:r>
            <w:rPr>
              <w:rStyle w:val="15"/>
            </w:rPr>
            <w:t>Case Examples at Pym and Wildsmith</w:t>
          </w:r>
          <w:r>
            <w:tab/>
          </w:r>
          <w:r>
            <w:fldChar w:fldCharType="begin"/>
          </w:r>
          <w:r>
            <w:instrText xml:space="preserve"> PAGEREF _Toc190810649 \h </w:instrText>
          </w:r>
          <w:r>
            <w:fldChar w:fldCharType="separate"/>
          </w:r>
          <w:r>
            <w:t>7</w:t>
          </w:r>
          <w:r>
            <w:fldChar w:fldCharType="end"/>
          </w:r>
          <w:r>
            <w:fldChar w:fldCharType="end"/>
          </w:r>
        </w:p>
        <w:p w14:paraId="1E6D36B0">
          <w:pPr>
            <w:pStyle w:val="18"/>
            <w:tabs>
              <w:tab w:val="right" w:leader="dot" w:pos="9350"/>
            </w:tabs>
            <w:rPr>
              <w:rFonts w:asciiTheme="minorHAnsi" w:hAnsiTheme="minorHAnsi" w:eastAsiaTheme="minorEastAsia"/>
              <w:kern w:val="2"/>
              <w:szCs w:val="24"/>
              <w:lang w:eastAsia="en-GB"/>
            </w:rPr>
          </w:pPr>
          <w:r>
            <w:fldChar w:fldCharType="begin"/>
          </w:r>
          <w:r>
            <w:instrText xml:space="preserve"> HYPERLINK \l "_Toc190810650" </w:instrText>
          </w:r>
          <w:r>
            <w:fldChar w:fldCharType="separate"/>
          </w:r>
          <w:r>
            <w:rPr>
              <w:rStyle w:val="15"/>
            </w:rPr>
            <w:t>Critical Evaluation of Applied EI Models</w:t>
          </w:r>
          <w:r>
            <w:tab/>
          </w:r>
          <w:r>
            <w:fldChar w:fldCharType="begin"/>
          </w:r>
          <w:r>
            <w:instrText xml:space="preserve"> PAGEREF _Toc190810650 \h </w:instrText>
          </w:r>
          <w:r>
            <w:fldChar w:fldCharType="separate"/>
          </w:r>
          <w:r>
            <w:t>8</w:t>
          </w:r>
          <w:r>
            <w:fldChar w:fldCharType="end"/>
          </w:r>
          <w:r>
            <w:fldChar w:fldCharType="end"/>
          </w:r>
        </w:p>
        <w:p w14:paraId="5ED7BD07">
          <w:pPr>
            <w:pStyle w:val="19"/>
            <w:tabs>
              <w:tab w:val="right" w:leader="dot" w:pos="9350"/>
            </w:tabs>
            <w:rPr>
              <w:rFonts w:asciiTheme="minorHAnsi" w:hAnsiTheme="minorHAnsi" w:eastAsiaTheme="minorEastAsia"/>
              <w:kern w:val="2"/>
              <w:szCs w:val="24"/>
              <w:lang w:eastAsia="en-GB"/>
            </w:rPr>
          </w:pPr>
          <w:r>
            <w:fldChar w:fldCharType="begin"/>
          </w:r>
          <w:r>
            <w:instrText xml:space="preserve"> HYPERLINK \l "_Toc190810651" </w:instrText>
          </w:r>
          <w:r>
            <w:fldChar w:fldCharType="separate"/>
          </w:r>
          <w:r>
            <w:rPr>
              <w:rStyle w:val="15"/>
            </w:rPr>
            <w:t>Strengths and Limitations of Goleman’s Model</w:t>
          </w:r>
          <w:r>
            <w:tab/>
          </w:r>
          <w:r>
            <w:fldChar w:fldCharType="begin"/>
          </w:r>
          <w:r>
            <w:instrText xml:space="preserve"> PAGEREF _Toc190810651 \h </w:instrText>
          </w:r>
          <w:r>
            <w:fldChar w:fldCharType="separate"/>
          </w:r>
          <w:r>
            <w:t>8</w:t>
          </w:r>
          <w:r>
            <w:fldChar w:fldCharType="end"/>
          </w:r>
          <w:r>
            <w:fldChar w:fldCharType="end"/>
          </w:r>
        </w:p>
        <w:p w14:paraId="157B8D23">
          <w:pPr>
            <w:pStyle w:val="19"/>
            <w:tabs>
              <w:tab w:val="right" w:leader="dot" w:pos="9350"/>
            </w:tabs>
            <w:rPr>
              <w:rFonts w:asciiTheme="minorHAnsi" w:hAnsiTheme="minorHAnsi" w:eastAsiaTheme="minorEastAsia"/>
              <w:kern w:val="2"/>
              <w:szCs w:val="24"/>
              <w:lang w:eastAsia="en-GB"/>
            </w:rPr>
          </w:pPr>
          <w:r>
            <w:fldChar w:fldCharType="begin"/>
          </w:r>
          <w:r>
            <w:instrText xml:space="preserve"> HYPERLINK \l "_Toc190810652" </w:instrText>
          </w:r>
          <w:r>
            <w:fldChar w:fldCharType="separate"/>
          </w:r>
          <w:r>
            <w:rPr>
              <w:rStyle w:val="15"/>
            </w:rPr>
            <w:t>Salovey and Mayer’s Model: Strengths and Limitations</w:t>
          </w:r>
          <w:r>
            <w:tab/>
          </w:r>
          <w:r>
            <w:fldChar w:fldCharType="begin"/>
          </w:r>
          <w:r>
            <w:instrText xml:space="preserve"> PAGEREF _Toc190810652 \h </w:instrText>
          </w:r>
          <w:r>
            <w:fldChar w:fldCharType="separate"/>
          </w:r>
          <w:r>
            <w:t>9</w:t>
          </w:r>
          <w:r>
            <w:fldChar w:fldCharType="end"/>
          </w:r>
          <w:r>
            <w:fldChar w:fldCharType="end"/>
          </w:r>
        </w:p>
        <w:p w14:paraId="3FE23827">
          <w:pPr>
            <w:pStyle w:val="19"/>
            <w:tabs>
              <w:tab w:val="right" w:leader="dot" w:pos="9350"/>
            </w:tabs>
            <w:rPr>
              <w:rFonts w:asciiTheme="minorHAnsi" w:hAnsiTheme="minorHAnsi" w:eastAsiaTheme="minorEastAsia"/>
              <w:kern w:val="2"/>
              <w:szCs w:val="24"/>
              <w:lang w:eastAsia="en-GB"/>
            </w:rPr>
          </w:pPr>
          <w:r>
            <w:fldChar w:fldCharType="begin"/>
          </w:r>
          <w:r>
            <w:instrText xml:space="preserve"> HYPERLINK \l "_Toc190810653" </w:instrText>
          </w:r>
          <w:r>
            <w:fldChar w:fldCharType="separate"/>
          </w:r>
          <w:r>
            <w:rPr>
              <w:rStyle w:val="15"/>
            </w:rPr>
            <w:t>Relevance to Individual Development at Pym and Wildsmith</w:t>
          </w:r>
          <w:r>
            <w:tab/>
          </w:r>
          <w:r>
            <w:fldChar w:fldCharType="begin"/>
          </w:r>
          <w:r>
            <w:instrText xml:space="preserve"> PAGEREF _Toc190810653 \h </w:instrText>
          </w:r>
          <w:r>
            <w:fldChar w:fldCharType="separate"/>
          </w:r>
          <w:r>
            <w:t>10</w:t>
          </w:r>
          <w:r>
            <w:fldChar w:fldCharType="end"/>
          </w:r>
          <w:r>
            <w:fldChar w:fldCharType="end"/>
          </w:r>
        </w:p>
        <w:p w14:paraId="64911219">
          <w:pPr>
            <w:pStyle w:val="19"/>
            <w:tabs>
              <w:tab w:val="right" w:leader="dot" w:pos="9350"/>
            </w:tabs>
            <w:rPr>
              <w:rFonts w:asciiTheme="minorHAnsi" w:hAnsiTheme="minorHAnsi" w:eastAsiaTheme="minorEastAsia"/>
              <w:kern w:val="2"/>
              <w:szCs w:val="24"/>
              <w:lang w:eastAsia="en-GB"/>
            </w:rPr>
          </w:pPr>
          <w:r>
            <w:fldChar w:fldCharType="begin"/>
          </w:r>
          <w:r>
            <w:instrText xml:space="preserve"> HYPERLINK \l "_Toc190810654" </w:instrText>
          </w:r>
          <w:r>
            <w:fldChar w:fldCharType="separate"/>
          </w:r>
          <w:r>
            <w:rPr>
              <w:rStyle w:val="15"/>
            </w:rPr>
            <w:t>Need for Tailored EI Training</w:t>
          </w:r>
          <w:r>
            <w:tab/>
          </w:r>
          <w:r>
            <w:fldChar w:fldCharType="begin"/>
          </w:r>
          <w:r>
            <w:instrText xml:space="preserve"> PAGEREF _Toc190810654 \h </w:instrText>
          </w:r>
          <w:r>
            <w:fldChar w:fldCharType="separate"/>
          </w:r>
          <w:r>
            <w:t>10</w:t>
          </w:r>
          <w:r>
            <w:fldChar w:fldCharType="end"/>
          </w:r>
          <w:r>
            <w:fldChar w:fldCharType="end"/>
          </w:r>
        </w:p>
        <w:p w14:paraId="2C70326F">
          <w:pPr>
            <w:pStyle w:val="18"/>
            <w:tabs>
              <w:tab w:val="right" w:leader="dot" w:pos="9350"/>
            </w:tabs>
            <w:rPr>
              <w:rFonts w:asciiTheme="minorHAnsi" w:hAnsiTheme="minorHAnsi" w:eastAsiaTheme="minorEastAsia"/>
              <w:kern w:val="2"/>
              <w:szCs w:val="24"/>
              <w:lang w:eastAsia="en-GB"/>
            </w:rPr>
          </w:pPr>
          <w:r>
            <w:fldChar w:fldCharType="begin"/>
          </w:r>
          <w:r>
            <w:instrText xml:space="preserve"> HYPERLINK \l "_Toc190810655" </w:instrText>
          </w:r>
          <w:r>
            <w:fldChar w:fldCharType="separate"/>
          </w:r>
          <w:r>
            <w:rPr>
              <w:rStyle w:val="15"/>
            </w:rPr>
            <w:t>Recommendations and Implementation Plan</w:t>
          </w:r>
          <w:r>
            <w:tab/>
          </w:r>
          <w:r>
            <w:fldChar w:fldCharType="begin"/>
          </w:r>
          <w:r>
            <w:instrText xml:space="preserve"> PAGEREF _Toc190810655 \h </w:instrText>
          </w:r>
          <w:r>
            <w:fldChar w:fldCharType="separate"/>
          </w:r>
          <w:r>
            <w:t>11</w:t>
          </w:r>
          <w:r>
            <w:fldChar w:fldCharType="end"/>
          </w:r>
          <w:r>
            <w:fldChar w:fldCharType="end"/>
          </w:r>
        </w:p>
        <w:p w14:paraId="674B8EA2">
          <w:pPr>
            <w:pStyle w:val="19"/>
            <w:tabs>
              <w:tab w:val="right" w:leader="dot" w:pos="9350"/>
            </w:tabs>
            <w:rPr>
              <w:rFonts w:asciiTheme="minorHAnsi" w:hAnsiTheme="minorHAnsi" w:eastAsiaTheme="minorEastAsia"/>
              <w:kern w:val="2"/>
              <w:szCs w:val="24"/>
              <w:lang w:eastAsia="en-GB"/>
            </w:rPr>
          </w:pPr>
          <w:r>
            <w:fldChar w:fldCharType="begin"/>
          </w:r>
          <w:r>
            <w:instrText xml:space="preserve"> HYPERLINK \l "_Toc190810656" </w:instrText>
          </w:r>
          <w:r>
            <w:fldChar w:fldCharType="separate"/>
          </w:r>
          <w:r>
            <w:rPr>
              <w:rStyle w:val="15"/>
            </w:rPr>
            <w:t>Key Recommendations</w:t>
          </w:r>
          <w:r>
            <w:tab/>
          </w:r>
          <w:r>
            <w:fldChar w:fldCharType="begin"/>
          </w:r>
          <w:r>
            <w:instrText xml:space="preserve"> PAGEREF _Toc190810656 \h </w:instrText>
          </w:r>
          <w:r>
            <w:fldChar w:fldCharType="separate"/>
          </w:r>
          <w:r>
            <w:t>11</w:t>
          </w:r>
          <w:r>
            <w:fldChar w:fldCharType="end"/>
          </w:r>
          <w:r>
            <w:fldChar w:fldCharType="end"/>
          </w:r>
        </w:p>
        <w:p w14:paraId="58ABD389">
          <w:pPr>
            <w:pStyle w:val="19"/>
            <w:tabs>
              <w:tab w:val="right" w:leader="dot" w:pos="9350"/>
            </w:tabs>
            <w:rPr>
              <w:rFonts w:asciiTheme="minorHAnsi" w:hAnsiTheme="minorHAnsi" w:eastAsiaTheme="minorEastAsia"/>
              <w:kern w:val="2"/>
              <w:szCs w:val="24"/>
              <w:lang w:eastAsia="en-GB"/>
            </w:rPr>
          </w:pPr>
          <w:r>
            <w:fldChar w:fldCharType="begin"/>
          </w:r>
          <w:r>
            <w:instrText xml:space="preserve"> HYPERLINK \l "_Toc190810657" </w:instrText>
          </w:r>
          <w:r>
            <w:fldChar w:fldCharType="separate"/>
          </w:r>
          <w:r>
            <w:rPr>
              <w:rStyle w:val="15"/>
            </w:rPr>
            <w:t>Proposed Systems and Processes</w:t>
          </w:r>
          <w:r>
            <w:tab/>
          </w:r>
          <w:r>
            <w:fldChar w:fldCharType="begin"/>
          </w:r>
          <w:r>
            <w:instrText xml:space="preserve"> PAGEREF _Toc190810657 \h </w:instrText>
          </w:r>
          <w:r>
            <w:fldChar w:fldCharType="separate"/>
          </w:r>
          <w:r>
            <w:t>12</w:t>
          </w:r>
          <w:r>
            <w:fldChar w:fldCharType="end"/>
          </w:r>
          <w:r>
            <w:fldChar w:fldCharType="end"/>
          </w:r>
        </w:p>
        <w:p w14:paraId="52DF242E">
          <w:pPr>
            <w:pStyle w:val="19"/>
            <w:tabs>
              <w:tab w:val="right" w:leader="dot" w:pos="9350"/>
            </w:tabs>
            <w:rPr>
              <w:rFonts w:asciiTheme="minorHAnsi" w:hAnsiTheme="minorHAnsi" w:eastAsiaTheme="minorEastAsia"/>
              <w:kern w:val="2"/>
              <w:szCs w:val="24"/>
              <w:lang w:eastAsia="en-GB"/>
            </w:rPr>
          </w:pPr>
          <w:r>
            <w:fldChar w:fldCharType="begin"/>
          </w:r>
          <w:r>
            <w:instrText xml:space="preserve"> HYPERLINK \l "_Toc190810658" </w:instrText>
          </w:r>
          <w:r>
            <w:fldChar w:fldCharType="separate"/>
          </w:r>
          <w:r>
            <w:rPr>
              <w:rStyle w:val="15"/>
            </w:rPr>
            <w:t>Steps for Implementation</w:t>
          </w:r>
          <w:r>
            <w:tab/>
          </w:r>
          <w:r>
            <w:fldChar w:fldCharType="begin"/>
          </w:r>
          <w:r>
            <w:instrText xml:space="preserve"> PAGEREF _Toc190810658 \h </w:instrText>
          </w:r>
          <w:r>
            <w:fldChar w:fldCharType="separate"/>
          </w:r>
          <w:r>
            <w:t>13</w:t>
          </w:r>
          <w:r>
            <w:fldChar w:fldCharType="end"/>
          </w:r>
          <w:r>
            <w:fldChar w:fldCharType="end"/>
          </w:r>
        </w:p>
        <w:p w14:paraId="557BEAC0">
          <w:pPr>
            <w:pStyle w:val="19"/>
            <w:tabs>
              <w:tab w:val="right" w:leader="dot" w:pos="9350"/>
            </w:tabs>
            <w:rPr>
              <w:rFonts w:asciiTheme="minorHAnsi" w:hAnsiTheme="minorHAnsi" w:eastAsiaTheme="minorEastAsia"/>
              <w:kern w:val="2"/>
              <w:szCs w:val="24"/>
              <w:lang w:eastAsia="en-GB"/>
            </w:rPr>
          </w:pPr>
          <w:r>
            <w:fldChar w:fldCharType="begin"/>
          </w:r>
          <w:r>
            <w:instrText xml:space="preserve"> HYPERLINK \l "_Toc190810659" </w:instrText>
          </w:r>
          <w:r>
            <w:fldChar w:fldCharType="separate"/>
          </w:r>
          <w:r>
            <w:rPr>
              <w:rStyle w:val="15"/>
            </w:rPr>
            <w:t>Expected Outcomes</w:t>
          </w:r>
          <w:r>
            <w:tab/>
          </w:r>
          <w:r>
            <w:fldChar w:fldCharType="begin"/>
          </w:r>
          <w:r>
            <w:instrText xml:space="preserve"> PAGEREF _Toc190810659 \h </w:instrText>
          </w:r>
          <w:r>
            <w:fldChar w:fldCharType="separate"/>
          </w:r>
          <w:r>
            <w:t>13</w:t>
          </w:r>
          <w:r>
            <w:fldChar w:fldCharType="end"/>
          </w:r>
          <w:r>
            <w:fldChar w:fldCharType="end"/>
          </w:r>
        </w:p>
        <w:p w14:paraId="0DE9B320">
          <w:pPr>
            <w:pStyle w:val="18"/>
            <w:tabs>
              <w:tab w:val="right" w:leader="dot" w:pos="9350"/>
            </w:tabs>
            <w:rPr>
              <w:rFonts w:asciiTheme="minorHAnsi" w:hAnsiTheme="minorHAnsi" w:eastAsiaTheme="minorEastAsia"/>
              <w:kern w:val="2"/>
              <w:szCs w:val="24"/>
              <w:lang w:eastAsia="en-GB"/>
            </w:rPr>
          </w:pPr>
          <w:r>
            <w:fldChar w:fldCharType="begin"/>
          </w:r>
          <w:r>
            <w:instrText xml:space="preserve"> HYPERLINK \l "_Toc190810660" </w:instrText>
          </w:r>
          <w:r>
            <w:fldChar w:fldCharType="separate"/>
          </w:r>
          <w:r>
            <w:rPr>
              <w:rStyle w:val="15"/>
            </w:rPr>
            <w:t>Conclusion</w:t>
          </w:r>
          <w:r>
            <w:tab/>
          </w:r>
          <w:r>
            <w:fldChar w:fldCharType="begin"/>
          </w:r>
          <w:r>
            <w:instrText xml:space="preserve"> PAGEREF _Toc190810660 \h </w:instrText>
          </w:r>
          <w:r>
            <w:fldChar w:fldCharType="separate"/>
          </w:r>
          <w:r>
            <w:t>14</w:t>
          </w:r>
          <w:r>
            <w:fldChar w:fldCharType="end"/>
          </w:r>
          <w:r>
            <w:fldChar w:fldCharType="end"/>
          </w:r>
        </w:p>
        <w:p w14:paraId="59899144">
          <w:pPr>
            <w:pStyle w:val="18"/>
            <w:tabs>
              <w:tab w:val="right" w:leader="dot" w:pos="9350"/>
            </w:tabs>
            <w:rPr>
              <w:rFonts w:asciiTheme="minorHAnsi" w:hAnsiTheme="minorHAnsi" w:eastAsiaTheme="minorEastAsia"/>
              <w:kern w:val="2"/>
              <w:szCs w:val="24"/>
              <w:lang w:eastAsia="en-GB"/>
            </w:rPr>
          </w:pPr>
          <w:r>
            <w:fldChar w:fldCharType="begin"/>
          </w:r>
          <w:r>
            <w:instrText xml:space="preserve"> HYPERLINK \l "_Toc190810661" </w:instrText>
          </w:r>
          <w:r>
            <w:fldChar w:fldCharType="separate"/>
          </w:r>
          <w:r>
            <w:rPr>
              <w:rStyle w:val="15"/>
            </w:rPr>
            <w:t>References</w:t>
          </w:r>
          <w:r>
            <w:tab/>
          </w:r>
          <w:r>
            <w:fldChar w:fldCharType="begin"/>
          </w:r>
          <w:r>
            <w:instrText xml:space="preserve"> PAGEREF _Toc190810661 \h </w:instrText>
          </w:r>
          <w:r>
            <w:fldChar w:fldCharType="separate"/>
          </w:r>
          <w:r>
            <w:t>15</w:t>
          </w:r>
          <w:r>
            <w:fldChar w:fldCharType="end"/>
          </w:r>
          <w:r>
            <w:fldChar w:fldCharType="end"/>
          </w:r>
        </w:p>
        <w:p w14:paraId="0D96B1DA">
          <w:pPr>
            <w:pStyle w:val="18"/>
            <w:tabs>
              <w:tab w:val="right" w:leader="dot" w:pos="9350"/>
            </w:tabs>
            <w:rPr>
              <w:rFonts w:asciiTheme="minorHAnsi" w:hAnsiTheme="minorHAnsi" w:eastAsiaTheme="minorEastAsia"/>
              <w:kern w:val="2"/>
              <w:szCs w:val="24"/>
              <w:lang w:eastAsia="en-GB"/>
            </w:rPr>
          </w:pPr>
          <w:r>
            <w:fldChar w:fldCharType="begin"/>
          </w:r>
          <w:r>
            <w:instrText xml:space="preserve"> HYPERLINK \l "_Toc190810662" </w:instrText>
          </w:r>
          <w:r>
            <w:fldChar w:fldCharType="separate"/>
          </w:r>
          <w:r>
            <w:rPr>
              <w:rStyle w:val="15"/>
            </w:rPr>
            <w:t>Appendix</w:t>
          </w:r>
          <w:r>
            <w:tab/>
          </w:r>
          <w:r>
            <w:fldChar w:fldCharType="begin"/>
          </w:r>
          <w:r>
            <w:instrText xml:space="preserve"> PAGEREF _Toc190810662 \h </w:instrText>
          </w:r>
          <w:r>
            <w:fldChar w:fldCharType="separate"/>
          </w:r>
          <w:r>
            <w:t>19</w:t>
          </w:r>
          <w:r>
            <w:fldChar w:fldCharType="end"/>
          </w:r>
          <w:r>
            <w:fldChar w:fldCharType="end"/>
          </w:r>
        </w:p>
        <w:p w14:paraId="29DCB8A7">
          <w:r>
            <w:rPr>
              <w:b/>
              <w:bCs/>
            </w:rPr>
            <w:fldChar w:fldCharType="end"/>
          </w:r>
        </w:p>
      </w:sdtContent>
    </w:sdt>
    <w:p w14:paraId="4D48B5FE">
      <w:pPr>
        <w:rPr>
          <w:b/>
          <w:bCs/>
        </w:rPr>
      </w:pPr>
    </w:p>
    <w:p w14:paraId="738757BF">
      <w:pPr>
        <w:jc w:val="left"/>
        <w:rPr>
          <w:b/>
          <w:bCs/>
        </w:rPr>
      </w:pPr>
      <w:r>
        <w:rPr>
          <w:b/>
          <w:bCs/>
        </w:rPr>
        <w:br w:type="page"/>
      </w:r>
    </w:p>
    <w:p w14:paraId="6CF24F30">
      <w:pPr>
        <w:pStyle w:val="2"/>
      </w:pPr>
      <w:bookmarkStart w:id="0" w:name="_Toc190810642"/>
      <w:r>
        <w:t>Introduction to Pym and Wildsmith (Metal Finishers) Ltd</w:t>
      </w:r>
      <w:bookmarkEnd w:id="0"/>
    </w:p>
    <w:p w14:paraId="2F74D3E6">
      <w:pPr>
        <w:bidi w:val="0"/>
      </w:pPr>
      <w:r>
        <w:t>The principal organisation, Pym and Wildsmith (Metal Finishers) Ltd started operations in 1979 through its Staffordshire, UK base to provide established metal finishing and powder coating services. Pym and Wildsmith (Metal Finishers) Ltd has established substantial fame for providing high-quality finishes serving manufacturers across the UK's automotive construction and manufacturing sectors (Pym and Wildsmith, 2024). The operational framework of this organisation includes different professional groups working together to reach success under shifting market environments alongside developing technologies. The workforce comprises skilled technicians, rational managers, and administrative support staff.</w:t>
      </w:r>
    </w:p>
    <w:p w14:paraId="2FF1E750">
      <w:r>
        <w:t>Managers in the manufacturing sector, including metal finishing, must confront a range of business challenges connected to economic instability, supply chain complications, and digital technology implementation speed (He et al., 2023). Pym and Wildsmith operate in this unstable market where it needs to balance its operational stability with employee flexibility and organisational resistance to change. Partners must implement Emotional Intelligence (EI) as a key solution to meet their current workplace obstacles since it improves workforce stability, operational efficiency, and client contentment levels. According to Jordan and Troth (2011), manufacturing environments require effective communication, conflict resolution, and teamwork, which high EI levels in employees enable.</w:t>
      </w:r>
    </w:p>
    <w:p w14:paraId="52B41334">
      <w:r>
        <w:t>Pym and Wildsmith need to develop emotional intelligence among their employees because this will benefit individual employee development while maintaining competitive advantage, ensuring long-lasting organisational success in their dynamically changing industry.</w:t>
      </w:r>
    </w:p>
    <w:p w14:paraId="4DCD767F">
      <w:pPr>
        <w:pStyle w:val="2"/>
      </w:pPr>
      <w:bookmarkStart w:id="1" w:name="_Toc190810643"/>
      <w:r>
        <w:t>Key Models of Emotional Intelligence</w:t>
      </w:r>
      <w:bookmarkEnd w:id="1"/>
    </w:p>
    <w:p w14:paraId="5F6A2D92">
      <w:r>
        <w:t>Emotional Intelligence (EI) describes the ability to perceive, comprehend, and guide personal feelings and collective' emotions, which results in better social connections and improved decision-making (O'Boyle et al., 2011). The widely recognised framework of Daniel Goleman (1995) includes five core elements that encompass self-awareness, self-regulation, motivation, empathy, and social competencies. The ability to understand personal emotions and their impact on others defines self-awareness, but self-regulation involves solving these emotions effectively. The motivational elements of EI stem from internal sources rather than external compensations, yet empathy means perceiving other individuals' emotional states. Social skills provide tools for relationship management through both competent interpersonal interactions and conflict mediation (Jordan and Troth, 2011). The model created by Goleman has become a widely used tool in organisations to support staff interactions and client relationships at companies operating under high-stress conditions (Kolodinsky et al., 2008).</w:t>
      </w:r>
    </w:p>
    <w:p w14:paraId="07633380">
      <w:r>
        <w:t>The Ability Model by Salovey and Mayer (1990) functions as another EI framework that directly focuses on processing emotional information within the mind. The four components of EI consist of emotional perception followed by emotional thought facilitation, while emotional understanding is an intermediate step before emotional management. The Ability Model defines four emotional intelligence abilities, which involve perceiving emotions to detect emotional signals precisely, then using emotions when solving problems before understanding emotions to recognise emotional development patterns and finally managing emotions to achieve emotional stability while directing others' emotions (Miao et al., 2017).</w:t>
      </w:r>
    </w:p>
    <w:p w14:paraId="03BB79D7">
      <w:r>
        <w:t>Goleman's behavioural approach through his model applies to Pym and Wildsmith since their workplace requires intense team synergy and human interaction. Strong self-regulation combined with social skills among employees helps them confront client demands and workplace challenges, leading to higher service quality and productivity outcomes (Bostock et al., 2019). Enrollment in the Ability Model training provides systematic methods to identify and control emotions needed to sustain composure in manufacturing work environments with demanding situations (He et al., 2023).</w:t>
      </w:r>
    </w:p>
    <w:p w14:paraId="280323F9">
      <w:r>
        <w:t xml:space="preserve">These models have proven to create positive results in workplace communication, leadership, and employee well-being, hence their selection. Bostock et al. (2019) demonstrate how EI training based on mindfulness practises leads to both work stress reduction and improved mental health, which develops worker resilience. Using these models at Pym and Wildsmith will </w:t>
      </w:r>
      <w:bookmarkStart w:id="21" w:name="_GoBack"/>
      <w:bookmarkEnd w:id="21"/>
      <w:r>
        <w:t>boost team outcomes and diminish employee departures while enhancing client experience, leading to manufacturing industry market leadership.</w:t>
      </w:r>
    </w:p>
    <w:p w14:paraId="049C28F7">
      <w:pPr>
        <w:pStyle w:val="2"/>
      </w:pPr>
      <w:bookmarkStart w:id="2" w:name="_Toc190810644"/>
      <w:r>
        <w:t>Importance of Developing Emotional Intelligence at Pym and Wildsmith</w:t>
      </w:r>
      <w:bookmarkEnd w:id="2"/>
    </w:p>
    <w:p w14:paraId="00203C30">
      <w:r>
        <w:t xml:space="preserve">Emotional Intelligence (EI) remains essential for managing workforce dynamics, especially in metal finishing organisations. These organisations need operational efficiency, satisfied clients, and healthy workers. Pym and Wildsmith invest in emotional intelligence development because it boosts team effectiveness, economic </w:t>
      </w:r>
      <w:r>
        <w:rPr>
          <w:lang w:val="en-GB"/>
        </w:rPr>
        <w:t>resilience</w:t>
      </w:r>
      <w:r>
        <w:t xml:space="preserve"> and market leadership sustainability.</w:t>
      </w:r>
    </w:p>
    <w:p w14:paraId="1F34F1A0">
      <w:pPr>
        <w:pStyle w:val="3"/>
      </w:pPr>
      <w:bookmarkStart w:id="3" w:name="_Toc190810645"/>
      <w:r>
        <w:t>EI and Workforce Dynamics</w:t>
      </w:r>
      <w:bookmarkEnd w:id="3"/>
    </w:p>
    <w:p w14:paraId="0F94CA68">
      <w:r>
        <w:t>Employees with high Emotional Intelligence in the workplace achieve better teamwork and improved communication, reducing business conflicts. Dust et al. (2022) support that workers with well-developed emotional intelligence demonstrate superior abilities for workplace relationships that matter in manufacturing because team coordination is essential. Employees who employ EI for communication purposes transmit technical details effectively at Pym and Wildsmith, which results in fewer mistakes and greater workplace efficiency. The emotional intelligence capability helps resolve conflicts because it enables employees to understand others and empathise effectively in stressful situations where inadequate communication might create operational disruption (Miao et al., 2017).</w:t>
      </w:r>
    </w:p>
    <w:p w14:paraId="5A25BDFD">
      <w:r>
        <w:t>Bostock et al. (2019) demonstrated that workers with high EI tend to display higher resilience, which helps them sustain their performance when there is high task demand. The employees at Pym and Wildsmith who demonstrate strong emotional intelligence improve their performance levels while reducing their absence because they handle their stress more effectively when deadlines are short and quality demands are strict. The development of emotional intelligence in the workplace creates a supportive environment that helps maintain skilled personnel within the competitive manufacturing sector (Petchsawang and McLean, 2017).</w:t>
      </w:r>
    </w:p>
    <w:p w14:paraId="197B272C">
      <w:r>
        <w:t>According to a study by Joseph et al. (2015), EI shows positive connections between work performance rates in numerous business sectors. The development of emotional intelligence in employees at Pym and Wildsmith creates workforce capabilities to handle emotions that drive superior decision-making while improving problem-solving capabilities to support operational excellence in metal finishing.</w:t>
      </w:r>
    </w:p>
    <w:p w14:paraId="4F5AEF57">
      <w:pPr>
        <w:pStyle w:val="3"/>
      </w:pPr>
      <w:bookmarkStart w:id="4" w:name="_Toc190810646"/>
      <w:r>
        <w:t>Economic Volatility and EI</w:t>
      </w:r>
      <w:bookmarkEnd w:id="4"/>
    </w:p>
    <w:p w14:paraId="0D05E281">
      <w:r>
        <w:t>Expected economic volatility combined with rapid technological advances makes EI essential because it gives workers the necessary abilities to handle unpredictable situations effectively. Organisations that develop emotionally intelligent team members remain prepared for economic uncertainties because employees master stress management while adapting to change and sustaining work output, according to Al-Haraisa (2022). Pym and Wildsmith employ EI-building practises throughout its business operations to maintain employee motivation and concentration in volatile market conditions.</w:t>
      </w:r>
    </w:p>
    <w:p w14:paraId="35CF1BE5">
      <w:r>
        <w:t>Remote and hybrid work arrangements implemented during and after the pandemic created new challenges that EI helps employees solve regarding work-life balance and mental wellness. Wu (2024) demonstrates that leaders who excel at EI provide effective team support, which leads employees to feel more appreciated and motivated. Pym and Wildsmith benefit from its leaders who have strong EI because these leaders establish supportive environments which lower employee burnout and increase job satisfaction despite intense operational demands.</w:t>
      </w:r>
    </w:p>
    <w:p w14:paraId="656E0066">
      <w:r>
        <w:t>EL expertise provides organisations with a means to handle the emotional consequences that result from economic uncertainty among their workforce. Basso et al. (2019) showed that EI development through mindfulness practises helps people control their anxiety levels and improve their thinking capabilities, which drives performance excellence under stressful conditions. The implementation of mindfulness-based EI training at Pym and Wildsmith will enable workforce members to build coping mechanisms which will sustain organisational competitiveness alongside resilience.</w:t>
      </w:r>
    </w:p>
    <w:p w14:paraId="0DB6BD97">
      <w:pPr>
        <w:pStyle w:val="3"/>
      </w:pPr>
      <w:bookmarkStart w:id="5" w:name="_Toc190810647"/>
      <w:r>
        <w:t>Competitive Advantage</w:t>
      </w:r>
      <w:bookmarkEnd w:id="5"/>
    </w:p>
    <w:p w14:paraId="7C1EEDDC">
      <w:r>
        <w:t>The workforce development of emotional intelligence at Pym and Wildsmith produces a competitive advantage through better connections with clients, lower employee turnover, and better leadership results. According to Joseph et al. (2015), EI levels in employees lead to superior ability in fulfilling client requirements, thus fostering sustained business relationships. Companies within the metal finishing industry prioritise client satisfaction above all else, so emotionally intelligent personnel generate positive interactions that drive customer loyalty and endorsement for additional business.</w:t>
      </w:r>
    </w:p>
    <w:p w14:paraId="4997FEFE">
      <w:r>
        <w:t>The practice of emotional intelligence development helps organisations to decrease employee turnover rates. Research by Jordan and Troth (2011) proves that workforce members with elevated Emotional Intelligence demonstrate enhanced job fulfilment and organisational commitment, decreasing workforce departure. The retention of skilled personnel at Pym and Wildsmith matters because it allows the organisation to uphold its quality standards and operate at maximum efficiency. The organisational implementation of employee intelligence development practises in human resources allows the enhancement of employee satisfaction and reduces the expenses for recruitment and training.</w:t>
      </w:r>
    </w:p>
    <w:p w14:paraId="2FA42E3E">
      <w:r>
        <w:t>Leadership results improve as a result of EI developmental initiatives. Leaders demonstrating high Emotional Intelligence yield improved abilities for decision-making, conflict resolution, and team management, according to Reb et al. (2019). Leadership at Pym and Wildsmith with strong emotional intelligence skills empowers workplaces to become more productive while motivating members of staff and developing innovative solutions necessary to preserve market leadership. Leaders who possess strong emotional intelligence deliver effective changes by providing proper support to staff when organisations undergo transformations (Chrusciel, 2006).</w:t>
      </w:r>
    </w:p>
    <w:p w14:paraId="159B31F4">
      <w:pPr>
        <w:pStyle w:val="3"/>
      </w:pPr>
      <w:bookmarkStart w:id="6" w:name="_Toc190810648"/>
      <w:r>
        <w:t>Mindfulness and EI Development</w:t>
      </w:r>
      <w:bookmarkEnd w:id="6"/>
    </w:p>
    <w:p w14:paraId="6A2058B4">
      <w:r>
        <w:t>Petchsawang and McLean (2017) demonstrate that combining mindfulness practises with EI development strengthens employee engagement, which proves essential for the manufacturing environment at Pym and Wildsmith. Mindfulness training helps employees develop self-awareness and emotional control because these abilities help them handle stressful situations and stay focused. The manufacturing facility Pym and Wildsmith would experience enhanced operational precision through mindfulness-based EI training, which improves employee attention to detail, thus reducing errors while enhancing quality standards.</w:t>
      </w:r>
    </w:p>
    <w:p w14:paraId="75F7E8C0">
      <w:r>
        <w:t>The research conducted by Bostock et al. (2019) confirms the value of incorporating mindfulness practises to develop emotional intelligence because employees who receive mindfulness training achieve enhanced emotional control, which results in better performance outcomes and improved well-being. The adoption of mindful EI training by Pym and Wildsmith will enhance staff resilience levels while simultaneously decreasing employee absence rates and increasing organisation-wide productivity.</w:t>
      </w:r>
    </w:p>
    <w:p w14:paraId="223DA375">
      <w:pPr>
        <w:pStyle w:val="3"/>
      </w:pPr>
      <w:bookmarkStart w:id="7" w:name="_Toc190810649"/>
      <w:r>
        <w:t>Case Examples at Pym and Wildsmith</w:t>
      </w:r>
      <w:bookmarkEnd w:id="7"/>
    </w:p>
    <w:p w14:paraId="66D1A61E">
      <w:r>
        <w:t>Pym and Wildsmith experienced successful project outcomes because of leaders who focused on EI, which demonstrates why workplace EI development matters. As illustrated by Wu (2024), a high EI manager guided his team through conflicting situations to reach deadlines while delivering exceptional quality. The manager's effort to listen and respond to worker concerns developed an enthusiastic workplace culture, which boosted teamwork strength and job output.</w:t>
      </w:r>
    </w:p>
    <w:p w14:paraId="13DEBBA5">
      <w:r>
        <w:t>An employee with strong EI successfully controlled client expectations throughout a project, thus delivering the project within the set deadlines and meeting all client requirements. The employee successfully combined the client's need for empathy with clear communication to achieve project success and benefit Pym and Wildsmith's industrial standing (Miao et al., 2017).</w:t>
      </w:r>
    </w:p>
    <w:p w14:paraId="79DE6884">
      <w:r>
        <w:t>The exemplified situations demonstrate that building EI skills at Pym and Wildsmith will result in operational effectiveness, satisfied clients, and better workplace health. Workers who receive EI development at Pym and Wildsmith maintain their ability to excel in the manufacturing industry while sustaining their competitive position according to operational benchmarks.</w:t>
      </w:r>
    </w:p>
    <w:p w14:paraId="3513BD1E">
      <w:pPr>
        <w:pStyle w:val="2"/>
      </w:pPr>
      <w:bookmarkStart w:id="8" w:name="_Toc190810650"/>
      <w:r>
        <w:t>Critical Evaluation of Applied EI Models</w:t>
      </w:r>
      <w:bookmarkEnd w:id="8"/>
    </w:p>
    <w:p w14:paraId="1CA51464">
      <w:r>
        <w:t>The use of EI models in occupational contexts has received much interest because of the relationship between EI and performance, interpersonal understanding, and business outcomes. In Pym and Wildsmith (Metal Finishers) Ltd, where excellence in enterprise operation and employee relations are crucial, it becomes possible to assess the advantages and disadvantages of such models as Goleman’s or Salovey and Mayer’s to decide about the possibilities of their application for the benefit of individuals and enterprises.</w:t>
      </w:r>
    </w:p>
    <w:p w14:paraId="1B96D2E0">
      <w:pPr>
        <w:pStyle w:val="3"/>
      </w:pPr>
      <w:bookmarkStart w:id="9" w:name="_Toc190810651"/>
      <w:r>
        <w:t>Strengths and Limitations of Goleman’s Model</w:t>
      </w:r>
      <w:bookmarkEnd w:id="9"/>
    </w:p>
    <w:p w14:paraId="5CAE53D0">
      <w:r>
        <w:t>Goleman’s (1995) model of EI that personally identifies those skills as self-awareness, self-regulation, motivation, empathy, and social skills are highly applauded for its adequately embracing description of managing emotions in organisational environments. It also has the relevant strength of increasing interpersonal communication, which is important to Pym and Wildsmith as the firm is based on teamwork and communication with clients. According to Chrusciel (2006), workers with high self-awareness and self-regulation can control workplace stress, which enhances organisational performance and weakens workplace conflicts. This is especially helpful in manufacturing processes, where conditions create tension and confusion in the workplace.</w:t>
      </w:r>
    </w:p>
    <w:p w14:paraId="26D23971">
      <w:r>
        <w:t>However, one major weak point in the structure of Goleman’s grasp is the problem of defining and measuring the EI competencies (Chrusciel, 2006). At Pym and Wildsmith, as the company lays a great emphasis on technical competencies, incorporating EI assessments into regular performance appraisals may not be easy. However, some of these aspects, like empathy and social skills, may cause variability in assessments depending on the rater or appraiser, which poses a problem to the growth of employees and appraisals.</w:t>
      </w:r>
    </w:p>
    <w:p w14:paraId="2055765C">
      <w:r>
        <w:t>However, Bostock et al. (2019) have pointed out that some problems of Goleman’s model are that it may not sufficiently provide coverage for the cognitive management of emotions, which may be required in technical fields that require logical thinking. This limitation is quite apparent at Pym and Wildsmith due to the increased stakes and expectations from the employees, which require them to make clear and swift decisions on most occasions.</w:t>
      </w:r>
    </w:p>
    <w:p w14:paraId="05C2955D">
      <w:pPr>
        <w:pStyle w:val="3"/>
      </w:pPr>
      <w:bookmarkStart w:id="10" w:name="_Toc190810652"/>
      <w:r>
        <w:t>Salovey and Mayer’s Model: Strengths and Limitations</w:t>
      </w:r>
      <w:bookmarkEnd w:id="10"/>
    </w:p>
    <w:p w14:paraId="04D17143">
      <w:r>
        <w:t>The most organised approach, with more proximity to cognitive processes, is Salovey and Mayer’s (1990) Ability Model, which comprises perceiving, using, understanding and managing emotions. It is also one of its strengths to deal with the sensitivity of emotional information processing, which is significant for improving problem-solving and decision-making abilities (Miao et al., 2017). At Pym and Wildsmith, where most employees have to deal with the sophistically technical intricacies of their jobs, this model serves as the foundation on which emotional awareness can be achieved to fit into cognitive effectiveness.</w:t>
      </w:r>
    </w:p>
    <w:p w14:paraId="71F2D0A8">
      <w:r>
        <w:t>According to Reb et al. (2019), the Ability Model is effective because it focuses on employees’ capacity to perceive emotion and regulate it, for instance, in metal finishing, which is characterised by high pressure. Still, this model’s sequential organisation helps to build up individual training programmes; thus, Pym and Wildsmith can work on their employees' individual emotional and cognitive deficiencies.</w:t>
      </w:r>
    </w:p>
    <w:p w14:paraId="0B3BBB84">
      <w:r>
        <w:t>Nonetheless, Salovey and Mayer’s model is not without some weaknesses. Critics have raised a few concerns regarding practicality, especially due to the generality of the proposed ideas. Clarke, Skevington, and Morrison, 2006 point out that while theoretical cognitive-based EI models are efficient, implementing them in technical environments might be challenging. They are not able to handle the emotional processing for themselves, and it would be challenging for them to incorporate this even if all employees at Pym and Wildsmith perform tasks that may be highly operational.</w:t>
      </w:r>
    </w:p>
    <w:p w14:paraId="0D955B72">
      <w:r>
        <w:t>Also, the Ability Model may not address the behavioural component of EI, which is vital in communication and cooperation. According to Lyddy et al. (2021), although cognitive EI promotes the improvement of the individual’s efficiency, it does not comprise interpersonal conflict, which is crucial in team-oriented activities at Pym and Wildsmith.</w:t>
      </w:r>
    </w:p>
    <w:p w14:paraId="4133EAB6">
      <w:pPr>
        <w:pStyle w:val="3"/>
      </w:pPr>
      <w:bookmarkStart w:id="11" w:name="_Toc190810653"/>
      <w:r>
        <w:t>Relevance to Individual Development at Pym and Wildsmith</w:t>
      </w:r>
      <w:bookmarkEnd w:id="11"/>
    </w:p>
    <w:p w14:paraId="36C7991C">
      <w:r>
        <w:t>Thus, the relevance of EI models to development at Pym and Wildsmith is well illustrated in their roles concerning identifying the gaps in skills and training requirements. One has seen strong correlations in performance by having EI skills like self-awareness, management of emotions, and empathy; hence, employing will improve the manufacturing work environment where communication and adaptation are vital skills. According to the argument made by Lyddy et al. (2021), those individuals who possess high EI understand change better, respond positively to stress, and possess better interpersonal competencies, which makes them better suited for the Pym and Wildsmith organisation.</w:t>
      </w:r>
    </w:p>
    <w:p w14:paraId="22499733">
      <w:r>
        <w:t>In addition, implementing the EI training as part of the company’s developments can effectively fill the existing vacancies, especially in communication and conflict solving. According to Basso et al. (2019), mindfulness-based EI training increases one’s capacity to regulate emotions and other cognitive functions for coping with stress while performing at the workplace. In Pym &amp; Wildsmith, such training can be helpful to the organisation in that it will improve the ability of the employees to handle stress, decrease the rate of absenteeism, and increase the productivity of the employees.</w:t>
      </w:r>
    </w:p>
    <w:p w14:paraId="32B4A0F5">
      <w:r>
        <w:t>Clarke (2006) pointed out that this has to be done to avoid achieving only low-level learning outcomes in EI training. Generic EI training programmes for employees may not be sufficient for the technical personnel at Pym and Wildsmith, and thus, the interventions may not be very effective. Thus, the company has to design training courses that would involve both cognitive and affective options of EI and make sure that their employees are able to utilise such skills at work.</w:t>
      </w:r>
    </w:p>
    <w:p w14:paraId="6D70289E">
      <w:pPr>
        <w:pStyle w:val="3"/>
      </w:pPr>
      <w:bookmarkStart w:id="12" w:name="_Toc190810654"/>
      <w:r>
        <w:t>Need for Tailored EI Training</w:t>
      </w:r>
      <w:bookmarkEnd w:id="12"/>
    </w:p>
    <w:p w14:paraId="6EF82FFA">
      <w:r>
        <w:t>Clarke (2006) argues for specialised EI training since standardised programmes are inadequate at meeting sector-specific and occupational requirements. EI education at Pym and Wildsmith requires customisation because the organisation prioritises technical accuracy and operational effectiveness. Training programmes that link mindfulness methods with technical simulation exercises enable personnel to control stress levels while sustaining operational performance standards.</w:t>
      </w:r>
    </w:p>
    <w:p w14:paraId="42558CCC">
      <w:r>
        <w:t>The training focuses on individual development needs by selecting specific components of emotional intelligence that apply to distinct roles in the organisation. The training programmes for management personnel prioritise the development of leadership competencies along with empathy skills and conflict management abilities. However, technical staff training focuses on emotional management techniques, stress regulation tools, and effective communication methods. This method ensures that organisational members at every level acquire the necessary EI skills that improve their workplace achievements while benefitting corporate achievement (Petchsawang and McLean, 2017).</w:t>
      </w:r>
    </w:p>
    <w:p w14:paraId="067F413A">
      <w:pPr>
        <w:pStyle w:val="2"/>
        <w:rPr>
          <w:rFonts w:eastAsiaTheme="minorHAnsi"/>
        </w:rPr>
      </w:pPr>
      <w:bookmarkStart w:id="13" w:name="_Toc190810655"/>
      <w:r>
        <w:rPr>
          <w:rFonts w:eastAsiaTheme="minorHAnsi"/>
        </w:rPr>
        <w:t>Recommendations and Implementation Plan</w:t>
      </w:r>
      <w:bookmarkEnd w:id="13"/>
    </w:p>
    <w:p w14:paraId="2A5981A8">
      <w:r>
        <w:t>Employees who develop Emotional Intelligence as a skill become capable of building flexible workforces with resilience and high performance. Pym and Wildsmith (Metal Finishers) Ltd will achieve improved employee welfare, superior client partnerships, and enhanced organisational outcomes by implementing EI development across HR practices, leadership structures, and operational practices.</w:t>
      </w:r>
    </w:p>
    <w:p w14:paraId="29E87212">
      <w:pPr>
        <w:pStyle w:val="3"/>
      </w:pPr>
      <w:bookmarkStart w:id="14" w:name="_Toc190810656"/>
      <w:r>
        <w:t>Key Recommendations</w:t>
      </w:r>
      <w:bookmarkEnd w:id="14"/>
    </w:p>
    <w:p w14:paraId="306B736D">
      <w:r>
        <w:t>Pym and Wildsmith must embed EI instruction within their HR management framework and leadership development programme while creating employee feedback methods to keep their business thriving long-term. According to King (2020), introducing emotional intelligence training into human resources processes leads to enhanced employee acquisition and connection since employees with emotional intelligence show better communication abilities, higher adaptability, and enhanced problem-solving skills. Leadership development programmes must contain EI elements that train managers to use their emotional competence to lead operations and create supportive workplace conditions (Jordan and Troth, 2011).</w:t>
      </w:r>
    </w:p>
    <w:p w14:paraId="2537EDBF">
      <w:r>
        <w:t>Employee feedback platforms must combine EI evaluation methods, showing staff members their emotional abilities and developmental opportunities. Feedback systems that assess emotional competencies, according to Patel and Holm (2018), help increase staff awareness of themselves and boost their performance for ongoing skill development. The implemented practises at Pym and Wildsmith drive team performance improvement, conflict reduction, and productivity enhancement, which remains vital to operational excellence in the manufacturing industry competition.</w:t>
      </w:r>
    </w:p>
    <w:p w14:paraId="4AE7F5F4">
      <w:pPr>
        <w:pStyle w:val="3"/>
      </w:pPr>
      <w:bookmarkStart w:id="15" w:name="_Toc190810657"/>
      <w:r>
        <w:t>Proposed Systems and Processes</w:t>
      </w:r>
      <w:bookmarkEnd w:id="15"/>
    </w:p>
    <w:p w14:paraId="755DBF7E">
      <w:r>
        <w:t>A company-wide programme consisting of scheduled EI education sessions, peer-developed guidance, and performance measurements based on emotional skills will establish emotional self-perception and ongoing advancement across the Pym and Wildsmith organisation. According to Patel and Holm (2018), EI workshops that address self-regulation skills, empathy, and social competencies provide staff members with essential emotional capabilities that lead to better work outcomes and personal wellness. The workshops can be adjusted precisely for each staff role to deliver EI training relevant to their responsibilities.</w:t>
      </w:r>
    </w:p>
    <w:p w14:paraId="28883458">
      <w:r>
        <w:t>A peer mentoring system built with employees of high emotional intelligence provides employees with the opportunity to share knowledge while providing emotional and professional support. The research by Delgoda and Weerasinghe (2021) demonstrates how emotional competence establishes high-performing mentoring pairings, which improve employee team engagement and satisfaction and reduce workplace turnover rates. When Pym and Wildsmith implement peer mentoring, it builds a supportive workplace that decreases staff departures while strengthening team bonds.</w:t>
      </w:r>
    </w:p>
    <w:p w14:paraId="7B85AB5C">
      <w:r>
        <w:t>Using EI-based performance metrics will offer standardised assessments of employees' emotional competencies, enabling EI development to become part of performance evaluation procedures. The authors Treglown and Furnham (2020) maintain that employee performance metrics in emotional regulation communication and teamwork lead to better employee accountability and increased motivation while promoting development. EMTs at Pym and Wildsmith should adopt these metrics to enhance operational efficiency and client satisfaction and achieve better organisational performance.</w:t>
      </w:r>
    </w:p>
    <w:p w14:paraId="2B08F3CA">
      <w:pPr>
        <w:pStyle w:val="3"/>
      </w:pPr>
      <w:bookmarkStart w:id="16" w:name="_Toc190810658"/>
      <w:r>
        <w:t>Steps for Implementation</w:t>
      </w:r>
      <w:bookmarkEnd w:id="16"/>
    </w:p>
    <w:p w14:paraId="3DA6DA65">
      <w:r>
        <w:t>Pym and Wildsmith need a formal plan to successfully integrate EI development across their organisation. The following procedural sequence will lead to implementation success:</w:t>
      </w:r>
    </w:p>
    <w:p w14:paraId="45153B31">
      <w:r>
        <w:rPr>
          <w:b/>
          <w:bCs/>
        </w:rPr>
        <w:t>Timeline Development</w:t>
      </w:r>
      <w:r>
        <w:t>: A systematic twelve-month timeline guides the implementation stages, which begin with leadership development training, followed by employee workshops and EI assessments as part of performance evaluation systems (King, 2020).</w:t>
      </w:r>
    </w:p>
    <w:p w14:paraId="5A8CB339">
      <w:r>
        <w:rPr>
          <w:b/>
          <w:bCs/>
        </w:rPr>
        <w:t>Resource Allocation</w:t>
      </w:r>
      <w:r>
        <w:t>: Resource execution requires proper distribution of financial resources, training content, and staff members to ensure successful programme implementation. According to Patel and Holm (2018), organisations obtain extended financial rewards from implementing EI training initiatives because they improve performance and decrease turnover rates. The company should dedicate a budget to training EI trainers, create training materials, and establish a system to obtain employee feedback.</w:t>
      </w:r>
    </w:p>
    <w:p w14:paraId="59E2F96F">
      <w:r>
        <w:rPr>
          <w:b/>
          <w:bCs/>
        </w:rPr>
        <w:t>Monitoring Success</w:t>
      </w:r>
      <w:r>
        <w:t>: Organisations should implement continuous monitoring with feedback tools and employee performance reviews combined with surveys to verify the success of EI training initiatives. According to Delgoda and Weerasinghe (2021), employee emotional competency development becomes possible through feedback and performance review systems, which supply ongoing insights about employee emotional skills. EI training effectiveness at Pym and Wildsmith can be assessed using these monitoring methods to guarantee its important content and meaningful achievements.</w:t>
      </w:r>
    </w:p>
    <w:p w14:paraId="29CBC0ED">
      <w:pPr>
        <w:pStyle w:val="3"/>
      </w:pPr>
      <w:bookmarkStart w:id="17" w:name="_Toc190810659"/>
      <w:r>
        <w:t>Expected Outcomes</w:t>
      </w:r>
      <w:bookmarkEnd w:id="17"/>
    </w:p>
    <w:p w14:paraId="456B5EED">
      <w:r>
        <w:t>The implementation of EI development at Pym and Wildsmith will enhance employee satisfaction, client relations, and operational effectiveness. Research by Treglown and Furnham (2020) shows that organisations gain increased employee satisfaction and higher motivation and loyalty when their workforce demonstrates emotional intelligence. This leads to decreased workforce turnover and better business stability. High Emotional Intelligence abilities create better client relations since employees demonstrate improved abilities to understand and fulfil customer requirements, leading to extended partnerships and increased business expansion (Joseph et al., 2015).</w:t>
      </w:r>
    </w:p>
    <w:p w14:paraId="43257699">
      <w:r>
        <w:t>Strong emotional competencies of employees improve operational efficiency because they effectively manage stress and make sound decisions while collaborating effectively. Patel and Holm (2018) assert that improving emotional intelligence leads organisations to experience decreased workplace conflicts and perform better regarding teamwork, which enhances business productivity. These outcomes at Pym and Wildsmith make long-term success, competitive advantage, and sustainable growth achievable.</w:t>
      </w:r>
    </w:p>
    <w:p w14:paraId="23707539">
      <w:pPr>
        <w:pStyle w:val="2"/>
      </w:pPr>
      <w:bookmarkStart w:id="18" w:name="_Toc190810660"/>
      <w:r>
        <w:t>Conclusion</w:t>
      </w:r>
      <w:bookmarkEnd w:id="18"/>
    </w:p>
    <w:p w14:paraId="33CBB3C6">
      <w:r>
        <w:t>Pym and Wildsmith (Metal Finishers) Ltd.'s workplace success and performance depend heavily on Emotional Intelligence (EI) as a core system for building staff resilience. The organisation achieves better employee welfare through its EI implementation by teaching personal insight, emotional control, and communication abilities needed in demanding manufacturing settings. The development of EI competencies provides workers with tools to manage stress, adapt to change, and work together efficiently to achieve higher job satisfaction while reducing staff turnover rates and boosting operational performance.</w:t>
      </w:r>
    </w:p>
    <w:p w14:paraId="0826E029">
      <w:r>
        <w:t>Organisations implementing Goleman's and Salovey Mayer's models as EI frameworks obtain an advanced system to develop interpersonal relationships and enhanced decision-making and problem-solving capabilities throughout their organisational structure. Tailored EI training programs launched at various organisational levels help Pym and Wildsmith staff acquire necessary emotional competencies that generate competitive benefits for the company. Enterprises must develop emotional intelligence because the current economic conditions and digital change require long-term business success, customer satisfaction, and organisational expansion. EI development investments at Pym and Wildsmith create future business success while serving as a strategic business necessity.</w:t>
      </w:r>
    </w:p>
    <w:p w14:paraId="26FB82C8"/>
    <w:p w14:paraId="1B254EA4"/>
    <w:p w14:paraId="108A8B27"/>
    <w:p w14:paraId="2D65A80C"/>
    <w:p w14:paraId="213C31CF"/>
    <w:p w14:paraId="4AA773A8"/>
    <w:p w14:paraId="291FE038">
      <w:pPr>
        <w:pStyle w:val="2"/>
      </w:pPr>
      <w:bookmarkStart w:id="19" w:name="_Toc190810661"/>
      <w:r>
        <w:t>References</w:t>
      </w:r>
      <w:bookmarkEnd w:id="19"/>
      <w:r>
        <w:t xml:space="preserve"> </w:t>
      </w:r>
    </w:p>
    <w:p w14:paraId="2A56F91C">
      <w:r>
        <w:t>Al-Haraisa, Y.E., 2022. Emotional intelligence and career development through organizational socialization: A practical study. </w:t>
      </w:r>
      <w:r>
        <w:rPr>
          <w:i/>
          <w:iCs/>
        </w:rPr>
        <w:t>Journal of Governance and Regulation/Volume</w:t>
      </w:r>
      <w:r>
        <w:t>, </w:t>
      </w:r>
      <w:r>
        <w:rPr>
          <w:i/>
          <w:iCs/>
        </w:rPr>
        <w:t>11</w:t>
      </w:r>
      <w:r>
        <w:t>(3).</w:t>
      </w:r>
    </w:p>
    <w:p w14:paraId="659F6EF4">
      <w:r>
        <w:t>Basso, J.C., McHale, A., Ende, V., Oberlin, D.J. and Suzuki, W.A., 2019. Brief, daily meditation enhances attention, memory, mood, and emotional regulation in non-experienced meditators. </w:t>
      </w:r>
      <w:r>
        <w:rPr>
          <w:i/>
          <w:iCs/>
        </w:rPr>
        <w:t>Behavioural brain research</w:t>
      </w:r>
      <w:r>
        <w:t>, </w:t>
      </w:r>
      <w:r>
        <w:rPr>
          <w:i/>
          <w:iCs/>
        </w:rPr>
        <w:t>356</w:t>
      </w:r>
      <w:r>
        <w:t>, pp.208-220.</w:t>
      </w:r>
    </w:p>
    <w:p w14:paraId="307060EE">
      <w:r>
        <w:t>Bostock, S., Crosswell, A.D., Prather, A.A. and Steptoe, A., 2019. Mindfulness on-the-go: Effects of a mindfulness meditation app on work stress and well-being. </w:t>
      </w:r>
      <w:r>
        <w:rPr>
          <w:i/>
          <w:iCs/>
        </w:rPr>
        <w:t>Journal of occupational health psychology</w:t>
      </w:r>
      <w:r>
        <w:t>, </w:t>
      </w:r>
      <w:r>
        <w:rPr>
          <w:i/>
          <w:iCs/>
        </w:rPr>
        <w:t>24</w:t>
      </w:r>
      <w:r>
        <w:t>(1), p.127.</w:t>
      </w:r>
    </w:p>
    <w:p w14:paraId="62435F94">
      <w:r>
        <w:t>Choi, E., Leonard, C. and Gruman, J.A., 2020. A balanced view of mindfulness: Promoting high performance and well-being at work. In </w:t>
      </w:r>
      <w:r>
        <w:rPr>
          <w:i/>
          <w:iCs/>
        </w:rPr>
        <w:t>Academy of Management Proceedings</w:t>
      </w:r>
      <w:r>
        <w:t> (Vol. 2020, No. 1, p. 14411). Briarcliff Manor, NY 10510: Academy of Management.</w:t>
      </w:r>
    </w:p>
    <w:p w14:paraId="4DB697CB">
      <w:r>
        <w:t>Chrusciel, D., 2006. Considerations of emotional intelligence (EI) in dealing with change decision management. </w:t>
      </w:r>
      <w:r>
        <w:rPr>
          <w:i/>
          <w:iCs/>
        </w:rPr>
        <w:t>Management decision</w:t>
      </w:r>
      <w:r>
        <w:t>, </w:t>
      </w:r>
      <w:r>
        <w:rPr>
          <w:i/>
          <w:iCs/>
        </w:rPr>
        <w:t>44</w:t>
      </w:r>
      <w:r>
        <w:t>(5), pp.644-657.</w:t>
      </w:r>
    </w:p>
    <w:p w14:paraId="70EA1737">
      <w:r>
        <w:t>Clarke, N., 2006. Emotional intelligence training: A case of caveat emptor. </w:t>
      </w:r>
      <w:r>
        <w:rPr>
          <w:i/>
          <w:iCs/>
        </w:rPr>
        <w:t>Human Resource Development Review</w:t>
      </w:r>
      <w:r>
        <w:t>, </w:t>
      </w:r>
      <w:r>
        <w:rPr>
          <w:i/>
          <w:iCs/>
        </w:rPr>
        <w:t>5</w:t>
      </w:r>
      <w:r>
        <w:t>(4), pp.422-441.</w:t>
      </w:r>
    </w:p>
    <w:p w14:paraId="5F899C54">
      <w:r>
        <w:t>Delgoda, L. and Weerasinghe, T.D., 2021. Gender differences in emotional Intelligence: moderating role of organizational culture. </w:t>
      </w:r>
      <w:r>
        <w:rPr>
          <w:i/>
          <w:iCs/>
        </w:rPr>
        <w:t>Journal of Human Resource Management Perspectives</w:t>
      </w:r>
      <w:r>
        <w:t>, </w:t>
      </w:r>
      <w:r>
        <w:rPr>
          <w:i/>
          <w:iCs/>
        </w:rPr>
        <w:t>6</w:t>
      </w:r>
      <w:r>
        <w:t>(1), pp.59-82.</w:t>
      </w:r>
    </w:p>
    <w:p w14:paraId="3D3F2C64">
      <w:r>
        <w:t>Dust, S.B., Liu, H., Wang, S. and Reina, C.S., 2022. The effect of mindfulness and job demands on motivation and performance trajectories across the workweek: An entrainment theory perspective. </w:t>
      </w:r>
      <w:r>
        <w:rPr>
          <w:i/>
          <w:iCs/>
        </w:rPr>
        <w:t>Journal of Applied Psychology</w:t>
      </w:r>
      <w:r>
        <w:t>, </w:t>
      </w:r>
      <w:r>
        <w:rPr>
          <w:i/>
          <w:iCs/>
        </w:rPr>
        <w:t>107</w:t>
      </w:r>
      <w:r>
        <w:t>(2), p.221.</w:t>
      </w:r>
    </w:p>
    <w:p w14:paraId="3B96C50E">
      <w:r>
        <w:t>Hafenbrack, A.C. and Vohs, K.D., 2018. Mindfulness meditation impairs task motivation but not performance. </w:t>
      </w:r>
      <w:r>
        <w:rPr>
          <w:i/>
          <w:iCs/>
        </w:rPr>
        <w:t>Organizational Behavior and Human Decision Processes</w:t>
      </w:r>
      <w:r>
        <w:t>, </w:t>
      </w:r>
      <w:r>
        <w:rPr>
          <w:i/>
          <w:iCs/>
        </w:rPr>
        <w:t>147</w:t>
      </w:r>
      <w:r>
        <w:t>, pp.1-15.</w:t>
      </w:r>
    </w:p>
    <w:p w14:paraId="221283ED">
      <w:r>
        <w:t>He, J., Li, X., Wang, H. and Xu, Z., 2023. A study on the relationship between mindfulness and work performance of web editors: Based on the chain mediating effect of workplace spirituality and digital competencies. </w:t>
      </w:r>
      <w:r>
        <w:rPr>
          <w:i/>
          <w:iCs/>
        </w:rPr>
        <w:t>Frontiers in Psychology</w:t>
      </w:r>
      <w:r>
        <w:t>, </w:t>
      </w:r>
      <w:r>
        <w:rPr>
          <w:i/>
          <w:iCs/>
        </w:rPr>
        <w:t>13</w:t>
      </w:r>
      <w:r>
        <w:t>, p.1068735.</w:t>
      </w:r>
    </w:p>
    <w:p w14:paraId="3B5BECC5">
      <w:r>
        <w:t>Jordan, P.J. and Troth, A., 2011. Emotional intelligence and leader member exchange: The relationship with employee turnover intentions and job satisfaction. </w:t>
      </w:r>
      <w:r>
        <w:rPr>
          <w:i/>
          <w:iCs/>
        </w:rPr>
        <w:t>Leadership &amp; Organization Development Journal</w:t>
      </w:r>
      <w:r>
        <w:t>, </w:t>
      </w:r>
      <w:r>
        <w:rPr>
          <w:i/>
          <w:iCs/>
        </w:rPr>
        <w:t>32</w:t>
      </w:r>
      <w:r>
        <w:t>(3), pp.260-280.</w:t>
      </w:r>
    </w:p>
    <w:p w14:paraId="50971AF5">
      <w:r>
        <w:t>Joseph, D.L., Jin, J., Newman, D.A. and O'Boyle, E.H., 2015. Why does self-reported emotional intelligence predict job performance? A meta-analytic investigation of mixed EI. </w:t>
      </w:r>
      <w:r>
        <w:rPr>
          <w:i/>
          <w:iCs/>
        </w:rPr>
        <w:t>Journal of applied psychology</w:t>
      </w:r>
      <w:r>
        <w:t>, </w:t>
      </w:r>
      <w:r>
        <w:rPr>
          <w:i/>
          <w:iCs/>
        </w:rPr>
        <w:t>100</w:t>
      </w:r>
      <w:r>
        <w:t>(2), p.298.</w:t>
      </w:r>
    </w:p>
    <w:p w14:paraId="4FF1F73A">
      <w:r>
        <w:t>King, J.B., 2020. Emotional intelligence and its effects on biomarkers of workplace stress.</w:t>
      </w:r>
    </w:p>
    <w:p w14:paraId="10A65E30">
      <w:r>
        <w:t>Kirchmeyer, C., 1998. Determinants of managerial career success: Evidence and explanation of male/female differences. </w:t>
      </w:r>
      <w:r>
        <w:rPr>
          <w:i/>
          <w:iCs/>
        </w:rPr>
        <w:t>Journal of management</w:t>
      </w:r>
      <w:r>
        <w:t>, </w:t>
      </w:r>
      <w:r>
        <w:rPr>
          <w:i/>
          <w:iCs/>
        </w:rPr>
        <w:t>24</w:t>
      </w:r>
      <w:r>
        <w:t>(6), pp.673-692.</w:t>
      </w:r>
    </w:p>
    <w:p w14:paraId="5978236A">
      <w:r>
        <w:t>Kolodinsky, R.W., Giacalone, R.A. and Jurkiewicz, C.L., 2008. Workplace values and outcomes: Exploring personal, organizational, and interactive workplace spirituality. </w:t>
      </w:r>
      <w:r>
        <w:rPr>
          <w:i/>
          <w:iCs/>
        </w:rPr>
        <w:t>Journal of business ethics</w:t>
      </w:r>
      <w:r>
        <w:t>, </w:t>
      </w:r>
      <w:r>
        <w:rPr>
          <w:i/>
          <w:iCs/>
        </w:rPr>
        <w:t>81</w:t>
      </w:r>
      <w:r>
        <w:t>, pp.465-480.</w:t>
      </w:r>
    </w:p>
    <w:p w14:paraId="70F37A63">
      <w:r>
        <w:t>Lyddy, C.J., Good, D.J., Bolino, M.C., Thompson, P.S. and Stephens, J.P., 2021. The costs of mindfulness at work: The moderating role of mindfulness in surface acting, self-control depletion, and performance outcomes. </w:t>
      </w:r>
      <w:r>
        <w:rPr>
          <w:i/>
          <w:iCs/>
        </w:rPr>
        <w:t>Journal of Applied Psychology</w:t>
      </w:r>
      <w:r>
        <w:t>, </w:t>
      </w:r>
      <w:r>
        <w:rPr>
          <w:i/>
          <w:iCs/>
        </w:rPr>
        <w:t>106</w:t>
      </w:r>
      <w:r>
        <w:t>(12), p.1921.</w:t>
      </w:r>
    </w:p>
    <w:p w14:paraId="47AB22D9">
      <w:r>
        <w:t>Miao, C., Humphrey, R.H. and Qian, S., 2017. Are the emotionally intelligent good citizens or counterproductive? A meta-analysis of emotional intelligence and its relationships with organizational citizenship behavior and counterproductive work behavior. </w:t>
      </w:r>
      <w:r>
        <w:rPr>
          <w:i/>
          <w:iCs/>
        </w:rPr>
        <w:t>Personality and Individual Differences</w:t>
      </w:r>
      <w:r>
        <w:t>, </w:t>
      </w:r>
      <w:r>
        <w:rPr>
          <w:i/>
          <w:iCs/>
        </w:rPr>
        <w:t>116</w:t>
      </w:r>
      <w:r>
        <w:t>, pp.144-156.</w:t>
      </w:r>
    </w:p>
    <w:p w14:paraId="0B64B47B">
      <w:r>
        <w:t>Mousa, M. and Alas, R., 2016. Workplace spirituality and organizational commitment: A study on the public schools teachers in Menoufia (Egypt). </w:t>
      </w:r>
      <w:r>
        <w:rPr>
          <w:i/>
          <w:iCs/>
        </w:rPr>
        <w:t>African Journal of Business Management</w:t>
      </w:r>
      <w:r>
        <w:t>, </w:t>
      </w:r>
      <w:r>
        <w:rPr>
          <w:i/>
          <w:iCs/>
        </w:rPr>
        <w:t>10</w:t>
      </w:r>
      <w:r>
        <w:t>(10), pp.247-255.</w:t>
      </w:r>
    </w:p>
    <w:p w14:paraId="316C7766">
      <w:r>
        <w:t>O'Boyle Jr, E.H., Humphrey, R.H., Pollack, J.M., Hawver, T.H. and Story, P.A., 2011. The relation between emotional intelligence and job performance: A meta‐analysis. </w:t>
      </w:r>
      <w:r>
        <w:rPr>
          <w:i/>
          <w:iCs/>
        </w:rPr>
        <w:t>Journal of Organizational Behavior</w:t>
      </w:r>
      <w:r>
        <w:t>, </w:t>
      </w:r>
      <w:r>
        <w:rPr>
          <w:i/>
          <w:iCs/>
        </w:rPr>
        <w:t>32</w:t>
      </w:r>
      <w:r>
        <w:t>(5), pp.788-818.</w:t>
      </w:r>
    </w:p>
    <w:p w14:paraId="292D5E0C">
      <w:r>
        <w:t>Oztimurlenk, S., 2012. The Relationship among Emotional Intelligence, Demographic Factors and Employees' Functional Role in the Workplace. </w:t>
      </w:r>
      <w:r>
        <w:rPr>
          <w:i/>
          <w:iCs/>
        </w:rPr>
        <w:t>Proceedings of the Northeast Business &amp; Economics Association</w:t>
      </w:r>
      <w:r>
        <w:t>.</w:t>
      </w:r>
    </w:p>
    <w:p w14:paraId="4C7DAB9B">
      <w:r>
        <w:t>Patel, T. and Holm, M., 2018. Practicing mindfulness as a means for enhancing workplace pro-environmental behaviors among managers. </w:t>
      </w:r>
      <w:r>
        <w:rPr>
          <w:i/>
          <w:iCs/>
        </w:rPr>
        <w:t>Journal of Environmental Planning and Management</w:t>
      </w:r>
      <w:r>
        <w:t>, </w:t>
      </w:r>
      <w:r>
        <w:rPr>
          <w:i/>
          <w:iCs/>
        </w:rPr>
        <w:t>61</w:t>
      </w:r>
      <w:r>
        <w:t>(13), pp.2231-2256.</w:t>
      </w:r>
    </w:p>
    <w:p w14:paraId="0C2D2A76">
      <w:r>
        <w:t>Petchsawang, P. and McLean, G.N., 2017. Workplace spirituality, mindfulness meditation, and work engagement. </w:t>
      </w:r>
      <w:r>
        <w:rPr>
          <w:i/>
          <w:iCs/>
        </w:rPr>
        <w:t>Journal of Management, Spirituality &amp; Religion</w:t>
      </w:r>
      <w:r>
        <w:t>, </w:t>
      </w:r>
      <w:r>
        <w:rPr>
          <w:i/>
          <w:iCs/>
        </w:rPr>
        <w:t>14</w:t>
      </w:r>
      <w:r>
        <w:t>(3), pp.216-244.</w:t>
      </w:r>
    </w:p>
    <w:p w14:paraId="3BC2997B">
      <w:r>
        <w:t>Reb, J., Chaturvedi, S., Narayanan, J. and Kudesia, R.S., 2019. Leader mindfulness and employee performance: A sequential mediation model of LMX quality, interpersonal justice, and employee stress. </w:t>
      </w:r>
      <w:r>
        <w:rPr>
          <w:i/>
          <w:iCs/>
        </w:rPr>
        <w:t>Journal of Business Ethics</w:t>
      </w:r>
      <w:r>
        <w:t>, </w:t>
      </w:r>
      <w:r>
        <w:rPr>
          <w:i/>
          <w:iCs/>
        </w:rPr>
        <w:t>160</w:t>
      </w:r>
      <w:r>
        <w:t>(3), pp.745-763.</w:t>
      </w:r>
    </w:p>
    <w:p w14:paraId="3386C865">
      <w:r>
        <w:t>Reina, C.S., Rogers, K.M., Peterson, S.J., Byron, K. and Hom, P.W., 2018. Quitting the boss? The role of manager influence tactics and employee emotional engagement in voluntary turnover. </w:t>
      </w:r>
      <w:r>
        <w:rPr>
          <w:i/>
          <w:iCs/>
        </w:rPr>
        <w:t>Journal of leadership &amp; organizational studies</w:t>
      </w:r>
      <w:r>
        <w:t>, </w:t>
      </w:r>
      <w:r>
        <w:rPr>
          <w:i/>
          <w:iCs/>
        </w:rPr>
        <w:t>25</w:t>
      </w:r>
      <w:r>
        <w:t>(1), pp.5-18.</w:t>
      </w:r>
    </w:p>
    <w:p w14:paraId="54C293D2">
      <w:r>
        <w:t>Robinson, M.D., Persich, M.R., Stawicki, C. and Krishnakumar, S., 2019. Deviant workplace behavior as emotional action: Discriminant and interactive roles for work-related emotional intelligence. </w:t>
      </w:r>
      <w:r>
        <w:rPr>
          <w:i/>
          <w:iCs/>
        </w:rPr>
        <w:t>Human Performance</w:t>
      </w:r>
      <w:r>
        <w:t>, </w:t>
      </w:r>
      <w:r>
        <w:rPr>
          <w:i/>
          <w:iCs/>
        </w:rPr>
        <w:t>32</w:t>
      </w:r>
      <w:r>
        <w:t>(5), pp.201-219.</w:t>
      </w:r>
    </w:p>
    <w:p w14:paraId="47ADC3EB">
      <w:r>
        <w:t>Rupprecht, S., Falke, P., Kohls, N., Tamdjidi, C., Wittmann, M. and Kersemaekers, W., 2019. Mindful leader development: How leaders experience the effects of mindfulness training on leader capabilities. </w:t>
      </w:r>
      <w:r>
        <w:rPr>
          <w:i/>
          <w:iCs/>
        </w:rPr>
        <w:t>Frontiers in psychology</w:t>
      </w:r>
      <w:r>
        <w:t>, </w:t>
      </w:r>
      <w:r>
        <w:rPr>
          <w:i/>
          <w:iCs/>
        </w:rPr>
        <w:t>10</w:t>
      </w:r>
      <w:r>
        <w:t>, p.1081.</w:t>
      </w:r>
    </w:p>
    <w:p w14:paraId="7041E609">
      <w:r>
        <w:t>Surinrut, P., Auamnoy, T. and Sangwatanaroj, S., 2016. Enhanced happiness and stress alleviation upon insight meditation retreat: mindfulness, a part of traditional Buddhist meditation. </w:t>
      </w:r>
      <w:r>
        <w:rPr>
          <w:i/>
          <w:iCs/>
        </w:rPr>
        <w:t>Mental Health, Religion &amp; Culture</w:t>
      </w:r>
      <w:r>
        <w:t>, </w:t>
      </w:r>
      <w:r>
        <w:rPr>
          <w:i/>
          <w:iCs/>
        </w:rPr>
        <w:t>19</w:t>
      </w:r>
      <w:r>
        <w:t>(7), pp.648-659.</w:t>
      </w:r>
    </w:p>
    <w:p w14:paraId="2B22D50B">
      <w:r>
        <w:t>Treglown, L. and Furnham, A., 2020. Birds of a feather work together: The role of emotional intelligence and cognitive ability in workplace interaction and advice networks. </w:t>
      </w:r>
      <w:r>
        <w:rPr>
          <w:i/>
          <w:iCs/>
        </w:rPr>
        <w:t>Personality and Individual Differences</w:t>
      </w:r>
      <w:r>
        <w:t>, </w:t>
      </w:r>
      <w:r>
        <w:rPr>
          <w:i/>
          <w:iCs/>
        </w:rPr>
        <w:t>158</w:t>
      </w:r>
      <w:r>
        <w:t>, p.109833.</w:t>
      </w:r>
    </w:p>
    <w:p w14:paraId="7253BE84">
      <w:r>
        <w:t>Waller, L., 2020. Fostering a sense of belonging in the workplace: Enhancing well-being and a positive and coherent sense of self. </w:t>
      </w:r>
      <w:r>
        <w:rPr>
          <w:i/>
          <w:iCs/>
        </w:rPr>
        <w:t>The Palgrave handbook of workplace well-being</w:t>
      </w:r>
      <w:r>
        <w:t>, pp.1-27.</w:t>
      </w:r>
    </w:p>
    <w:p w14:paraId="11C0BEA6">
      <w:r>
        <w:t>Wu, S.M., 2024. Emotional Intelligence and Workplace Spirituality in Predicting Career Success of High-Tech Leaders. </w:t>
      </w:r>
      <w:r>
        <w:rPr>
          <w:i/>
          <w:iCs/>
        </w:rPr>
        <w:t>Behavioral Sciences</w:t>
      </w:r>
      <w:r>
        <w:t>, </w:t>
      </w:r>
      <w:r>
        <w:rPr>
          <w:i/>
          <w:iCs/>
        </w:rPr>
        <w:t>14</w:t>
      </w:r>
      <w:r>
        <w:t>(11), p.1009.</w:t>
      </w:r>
    </w:p>
    <w:p w14:paraId="2A5EA0FA">
      <w:r>
        <w:t>Yin, H., 2015. The effect of teachers’ emotional labour on teaching satisfaction: Moderation of emotional intelligence. </w:t>
      </w:r>
      <w:r>
        <w:rPr>
          <w:i/>
          <w:iCs/>
        </w:rPr>
        <w:t>Teachers and Teaching</w:t>
      </w:r>
      <w:r>
        <w:t>, </w:t>
      </w:r>
      <w:r>
        <w:rPr>
          <w:i/>
          <w:iCs/>
        </w:rPr>
        <w:t>21</w:t>
      </w:r>
      <w:r>
        <w:t>(7), pp.789-810.</w:t>
      </w:r>
    </w:p>
    <w:p w14:paraId="18E04120"/>
    <w:p w14:paraId="32C5DE52"/>
    <w:p w14:paraId="3FA09ADB"/>
    <w:p w14:paraId="2CCF3B86"/>
    <w:p w14:paraId="0A455949"/>
    <w:p w14:paraId="22257DA7"/>
    <w:p w14:paraId="524046EC"/>
    <w:p w14:paraId="6623C801"/>
    <w:p w14:paraId="331A52B7"/>
    <w:p w14:paraId="30446099"/>
    <w:p w14:paraId="4701EE3C"/>
    <w:p w14:paraId="6EC53D0F"/>
    <w:p w14:paraId="48D38FBF"/>
    <w:p w14:paraId="33967E8B"/>
    <w:p w14:paraId="0FFD8B19"/>
    <w:p w14:paraId="51D0229B"/>
    <w:p w14:paraId="171A68ED"/>
    <w:p w14:paraId="5FB32C4B"/>
    <w:p w14:paraId="4A774A35"/>
    <w:p w14:paraId="498F266C"/>
    <w:p w14:paraId="41006409"/>
    <w:p w14:paraId="774D6D1A">
      <w:pPr>
        <w:pStyle w:val="2"/>
      </w:pPr>
      <w:bookmarkStart w:id="20" w:name="_Toc190810662"/>
      <w:r>
        <w:t>Appendix</w:t>
      </w:r>
      <w:bookmarkEnd w:id="20"/>
    </w:p>
    <w:p w14:paraId="1E3CA03D">
      <w:pPr>
        <w:jc w:val="center"/>
      </w:pPr>
      <w:r>
        <w:drawing>
          <wp:inline distT="0" distB="0" distL="0" distR="0">
            <wp:extent cx="4105275" cy="7315835"/>
            <wp:effectExtent l="0" t="0" r="9525" b="0"/>
            <wp:docPr id="1239700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700562" name="Picture 1"/>
                    <pic:cNvPicPr>
                      <a:picLocks noChangeAspect="1"/>
                    </pic:cNvPicPr>
                  </pic:nvPicPr>
                  <pic:blipFill>
                    <a:blip r:embed="rId7"/>
                    <a:stretch>
                      <a:fillRect/>
                    </a:stretch>
                  </pic:blipFill>
                  <pic:spPr>
                    <a:xfrm>
                      <a:off x="0" y="0"/>
                      <a:ext cx="4105848" cy="7316221"/>
                    </a:xfrm>
                    <a:prstGeom prst="rect">
                      <a:avLst/>
                    </a:prstGeom>
                  </pic:spPr>
                </pic:pic>
              </a:graphicData>
            </a:graphic>
          </wp:inline>
        </w:drawing>
      </w:r>
    </w:p>
    <w:sectPr>
      <w:foot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200247B" w:usb2="00000009" w:usb3="00000000" w:csb0="200001FF" w:csb1="00000000"/>
  </w:font>
  <w:font w:name="等线">
    <w:altName w:val="Microsoft YaHei"/>
    <w:panose1 w:val="00000000000000000000"/>
    <w:charset w:val="00"/>
    <w:family w:val="auto"/>
    <w:pitch w:val="default"/>
    <w:sig w:usb0="00000000" w:usb1="00000000" w:usb2="00000000" w:usb3="00000000" w:csb0="00000000" w:csb1="00000000"/>
  </w:font>
  <w:font w:name="Sitka Subheading">
    <w:panose1 w:val="00000000000000000000"/>
    <w:charset w:val="00"/>
    <w:family w:val="auto"/>
    <w:pitch w:val="default"/>
    <w:sig w:usb0="A00002EF" w:usb1="4000204B" w:usb2="00000000" w:usb3="00000000" w:csb0="2000019F" w:csb1="00000000"/>
  </w:font>
  <w:font w:name="Yu Gothic Light">
    <w:panose1 w:val="020B0300000000000000"/>
    <w:charset w:val="80"/>
    <w:family w:val="auto"/>
    <w:pitch w:val="default"/>
    <w:sig w:usb0="E00002FF" w:usb1="2AC7FDFF" w:usb2="00000016" w:usb3="00000000" w:csb0="2002009F" w:csb1="00000000"/>
  </w:font>
  <w:font w:name="Yu Gothic UI">
    <w:panose1 w:val="020B0500000000000000"/>
    <w:charset w:val="80"/>
    <w:family w:val="auto"/>
    <w:pitch w:val="default"/>
    <w:sig w:usb0="E00002FF" w:usb1="2AC7FDFF" w:usb2="00000016" w:usb3="00000000" w:csb0="2002009F" w:csb1="00000000"/>
  </w:font>
  <w:font w:name="Yu Gothic Medium">
    <w:panose1 w:val="020B0500000000000000"/>
    <w:charset w:val="80"/>
    <w:family w:val="auto"/>
    <w:pitch w:val="default"/>
    <w:sig w:usb0="E00002FF" w:usb1="2AC7FDFF" w:usb2="00000016" w:usb3="00000000" w:csb0="2002009F"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 w:name="Tw Cen MT Condensed Extra Bold">
    <w:panose1 w:val="020B0803020202020204"/>
    <w:charset w:val="00"/>
    <w:family w:val="auto"/>
    <w:pitch w:val="default"/>
    <w:sig w:usb0="00000003" w:usb1="00000000" w:usb2="00000000" w:usb3="00000000" w:csb0="20000003" w:csb1="00000000"/>
  </w:font>
  <w:font w:name="Vivaldi">
    <w:panose1 w:val="03020602050506090804"/>
    <w:charset w:val="00"/>
    <w:family w:val="auto"/>
    <w:pitch w:val="default"/>
    <w:sig w:usb0="00000003" w:usb1="00000000" w:usb2="00000000" w:usb3="00000000" w:csb0="20000001" w:csb1="00000000"/>
  </w:font>
  <w:font w:name="Yu Gothic UI Light">
    <w:panose1 w:val="020B0300000000000000"/>
    <w:charset w:val="80"/>
    <w:family w:val="auto"/>
    <w:pitch w:val="default"/>
    <w:sig w:usb0="E00002FF" w:usb1="2AC7FDFF" w:usb2="00000016" w:usb3="00000000" w:csb0="2002009F" w:csb1="00000000"/>
  </w:font>
  <w:font w:name="Yu Gothic UI Semibold">
    <w:panose1 w:val="020B0700000000000000"/>
    <w:charset w:val="80"/>
    <w:family w:val="auto"/>
    <w:pitch w:val="default"/>
    <w:sig w:usb0="E00002FF" w:usb1="2AC7FDFF" w:usb2="00000016" w:usb3="00000000" w:csb0="2002009F" w:csb1="00000000"/>
  </w:font>
  <w:font w:name="Times New Roma">
    <w:altName w:val="Segoe Print"/>
    <w:panose1 w:val="00000000000000000000"/>
    <w:charset w:val="00"/>
    <w:family w:val="auto"/>
    <w:pitch w:val="default"/>
    <w:sig w:usb0="00000000" w:usb1="00000000" w:usb2="00000000" w:usb3="00000000" w:csb0="00000000" w:csb1="00000000"/>
  </w:font>
  <w:font w:name="Times New Rom">
    <w:altName w:val="Segoe Print"/>
    <w:panose1 w:val="00000000000000000000"/>
    <w:charset w:val="00"/>
    <w:family w:val="auto"/>
    <w:pitch w:val="default"/>
    <w:sig w:usb0="00000000" w:usb1="00000000" w:usb2="00000000" w:usb3="00000000" w:csb0="00000000" w:csb1="00000000"/>
  </w:font>
  <w:font w:name="Times New Ro">
    <w:altName w:val="Segoe Print"/>
    <w:panose1 w:val="00000000000000000000"/>
    <w:charset w:val="00"/>
    <w:family w:val="auto"/>
    <w:pitch w:val="default"/>
    <w:sig w:usb0="00000000" w:usb1="00000000" w:usb2="00000000" w:usb3="00000000" w:csb0="00000000" w:csb1="00000000"/>
  </w:font>
  <w:font w:name="Times New R">
    <w:altName w:val="Segoe Print"/>
    <w:panose1 w:val="00000000000000000000"/>
    <w:charset w:val="00"/>
    <w:family w:val="auto"/>
    <w:pitch w:val="default"/>
    <w:sig w:usb0="00000000" w:usb1="00000000" w:usb2="00000000" w:usb3="00000000" w:csb0="00000000" w:csb1="00000000"/>
  </w:font>
  <w:font w:name="Times New">
    <w:altName w:val="Times New Roman"/>
    <w:panose1 w:val="00000000000000000000"/>
    <w:charset w:val="00"/>
    <w:family w:val="auto"/>
    <w:pitch w:val="default"/>
    <w:sig w:usb0="00000000" w:usb1="00000000" w:usb2="00000000" w:usb3="00000000" w:csb0="00000000" w:csb1="00000000"/>
  </w:font>
  <w:font w:name="Times Ne">
    <w:altName w:val="Segoe Print"/>
    <w:panose1 w:val="00000000000000000000"/>
    <w:charset w:val="00"/>
    <w:family w:val="auto"/>
    <w:pitch w:val="default"/>
    <w:sig w:usb0="00000000" w:usb1="00000000" w:usb2="00000000" w:usb3="00000000" w:csb0="00000000" w:csb1="00000000"/>
  </w:font>
  <w:font w:name="Times N">
    <w:altName w:val="Segoe Print"/>
    <w:panose1 w:val="00000000000000000000"/>
    <w:charset w:val="00"/>
    <w:family w:val="auto"/>
    <w:pitch w:val="default"/>
    <w:sig w:usb0="00000000" w:usb1="00000000" w:usb2="00000000" w:usb3="00000000" w:csb0="00000000" w:csb1="00000000"/>
  </w:font>
  <w:font w:name="Times">
    <w:altName w:val="Times New Roman"/>
    <w:panose1 w:val="00000000000000000000"/>
    <w:charset w:val="00"/>
    <w:family w:val="auto"/>
    <w:pitch w:val="default"/>
    <w:sig w:usb0="00000000" w:usb1="00000000" w:usb2="00000000" w:usb3="00000000" w:csb0="00000000" w:csb1="00000000"/>
  </w:font>
  <w:font w:name="Time">
    <w:altName w:val="Segoe Print"/>
    <w:panose1 w:val="00000000000000000000"/>
    <w:charset w:val="00"/>
    <w:family w:val="auto"/>
    <w:pitch w:val="default"/>
    <w:sig w:usb0="00000000" w:usb1="00000000" w:usb2="00000000" w:usb3="00000000" w:csb0="00000000" w:csb1="00000000"/>
  </w:font>
  <w:font w:name="Tim">
    <w:altName w:val="Segoe Print"/>
    <w:panose1 w:val="00000000000000000000"/>
    <w:charset w:val="00"/>
    <w:family w:val="auto"/>
    <w:pitch w:val="default"/>
    <w:sig w:usb0="00000000" w:usb1="00000000" w:usb2="00000000" w:usb3="00000000" w:csb0="00000000" w:csb1="00000000"/>
  </w:font>
  <w:font w:name="Ti">
    <w:altName w:val="Segoe Print"/>
    <w:panose1 w:val="00000000000000000000"/>
    <w:charset w:val="00"/>
    <w:family w:val="auto"/>
    <w:pitch w:val="default"/>
    <w:sig w:usb0="00000000" w:usb1="00000000" w:usb2="00000000" w:usb3="00000000" w:csb0="00000000" w:csb1="00000000"/>
  </w:font>
  <w:font w:name="T">
    <w:altName w:val="Segoe Print"/>
    <w:panose1 w:val="00000000000000000000"/>
    <w:charset w:val="00"/>
    <w:family w:val="auto"/>
    <w:pitch w:val="default"/>
    <w:sig w:usb0="00000000" w:usb1="00000000" w:usb2="00000000" w:usb3="00000000" w:csb0="00000000" w:csb1="00000000"/>
  </w:font>
  <w:font w:name="a">
    <w:altName w:val="Segoe Print"/>
    <w:panose1 w:val="00000000000000000000"/>
    <w:charset w:val="00"/>
    <w:family w:val="auto"/>
    <w:pitch w:val="default"/>
    <w:sig w:usb0="00000000" w:usb1="00000000" w:usb2="00000000" w:usb3="00000000" w:csb0="00000000" w:csb1="00000000"/>
  </w:font>
  <w:font w:name="Agency FB">
    <w:panose1 w:val="020B0503020202020204"/>
    <w:charset w:val="00"/>
    <w:family w:val="auto"/>
    <w:pitch w:val="default"/>
    <w:sig w:usb0="00000003" w:usb1="00000000" w:usb2="00000000" w:usb3="00000000" w:csb0="20000001" w:csb1="00000000"/>
  </w:font>
  <w:font w:name="Ar">
    <w:altName w:val="Segoe Print"/>
    <w:panose1 w:val="00000000000000000000"/>
    <w:charset w:val="00"/>
    <w:family w:val="auto"/>
    <w:pitch w:val="default"/>
    <w:sig w:usb0="00000000" w:usb1="00000000" w:usb2="00000000" w:usb3="00000000" w:csb0="00000000" w:csb1="00000000"/>
  </w:font>
  <w:font w:name="Ari">
    <w:altName w:val="Segoe Print"/>
    <w:panose1 w:val="00000000000000000000"/>
    <w:charset w:val="00"/>
    <w:family w:val="auto"/>
    <w:pitch w:val="default"/>
    <w:sig w:usb0="00000000" w:usb1="00000000" w:usb2="00000000" w:usb3="00000000" w:csb0="00000000" w:csb1="00000000"/>
  </w:font>
  <w:font w:name="Aria">
    <w:altName w:val="Segoe Print"/>
    <w:panose1 w:val="00000000000000000000"/>
    <w:charset w:val="00"/>
    <w:family w:val="auto"/>
    <w:pitch w:val="default"/>
    <w:sig w:usb0="00000000" w:usb1="00000000" w:usb2="00000000" w:usb3="00000000" w:csb0="00000000" w:csb1="00000000"/>
  </w:font>
  <w:font w:name="MS PGothic">
    <w:panose1 w:val="020B0600070205080204"/>
    <w:charset w:val="80"/>
    <w:family w:val="auto"/>
    <w:pitch w:val="default"/>
    <w:sig w:usb0="E00002FF" w:usb1="6AC7FDFB" w:usb2="08000012" w:usb3="00000000" w:csb0="4002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6A7556D">
    <w:pPr>
      <w:pStyle w:val="13"/>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50D3F5C6">
                          <w:pPr>
                            <w:pStyle w:val="1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NEw1/TMAgAA&#10;IwYAAA4AAAAAAAAAAQAgAAAAHwEAAGRycy9lMm9Eb2MueG1sUEsFBgAAAAAGAAYAWQEAAF0GAAAA&#10;AA==&#10;">
              <v:fill on="f" focussize="0,0"/>
              <v:stroke on="f" weight="0.5pt"/>
              <v:imagedata o:title=""/>
              <o:lock v:ext="edit" aspectratio="f"/>
              <v:textbox inset="0mm,0mm,0mm,0mm" style="mso-fit-shape-to-text:t;">
                <w:txbxContent>
                  <w:p w14:paraId="50D3F5C6">
                    <w:pPr>
                      <w:pStyle w:val="13"/>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4"/>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16CB"/>
    <w:rsid w:val="000962D8"/>
    <w:rsid w:val="00183B73"/>
    <w:rsid w:val="00191BB4"/>
    <w:rsid w:val="001F6428"/>
    <w:rsid w:val="003265AC"/>
    <w:rsid w:val="00327C34"/>
    <w:rsid w:val="00337D63"/>
    <w:rsid w:val="00351319"/>
    <w:rsid w:val="003819FF"/>
    <w:rsid w:val="004C6E9A"/>
    <w:rsid w:val="005B66C8"/>
    <w:rsid w:val="00656B28"/>
    <w:rsid w:val="007C312A"/>
    <w:rsid w:val="008916CB"/>
    <w:rsid w:val="00904D65"/>
    <w:rsid w:val="00912DE8"/>
    <w:rsid w:val="00960D76"/>
    <w:rsid w:val="0097469E"/>
    <w:rsid w:val="009C5D63"/>
    <w:rsid w:val="009F0067"/>
    <w:rsid w:val="00AF314B"/>
    <w:rsid w:val="00B54F2D"/>
    <w:rsid w:val="00CB29A4"/>
    <w:rsid w:val="00DB50C3"/>
    <w:rsid w:val="00DF277D"/>
    <w:rsid w:val="00F03BE2"/>
    <w:rsid w:val="00F66693"/>
    <w:rsid w:val="7BDA274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Arial" w:hAnsi="Arial" w:eastAsiaTheme="minorEastAsia" w:cstheme="minorBidi"/>
      <w:sz w:val="22"/>
      <w:szCs w:val="22"/>
      <w:lang w:val="en-GB" w:eastAsia="en-US" w:bidi="ar-SA"/>
      <w14:ligatures w14:val="standardContextual"/>
    </w:rPr>
  </w:style>
  <w:style w:type="paragraph" w:styleId="2">
    <w:name w:val="heading 1"/>
    <w:basedOn w:val="1"/>
    <w:next w:val="1"/>
    <w:link w:val="20"/>
    <w:qFormat/>
    <w:uiPriority w:val="9"/>
    <w:pPr>
      <w:keepNext/>
      <w:keepLines/>
      <w:spacing w:before="360" w:after="80"/>
      <w:outlineLvl w:val="0"/>
    </w:pPr>
    <w:rPr>
      <w:rFonts w:eastAsiaTheme="majorEastAsia" w:cstheme="majorBidi"/>
      <w:b/>
      <w:szCs w:val="40"/>
    </w:rPr>
  </w:style>
  <w:style w:type="paragraph" w:styleId="3">
    <w:name w:val="heading 2"/>
    <w:basedOn w:val="1"/>
    <w:next w:val="1"/>
    <w:link w:val="21"/>
    <w:unhideWhenUsed/>
    <w:qFormat/>
    <w:uiPriority w:val="9"/>
    <w:pPr>
      <w:keepNext/>
      <w:keepLines/>
      <w:spacing w:before="160" w:after="80"/>
      <w:outlineLvl w:val="1"/>
    </w:pPr>
    <w:rPr>
      <w:rFonts w:eastAsiaTheme="majorEastAsia" w:cstheme="majorBidi"/>
      <w:b/>
      <w:i/>
      <w:szCs w:val="32"/>
    </w:rPr>
  </w:style>
  <w:style w:type="paragraph" w:styleId="4">
    <w:name w:val="heading 3"/>
    <w:basedOn w:val="1"/>
    <w:next w:val="1"/>
    <w:link w:val="22"/>
    <w:semiHidden/>
    <w:unhideWhenUsed/>
    <w:qFormat/>
    <w:uiPriority w:val="9"/>
    <w:pPr>
      <w:keepNext/>
      <w:keepLines/>
      <w:spacing w:before="160" w:after="80"/>
      <w:outlineLvl w:val="2"/>
    </w:pPr>
    <w:rPr>
      <w:rFonts w:eastAsiaTheme="majorEastAsia" w:cstheme="majorBidi"/>
      <w:szCs w:val="28"/>
    </w:rPr>
  </w:style>
  <w:style w:type="paragraph" w:styleId="5">
    <w:name w:val="heading 4"/>
    <w:basedOn w:val="1"/>
    <w:next w:val="1"/>
    <w:link w:val="24"/>
    <w:semiHidden/>
    <w:unhideWhenUsed/>
    <w:qFormat/>
    <w:uiPriority w:val="9"/>
    <w:pPr>
      <w:keepNext/>
      <w:keepLines/>
      <w:spacing w:before="80" w:after="40"/>
      <w:outlineLvl w:val="3"/>
    </w:pPr>
    <w:rPr>
      <w:rFonts w:asciiTheme="minorHAnsi" w:hAnsiTheme="minorHAnsi" w:eastAsiaTheme="majorEastAsia" w:cstheme="majorBidi"/>
      <w:i/>
      <w:iCs/>
      <w:color w:val="2E75B6" w:themeColor="accent1" w:themeShade="BF"/>
    </w:rPr>
  </w:style>
  <w:style w:type="paragraph" w:styleId="6">
    <w:name w:val="heading 5"/>
    <w:basedOn w:val="1"/>
    <w:next w:val="1"/>
    <w:link w:val="25"/>
    <w:semiHidden/>
    <w:unhideWhenUsed/>
    <w:qFormat/>
    <w:uiPriority w:val="9"/>
    <w:pPr>
      <w:keepNext/>
      <w:keepLines/>
      <w:spacing w:before="80" w:after="40"/>
      <w:outlineLvl w:val="4"/>
    </w:pPr>
    <w:rPr>
      <w:rFonts w:asciiTheme="minorHAnsi" w:hAnsiTheme="minorHAnsi" w:eastAsiaTheme="majorEastAsia" w:cstheme="majorBidi"/>
      <w:color w:val="2E75B6" w:themeColor="accent1" w:themeShade="BF"/>
    </w:rPr>
  </w:style>
  <w:style w:type="paragraph" w:styleId="7">
    <w:name w:val="heading 6"/>
    <w:basedOn w:val="1"/>
    <w:next w:val="1"/>
    <w:link w:val="26"/>
    <w:semiHidden/>
    <w:unhideWhenUsed/>
    <w:qFormat/>
    <w:uiPriority w:val="9"/>
    <w:pPr>
      <w:keepNext/>
      <w:keepLines/>
      <w:spacing w:before="40" w:after="0"/>
      <w:outlineLvl w:val="5"/>
    </w:pPr>
    <w:rPr>
      <w:rFonts w:asciiTheme="minorHAnsi" w:hAnsiTheme="minorHAnsi"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7"/>
    <w:semiHidden/>
    <w:unhideWhenUsed/>
    <w:qFormat/>
    <w:uiPriority w:val="9"/>
    <w:pPr>
      <w:keepNext/>
      <w:keepLines/>
      <w:spacing w:before="40" w:after="0"/>
      <w:outlineLvl w:val="6"/>
    </w:pPr>
    <w:rPr>
      <w:rFonts w:asciiTheme="minorHAnsi" w:hAnsiTheme="minorHAnsi"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8"/>
    <w:semiHidden/>
    <w:unhideWhenUsed/>
    <w:qFormat/>
    <w:uiPriority w:val="9"/>
    <w:pPr>
      <w:keepNext/>
      <w:keepLines/>
      <w:spacing w:after="0"/>
      <w:outlineLvl w:val="7"/>
    </w:pPr>
    <w:rPr>
      <w:rFonts w:asciiTheme="minorHAnsi" w:hAnsiTheme="minorHAnsi"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9"/>
    <w:semiHidden/>
    <w:unhideWhenUsed/>
    <w:qFormat/>
    <w:uiPriority w:val="9"/>
    <w:pPr>
      <w:keepNext/>
      <w:keepLines/>
      <w:spacing w:after="0"/>
      <w:outlineLvl w:val="8"/>
    </w:pPr>
    <w:rPr>
      <w:rFonts w:asciiTheme="minorHAnsi" w:hAnsiTheme="minorHAnsi"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13">
    <w:name w:val="footer"/>
    <w:basedOn w:val="1"/>
    <w:semiHidden/>
    <w:unhideWhenUsed/>
    <w:uiPriority w:val="99"/>
    <w:pPr>
      <w:tabs>
        <w:tab w:val="center" w:pos="4153"/>
        <w:tab w:val="right" w:pos="8306"/>
      </w:tabs>
      <w:snapToGrid w:val="0"/>
      <w:jc w:val="left"/>
    </w:pPr>
    <w:rPr>
      <w:sz w:val="18"/>
      <w:szCs w:val="18"/>
    </w:rPr>
  </w:style>
  <w:style w:type="paragraph" w:styleId="14">
    <w:name w:val="header"/>
    <w:basedOn w:val="1"/>
    <w:semiHidden/>
    <w:unhideWhenUsed/>
    <w:uiPriority w:val="99"/>
    <w:pPr>
      <w:tabs>
        <w:tab w:val="center" w:pos="4153"/>
        <w:tab w:val="right" w:pos="8306"/>
      </w:tabs>
      <w:snapToGrid w:val="0"/>
    </w:pPr>
    <w:rPr>
      <w:sz w:val="18"/>
      <w:szCs w:val="18"/>
    </w:rPr>
  </w:style>
  <w:style w:type="character" w:styleId="15">
    <w:name w:val="Hyperlink"/>
    <w:basedOn w:val="11"/>
    <w:unhideWhenUsed/>
    <w:uiPriority w:val="99"/>
    <w:rPr>
      <w:color w:val="0563C1" w:themeColor="hyperlink"/>
      <w:u w:val="single"/>
      <w14:textFill>
        <w14:solidFill>
          <w14:schemeClr w14:val="hlink"/>
        </w14:solidFill>
      </w14:textFill>
    </w:rPr>
  </w:style>
  <w:style w:type="paragraph" w:styleId="16">
    <w:name w:val="Subtitle"/>
    <w:basedOn w:val="1"/>
    <w:next w:val="1"/>
    <w:link w:val="31"/>
    <w:qFormat/>
    <w:uiPriority w:val="11"/>
    <w:rPr>
      <w:rFonts w:asciiTheme="minorHAnsi" w:hAnsiTheme="min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7">
    <w:name w:val="Title"/>
    <w:basedOn w:val="1"/>
    <w:next w:val="1"/>
    <w:link w:val="30"/>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18">
    <w:name w:val="toc 1"/>
    <w:basedOn w:val="1"/>
    <w:next w:val="1"/>
    <w:autoRedefine/>
    <w:unhideWhenUsed/>
    <w:uiPriority w:val="39"/>
    <w:pPr>
      <w:spacing w:after="100"/>
    </w:pPr>
  </w:style>
  <w:style w:type="paragraph" w:styleId="19">
    <w:name w:val="toc 2"/>
    <w:basedOn w:val="1"/>
    <w:next w:val="1"/>
    <w:autoRedefine/>
    <w:unhideWhenUsed/>
    <w:uiPriority w:val="39"/>
    <w:pPr>
      <w:spacing w:after="100"/>
      <w:ind w:left="240"/>
    </w:pPr>
  </w:style>
  <w:style w:type="character" w:customStyle="1" w:styleId="20">
    <w:name w:val="Heading 1 Char"/>
    <w:basedOn w:val="11"/>
    <w:link w:val="2"/>
    <w:uiPriority w:val="9"/>
    <w:rPr>
      <w:rFonts w:ascii="Times New Roman" w:hAnsi="Times New Roman" w:eastAsiaTheme="majorEastAsia" w:cstheme="majorBidi"/>
      <w:b/>
      <w:sz w:val="24"/>
      <w:szCs w:val="40"/>
    </w:rPr>
  </w:style>
  <w:style w:type="character" w:customStyle="1" w:styleId="21">
    <w:name w:val="Heading 2 Char"/>
    <w:basedOn w:val="11"/>
    <w:link w:val="3"/>
    <w:qFormat/>
    <w:uiPriority w:val="9"/>
    <w:rPr>
      <w:rFonts w:ascii="Times New Roman" w:hAnsi="Times New Roman" w:eastAsiaTheme="majorEastAsia" w:cstheme="majorBidi"/>
      <w:b/>
      <w:i/>
      <w:sz w:val="24"/>
      <w:szCs w:val="32"/>
    </w:rPr>
  </w:style>
  <w:style w:type="character" w:customStyle="1" w:styleId="22">
    <w:name w:val="Heading 3 Char"/>
    <w:basedOn w:val="11"/>
    <w:link w:val="4"/>
    <w:semiHidden/>
    <w:uiPriority w:val="9"/>
    <w:rPr>
      <w:rFonts w:ascii="Times New Roman" w:hAnsi="Times New Roman" w:eastAsiaTheme="majorEastAsia" w:cstheme="majorBidi"/>
      <w:sz w:val="24"/>
      <w:szCs w:val="28"/>
    </w:rPr>
  </w:style>
  <w:style w:type="paragraph" w:styleId="23">
    <w:name w:val="No Spacing"/>
    <w:qFormat/>
    <w:uiPriority w:val="1"/>
    <w:pPr>
      <w:spacing w:after="0" w:line="360" w:lineRule="auto"/>
      <w:jc w:val="both"/>
    </w:pPr>
    <w:rPr>
      <w:rFonts w:ascii="Times New Roman" w:hAnsi="Times New Roman" w:eastAsiaTheme="minorHAnsi" w:cstheme="minorBidi"/>
      <w:sz w:val="24"/>
      <w:szCs w:val="22"/>
      <w:lang w:val="en-GB" w:eastAsia="en-US" w:bidi="ar-SA"/>
      <w14:ligatures w14:val="standardContextual"/>
    </w:rPr>
  </w:style>
  <w:style w:type="character" w:customStyle="1" w:styleId="24">
    <w:name w:val="Heading 4 Char"/>
    <w:basedOn w:val="11"/>
    <w:link w:val="5"/>
    <w:semiHidden/>
    <w:uiPriority w:val="9"/>
    <w:rPr>
      <w:rFonts w:eastAsiaTheme="majorEastAsia" w:cstheme="majorBidi"/>
      <w:i/>
      <w:iCs/>
      <w:color w:val="2E75B6" w:themeColor="accent1" w:themeShade="BF"/>
      <w:sz w:val="24"/>
    </w:rPr>
  </w:style>
  <w:style w:type="character" w:customStyle="1" w:styleId="25">
    <w:name w:val="Heading 5 Char"/>
    <w:basedOn w:val="11"/>
    <w:link w:val="6"/>
    <w:semiHidden/>
    <w:uiPriority w:val="9"/>
    <w:rPr>
      <w:rFonts w:eastAsiaTheme="majorEastAsia" w:cstheme="majorBidi"/>
      <w:color w:val="2E75B6" w:themeColor="accent1" w:themeShade="BF"/>
      <w:sz w:val="24"/>
    </w:rPr>
  </w:style>
  <w:style w:type="character" w:customStyle="1" w:styleId="26">
    <w:name w:val="Heading 6 Char"/>
    <w:basedOn w:val="11"/>
    <w:link w:val="7"/>
    <w:semiHidden/>
    <w:uiPriority w:val="9"/>
    <w:rPr>
      <w:rFonts w:eastAsiaTheme="majorEastAsia" w:cstheme="majorBidi"/>
      <w:i/>
      <w:iCs/>
      <w:color w:val="595959" w:themeColor="text1" w:themeTint="A6"/>
      <w:sz w:val="24"/>
      <w14:textFill>
        <w14:solidFill>
          <w14:schemeClr w14:val="tx1">
            <w14:lumMod w14:val="65000"/>
            <w14:lumOff w14:val="35000"/>
          </w14:schemeClr>
        </w14:solidFill>
      </w14:textFill>
    </w:rPr>
  </w:style>
  <w:style w:type="character" w:customStyle="1" w:styleId="27">
    <w:name w:val="Heading 7 Char"/>
    <w:basedOn w:val="11"/>
    <w:link w:val="8"/>
    <w:semiHidden/>
    <w:uiPriority w:val="9"/>
    <w:rPr>
      <w:rFonts w:eastAsiaTheme="majorEastAsia" w:cstheme="majorBidi"/>
      <w:color w:val="595959" w:themeColor="text1" w:themeTint="A6"/>
      <w:sz w:val="24"/>
      <w14:textFill>
        <w14:solidFill>
          <w14:schemeClr w14:val="tx1">
            <w14:lumMod w14:val="65000"/>
            <w14:lumOff w14:val="35000"/>
          </w14:schemeClr>
        </w14:solidFill>
      </w14:textFill>
    </w:rPr>
  </w:style>
  <w:style w:type="character" w:customStyle="1" w:styleId="28">
    <w:name w:val="Heading 8 Char"/>
    <w:basedOn w:val="11"/>
    <w:link w:val="9"/>
    <w:semiHidden/>
    <w:uiPriority w:val="9"/>
    <w:rPr>
      <w:rFonts w:eastAsiaTheme="majorEastAsia" w:cstheme="majorBidi"/>
      <w:i/>
      <w:iCs/>
      <w:color w:val="262626" w:themeColor="text1" w:themeTint="D9"/>
      <w:sz w:val="24"/>
      <w14:textFill>
        <w14:solidFill>
          <w14:schemeClr w14:val="tx1">
            <w14:lumMod w14:val="85000"/>
            <w14:lumOff w14:val="15000"/>
          </w14:schemeClr>
        </w14:solidFill>
      </w14:textFill>
    </w:rPr>
  </w:style>
  <w:style w:type="character" w:customStyle="1" w:styleId="29">
    <w:name w:val="Heading 9 Char"/>
    <w:basedOn w:val="11"/>
    <w:link w:val="10"/>
    <w:semiHidden/>
    <w:uiPriority w:val="9"/>
    <w:rPr>
      <w:rFonts w:eastAsiaTheme="majorEastAsia" w:cstheme="majorBidi"/>
      <w:color w:val="262626" w:themeColor="text1" w:themeTint="D9"/>
      <w:sz w:val="24"/>
      <w14:textFill>
        <w14:solidFill>
          <w14:schemeClr w14:val="tx1">
            <w14:lumMod w14:val="85000"/>
            <w14:lumOff w14:val="15000"/>
          </w14:schemeClr>
        </w14:solidFill>
      </w14:textFill>
    </w:rPr>
  </w:style>
  <w:style w:type="character" w:customStyle="1" w:styleId="30">
    <w:name w:val="Title Char"/>
    <w:basedOn w:val="11"/>
    <w:link w:val="17"/>
    <w:uiPriority w:val="10"/>
    <w:rPr>
      <w:rFonts w:asciiTheme="majorHAnsi" w:hAnsiTheme="majorHAnsi" w:eastAsiaTheme="majorEastAsia" w:cstheme="majorBidi"/>
      <w:spacing w:val="-10"/>
      <w:kern w:val="28"/>
      <w:sz w:val="56"/>
      <w:szCs w:val="56"/>
    </w:rPr>
  </w:style>
  <w:style w:type="character" w:customStyle="1" w:styleId="31">
    <w:name w:val="Subtitle Char"/>
    <w:basedOn w:val="11"/>
    <w:link w:val="16"/>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2">
    <w:name w:val="Quote"/>
    <w:basedOn w:val="1"/>
    <w:next w:val="1"/>
    <w:link w:val="33"/>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3">
    <w:name w:val="Quote Char"/>
    <w:basedOn w:val="11"/>
    <w:link w:val="32"/>
    <w:uiPriority w:val="29"/>
    <w:rPr>
      <w:rFonts w:ascii="Times New Roman" w:hAnsi="Times New Roman"/>
      <w:i/>
      <w:iCs/>
      <w:color w:val="404040" w:themeColor="text1" w:themeTint="BF"/>
      <w:sz w:val="24"/>
      <w14:textFill>
        <w14:solidFill>
          <w14:schemeClr w14:val="tx1">
            <w14:lumMod w14:val="75000"/>
            <w14:lumOff w14:val="25000"/>
          </w14:schemeClr>
        </w14:solidFill>
      </w14:textFill>
    </w:rPr>
  </w:style>
  <w:style w:type="paragraph" w:styleId="34">
    <w:name w:val="List Paragraph"/>
    <w:basedOn w:val="1"/>
    <w:qFormat/>
    <w:uiPriority w:val="34"/>
    <w:pPr>
      <w:ind w:left="720"/>
      <w:contextualSpacing/>
    </w:pPr>
  </w:style>
  <w:style w:type="character" w:customStyle="1" w:styleId="35">
    <w:name w:val="Intense Emphasis"/>
    <w:basedOn w:val="11"/>
    <w:qFormat/>
    <w:uiPriority w:val="21"/>
    <w:rPr>
      <w:i/>
      <w:iCs/>
      <w:color w:val="2E75B6" w:themeColor="accent1" w:themeShade="BF"/>
    </w:rPr>
  </w:style>
  <w:style w:type="paragraph" w:styleId="36">
    <w:name w:val="Intense Quote"/>
    <w:basedOn w:val="1"/>
    <w:next w:val="1"/>
    <w:link w:val="37"/>
    <w:qFormat/>
    <w:uiPriority w:val="30"/>
    <w:pPr>
      <w:pBdr>
        <w:top w:val="single" w:color="2E75B5" w:themeColor="accent1" w:themeShade="BF" w:sz="4" w:space="10"/>
        <w:bottom w:val="single" w:color="2E75B5" w:themeColor="accent1" w:themeShade="BF" w:sz="4" w:space="10"/>
      </w:pBdr>
      <w:spacing w:before="360" w:after="360"/>
      <w:ind w:left="864" w:right="864"/>
      <w:jc w:val="center"/>
    </w:pPr>
    <w:rPr>
      <w:i/>
      <w:iCs/>
      <w:color w:val="2E75B6" w:themeColor="accent1" w:themeShade="BF"/>
    </w:rPr>
  </w:style>
  <w:style w:type="character" w:customStyle="1" w:styleId="37">
    <w:name w:val="Intense Quote Char"/>
    <w:basedOn w:val="11"/>
    <w:link w:val="36"/>
    <w:uiPriority w:val="30"/>
    <w:rPr>
      <w:rFonts w:ascii="Times New Roman" w:hAnsi="Times New Roman"/>
      <w:i/>
      <w:iCs/>
      <w:color w:val="2E75B6" w:themeColor="accent1" w:themeShade="BF"/>
      <w:sz w:val="24"/>
    </w:rPr>
  </w:style>
  <w:style w:type="character" w:customStyle="1" w:styleId="38">
    <w:name w:val="Intense Reference"/>
    <w:basedOn w:val="11"/>
    <w:qFormat/>
    <w:uiPriority w:val="32"/>
    <w:rPr>
      <w:b/>
      <w:bCs/>
      <w:smallCaps/>
      <w:color w:val="2E75B6" w:themeColor="accent1" w:themeShade="BF"/>
      <w:spacing w:val="5"/>
    </w:rPr>
  </w:style>
  <w:style w:type="paragraph" w:customStyle="1" w:styleId="39">
    <w:name w:val="TOC Heading"/>
    <w:basedOn w:val="2"/>
    <w:next w:val="1"/>
    <w:unhideWhenUsed/>
    <w:qFormat/>
    <w:uiPriority w:val="39"/>
    <w:pPr>
      <w:spacing w:before="240" w:after="0" w:line="259" w:lineRule="auto"/>
      <w:jc w:val="left"/>
      <w:outlineLvl w:val="9"/>
    </w:pPr>
    <w:rPr>
      <w:rFonts w:asciiTheme="majorHAnsi" w:hAnsiTheme="majorHAnsi"/>
      <w:b w:val="0"/>
      <w:color w:val="2E75B6" w:themeColor="accent1" w:themeShade="BF"/>
      <w:sz w:val="32"/>
      <w:szCs w:val="32"/>
      <w:lang w:val="en-US"/>
      <w14:ligatures w14:val="none"/>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38DCB0A-C502-491E-8440-E387C6102DB2}">
  <ds:schemaRefs/>
</ds:datastoreItem>
</file>

<file path=docProps/app.xml><?xml version="1.0" encoding="utf-8"?>
<Properties xmlns="http://schemas.openxmlformats.org/officeDocument/2006/extended-properties" xmlns:vt="http://schemas.openxmlformats.org/officeDocument/2006/docPropsVTypes">
  <Template>Normal</Template>
  <Pages>18</Pages>
  <Words>5514</Words>
  <Characters>31432</Characters>
  <Lines>261</Lines>
  <Paragraphs>73</Paragraphs>
  <TotalTime>90</TotalTime>
  <ScaleCrop>false</ScaleCrop>
  <LinksUpToDate>false</LinksUpToDate>
  <CharactersWithSpaces>36873</CharactersWithSpaces>
  <Application>WPS Office_12.2.0.20326_F1E327BC-269C-435d-A152-05C5408002CA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2025-02-18T15:47:00Z</dcterms:created>
  <dc:creator>Dell</dc:creator>
  <cp:lastModifiedBy>Dell</cp:lastModifiedBy>
  <dcterms:modified xsi:type="dcterms:W3CDTF">2025-03-14T16:11:44Z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2057-12.2.0.20326</vt:lpwstr>
  </property>
  <property fmtid="{D5CDD505-2E9C-101B-9397-08002B2CF9AE}" pid="3" name="ICV">
    <vt:lpwstr>7B49606FB38E42029668D0944FFEE92E_13</vt:lpwstr>
  </property>
</Properties>
</file>