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DAFC" w14:textId="77777777" w:rsidR="00DB3086" w:rsidRDefault="00DB3086" w:rsidP="007F1CF6">
      <w:pPr>
        <w:spacing w:after="0"/>
        <w:jc w:val="center"/>
        <w:rPr>
          <w:b/>
          <w:sz w:val="44"/>
        </w:rPr>
      </w:pPr>
    </w:p>
    <w:p w14:paraId="71DD17AD" w14:textId="77777777" w:rsidR="00DB3086" w:rsidRDefault="00DB3086" w:rsidP="007F1CF6">
      <w:pPr>
        <w:spacing w:after="0"/>
        <w:jc w:val="center"/>
        <w:rPr>
          <w:b/>
          <w:sz w:val="44"/>
        </w:rPr>
      </w:pPr>
    </w:p>
    <w:p w14:paraId="072CC0E8" w14:textId="77777777" w:rsidR="00DB3086" w:rsidRDefault="00DB3086" w:rsidP="007F1CF6">
      <w:pPr>
        <w:spacing w:after="0"/>
        <w:jc w:val="center"/>
        <w:rPr>
          <w:b/>
          <w:sz w:val="44"/>
        </w:rPr>
      </w:pPr>
    </w:p>
    <w:p w14:paraId="764D8108" w14:textId="49E23C36" w:rsidR="00DB3086" w:rsidRPr="00A97C3C" w:rsidRDefault="00DB3086" w:rsidP="007F1CF6">
      <w:pPr>
        <w:spacing w:after="0"/>
        <w:jc w:val="center"/>
        <w:rPr>
          <w:b/>
          <w:sz w:val="32"/>
          <w:szCs w:val="32"/>
        </w:rPr>
      </w:pPr>
      <w:r w:rsidRPr="00A97C3C">
        <w:rPr>
          <w:b/>
          <w:sz w:val="32"/>
          <w:szCs w:val="32"/>
        </w:rPr>
        <w:t>Module Name: International Financial Management</w:t>
      </w:r>
    </w:p>
    <w:p w14:paraId="4B6F466B" w14:textId="7F7D2ABB" w:rsidR="00E634F4" w:rsidRPr="00A97C3C" w:rsidRDefault="00F566F3" w:rsidP="007F1CF6">
      <w:pPr>
        <w:spacing w:after="0"/>
        <w:jc w:val="center"/>
        <w:rPr>
          <w:b/>
          <w:sz w:val="32"/>
          <w:szCs w:val="32"/>
        </w:rPr>
      </w:pPr>
      <w:r w:rsidRPr="00A97C3C">
        <w:rPr>
          <w:b/>
          <w:sz w:val="32"/>
          <w:szCs w:val="32"/>
        </w:rPr>
        <w:t>Module:</w:t>
      </w:r>
      <w:r w:rsidR="0014608F" w:rsidRPr="00A97C3C">
        <w:rPr>
          <w:b/>
          <w:sz w:val="32"/>
          <w:szCs w:val="32"/>
        </w:rPr>
        <w:t xml:space="preserve"> International Financial Management</w:t>
      </w:r>
    </w:p>
    <w:p w14:paraId="5DAB89CE" w14:textId="0F83B93B" w:rsidR="00B45E41" w:rsidRPr="00A97C3C" w:rsidRDefault="00A97C3C" w:rsidP="00B45E41">
      <w:pPr>
        <w:spacing w:before="120" w:after="120"/>
        <w:rPr>
          <w:b/>
          <w:bCs/>
          <w:sz w:val="32"/>
          <w:szCs w:val="32"/>
        </w:rPr>
      </w:pPr>
      <w:r w:rsidRPr="00A97C3C">
        <w:rPr>
          <w:b/>
          <w:sz w:val="32"/>
          <w:szCs w:val="32"/>
        </w:rPr>
        <w:t xml:space="preserve">                 </w:t>
      </w:r>
      <w:r w:rsidR="00B45E41" w:rsidRPr="00A97C3C">
        <w:rPr>
          <w:b/>
          <w:sz w:val="32"/>
          <w:szCs w:val="32"/>
        </w:rPr>
        <w:t xml:space="preserve">Module Lead: </w:t>
      </w:r>
      <w:r w:rsidR="00475593" w:rsidRPr="00A97C3C">
        <w:rPr>
          <w:b/>
          <w:bCs/>
          <w:sz w:val="32"/>
          <w:szCs w:val="32"/>
        </w:rPr>
        <w:t>Dr Patrick Yeboah</w:t>
      </w:r>
    </w:p>
    <w:p w14:paraId="336A3FF1" w14:textId="4C39928C" w:rsidR="00A97C3C" w:rsidRPr="00A97C3C" w:rsidRDefault="00A97C3C" w:rsidP="00A97C3C">
      <w:pPr>
        <w:spacing w:before="120" w:after="120"/>
        <w:rPr>
          <w:b/>
          <w:bCs/>
          <w:sz w:val="32"/>
          <w:szCs w:val="32"/>
        </w:rPr>
      </w:pPr>
      <w:r>
        <w:rPr>
          <w:b/>
          <w:sz w:val="32"/>
          <w:szCs w:val="32"/>
        </w:rPr>
        <w:t xml:space="preserve">                </w:t>
      </w:r>
      <w:r w:rsidR="00FC7898" w:rsidRPr="00A97C3C">
        <w:rPr>
          <w:b/>
          <w:sz w:val="32"/>
          <w:szCs w:val="32"/>
        </w:rPr>
        <w:t>Assignment Title:</w:t>
      </w:r>
      <w:r w:rsidRPr="00A97C3C">
        <w:rPr>
          <w:b/>
          <w:bCs/>
          <w:sz w:val="32"/>
          <w:szCs w:val="32"/>
        </w:rPr>
        <w:t xml:space="preserve"> Component 1: Coursework: </w:t>
      </w:r>
    </w:p>
    <w:p w14:paraId="6613AFDD" w14:textId="4D5644DC" w:rsidR="00475593" w:rsidRPr="00A97C3C" w:rsidRDefault="00A97C3C" w:rsidP="00A97C3C">
      <w:pPr>
        <w:spacing w:before="120" w:after="120"/>
        <w:rPr>
          <w:b/>
          <w:sz w:val="32"/>
          <w:szCs w:val="32"/>
        </w:rPr>
      </w:pPr>
      <w:r>
        <w:rPr>
          <w:b/>
          <w:sz w:val="32"/>
          <w:szCs w:val="32"/>
        </w:rPr>
        <w:t xml:space="preserve">                                        </w:t>
      </w:r>
      <w:r w:rsidRPr="00A97C3C">
        <w:rPr>
          <w:b/>
          <w:sz w:val="32"/>
          <w:szCs w:val="32"/>
        </w:rPr>
        <w:t xml:space="preserve">Written Report  </w:t>
      </w:r>
      <w:r w:rsidR="0074371F">
        <w:rPr>
          <w:b/>
          <w:sz w:val="32"/>
          <w:szCs w:val="32"/>
        </w:rPr>
        <w:t>, LCBB</w:t>
      </w:r>
      <w:r w:rsidR="009C0544">
        <w:rPr>
          <w:b/>
          <w:sz w:val="32"/>
          <w:szCs w:val="32"/>
        </w:rPr>
        <w:t>6002</w:t>
      </w:r>
    </w:p>
    <w:p w14:paraId="5E78A4E7" w14:textId="03D81A4B" w:rsidR="00DB3086" w:rsidRPr="00DB3086" w:rsidRDefault="00DB3086" w:rsidP="007F1CF6">
      <w:pPr>
        <w:spacing w:after="0"/>
        <w:jc w:val="center"/>
        <w:rPr>
          <w:b/>
          <w:sz w:val="44"/>
        </w:rPr>
      </w:pPr>
      <w:r w:rsidRPr="00DB3086">
        <w:rPr>
          <w:b/>
          <w:sz w:val="44"/>
        </w:rPr>
        <w:t>Student Name:</w:t>
      </w:r>
      <w:r w:rsidR="000B621D">
        <w:rPr>
          <w:b/>
          <w:sz w:val="44"/>
        </w:rPr>
        <w:t xml:space="preserve"> Pindici Claudiu</w:t>
      </w:r>
    </w:p>
    <w:p w14:paraId="54147887" w14:textId="2DE4BF06" w:rsidR="00B15436" w:rsidRDefault="00DB3086" w:rsidP="007F1CF6">
      <w:pPr>
        <w:spacing w:after="0"/>
        <w:jc w:val="center"/>
        <w:rPr>
          <w:b/>
        </w:rPr>
      </w:pPr>
      <w:r w:rsidRPr="00DB3086">
        <w:rPr>
          <w:b/>
          <w:sz w:val="44"/>
        </w:rPr>
        <w:t xml:space="preserve">Student ID: </w:t>
      </w:r>
      <w:r w:rsidR="00FC1725">
        <w:rPr>
          <w:b/>
          <w:sz w:val="44"/>
        </w:rPr>
        <w:t>2246687</w:t>
      </w:r>
      <w:r w:rsidR="00B15436">
        <w:rPr>
          <w:b/>
        </w:rPr>
        <w:br w:type="page"/>
      </w:r>
    </w:p>
    <w:p w14:paraId="00000001" w14:textId="4A199FCE" w:rsidR="00835AAA" w:rsidRPr="00B15436" w:rsidRDefault="008720B9" w:rsidP="007F1CF6">
      <w:pPr>
        <w:spacing w:after="0"/>
        <w:jc w:val="center"/>
        <w:rPr>
          <w:b/>
        </w:rPr>
      </w:pPr>
      <w:r w:rsidRPr="00B15436">
        <w:rPr>
          <w:b/>
        </w:rPr>
        <w:lastRenderedPageBreak/>
        <w:t>Executive Summary</w:t>
      </w:r>
    </w:p>
    <w:p w14:paraId="21B49A11" w14:textId="1E3F0F66" w:rsidR="004A66D3" w:rsidRDefault="008720B9" w:rsidP="007F1CF6">
      <w:pPr>
        <w:spacing w:after="0"/>
      </w:pPr>
      <w:r>
        <w:t xml:space="preserve">This context has been evaluated in the operational activity of a business, which involves diluting its ownership with the stakeholders for the purpose of operating its function in an effective way. Also, the decision pattern that has been used by the family members after holding 30% of the business has been represented here precisely. The differentiation among the numerous operational markets in which the selected business has been chosen to conduct its task has been covered here effectively without any interruption. </w:t>
      </w:r>
      <w:r w:rsidR="004A66D3">
        <w:br w:type="page"/>
      </w:r>
    </w:p>
    <w:sdt>
      <w:sdtPr>
        <w:rPr>
          <w:rFonts w:ascii="Times New Roman" w:eastAsia="Times New Roman" w:hAnsi="Times New Roman" w:cs="Times New Roman"/>
          <w:color w:val="auto"/>
          <w:sz w:val="24"/>
          <w:szCs w:val="24"/>
          <w:lang w:val="en-GB" w:eastAsia="en-IN"/>
        </w:rPr>
        <w:id w:val="888081009"/>
        <w:docPartObj>
          <w:docPartGallery w:val="Table of Contents"/>
          <w:docPartUnique/>
        </w:docPartObj>
      </w:sdtPr>
      <w:sdtEndPr>
        <w:rPr>
          <w:b/>
          <w:bCs/>
          <w:noProof/>
        </w:rPr>
      </w:sdtEndPr>
      <w:sdtContent>
        <w:p w14:paraId="5337FB79" w14:textId="0143A0AE" w:rsidR="009E296B" w:rsidRDefault="009E296B" w:rsidP="007F1CF6">
          <w:pPr>
            <w:pStyle w:val="TOCHeading"/>
            <w:spacing w:before="0"/>
          </w:pPr>
          <w:r>
            <w:t>Table of Contents</w:t>
          </w:r>
        </w:p>
        <w:p w14:paraId="18EEE71B" w14:textId="4D57E2B0" w:rsidR="009E296B" w:rsidRDefault="009E296B" w:rsidP="007F1CF6">
          <w:pPr>
            <w:pStyle w:val="TOC1"/>
            <w:tabs>
              <w:tab w:val="right" w:leader="dot" w:pos="9019"/>
            </w:tabs>
            <w:spacing w:after="0"/>
            <w:rPr>
              <w:noProof/>
            </w:rPr>
          </w:pPr>
          <w:r>
            <w:fldChar w:fldCharType="begin"/>
          </w:r>
          <w:r>
            <w:instrText xml:space="preserve"> TOC \o "1-3" \h \z \u </w:instrText>
          </w:r>
          <w:r>
            <w:fldChar w:fldCharType="separate"/>
          </w:r>
          <w:hyperlink w:anchor="_Toc200563452" w:history="1">
            <w:r w:rsidRPr="00BA4453">
              <w:rPr>
                <w:rStyle w:val="Hyperlink"/>
                <w:noProof/>
              </w:rPr>
              <w:t>Introduction</w:t>
            </w:r>
            <w:r>
              <w:rPr>
                <w:noProof/>
                <w:webHidden/>
              </w:rPr>
              <w:tab/>
            </w:r>
            <w:r>
              <w:rPr>
                <w:noProof/>
                <w:webHidden/>
              </w:rPr>
              <w:fldChar w:fldCharType="begin"/>
            </w:r>
            <w:r>
              <w:rPr>
                <w:noProof/>
                <w:webHidden/>
              </w:rPr>
              <w:instrText xml:space="preserve"> PAGEREF _Toc200563452 \h </w:instrText>
            </w:r>
            <w:r>
              <w:rPr>
                <w:noProof/>
                <w:webHidden/>
              </w:rPr>
            </w:r>
            <w:r>
              <w:rPr>
                <w:noProof/>
                <w:webHidden/>
              </w:rPr>
              <w:fldChar w:fldCharType="separate"/>
            </w:r>
            <w:r>
              <w:rPr>
                <w:noProof/>
                <w:webHidden/>
              </w:rPr>
              <w:t>4</w:t>
            </w:r>
            <w:r>
              <w:rPr>
                <w:noProof/>
                <w:webHidden/>
              </w:rPr>
              <w:fldChar w:fldCharType="end"/>
            </w:r>
          </w:hyperlink>
        </w:p>
        <w:p w14:paraId="2024B560" w14:textId="0CAB4F04" w:rsidR="009E296B" w:rsidRDefault="009E296B" w:rsidP="007F1CF6">
          <w:pPr>
            <w:pStyle w:val="TOC1"/>
            <w:tabs>
              <w:tab w:val="right" w:leader="dot" w:pos="9019"/>
            </w:tabs>
            <w:spacing w:after="0"/>
            <w:rPr>
              <w:noProof/>
            </w:rPr>
          </w:pPr>
          <w:hyperlink w:anchor="_Toc200563453" w:history="1">
            <w:r w:rsidRPr="00BA4453">
              <w:rPr>
                <w:rStyle w:val="Hyperlink"/>
                <w:noProof/>
              </w:rPr>
              <w:t>Highlighting the aspects of corporate governance and agency theory as well as their requirements to public limited liability companies</w:t>
            </w:r>
            <w:r>
              <w:rPr>
                <w:noProof/>
                <w:webHidden/>
              </w:rPr>
              <w:tab/>
            </w:r>
            <w:r>
              <w:rPr>
                <w:noProof/>
                <w:webHidden/>
              </w:rPr>
              <w:fldChar w:fldCharType="begin"/>
            </w:r>
            <w:r>
              <w:rPr>
                <w:noProof/>
                <w:webHidden/>
              </w:rPr>
              <w:instrText xml:space="preserve"> PAGEREF _Toc200563453 \h </w:instrText>
            </w:r>
            <w:r>
              <w:rPr>
                <w:noProof/>
                <w:webHidden/>
              </w:rPr>
            </w:r>
            <w:r>
              <w:rPr>
                <w:noProof/>
                <w:webHidden/>
              </w:rPr>
              <w:fldChar w:fldCharType="separate"/>
            </w:r>
            <w:r>
              <w:rPr>
                <w:noProof/>
                <w:webHidden/>
              </w:rPr>
              <w:t>5</w:t>
            </w:r>
            <w:r>
              <w:rPr>
                <w:noProof/>
                <w:webHidden/>
              </w:rPr>
              <w:fldChar w:fldCharType="end"/>
            </w:r>
          </w:hyperlink>
        </w:p>
        <w:p w14:paraId="3B4EF10D" w14:textId="1E1E4B4A" w:rsidR="009E296B" w:rsidRDefault="009E296B" w:rsidP="007F1CF6">
          <w:pPr>
            <w:pStyle w:val="TOC1"/>
            <w:tabs>
              <w:tab w:val="right" w:leader="dot" w:pos="9019"/>
            </w:tabs>
            <w:spacing w:after="0"/>
            <w:rPr>
              <w:noProof/>
            </w:rPr>
          </w:pPr>
          <w:hyperlink w:anchor="_Toc200563454" w:history="1">
            <w:r w:rsidRPr="00BA4453">
              <w:rPr>
                <w:rStyle w:val="Hyperlink"/>
                <w:noProof/>
              </w:rPr>
              <w:t>Indicated the way the current board retain control of the company with 30% shareholding</w:t>
            </w:r>
            <w:r>
              <w:rPr>
                <w:noProof/>
                <w:webHidden/>
              </w:rPr>
              <w:tab/>
            </w:r>
            <w:r>
              <w:rPr>
                <w:noProof/>
                <w:webHidden/>
              </w:rPr>
              <w:fldChar w:fldCharType="begin"/>
            </w:r>
            <w:r>
              <w:rPr>
                <w:noProof/>
                <w:webHidden/>
              </w:rPr>
              <w:instrText xml:space="preserve"> PAGEREF _Toc200563454 \h </w:instrText>
            </w:r>
            <w:r>
              <w:rPr>
                <w:noProof/>
                <w:webHidden/>
              </w:rPr>
            </w:r>
            <w:r>
              <w:rPr>
                <w:noProof/>
                <w:webHidden/>
              </w:rPr>
              <w:fldChar w:fldCharType="separate"/>
            </w:r>
            <w:r>
              <w:rPr>
                <w:noProof/>
                <w:webHidden/>
              </w:rPr>
              <w:t>7</w:t>
            </w:r>
            <w:r>
              <w:rPr>
                <w:noProof/>
                <w:webHidden/>
              </w:rPr>
              <w:fldChar w:fldCharType="end"/>
            </w:r>
          </w:hyperlink>
        </w:p>
        <w:p w14:paraId="5E825D02" w14:textId="0FD1143F" w:rsidR="009E296B" w:rsidRDefault="009E296B" w:rsidP="007F1CF6">
          <w:pPr>
            <w:pStyle w:val="TOC1"/>
            <w:tabs>
              <w:tab w:val="right" w:leader="dot" w:pos="9019"/>
            </w:tabs>
            <w:spacing w:after="0"/>
            <w:rPr>
              <w:noProof/>
            </w:rPr>
          </w:pPr>
          <w:hyperlink w:anchor="_Toc200563455" w:history="1">
            <w:r w:rsidRPr="00BA4453">
              <w:rPr>
                <w:rStyle w:val="Hyperlink"/>
                <w:noProof/>
              </w:rPr>
              <w:t>Indicating the remuneration of directors be decided, and what other relevant structures ensure fair compensation</w:t>
            </w:r>
            <w:r>
              <w:rPr>
                <w:noProof/>
                <w:webHidden/>
              </w:rPr>
              <w:tab/>
            </w:r>
            <w:r>
              <w:rPr>
                <w:noProof/>
                <w:webHidden/>
              </w:rPr>
              <w:fldChar w:fldCharType="begin"/>
            </w:r>
            <w:r>
              <w:rPr>
                <w:noProof/>
                <w:webHidden/>
              </w:rPr>
              <w:instrText xml:space="preserve"> PAGEREF _Toc200563455 \h </w:instrText>
            </w:r>
            <w:r>
              <w:rPr>
                <w:noProof/>
                <w:webHidden/>
              </w:rPr>
            </w:r>
            <w:r>
              <w:rPr>
                <w:noProof/>
                <w:webHidden/>
              </w:rPr>
              <w:fldChar w:fldCharType="separate"/>
            </w:r>
            <w:r>
              <w:rPr>
                <w:noProof/>
                <w:webHidden/>
              </w:rPr>
              <w:t>9</w:t>
            </w:r>
            <w:r>
              <w:rPr>
                <w:noProof/>
                <w:webHidden/>
              </w:rPr>
              <w:fldChar w:fldCharType="end"/>
            </w:r>
          </w:hyperlink>
        </w:p>
        <w:p w14:paraId="4A36F509" w14:textId="747CC0C9" w:rsidR="009E296B" w:rsidRDefault="009E296B" w:rsidP="007F1CF6">
          <w:pPr>
            <w:pStyle w:val="TOC1"/>
            <w:tabs>
              <w:tab w:val="right" w:leader="dot" w:pos="9019"/>
            </w:tabs>
            <w:spacing w:after="0"/>
            <w:rPr>
              <w:noProof/>
            </w:rPr>
          </w:pPr>
          <w:hyperlink w:anchor="_Toc200563456" w:history="1">
            <w:r w:rsidRPr="00BA4453">
              <w:rPr>
                <w:rStyle w:val="Hyperlink"/>
                <w:noProof/>
              </w:rPr>
              <w:t>Institutional differences between listing in Shanghai and the Netherlands</w:t>
            </w:r>
            <w:r>
              <w:rPr>
                <w:noProof/>
                <w:webHidden/>
              </w:rPr>
              <w:tab/>
            </w:r>
            <w:r>
              <w:rPr>
                <w:noProof/>
                <w:webHidden/>
              </w:rPr>
              <w:fldChar w:fldCharType="begin"/>
            </w:r>
            <w:r>
              <w:rPr>
                <w:noProof/>
                <w:webHidden/>
              </w:rPr>
              <w:instrText xml:space="preserve"> PAGEREF _Toc200563456 \h </w:instrText>
            </w:r>
            <w:r>
              <w:rPr>
                <w:noProof/>
                <w:webHidden/>
              </w:rPr>
            </w:r>
            <w:r>
              <w:rPr>
                <w:noProof/>
                <w:webHidden/>
              </w:rPr>
              <w:fldChar w:fldCharType="separate"/>
            </w:r>
            <w:r>
              <w:rPr>
                <w:noProof/>
                <w:webHidden/>
              </w:rPr>
              <w:t>11</w:t>
            </w:r>
            <w:r>
              <w:rPr>
                <w:noProof/>
                <w:webHidden/>
              </w:rPr>
              <w:fldChar w:fldCharType="end"/>
            </w:r>
          </w:hyperlink>
        </w:p>
        <w:p w14:paraId="396335E8" w14:textId="5A538D94" w:rsidR="009E296B" w:rsidRDefault="009E296B" w:rsidP="007F1CF6">
          <w:pPr>
            <w:pStyle w:val="TOC1"/>
            <w:tabs>
              <w:tab w:val="right" w:leader="dot" w:pos="9019"/>
            </w:tabs>
            <w:spacing w:after="0"/>
            <w:rPr>
              <w:noProof/>
            </w:rPr>
          </w:pPr>
          <w:hyperlink w:anchor="_Toc200563457" w:history="1">
            <w:r w:rsidRPr="00BA4453">
              <w:rPr>
                <w:rStyle w:val="Hyperlink"/>
                <w:noProof/>
              </w:rPr>
              <w:t>Conclusion</w:t>
            </w:r>
            <w:r>
              <w:rPr>
                <w:noProof/>
                <w:webHidden/>
              </w:rPr>
              <w:tab/>
            </w:r>
            <w:r>
              <w:rPr>
                <w:noProof/>
                <w:webHidden/>
              </w:rPr>
              <w:fldChar w:fldCharType="begin"/>
            </w:r>
            <w:r>
              <w:rPr>
                <w:noProof/>
                <w:webHidden/>
              </w:rPr>
              <w:instrText xml:space="preserve"> PAGEREF _Toc200563457 \h </w:instrText>
            </w:r>
            <w:r>
              <w:rPr>
                <w:noProof/>
                <w:webHidden/>
              </w:rPr>
            </w:r>
            <w:r>
              <w:rPr>
                <w:noProof/>
                <w:webHidden/>
              </w:rPr>
              <w:fldChar w:fldCharType="separate"/>
            </w:r>
            <w:r>
              <w:rPr>
                <w:noProof/>
                <w:webHidden/>
              </w:rPr>
              <w:t>13</w:t>
            </w:r>
            <w:r>
              <w:rPr>
                <w:noProof/>
                <w:webHidden/>
              </w:rPr>
              <w:fldChar w:fldCharType="end"/>
            </w:r>
          </w:hyperlink>
        </w:p>
        <w:p w14:paraId="2E17E4BE" w14:textId="34AF3AB9" w:rsidR="009E296B" w:rsidRDefault="009E296B" w:rsidP="007F1CF6">
          <w:pPr>
            <w:pStyle w:val="TOC1"/>
            <w:tabs>
              <w:tab w:val="right" w:leader="dot" w:pos="9019"/>
            </w:tabs>
            <w:spacing w:after="0"/>
            <w:rPr>
              <w:noProof/>
            </w:rPr>
          </w:pPr>
          <w:hyperlink w:anchor="_Toc200563458" w:history="1">
            <w:r w:rsidRPr="00BA4453">
              <w:rPr>
                <w:rStyle w:val="Hyperlink"/>
                <w:noProof/>
              </w:rPr>
              <w:t>References</w:t>
            </w:r>
            <w:r>
              <w:rPr>
                <w:noProof/>
                <w:webHidden/>
              </w:rPr>
              <w:tab/>
            </w:r>
            <w:r>
              <w:rPr>
                <w:noProof/>
                <w:webHidden/>
              </w:rPr>
              <w:fldChar w:fldCharType="begin"/>
            </w:r>
            <w:r>
              <w:rPr>
                <w:noProof/>
                <w:webHidden/>
              </w:rPr>
              <w:instrText xml:space="preserve"> PAGEREF _Toc200563458 \h </w:instrText>
            </w:r>
            <w:r>
              <w:rPr>
                <w:noProof/>
                <w:webHidden/>
              </w:rPr>
            </w:r>
            <w:r>
              <w:rPr>
                <w:noProof/>
                <w:webHidden/>
              </w:rPr>
              <w:fldChar w:fldCharType="separate"/>
            </w:r>
            <w:r>
              <w:rPr>
                <w:noProof/>
                <w:webHidden/>
              </w:rPr>
              <w:t>14</w:t>
            </w:r>
            <w:r>
              <w:rPr>
                <w:noProof/>
                <w:webHidden/>
              </w:rPr>
              <w:fldChar w:fldCharType="end"/>
            </w:r>
          </w:hyperlink>
        </w:p>
        <w:p w14:paraId="25B72482" w14:textId="416CAD5D" w:rsidR="009E296B" w:rsidRDefault="009E296B" w:rsidP="007F1CF6">
          <w:pPr>
            <w:spacing w:after="0"/>
          </w:pPr>
          <w:r>
            <w:rPr>
              <w:b/>
              <w:bCs/>
              <w:noProof/>
            </w:rPr>
            <w:fldChar w:fldCharType="end"/>
          </w:r>
        </w:p>
      </w:sdtContent>
    </w:sdt>
    <w:p w14:paraId="00000002" w14:textId="7C2139D5" w:rsidR="00835AAA" w:rsidRDefault="008720B9" w:rsidP="007F1CF6">
      <w:pPr>
        <w:spacing w:after="0"/>
      </w:pPr>
      <w:r>
        <w:br w:type="page"/>
      </w:r>
    </w:p>
    <w:p w14:paraId="00000003" w14:textId="77777777" w:rsidR="00835AAA" w:rsidRDefault="008720B9" w:rsidP="007F1CF6">
      <w:pPr>
        <w:pStyle w:val="Heading1"/>
        <w:spacing w:before="0" w:after="0"/>
      </w:pPr>
      <w:bookmarkStart w:id="0" w:name="_Toc200563452"/>
      <w:r>
        <w:lastRenderedPageBreak/>
        <w:t>Introduction</w:t>
      </w:r>
      <w:bookmarkEnd w:id="0"/>
      <w:r>
        <w:t xml:space="preserve"> </w:t>
      </w:r>
    </w:p>
    <w:p w14:paraId="00000004" w14:textId="4F9D2EE0" w:rsidR="00835AAA" w:rsidRDefault="008720B9" w:rsidP="007F1CF6">
      <w:pPr>
        <w:spacing w:after="0"/>
      </w:pPr>
      <w:r>
        <w:t xml:space="preserve">This report will highlight the concept of corporate governance and agency theory that will take an effective part in operating the activity in such a way to avoid any kind of interest conflict. The process of retaining control by the current board of the business whilst holding 30% of the company’s shareholding will be evaluated in this part in an effective way. Along with that, the relevant structures that will be found in the market to ensure fair compensation for directors will be showcased in the following part in a precise manner. The differentiation between Shanghai and the Netherlands market will be evaluated in this part, which the shareholder </w:t>
      </w:r>
      <w:r w:rsidR="00B410E9">
        <w:t>needs</w:t>
      </w:r>
      <w:r>
        <w:t xml:space="preserve"> to consider before </w:t>
      </w:r>
      <w:r w:rsidR="00550EA8">
        <w:t>making</w:t>
      </w:r>
      <w:r>
        <w:t xml:space="preserve"> the decision. </w:t>
      </w:r>
    </w:p>
    <w:p w14:paraId="00000005" w14:textId="77777777" w:rsidR="00835AAA" w:rsidRDefault="008720B9" w:rsidP="007F1CF6">
      <w:pPr>
        <w:spacing w:after="0"/>
      </w:pPr>
      <w:r>
        <w:br w:type="page"/>
      </w:r>
    </w:p>
    <w:p w14:paraId="00000006" w14:textId="5C1C3691" w:rsidR="00835AAA" w:rsidRDefault="008720B9" w:rsidP="007F1CF6">
      <w:pPr>
        <w:pStyle w:val="Heading1"/>
        <w:spacing w:before="0" w:after="0"/>
      </w:pPr>
      <w:bookmarkStart w:id="1" w:name="_Toc200563453"/>
      <w:r>
        <w:lastRenderedPageBreak/>
        <w:t>Highlighting the aspects of corporate governance and agency theory</w:t>
      </w:r>
      <w:r w:rsidR="00550EA8">
        <w:t>,</w:t>
      </w:r>
      <w:r>
        <w:t xml:space="preserve"> as well as their requirements to public limited liability companies</w:t>
      </w:r>
      <w:bookmarkEnd w:id="1"/>
    </w:p>
    <w:p w14:paraId="00000007" w14:textId="77777777" w:rsidR="00835AAA" w:rsidRPr="00B410E9" w:rsidRDefault="008720B9" w:rsidP="007F1CF6">
      <w:pPr>
        <w:spacing w:after="0"/>
        <w:rPr>
          <w:b/>
        </w:rPr>
      </w:pPr>
      <w:r w:rsidRPr="00B410E9">
        <w:rPr>
          <w:b/>
        </w:rPr>
        <w:t>Corporate governance</w:t>
      </w:r>
    </w:p>
    <w:p w14:paraId="00000008" w14:textId="00458FDE" w:rsidR="00835AAA" w:rsidRDefault="008720B9" w:rsidP="007F1CF6">
      <w:pPr>
        <w:spacing w:after="0"/>
      </w:pPr>
      <w:r>
        <w:t>This is highlighted in the framework of regulation and rules from which a business is effectively controlled and directed over an accounting time frame. It ensures that the interests of management as well as shareholders are effectively managed, which leads to a situation of reducing conflict between them. For publicly listed companies, a good format of corporate governance is helpful to meet legal and ethical requirements, which is effective for attracting investors</w:t>
      </w:r>
      <w:r w:rsidR="00655BB2">
        <w:t xml:space="preserve"> (Roberts, 2025)</w:t>
      </w:r>
      <w:r>
        <w:t>. Although the UK’s Corporate Governance Code is not important for the AIM business, it offers an effective point for applying control over business transactions. Adopting its principles voluntarily actually has the power to increase the level of credibility among the viewpoint of institutional investors.</w:t>
      </w:r>
    </w:p>
    <w:p w14:paraId="00000009" w14:textId="77777777" w:rsidR="00835AAA" w:rsidRPr="00B410E9" w:rsidRDefault="008720B9" w:rsidP="007F1CF6">
      <w:pPr>
        <w:spacing w:after="0"/>
        <w:rPr>
          <w:b/>
        </w:rPr>
      </w:pPr>
      <w:r w:rsidRPr="00B410E9">
        <w:rPr>
          <w:b/>
        </w:rPr>
        <w:t xml:space="preserve">Key components of effective corporate governance </w:t>
      </w:r>
    </w:p>
    <w:p w14:paraId="0000000A" w14:textId="2D434ED9" w:rsidR="00835AAA" w:rsidRDefault="008720B9" w:rsidP="007F1CF6">
      <w:pPr>
        <w:spacing w:after="0"/>
      </w:pPr>
      <w:r w:rsidRPr="00FB0925">
        <w:rPr>
          <w:b/>
        </w:rPr>
        <w:t>Transparency:</w:t>
      </w:r>
      <w:r>
        <w:t xml:space="preserve"> </w:t>
      </w:r>
      <w:r w:rsidR="00FB0925">
        <w:t>An</w:t>
      </w:r>
      <w:r w:rsidR="00197E9A">
        <w:t xml:space="preserve"> </w:t>
      </w:r>
      <w:r>
        <w:t xml:space="preserve">effective and timely representation of the information of the non-monetary and financial data helps the stakeholders to know the business performance virtually. </w:t>
      </w:r>
    </w:p>
    <w:p w14:paraId="0000000B" w14:textId="77777777" w:rsidR="00835AAA" w:rsidRDefault="008720B9" w:rsidP="007F1CF6">
      <w:pPr>
        <w:spacing w:after="0"/>
      </w:pPr>
      <w:r w:rsidRPr="00FB0925">
        <w:rPr>
          <w:b/>
        </w:rPr>
        <w:t>Broad composition:</w:t>
      </w:r>
      <w:r>
        <w:t xml:space="preserve"> A balanced board with a mix of non-executive and executive directors can be effective for the business to know the operational objectives effectively.  </w:t>
      </w:r>
    </w:p>
    <w:p w14:paraId="0000000C" w14:textId="5600C616" w:rsidR="00835AAA" w:rsidRDefault="008720B9" w:rsidP="007F1CF6">
      <w:pPr>
        <w:spacing w:after="0"/>
      </w:pPr>
      <w:r w:rsidRPr="00FB0925">
        <w:rPr>
          <w:b/>
        </w:rPr>
        <w:t>Accountability:</w:t>
      </w:r>
      <w:r>
        <w:t xml:space="preserve"> Clear roles and responsibilities among the board members can increase the level of authenticity among the users, which makes them more accountable regarding the allocated task</w:t>
      </w:r>
      <w:r w:rsidR="00655BB2">
        <w:t xml:space="preserve"> (Shiyyab, 2024)</w:t>
      </w:r>
      <w:r>
        <w:t xml:space="preserve">. </w:t>
      </w:r>
    </w:p>
    <w:p w14:paraId="0000000D" w14:textId="416647CB" w:rsidR="00835AAA" w:rsidRDefault="008720B9" w:rsidP="007F1CF6">
      <w:pPr>
        <w:spacing w:after="0"/>
      </w:pPr>
      <w:r w:rsidRPr="00FB0925">
        <w:rPr>
          <w:b/>
        </w:rPr>
        <w:t>Risk management and internal controls:</w:t>
      </w:r>
      <w:r>
        <w:t xml:space="preserve"> The application of corporate governance can be helpful for the business to make identification of associated risks effectively. Then</w:t>
      </w:r>
      <w:r w:rsidR="00550EA8">
        <w:t>,</w:t>
      </w:r>
      <w:r>
        <w:t xml:space="preserve"> apply an effective control system to manage the operational risk effectively without any kind of interruption. </w:t>
      </w:r>
    </w:p>
    <w:p w14:paraId="3CC11E9F" w14:textId="77777777" w:rsidR="00303F8A" w:rsidRDefault="00303F8A" w:rsidP="007F1CF6">
      <w:pPr>
        <w:spacing w:after="0"/>
      </w:pPr>
    </w:p>
    <w:p w14:paraId="0000000E" w14:textId="77777777" w:rsidR="00835AAA" w:rsidRPr="00FB0925" w:rsidRDefault="008720B9" w:rsidP="007F1CF6">
      <w:pPr>
        <w:spacing w:after="0"/>
        <w:rPr>
          <w:b/>
        </w:rPr>
      </w:pPr>
      <w:r w:rsidRPr="00FB0925">
        <w:rPr>
          <w:b/>
        </w:rPr>
        <w:lastRenderedPageBreak/>
        <w:t>Agency theory</w:t>
      </w:r>
    </w:p>
    <w:p w14:paraId="0000000F" w14:textId="000016D0" w:rsidR="00835AAA" w:rsidRDefault="008720B9" w:rsidP="007F1CF6">
      <w:pPr>
        <w:spacing w:after="0"/>
      </w:pPr>
      <w:r>
        <w:t>This is considered a variation of corporate governance structure relationships by indicating the conflict of interest that happens between shareholders and directors. From the viewpoint of a private company, this conflict is minimal as the proprietors are also the managers, as they are siblings. However, once the business lists itself and then external shareholders hold 70% of the business, this indicates a basis for conflict to arise</w:t>
      </w:r>
      <w:r w:rsidR="00655BB2">
        <w:t xml:space="preserve"> (Shiyyab, 2024)</w:t>
      </w:r>
      <w:r>
        <w:t xml:space="preserve">. Directors are trying to keep focus on the shareholder value rather than considering family interest, which leads </w:t>
      </w:r>
      <w:r w:rsidR="00655BB2">
        <w:t xml:space="preserve">to </w:t>
      </w:r>
      <w:r>
        <w:t xml:space="preserve">a </w:t>
      </w:r>
      <w:r w:rsidR="00FB0925">
        <w:t>conflict</w:t>
      </w:r>
      <w:r>
        <w:t xml:space="preserve"> over time. To overcome this situation, the governance structures must ensure several aspects, such as a performance-linked remuneration system, regular reporting and transparency, which help the entity to operate the task more effectively. </w:t>
      </w:r>
    </w:p>
    <w:p w14:paraId="00000010" w14:textId="528F293C" w:rsidR="00835AAA" w:rsidRPr="00FB0925" w:rsidRDefault="008720B9" w:rsidP="007F1CF6">
      <w:pPr>
        <w:spacing w:after="0"/>
        <w:rPr>
          <w:b/>
        </w:rPr>
      </w:pPr>
      <w:r w:rsidRPr="00FB0925">
        <w:rPr>
          <w:b/>
        </w:rPr>
        <w:t xml:space="preserve">Evaluating the significance of corporate governance and </w:t>
      </w:r>
      <w:r w:rsidR="00FB0925" w:rsidRPr="00FB0925">
        <w:rPr>
          <w:b/>
        </w:rPr>
        <w:t>agency theory</w:t>
      </w:r>
      <w:r w:rsidRPr="00FB0925">
        <w:rPr>
          <w:b/>
        </w:rPr>
        <w:t xml:space="preserve"> to public limited liability companies</w:t>
      </w:r>
    </w:p>
    <w:p w14:paraId="00000011" w14:textId="5A978456" w:rsidR="00835AAA" w:rsidRDefault="008720B9" w:rsidP="007F1CF6">
      <w:pPr>
        <w:spacing w:after="0"/>
      </w:pPr>
      <w:r>
        <w:t>Applying corporate governance and agency theory will not only meet the regulatory expectations of the AIM market, nevertheless make a professional business culture in the workplace. By embracing these principles effectively, the business will be able to attract more investors as well as increase market reputation, which offers instruction in long-term growth and avoids any kind of conflict</w:t>
      </w:r>
      <w:r w:rsidR="00655BB2">
        <w:t xml:space="preserve"> (Borshch, 2024)</w:t>
      </w:r>
      <w:r>
        <w:t xml:space="preserve">. </w:t>
      </w:r>
      <w:r>
        <w:br w:type="page"/>
      </w:r>
    </w:p>
    <w:p w14:paraId="00000012" w14:textId="77777777" w:rsidR="00835AAA" w:rsidRDefault="008720B9" w:rsidP="007F1CF6">
      <w:pPr>
        <w:pStyle w:val="Heading1"/>
        <w:spacing w:before="0" w:after="0"/>
      </w:pPr>
      <w:bookmarkStart w:id="2" w:name="_Toc200563454"/>
      <w:r>
        <w:lastRenderedPageBreak/>
        <w:t>Indicated the way the current board retain control of the company with 30% shareholding</w:t>
      </w:r>
      <w:bookmarkEnd w:id="2"/>
    </w:p>
    <w:p w14:paraId="00000013" w14:textId="72316075" w:rsidR="00835AAA" w:rsidRDefault="008720B9" w:rsidP="007F1CF6">
      <w:pPr>
        <w:spacing w:after="0"/>
      </w:pPr>
      <w:r>
        <w:t xml:space="preserve">There are several legal as well as strategic systems that can be helpful for the stakeholders to control the </w:t>
      </w:r>
      <w:r w:rsidR="00625352">
        <w:t>business with</w:t>
      </w:r>
      <w:r>
        <w:t xml:space="preserve"> only 30% of equity</w:t>
      </w:r>
      <w:r w:rsidR="00625352">
        <w:t>.</w:t>
      </w:r>
    </w:p>
    <w:p w14:paraId="00000014" w14:textId="77777777" w:rsidR="00835AAA" w:rsidRPr="00625352" w:rsidRDefault="008720B9" w:rsidP="007F1CF6">
      <w:pPr>
        <w:spacing w:after="0"/>
        <w:rPr>
          <w:b/>
        </w:rPr>
      </w:pPr>
      <w:r w:rsidRPr="00625352">
        <w:rPr>
          <w:b/>
        </w:rPr>
        <w:t>Board composition and executive roles</w:t>
      </w:r>
    </w:p>
    <w:p w14:paraId="00000015" w14:textId="48960653" w:rsidR="00835AAA" w:rsidRDefault="008720B9" w:rsidP="007F1CF6">
      <w:pPr>
        <w:spacing w:after="0"/>
      </w:pPr>
      <w:r>
        <w:t>The board of directors controls the business to make effective strategic decisions that increase the overall level of operational performance over an accounting period</w:t>
      </w:r>
      <w:sdt>
        <w:sdtPr>
          <w:id w:val="1451514714"/>
          <w:citation/>
        </w:sdtPr>
        <w:sdtEndPr/>
        <w:sdtContent>
          <w:r w:rsidR="002F4965">
            <w:fldChar w:fldCharType="begin"/>
          </w:r>
          <w:r w:rsidR="00175D7C">
            <w:rPr>
              <w:lang w:val="en-US"/>
            </w:rPr>
            <w:instrText xml:space="preserve">CITATION acc2570 \l 1033 </w:instrText>
          </w:r>
          <w:r w:rsidR="002F4965">
            <w:fldChar w:fldCharType="separate"/>
          </w:r>
          <w:r w:rsidR="00175D7C">
            <w:rPr>
              <w:noProof/>
              <w:lang w:val="en-US"/>
            </w:rPr>
            <w:t xml:space="preserve"> </w:t>
          </w:r>
          <w:r w:rsidR="00175D7C" w:rsidRPr="00175D7C">
            <w:rPr>
              <w:noProof/>
              <w:lang w:val="en-US"/>
            </w:rPr>
            <w:t>(Accaglobal, 2025)</w:t>
          </w:r>
          <w:r w:rsidR="002F4965">
            <w:fldChar w:fldCharType="end"/>
          </w:r>
        </w:sdtContent>
      </w:sdt>
      <w:r>
        <w:t xml:space="preserve">. If the family retains key executive roles such as CEO, CFO, then they uphold a relevant influence over the company’s decision-making mechanism. Along with that, the board remain composed of family members, which is useful to keep a low number of independent non-executive directors to meet the governance standards. </w:t>
      </w:r>
    </w:p>
    <w:p w14:paraId="00000016" w14:textId="77777777" w:rsidR="00835AAA" w:rsidRPr="00625352" w:rsidRDefault="008720B9" w:rsidP="007F1CF6">
      <w:pPr>
        <w:spacing w:after="0"/>
        <w:rPr>
          <w:b/>
        </w:rPr>
      </w:pPr>
      <w:r w:rsidRPr="00625352">
        <w:rPr>
          <w:b/>
        </w:rPr>
        <w:t xml:space="preserve">Shareholder agreements </w:t>
      </w:r>
    </w:p>
    <w:p w14:paraId="00000017" w14:textId="7ED96B08" w:rsidR="00835AAA" w:rsidRDefault="008720B9" w:rsidP="007F1CF6">
      <w:pPr>
        <w:spacing w:after="0"/>
      </w:pPr>
      <w:r>
        <w:t xml:space="preserve">During the IPO process, the respective family members can negotiate shareholder agreements that </w:t>
      </w:r>
      <w:r w:rsidR="00EE5981">
        <w:t>have</w:t>
      </w:r>
      <w:r>
        <w:t xml:space="preserve"> the power to maintain several rights for themselves. They can apply Veto rights over critical decisions as well as reserved matters, which need the approval of a 30% shareholding that makes interruption among unwanted actions</w:t>
      </w:r>
      <w:r w:rsidR="00A0093A">
        <w:t xml:space="preserve"> (Al-Faryan, 2024)</w:t>
      </w:r>
      <w:r>
        <w:t xml:space="preserve">. This type of agreement some time is sometimes limited by AIM regulations; nevertheless, the business needs to keep focus on consumer protection. </w:t>
      </w:r>
    </w:p>
    <w:p w14:paraId="00000018" w14:textId="77777777" w:rsidR="00835AAA" w:rsidRPr="00625352" w:rsidRDefault="008720B9" w:rsidP="007F1CF6">
      <w:pPr>
        <w:spacing w:after="0"/>
        <w:rPr>
          <w:b/>
        </w:rPr>
      </w:pPr>
      <w:r w:rsidRPr="00625352">
        <w:rPr>
          <w:b/>
        </w:rPr>
        <w:t>Cultivating a stable shareholder base</w:t>
      </w:r>
    </w:p>
    <w:p w14:paraId="00000019" w14:textId="3A6C8BC9" w:rsidR="00835AAA" w:rsidRDefault="008720B9" w:rsidP="007F1CF6">
      <w:pPr>
        <w:spacing w:after="0"/>
      </w:pPr>
      <w:r>
        <w:t>The family can strategically represent their shares with the allied investors who have a long-term vision regarding the operations of the entity. This could include the kind of institutional investors who have an interest in family governance to support the operational direction</w:t>
      </w:r>
      <w:sdt>
        <w:sdtPr>
          <w:id w:val="-886259994"/>
          <w:citation/>
        </w:sdtPr>
        <w:sdtEndPr/>
        <w:sdtContent>
          <w:r w:rsidR="00EE5981">
            <w:fldChar w:fldCharType="begin"/>
          </w:r>
          <w:r w:rsidR="00EE5981">
            <w:rPr>
              <w:lang w:val="en-US"/>
            </w:rPr>
            <w:instrText xml:space="preserve"> CITATION Ann25 \l 1033 </w:instrText>
          </w:r>
          <w:r w:rsidR="00EE5981">
            <w:fldChar w:fldCharType="separate"/>
          </w:r>
          <w:r w:rsidR="00EE5981">
            <w:rPr>
              <w:noProof/>
              <w:lang w:val="en-US"/>
            </w:rPr>
            <w:t xml:space="preserve"> </w:t>
          </w:r>
          <w:r w:rsidR="00EE5981" w:rsidRPr="00EE5981">
            <w:rPr>
              <w:noProof/>
              <w:lang w:val="en-US"/>
            </w:rPr>
            <w:t>(Anna Talerico, 2025)</w:t>
          </w:r>
          <w:r w:rsidR="00EE5981">
            <w:fldChar w:fldCharType="end"/>
          </w:r>
        </w:sdtContent>
      </w:sdt>
      <w:r>
        <w:t xml:space="preserve">. </w:t>
      </w:r>
    </w:p>
    <w:p w14:paraId="101F6150" w14:textId="77777777" w:rsidR="00303F8A" w:rsidRDefault="00303F8A" w:rsidP="007F1CF6">
      <w:pPr>
        <w:spacing w:after="0"/>
      </w:pPr>
    </w:p>
    <w:p w14:paraId="507C4D2A" w14:textId="77777777" w:rsidR="00303F8A" w:rsidRDefault="00303F8A" w:rsidP="007F1CF6">
      <w:pPr>
        <w:spacing w:after="0"/>
      </w:pPr>
    </w:p>
    <w:p w14:paraId="0000001A" w14:textId="3063C550" w:rsidR="00835AAA" w:rsidRPr="00625352" w:rsidRDefault="008720B9" w:rsidP="007F1CF6">
      <w:pPr>
        <w:spacing w:after="0"/>
        <w:rPr>
          <w:b/>
        </w:rPr>
      </w:pPr>
      <w:r w:rsidRPr="00625352">
        <w:rPr>
          <w:b/>
        </w:rPr>
        <w:lastRenderedPageBreak/>
        <w:t xml:space="preserve">Strong </w:t>
      </w:r>
      <w:r w:rsidR="007F0220" w:rsidRPr="00625352">
        <w:rPr>
          <w:b/>
        </w:rPr>
        <w:t>i</w:t>
      </w:r>
      <w:r w:rsidRPr="00625352">
        <w:rPr>
          <w:b/>
        </w:rPr>
        <w:t xml:space="preserve">nvestor </w:t>
      </w:r>
      <w:r w:rsidR="00DF6A97" w:rsidRPr="00625352">
        <w:rPr>
          <w:b/>
        </w:rPr>
        <w:t>c</w:t>
      </w:r>
      <w:r w:rsidRPr="00625352">
        <w:rPr>
          <w:b/>
        </w:rPr>
        <w:t>ommunication</w:t>
      </w:r>
    </w:p>
    <w:p w14:paraId="0000001B" w14:textId="41C21049" w:rsidR="00835AAA" w:rsidRDefault="008720B9" w:rsidP="007F1CF6">
      <w:pPr>
        <w:spacing w:after="0"/>
      </w:pPr>
      <w:r>
        <w:t>Regular and transparent communication among the shareholders builds trust, which can be useful for making a supportive behaviour environment from the viewpoint of external stakeholders. This makes it more effective that the board’s recommendations will be accepted without impacting the voting control of the 30% family members</w:t>
      </w:r>
      <w:r w:rsidR="00655BB2">
        <w:t xml:space="preserve"> (Akpobome, 2024)</w:t>
      </w:r>
      <w:r>
        <w:t xml:space="preserve">. </w:t>
      </w:r>
    </w:p>
    <w:p w14:paraId="0000001C" w14:textId="77777777" w:rsidR="00835AAA" w:rsidRDefault="008720B9" w:rsidP="007F1CF6">
      <w:pPr>
        <w:spacing w:after="0"/>
      </w:pPr>
      <w:r>
        <w:br w:type="page"/>
      </w:r>
    </w:p>
    <w:p w14:paraId="0000001D" w14:textId="77777777" w:rsidR="00835AAA" w:rsidRDefault="008720B9" w:rsidP="007F1CF6">
      <w:pPr>
        <w:pStyle w:val="Heading1"/>
        <w:spacing w:before="0" w:after="0"/>
      </w:pPr>
      <w:bookmarkStart w:id="3" w:name="_Toc200563455"/>
      <w:r>
        <w:lastRenderedPageBreak/>
        <w:t>Indicating the remuneration of directors be decided, and what other relevant structures ensure fair compensation</w:t>
      </w:r>
      <w:bookmarkEnd w:id="3"/>
    </w:p>
    <w:p w14:paraId="0000001E" w14:textId="39E0064E" w:rsidR="00835AAA" w:rsidRDefault="008720B9" w:rsidP="007F1CF6">
      <w:pPr>
        <w:spacing w:after="0"/>
      </w:pPr>
      <w:r>
        <w:t>There are several processes for director remuneration for a publicly listed company required to be performance-based, fair and aligned with the stakeholder objectives</w:t>
      </w:r>
      <w:r w:rsidR="00F92FD2">
        <w:t xml:space="preserve"> (Al-Faryan, 2024)</w:t>
      </w:r>
      <w:r>
        <w:t xml:space="preserve">. Unlike in a private family-run company, where the payment can be determined informally, a public business needs to use a formal system to avoid any kind of conflicts. </w:t>
      </w:r>
    </w:p>
    <w:p w14:paraId="0000001F" w14:textId="77777777" w:rsidR="00835AAA" w:rsidRPr="00D544C0" w:rsidRDefault="008720B9" w:rsidP="007F1CF6">
      <w:pPr>
        <w:spacing w:after="0"/>
        <w:rPr>
          <w:b/>
        </w:rPr>
      </w:pPr>
      <w:r w:rsidRPr="00D544C0">
        <w:rPr>
          <w:b/>
        </w:rPr>
        <w:t>Establishing a remuneration committee</w:t>
      </w:r>
    </w:p>
    <w:p w14:paraId="00000020" w14:textId="4A1E9C42" w:rsidR="00835AAA" w:rsidRDefault="008720B9" w:rsidP="007F1CF6">
      <w:pPr>
        <w:spacing w:after="0"/>
      </w:pPr>
      <w:r>
        <w:t>The main structure for determining the director's pay is to establish a Remuneration Committee, which has the responsibility to determine the salary range in a transparent way. This should be composed primarily by the independent non-executive directors who have no direct relation with the business task</w:t>
      </w:r>
      <w:sdt>
        <w:sdtPr>
          <w:id w:val="2069765359"/>
          <w:citation/>
        </w:sdtPr>
        <w:sdtEndPr/>
        <w:sdtContent>
          <w:r w:rsidR="002F4965">
            <w:fldChar w:fldCharType="begin"/>
          </w:r>
          <w:r w:rsidR="002F4965">
            <w:rPr>
              <w:lang w:val="en-US"/>
            </w:rPr>
            <w:instrText xml:space="preserve"> CITATION gov2522 \l 1033 </w:instrText>
          </w:r>
          <w:r w:rsidR="002F4965">
            <w:fldChar w:fldCharType="separate"/>
          </w:r>
          <w:r w:rsidR="002F4965">
            <w:rPr>
              <w:noProof/>
              <w:lang w:val="en-US"/>
            </w:rPr>
            <w:t xml:space="preserve"> </w:t>
          </w:r>
          <w:r w:rsidR="002F4965" w:rsidRPr="002F4965">
            <w:rPr>
              <w:noProof/>
              <w:lang w:val="en-US"/>
            </w:rPr>
            <w:t>(gov.uk, 2025)</w:t>
          </w:r>
          <w:r w:rsidR="002F4965">
            <w:fldChar w:fldCharType="end"/>
          </w:r>
        </w:sdtContent>
      </w:sdt>
      <w:r>
        <w:t xml:space="preserve">. This committee has several roles, such as reviewing and approving performance-related pay policies, considering shareholder interests and corporate performance for a certain range of time. While the AIM business does not require following any specific rules, just the maintenance of the UK Corporate Governance Code is highlighted as good practice. </w:t>
      </w:r>
    </w:p>
    <w:p w14:paraId="00000021" w14:textId="0641CEB1" w:rsidR="00835AAA" w:rsidRPr="005A5587" w:rsidRDefault="008720B9" w:rsidP="007F1CF6">
      <w:pPr>
        <w:spacing w:after="0"/>
        <w:rPr>
          <w:b/>
        </w:rPr>
      </w:pPr>
      <w:r w:rsidRPr="005A5587">
        <w:rPr>
          <w:b/>
        </w:rPr>
        <w:t xml:space="preserve">Linking </w:t>
      </w:r>
      <w:r w:rsidR="005A5587">
        <w:rPr>
          <w:b/>
        </w:rPr>
        <w:t>p</w:t>
      </w:r>
      <w:r w:rsidRPr="005A5587">
        <w:rPr>
          <w:b/>
        </w:rPr>
        <w:t xml:space="preserve">ay to </w:t>
      </w:r>
      <w:r w:rsidR="007853B5">
        <w:rPr>
          <w:b/>
        </w:rPr>
        <w:t>p</w:t>
      </w:r>
      <w:r w:rsidRPr="005A5587">
        <w:rPr>
          <w:b/>
        </w:rPr>
        <w:t>erformance</w:t>
      </w:r>
    </w:p>
    <w:p w14:paraId="00000022" w14:textId="0258D52F" w:rsidR="00835AAA" w:rsidRDefault="008720B9" w:rsidP="007F1CF6">
      <w:pPr>
        <w:spacing w:after="0"/>
      </w:pPr>
      <w:r>
        <w:t>Remuneration packages should be created as a clear performance-based component that may include the base salary, annual bonus for short-term and long-term performance, as well as apply incentives to complete specific tasks</w:t>
      </w:r>
      <w:r w:rsidR="002F4385">
        <w:t xml:space="preserve"> (Al-Faryan, 2024)</w:t>
      </w:r>
      <w:r>
        <w:t xml:space="preserve">. Performance targets need to be measurable and aligned with the business strategic objective over an accounting period. </w:t>
      </w:r>
    </w:p>
    <w:p w14:paraId="00000023" w14:textId="77777777" w:rsidR="00835AAA" w:rsidRPr="005A5587" w:rsidRDefault="008720B9" w:rsidP="007F1CF6">
      <w:pPr>
        <w:spacing w:after="0"/>
        <w:rPr>
          <w:b/>
        </w:rPr>
      </w:pPr>
      <w:r w:rsidRPr="005A5587">
        <w:rPr>
          <w:b/>
        </w:rPr>
        <w:t>Disclosure and shareholder approval</w:t>
      </w:r>
    </w:p>
    <w:p w14:paraId="00000024" w14:textId="683A43A8" w:rsidR="00835AAA" w:rsidRDefault="008720B9" w:rsidP="007F1CF6">
      <w:pPr>
        <w:spacing w:after="0"/>
      </w:pPr>
      <w:r>
        <w:t xml:space="preserve">As a variation of the listed business, the entity declares the level of remuneration of the directors in the annual report. Due to that, the level of business authenticity as well as accuracy can be improved, which attracts more investors to them. Although AIM does not require a </w:t>
      </w:r>
      <w:r>
        <w:lastRenderedPageBreak/>
        <w:t>shareholder vote on remuneration policy, nevertheless, this is applied for the maintenance of transparency among decision-making</w:t>
      </w:r>
      <w:r w:rsidR="00F32FF9">
        <w:t xml:space="preserve"> (Al-Faryan, 2024)</w:t>
      </w:r>
      <w:r>
        <w:t xml:space="preserve">. </w:t>
      </w:r>
      <w:r>
        <w:br w:type="page"/>
      </w:r>
    </w:p>
    <w:p w14:paraId="00000025" w14:textId="77777777" w:rsidR="00835AAA" w:rsidRDefault="008720B9" w:rsidP="007F1CF6">
      <w:pPr>
        <w:pStyle w:val="Heading1"/>
        <w:spacing w:before="0" w:after="0"/>
      </w:pPr>
      <w:bookmarkStart w:id="4" w:name="_Toc200563456"/>
      <w:r>
        <w:lastRenderedPageBreak/>
        <w:t>Institutional differences between listing in Shanghai and the Netherlands</w:t>
      </w:r>
      <w:bookmarkEnd w:id="4"/>
    </w:p>
    <w:p w14:paraId="00000026" w14:textId="77777777" w:rsidR="00835AAA" w:rsidRPr="005A5587" w:rsidRDefault="008720B9" w:rsidP="007F1CF6">
      <w:pPr>
        <w:spacing w:after="0"/>
        <w:rPr>
          <w:b/>
        </w:rPr>
      </w:pPr>
      <w:r w:rsidRPr="005A5587">
        <w:rPr>
          <w:b/>
        </w:rPr>
        <w:t>Legal and regulatory environment</w:t>
      </w:r>
    </w:p>
    <w:p w14:paraId="00000027" w14:textId="295FD3B5" w:rsidR="00835AAA" w:rsidRDefault="008720B9" w:rsidP="007F1CF6">
      <w:pPr>
        <w:spacing w:after="0"/>
      </w:pPr>
      <w:r>
        <w:t>Shanghai (China) functions under the following of civil law system that is influenced by the help of centralised state authority. The regulatory environment is generally state-controlled, which is maintained by the government bodies such as the CSRC. Foreign businesses may be listed on the Chinese exchanges, which creates a situation where the entities face strict regulatory requirements. This may include foreign ownership, repatriation of profits and limitations on capital movement. This type of legal procedure can be opaque, which places less emphasis on precedent than in Western systems</w:t>
      </w:r>
      <w:r w:rsidR="00AF5C0E">
        <w:t xml:space="preserve"> (</w:t>
      </w:r>
      <w:r w:rsidR="00AF5C0E" w:rsidRPr="005B2ECD">
        <w:rPr>
          <w:shd w:val="clear" w:color="auto" w:fill="FFFFFF"/>
        </w:rPr>
        <w:t>Linh</w:t>
      </w:r>
      <w:r w:rsidR="00AF5C0E">
        <w:t xml:space="preserve"> et al., </w:t>
      </w:r>
      <w:r w:rsidR="00AF5C0E" w:rsidRPr="005B2ECD">
        <w:rPr>
          <w:shd w:val="clear" w:color="auto" w:fill="FFFFFF"/>
        </w:rPr>
        <w:t>2024</w:t>
      </w:r>
      <w:r w:rsidR="00AF5C0E">
        <w:t>)</w:t>
      </w:r>
      <w:r>
        <w:t xml:space="preserve">. In contrast, the Netherlands maintains a civil law system that is related to the European Union regulatory framework. The Euronext Amsterdam oversees listings as well as the Dutch Authority for the Financial Markets, </w:t>
      </w:r>
      <w:r w:rsidR="00550EA8">
        <w:t>which sets up</w:t>
      </w:r>
      <w:r>
        <w:t xml:space="preserve"> some strict guidelines that the business needs to follow while operating their task effectively on time. The country provides a stable and transparent legal process that actually offers stable operational surroundings that increase the overall level of business efficiency</w:t>
      </w:r>
      <w:r w:rsidR="00C53E63">
        <w:t xml:space="preserve"> (Magnan and Michelon, 2024)</w:t>
      </w:r>
      <w:r>
        <w:t xml:space="preserve">.  </w:t>
      </w:r>
    </w:p>
    <w:p w14:paraId="00000028" w14:textId="77777777" w:rsidR="00835AAA" w:rsidRPr="005A5587" w:rsidRDefault="008720B9" w:rsidP="007F1CF6">
      <w:pPr>
        <w:spacing w:after="0"/>
        <w:rPr>
          <w:b/>
        </w:rPr>
      </w:pPr>
      <w:r w:rsidRPr="005A5587">
        <w:rPr>
          <w:b/>
        </w:rPr>
        <w:t xml:space="preserve">Corporate governance standards </w:t>
      </w:r>
    </w:p>
    <w:p w14:paraId="00000029" w14:textId="2808C341" w:rsidR="00835AAA" w:rsidRDefault="008720B9" w:rsidP="007F1CF6">
      <w:pPr>
        <w:spacing w:after="0"/>
      </w:pPr>
      <w:r>
        <w:t>Dutch corporate governance levels are aligned effectively with the EU and OECD principles, which is suitable for highlighting the shareholder rights, CSR and transparency over time</w:t>
      </w:r>
      <w:r w:rsidR="0030457D">
        <w:t xml:space="preserve"> (Akpobome, 2024)</w:t>
      </w:r>
      <w:r>
        <w:t>. Dutch companies often try to adopt a two-tier board system that makes a separation between supervisory and executive operations to strengthen their knowledge regarding the business activity. In contrast, governance of China is generally more state-influenced rather than stakeholder-oriented</w:t>
      </w:r>
      <w:r w:rsidR="005853C3">
        <w:t xml:space="preserve"> (Magnan and Michelon, 2024)</w:t>
      </w:r>
      <w:r>
        <w:t xml:space="preserve">. Businesses may </w:t>
      </w:r>
      <w:r w:rsidR="005A5587">
        <w:t>suffer</w:t>
      </w:r>
      <w:r>
        <w:t xml:space="preserve"> from the situation of being pressured by the local authorities, which sometimes brings </w:t>
      </w:r>
      <w:r w:rsidR="00C53E63">
        <w:t xml:space="preserve">an </w:t>
      </w:r>
      <w:r>
        <w:t xml:space="preserve">interruption to performance. </w:t>
      </w:r>
      <w:r w:rsidR="00EC1F55">
        <w:t>Independent board picture is mounting</w:t>
      </w:r>
      <w:r w:rsidR="00C53E63">
        <w:t>,</w:t>
      </w:r>
      <w:r w:rsidR="00EC1F55">
        <w:t xml:space="preserve"> nevertheless still </w:t>
      </w:r>
      <w:r w:rsidR="00EC1F55">
        <w:lastRenderedPageBreak/>
        <w:t>fluctuates in quality. Transparency as well as enforcement of regulatory codes are often highlighted as weaker compared to Western operational segments.</w:t>
      </w:r>
    </w:p>
    <w:p w14:paraId="31C4A861" w14:textId="77777777" w:rsidR="00AC1A36" w:rsidRDefault="00AC1A36" w:rsidP="007F1CF6">
      <w:pPr>
        <w:spacing w:after="0"/>
        <w:rPr>
          <w:b/>
          <w:sz w:val="28"/>
          <w:szCs w:val="28"/>
        </w:rPr>
      </w:pPr>
      <w:r>
        <w:br w:type="page"/>
      </w:r>
    </w:p>
    <w:p w14:paraId="0000002C" w14:textId="12C1D993" w:rsidR="00835AAA" w:rsidRDefault="008720B9" w:rsidP="007F1CF6">
      <w:pPr>
        <w:pStyle w:val="Heading1"/>
        <w:spacing w:before="0" w:after="0"/>
      </w:pPr>
      <w:bookmarkStart w:id="5" w:name="_Toc200563457"/>
      <w:r>
        <w:lastRenderedPageBreak/>
        <w:t>Conclusion</w:t>
      </w:r>
      <w:bookmarkEnd w:id="5"/>
      <w:r>
        <w:t xml:space="preserve"> </w:t>
      </w:r>
    </w:p>
    <w:p w14:paraId="0000002D" w14:textId="2EB36B63" w:rsidR="0043708B" w:rsidRDefault="008720B9" w:rsidP="007F1CF6">
      <w:pPr>
        <w:spacing w:after="0"/>
      </w:pPr>
      <w:r>
        <w:t xml:space="preserve">This report highlighted the detailed illustration of agency theory as well as corporate governance that was taking an effective part in operating the function without any kind of interruption. The controlling procedure of the business after holding 30% share of </w:t>
      </w:r>
      <w:r w:rsidR="005A5587">
        <w:t>an entity</w:t>
      </w:r>
      <w:r>
        <w:t xml:space="preserve"> was showcased in this part</w:t>
      </w:r>
      <w:r w:rsidR="005853C3">
        <w:t>,</w:t>
      </w:r>
      <w:r>
        <w:t xml:space="preserve"> which was considered an important base for effective </w:t>
      </w:r>
      <w:r w:rsidR="005853C3">
        <w:t>decision-making</w:t>
      </w:r>
      <w:r>
        <w:t xml:space="preserve">. Along with the process of deciding the remuneration of directors of </w:t>
      </w:r>
      <w:r w:rsidR="005A5587">
        <w:t>the</w:t>
      </w:r>
      <w:r>
        <w:t xml:space="preserve"> business</w:t>
      </w:r>
      <w:r w:rsidR="005853C3">
        <w:t>,</w:t>
      </w:r>
      <w:r>
        <w:t xml:space="preserve"> which was helpful to maintain their authenticity over an accounting period of time. The matter of differences in the market of Shanghai and the Netherlands was depicted in the following part in a precise manner. </w:t>
      </w:r>
    </w:p>
    <w:p w14:paraId="7BC08ACE" w14:textId="77777777" w:rsidR="0043708B" w:rsidRDefault="0043708B" w:rsidP="007F1CF6">
      <w:pPr>
        <w:spacing w:after="0"/>
      </w:pPr>
      <w:r>
        <w:br w:type="page"/>
      </w:r>
    </w:p>
    <w:p w14:paraId="71CC0599" w14:textId="5C4B8E4D" w:rsidR="00835AAA" w:rsidRDefault="00536569" w:rsidP="007F1CF6">
      <w:pPr>
        <w:pStyle w:val="Heading1"/>
        <w:spacing w:before="0" w:after="0"/>
      </w:pPr>
      <w:bookmarkStart w:id="6" w:name="_Toc200563458"/>
      <w:r>
        <w:lastRenderedPageBreak/>
        <w:t>References</w:t>
      </w:r>
      <w:bookmarkEnd w:id="6"/>
      <w:r>
        <w:t xml:space="preserve"> </w:t>
      </w:r>
    </w:p>
    <w:p w14:paraId="181C3F17" w14:textId="26E7E599" w:rsidR="00DB3086" w:rsidRDefault="00550EA8" w:rsidP="007F1CF6">
      <w:pPr>
        <w:spacing w:after="0"/>
      </w:pPr>
      <w:r>
        <w:t>Accaglobal</w:t>
      </w:r>
      <w:r w:rsidR="00DB3086">
        <w:t xml:space="preserve"> (2025). </w:t>
      </w:r>
      <w:r w:rsidR="00DB3086" w:rsidRPr="00BC7EC3">
        <w:rPr>
          <w:i/>
        </w:rPr>
        <w:t>Corporate governance: the board of directors and standing committees.</w:t>
      </w:r>
      <w:r w:rsidR="00DB3086">
        <w:t xml:space="preserve"> [Online] Available at: https://www.accaglobal.com/in/en/student/exam-support-resources/fundamentals-exams-study-resources/f1/technical-articles/corpgovernance.html [Accessed 3 June 2025].</w:t>
      </w:r>
    </w:p>
    <w:p w14:paraId="0EAD0397" w14:textId="77777777" w:rsidR="00DB3086" w:rsidRDefault="00DB3086" w:rsidP="007F1CF6">
      <w:pPr>
        <w:spacing w:after="0"/>
        <w:rPr>
          <w:shd w:val="clear" w:color="auto" w:fill="FFFFFF"/>
        </w:rPr>
      </w:pPr>
      <w:r w:rsidRPr="005B2ECD">
        <w:rPr>
          <w:shd w:val="clear" w:color="auto" w:fill="FFFFFF"/>
        </w:rPr>
        <w:t xml:space="preserve">Akpobome, O., </w:t>
      </w:r>
      <w:r>
        <w:rPr>
          <w:shd w:val="clear" w:color="auto" w:fill="FFFFFF"/>
        </w:rPr>
        <w:t>(</w:t>
      </w:r>
      <w:r w:rsidRPr="005B2ECD">
        <w:rPr>
          <w:shd w:val="clear" w:color="auto" w:fill="FFFFFF"/>
        </w:rPr>
        <w:t>2024</w:t>
      </w:r>
      <w:r>
        <w:rPr>
          <w:shd w:val="clear" w:color="auto" w:fill="FFFFFF"/>
        </w:rPr>
        <w:t>)</w:t>
      </w:r>
      <w:r w:rsidRPr="005B2ECD">
        <w:rPr>
          <w:shd w:val="clear" w:color="auto" w:fill="FFFFFF"/>
        </w:rPr>
        <w:t>. The Impact of Emerging Technologies on Legal Frameworks: A Model for Adaptive Regulation. </w:t>
      </w:r>
      <w:r w:rsidRPr="005B2ECD">
        <w:rPr>
          <w:i/>
          <w:iCs/>
          <w:shd w:val="clear" w:color="auto" w:fill="FFFFFF"/>
        </w:rPr>
        <w:t>International Journal of Research Publication and Reviews</w:t>
      </w:r>
      <w:r w:rsidRPr="005B2ECD">
        <w:rPr>
          <w:shd w:val="clear" w:color="auto" w:fill="FFFFFF"/>
        </w:rPr>
        <w:t>, </w:t>
      </w:r>
      <w:r w:rsidRPr="005B2ECD">
        <w:rPr>
          <w:i/>
          <w:iCs/>
          <w:shd w:val="clear" w:color="auto" w:fill="FFFFFF"/>
        </w:rPr>
        <w:t>5</w:t>
      </w:r>
      <w:r w:rsidRPr="005B2ECD">
        <w:rPr>
          <w:shd w:val="clear" w:color="auto" w:fill="FFFFFF"/>
        </w:rPr>
        <w:t>(10), pp.5046-5060.</w:t>
      </w:r>
    </w:p>
    <w:p w14:paraId="1E6F6E1B" w14:textId="77777777" w:rsidR="00DB3086" w:rsidRPr="005B2ECD" w:rsidRDefault="00DB3086" w:rsidP="007F1CF6">
      <w:pPr>
        <w:spacing w:after="0"/>
        <w:rPr>
          <w:shd w:val="clear" w:color="auto" w:fill="FFFFFF"/>
        </w:rPr>
      </w:pPr>
      <w:r w:rsidRPr="005B2ECD">
        <w:rPr>
          <w:shd w:val="clear" w:color="auto" w:fill="FFFFFF"/>
        </w:rPr>
        <w:t xml:space="preserve">Al-Faryan, M.A.S., </w:t>
      </w:r>
      <w:r>
        <w:rPr>
          <w:shd w:val="clear" w:color="auto" w:fill="FFFFFF"/>
        </w:rPr>
        <w:t>(</w:t>
      </w:r>
      <w:r w:rsidRPr="005B2ECD">
        <w:rPr>
          <w:shd w:val="clear" w:color="auto" w:fill="FFFFFF"/>
        </w:rPr>
        <w:t>2024</w:t>
      </w:r>
      <w:r>
        <w:rPr>
          <w:shd w:val="clear" w:color="auto" w:fill="FFFFFF"/>
        </w:rPr>
        <w:t>)</w:t>
      </w:r>
      <w:r w:rsidRPr="005B2ECD">
        <w:rPr>
          <w:shd w:val="clear" w:color="auto" w:fill="FFFFFF"/>
        </w:rPr>
        <w:t>. Agency theory, corporate governance and corruption: an integrative literature review approach. </w:t>
      </w:r>
      <w:r w:rsidRPr="005B2ECD">
        <w:rPr>
          <w:i/>
          <w:iCs/>
          <w:shd w:val="clear" w:color="auto" w:fill="FFFFFF"/>
        </w:rPr>
        <w:t>Cogent social sciences</w:t>
      </w:r>
      <w:r w:rsidRPr="005B2ECD">
        <w:rPr>
          <w:shd w:val="clear" w:color="auto" w:fill="FFFFFF"/>
        </w:rPr>
        <w:t>, </w:t>
      </w:r>
      <w:r w:rsidRPr="005B2ECD">
        <w:rPr>
          <w:i/>
          <w:iCs/>
          <w:shd w:val="clear" w:color="auto" w:fill="FFFFFF"/>
        </w:rPr>
        <w:t>10</w:t>
      </w:r>
      <w:r w:rsidRPr="005B2ECD">
        <w:rPr>
          <w:shd w:val="clear" w:color="auto" w:fill="FFFFFF"/>
        </w:rPr>
        <w:t>(1), p.2337893.</w:t>
      </w:r>
    </w:p>
    <w:p w14:paraId="33DFC8C4" w14:textId="77777777" w:rsidR="00DB3086" w:rsidRDefault="00DB3086" w:rsidP="007F1CF6">
      <w:pPr>
        <w:spacing w:after="0"/>
      </w:pPr>
      <w:r>
        <w:t xml:space="preserve">Anna Talerico, (2025). </w:t>
      </w:r>
      <w:r w:rsidRPr="008D0833">
        <w:rPr>
          <w:i/>
        </w:rPr>
        <w:t>Board of Directors.</w:t>
      </w:r>
      <w:r>
        <w:t xml:space="preserve"> [Online] Available at: https://corporatefinanceinstitute.com/resources/management/board-of-directors/ [Accessed 3 June 2025].</w:t>
      </w:r>
    </w:p>
    <w:p w14:paraId="2B25E191" w14:textId="77777777" w:rsidR="00DB3086" w:rsidRPr="005B2ECD" w:rsidRDefault="00DB3086" w:rsidP="007F1CF6">
      <w:pPr>
        <w:spacing w:after="0"/>
        <w:rPr>
          <w:shd w:val="clear" w:color="auto" w:fill="FFFFFF"/>
        </w:rPr>
      </w:pPr>
      <w:r w:rsidRPr="005B2ECD">
        <w:rPr>
          <w:shd w:val="clear" w:color="auto" w:fill="FFFFFF"/>
        </w:rPr>
        <w:t xml:space="preserve">Borshch, M., </w:t>
      </w:r>
      <w:r>
        <w:rPr>
          <w:shd w:val="clear" w:color="auto" w:fill="FFFFFF"/>
        </w:rPr>
        <w:t>(</w:t>
      </w:r>
      <w:r w:rsidRPr="005B2ECD">
        <w:rPr>
          <w:shd w:val="clear" w:color="auto" w:fill="FFFFFF"/>
        </w:rPr>
        <w:t>2024</w:t>
      </w:r>
      <w:r>
        <w:rPr>
          <w:shd w:val="clear" w:color="auto" w:fill="FFFFFF"/>
        </w:rPr>
        <w:t>)</w:t>
      </w:r>
      <w:r w:rsidRPr="005B2ECD">
        <w:rPr>
          <w:shd w:val="clear" w:color="auto" w:fill="FFFFFF"/>
        </w:rPr>
        <w:t>. Legal mechanisms for improving the efficiency of accounting in the social security sector: Analysis of the regulatory environment and recommendations for improvement. </w:t>
      </w:r>
      <w:r w:rsidRPr="005B2ECD">
        <w:rPr>
          <w:i/>
          <w:iCs/>
          <w:shd w:val="clear" w:color="auto" w:fill="FFFFFF"/>
        </w:rPr>
        <w:t>Law. Human. Environment</w:t>
      </w:r>
      <w:r w:rsidRPr="005B2ECD">
        <w:rPr>
          <w:shd w:val="clear" w:color="auto" w:fill="FFFFFF"/>
        </w:rPr>
        <w:t>, </w:t>
      </w:r>
      <w:r w:rsidRPr="005B2ECD">
        <w:rPr>
          <w:i/>
          <w:iCs/>
          <w:shd w:val="clear" w:color="auto" w:fill="FFFFFF"/>
        </w:rPr>
        <w:t>3</w:t>
      </w:r>
      <w:r w:rsidRPr="005B2ECD">
        <w:rPr>
          <w:shd w:val="clear" w:color="auto" w:fill="FFFFFF"/>
        </w:rPr>
        <w:t>(15), pp.9-30.</w:t>
      </w:r>
    </w:p>
    <w:p w14:paraId="674B53C3" w14:textId="54DA3223" w:rsidR="00DB3086" w:rsidRDefault="0029023F" w:rsidP="007F1CF6">
      <w:pPr>
        <w:spacing w:after="0"/>
      </w:pPr>
      <w:r>
        <w:t>G</w:t>
      </w:r>
      <w:r w:rsidR="00DB3086">
        <w:t xml:space="preserve">ov.uk, (2025). </w:t>
      </w:r>
      <w:r w:rsidRPr="003A2986">
        <w:rPr>
          <w:i/>
        </w:rPr>
        <w:t>C</w:t>
      </w:r>
      <w:r>
        <w:rPr>
          <w:i/>
        </w:rPr>
        <w:t xml:space="preserve">orporate </w:t>
      </w:r>
      <w:r w:rsidRPr="003A2986">
        <w:rPr>
          <w:i/>
        </w:rPr>
        <w:t>Board</w:t>
      </w:r>
      <w:r>
        <w:rPr>
          <w:i/>
        </w:rPr>
        <w:t xml:space="preserve"> </w:t>
      </w:r>
      <w:r w:rsidRPr="003A2986">
        <w:rPr>
          <w:i/>
        </w:rPr>
        <w:t>Remuneration</w:t>
      </w:r>
      <w:r w:rsidR="00DB3086" w:rsidRPr="003A2986">
        <w:rPr>
          <w:i/>
        </w:rPr>
        <w:t xml:space="preserve"> </w:t>
      </w:r>
      <w:r w:rsidRPr="003A2986">
        <w:rPr>
          <w:i/>
        </w:rPr>
        <w:t>and</w:t>
      </w:r>
      <w:r w:rsidR="00DB3086" w:rsidRPr="003A2986">
        <w:rPr>
          <w:i/>
        </w:rPr>
        <w:t xml:space="preserve"> P</w:t>
      </w:r>
      <w:r w:rsidR="006B1E89">
        <w:rPr>
          <w:i/>
        </w:rPr>
        <w:t>eople</w:t>
      </w:r>
      <w:r w:rsidR="00DB3086" w:rsidRPr="003A2986">
        <w:rPr>
          <w:i/>
        </w:rPr>
        <w:t xml:space="preserve"> C</w:t>
      </w:r>
      <w:r w:rsidR="006B1E89">
        <w:rPr>
          <w:i/>
        </w:rPr>
        <w:t>ommitt</w:t>
      </w:r>
      <w:r>
        <w:rPr>
          <w:i/>
        </w:rPr>
        <w:t>ee</w:t>
      </w:r>
      <w:r w:rsidR="00DB3086" w:rsidRPr="003A2986">
        <w:rPr>
          <w:i/>
        </w:rPr>
        <w:t>.</w:t>
      </w:r>
      <w:r w:rsidR="00DB3086">
        <w:t xml:space="preserve"> [Online] Available at: https://assets.publishing.service.gov.uk/media/66be1cef3effd5b79ba49184/RemCo_ToR_2024_final_dated.pdf [Accessed 3 June 2025].</w:t>
      </w:r>
    </w:p>
    <w:p w14:paraId="4FD942BF" w14:textId="77777777" w:rsidR="00DB3086" w:rsidRPr="005B2ECD" w:rsidRDefault="00DB3086" w:rsidP="007F1CF6">
      <w:pPr>
        <w:spacing w:after="0"/>
        <w:rPr>
          <w:shd w:val="clear" w:color="auto" w:fill="FFFFFF"/>
        </w:rPr>
      </w:pPr>
      <w:r w:rsidRPr="005B2ECD">
        <w:rPr>
          <w:shd w:val="clear" w:color="auto" w:fill="FFFFFF"/>
        </w:rPr>
        <w:t xml:space="preserve">Linh, N.T., </w:t>
      </w:r>
      <w:r>
        <w:rPr>
          <w:shd w:val="clear" w:color="auto" w:fill="FFFFFF"/>
        </w:rPr>
        <w:t>(</w:t>
      </w:r>
      <w:r w:rsidRPr="005B2ECD">
        <w:rPr>
          <w:shd w:val="clear" w:color="auto" w:fill="FFFFFF"/>
        </w:rPr>
        <w:t>2024</w:t>
      </w:r>
      <w:r>
        <w:rPr>
          <w:shd w:val="clear" w:color="auto" w:fill="FFFFFF"/>
        </w:rPr>
        <w:t>)</w:t>
      </w:r>
      <w:r w:rsidRPr="005B2ECD">
        <w:rPr>
          <w:shd w:val="clear" w:color="auto" w:fill="FFFFFF"/>
        </w:rPr>
        <w:t>. Agency Theory in Management Accounting: A Systematic Literature Review. </w:t>
      </w:r>
      <w:r w:rsidRPr="005B2ECD">
        <w:rPr>
          <w:i/>
          <w:iCs/>
          <w:shd w:val="clear" w:color="auto" w:fill="FFFFFF"/>
        </w:rPr>
        <w:t>International Journal of Advanced Multydisciplinary Research and Study</w:t>
      </w:r>
      <w:r w:rsidRPr="005B2ECD">
        <w:rPr>
          <w:shd w:val="clear" w:color="auto" w:fill="FFFFFF"/>
        </w:rPr>
        <w:t>, </w:t>
      </w:r>
      <w:r w:rsidRPr="005B2ECD">
        <w:rPr>
          <w:i/>
          <w:iCs/>
          <w:shd w:val="clear" w:color="auto" w:fill="FFFFFF"/>
        </w:rPr>
        <w:t>4</w:t>
      </w:r>
      <w:r w:rsidRPr="005B2ECD">
        <w:rPr>
          <w:shd w:val="clear" w:color="auto" w:fill="FFFFFF"/>
        </w:rPr>
        <w:t>(1), pp.1124-1127.</w:t>
      </w:r>
    </w:p>
    <w:p w14:paraId="5CE26A3C" w14:textId="77777777" w:rsidR="00DB3086" w:rsidRPr="005B2ECD" w:rsidRDefault="00DB3086" w:rsidP="007F1CF6">
      <w:pPr>
        <w:spacing w:after="0"/>
        <w:rPr>
          <w:shd w:val="clear" w:color="auto" w:fill="FFFFFF"/>
        </w:rPr>
      </w:pPr>
      <w:r w:rsidRPr="005B2ECD">
        <w:rPr>
          <w:shd w:val="clear" w:color="auto" w:fill="FFFFFF"/>
        </w:rPr>
        <w:lastRenderedPageBreak/>
        <w:t xml:space="preserve">Magnan, M. and Michelon, G., </w:t>
      </w:r>
      <w:r>
        <w:rPr>
          <w:shd w:val="clear" w:color="auto" w:fill="FFFFFF"/>
        </w:rPr>
        <w:t>(</w:t>
      </w:r>
      <w:r w:rsidRPr="005B2ECD">
        <w:rPr>
          <w:shd w:val="clear" w:color="auto" w:fill="FFFFFF"/>
        </w:rPr>
        <w:t>2024</w:t>
      </w:r>
      <w:r>
        <w:rPr>
          <w:shd w:val="clear" w:color="auto" w:fill="FFFFFF"/>
        </w:rPr>
        <w:t>)</w:t>
      </w:r>
      <w:r w:rsidRPr="005B2ECD">
        <w:rPr>
          <w:shd w:val="clear" w:color="auto" w:fill="FFFFFF"/>
        </w:rPr>
        <w:t>. Corporate governance and corporate social responsibility: A reconciliation with tension. In </w:t>
      </w:r>
      <w:r w:rsidRPr="005B2ECD">
        <w:rPr>
          <w:i/>
          <w:iCs/>
          <w:shd w:val="clear" w:color="auto" w:fill="FFFFFF"/>
        </w:rPr>
        <w:t>Handbook on corporate governance and corporate social responsibility</w:t>
      </w:r>
      <w:r w:rsidRPr="005B2ECD">
        <w:rPr>
          <w:shd w:val="clear" w:color="auto" w:fill="FFFFFF"/>
        </w:rPr>
        <w:t> (pp. 2-11). Edward Elgar Publishing.</w:t>
      </w:r>
    </w:p>
    <w:p w14:paraId="75125942" w14:textId="77777777" w:rsidR="00DB3086" w:rsidRPr="005B2ECD" w:rsidRDefault="00DB3086" w:rsidP="007F1CF6">
      <w:pPr>
        <w:spacing w:after="0"/>
        <w:rPr>
          <w:shd w:val="clear" w:color="auto" w:fill="FFFFFF"/>
        </w:rPr>
      </w:pPr>
      <w:r w:rsidRPr="005B2ECD">
        <w:rPr>
          <w:shd w:val="clear" w:color="auto" w:fill="FFFFFF"/>
        </w:rPr>
        <w:t xml:space="preserve">Roberts, J., </w:t>
      </w:r>
      <w:r>
        <w:rPr>
          <w:shd w:val="clear" w:color="auto" w:fill="FFFFFF"/>
        </w:rPr>
        <w:t>(</w:t>
      </w:r>
      <w:r w:rsidRPr="005B2ECD">
        <w:rPr>
          <w:shd w:val="clear" w:color="auto" w:fill="FFFFFF"/>
        </w:rPr>
        <w:t>2025</w:t>
      </w:r>
      <w:r>
        <w:rPr>
          <w:shd w:val="clear" w:color="auto" w:fill="FFFFFF"/>
        </w:rPr>
        <w:t>)</w:t>
      </w:r>
      <w:r w:rsidRPr="005B2ECD">
        <w:rPr>
          <w:shd w:val="clear" w:color="auto" w:fill="FFFFFF"/>
        </w:rPr>
        <w:t>. Agency theory, ethics and corporate governance. In </w:t>
      </w:r>
      <w:r w:rsidRPr="005B2ECD">
        <w:rPr>
          <w:i/>
          <w:iCs/>
          <w:shd w:val="clear" w:color="auto" w:fill="FFFFFF"/>
        </w:rPr>
        <w:t>Corporate governance: Does any size fit?</w:t>
      </w:r>
      <w:r w:rsidRPr="005B2ECD">
        <w:rPr>
          <w:shd w:val="clear" w:color="auto" w:fill="FFFFFF"/>
        </w:rPr>
        <w:t> (pp. 249-269). Emerald Group Publishing Limited.</w:t>
      </w:r>
    </w:p>
    <w:p w14:paraId="5BF73488" w14:textId="70AEECE9" w:rsidR="00DB3086" w:rsidRPr="005B2ECD" w:rsidRDefault="00DB3086" w:rsidP="007F1CF6">
      <w:pPr>
        <w:spacing w:after="0"/>
        <w:rPr>
          <w:shd w:val="clear" w:color="auto" w:fill="FFFFFF"/>
        </w:rPr>
      </w:pPr>
      <w:r w:rsidRPr="005B2ECD">
        <w:rPr>
          <w:shd w:val="clear" w:color="auto" w:fill="FFFFFF"/>
        </w:rPr>
        <w:t xml:space="preserve">Shiyyab, F.S., </w:t>
      </w:r>
      <w:r>
        <w:rPr>
          <w:shd w:val="clear" w:color="auto" w:fill="FFFFFF"/>
        </w:rPr>
        <w:t>(</w:t>
      </w:r>
      <w:r w:rsidRPr="005B2ECD">
        <w:rPr>
          <w:shd w:val="clear" w:color="auto" w:fill="FFFFFF"/>
        </w:rPr>
        <w:t>2024</w:t>
      </w:r>
      <w:r>
        <w:rPr>
          <w:shd w:val="clear" w:color="auto" w:fill="FFFFFF"/>
        </w:rPr>
        <w:t>)</w:t>
      </w:r>
      <w:r w:rsidRPr="005B2ECD">
        <w:rPr>
          <w:shd w:val="clear" w:color="auto" w:fill="FFFFFF"/>
        </w:rPr>
        <w:t>. Determinants of Remuneration Committee Chairman’s Pay: Evidence from the UK. </w:t>
      </w:r>
      <w:r w:rsidRPr="005B2ECD">
        <w:rPr>
          <w:i/>
          <w:iCs/>
          <w:shd w:val="clear" w:color="auto" w:fill="FFFFFF"/>
        </w:rPr>
        <w:t>International Journal of Financial Studies</w:t>
      </w:r>
      <w:r w:rsidRPr="005B2ECD">
        <w:rPr>
          <w:shd w:val="clear" w:color="auto" w:fill="FFFFFF"/>
        </w:rPr>
        <w:t>, </w:t>
      </w:r>
      <w:r w:rsidRPr="005B2ECD">
        <w:rPr>
          <w:i/>
          <w:iCs/>
          <w:shd w:val="clear" w:color="auto" w:fill="FFFFFF"/>
        </w:rPr>
        <w:t>12</w:t>
      </w:r>
      <w:r w:rsidRPr="005B2ECD">
        <w:rPr>
          <w:shd w:val="clear" w:color="auto" w:fill="FFFFFF"/>
        </w:rPr>
        <w:t>(2), p.45</w:t>
      </w:r>
      <w:r w:rsidR="00925DE0">
        <w:rPr>
          <w:shd w:val="clear" w:color="auto" w:fill="FFFFFF"/>
        </w:rPr>
        <w:t xml:space="preserve">. </w:t>
      </w:r>
    </w:p>
    <w:p w14:paraId="31676F88" w14:textId="77777777" w:rsidR="003A2986" w:rsidRDefault="003A2986" w:rsidP="007F1CF6">
      <w:pPr>
        <w:spacing w:after="0"/>
      </w:pPr>
    </w:p>
    <w:p w14:paraId="60AFD887" w14:textId="77777777" w:rsidR="00D6072E" w:rsidRPr="005B2ECD" w:rsidRDefault="00D6072E" w:rsidP="007F1CF6">
      <w:pPr>
        <w:spacing w:after="0"/>
        <w:rPr>
          <w:shd w:val="clear" w:color="auto" w:fill="FFFFFF"/>
        </w:rPr>
      </w:pPr>
    </w:p>
    <w:p w14:paraId="74057F7A" w14:textId="77777777" w:rsidR="005B2ECD" w:rsidRDefault="005B2ECD" w:rsidP="007F1CF6">
      <w:pPr>
        <w:spacing w:after="0"/>
        <w:rPr>
          <w:rFonts w:ascii="Arial" w:hAnsi="Arial" w:cs="Arial"/>
          <w:color w:val="222222"/>
          <w:sz w:val="20"/>
          <w:szCs w:val="20"/>
          <w:shd w:val="clear" w:color="auto" w:fill="FFFFFF"/>
        </w:rPr>
      </w:pPr>
    </w:p>
    <w:p w14:paraId="3C54B6A0" w14:textId="77777777" w:rsidR="00EE5981" w:rsidRDefault="00EE5981" w:rsidP="007F1CF6">
      <w:pPr>
        <w:spacing w:after="0"/>
        <w:rPr>
          <w:rFonts w:ascii="Arial" w:hAnsi="Arial" w:cs="Arial"/>
          <w:color w:val="222222"/>
          <w:sz w:val="20"/>
          <w:szCs w:val="20"/>
          <w:shd w:val="clear" w:color="auto" w:fill="FFFFFF"/>
        </w:rPr>
      </w:pPr>
    </w:p>
    <w:p w14:paraId="345014C4" w14:textId="77777777" w:rsidR="008720B9" w:rsidRPr="00987BF7" w:rsidRDefault="008720B9" w:rsidP="007F1CF6">
      <w:pPr>
        <w:spacing w:after="0"/>
      </w:pPr>
    </w:p>
    <w:p w14:paraId="0000002E" w14:textId="77777777" w:rsidR="00835AAA" w:rsidRDefault="00835AAA" w:rsidP="007F1CF6">
      <w:pPr>
        <w:spacing w:after="0"/>
      </w:pPr>
    </w:p>
    <w:p w14:paraId="0000002F" w14:textId="77777777" w:rsidR="00835AAA" w:rsidRDefault="00835AAA" w:rsidP="007F1CF6">
      <w:pPr>
        <w:spacing w:after="0"/>
      </w:pPr>
    </w:p>
    <w:p w14:paraId="00000030" w14:textId="77777777" w:rsidR="00835AAA" w:rsidRDefault="00835AAA" w:rsidP="007F1CF6">
      <w:pPr>
        <w:spacing w:after="0"/>
      </w:pPr>
    </w:p>
    <w:p w14:paraId="00000031" w14:textId="77777777" w:rsidR="00835AAA" w:rsidRDefault="00835AAA" w:rsidP="007F1CF6">
      <w:pPr>
        <w:spacing w:after="0"/>
      </w:pPr>
    </w:p>
    <w:sectPr w:rsidR="00835AAA" w:rsidSect="00D45D30">
      <w:headerReference w:type="default" r:id="rId8"/>
      <w:footerReference w:type="default" r:id="rId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6A659" w14:textId="77777777" w:rsidR="00D3230F" w:rsidRDefault="00D3230F" w:rsidP="00D45D30">
      <w:pPr>
        <w:spacing w:after="0" w:line="240" w:lineRule="auto"/>
      </w:pPr>
      <w:r>
        <w:separator/>
      </w:r>
    </w:p>
  </w:endnote>
  <w:endnote w:type="continuationSeparator" w:id="0">
    <w:p w14:paraId="45C6CE2D" w14:textId="77777777" w:rsidR="00D3230F" w:rsidRDefault="00D3230F" w:rsidP="00D45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993099801"/>
      <w:docPartObj>
        <w:docPartGallery w:val="Page Numbers (Bottom of Page)"/>
        <w:docPartUnique/>
      </w:docPartObj>
    </w:sdtPr>
    <w:sdtEndPr/>
    <w:sdtContent>
      <w:sdt>
        <w:sdtPr>
          <w:rPr>
            <w:b/>
          </w:rPr>
          <w:id w:val="-1769616900"/>
          <w:docPartObj>
            <w:docPartGallery w:val="Page Numbers (Top of Page)"/>
            <w:docPartUnique/>
          </w:docPartObj>
        </w:sdtPr>
        <w:sdtEndPr/>
        <w:sdtContent>
          <w:p w14:paraId="0FCA8BA6" w14:textId="2EED5878" w:rsidR="00D45D30" w:rsidRPr="00D45D30" w:rsidRDefault="00D45D30">
            <w:pPr>
              <w:pStyle w:val="Footer"/>
              <w:jc w:val="right"/>
              <w:rPr>
                <w:b/>
              </w:rPr>
            </w:pPr>
            <w:r w:rsidRPr="00D45D30">
              <w:rPr>
                <w:b/>
              </w:rPr>
              <w:t xml:space="preserve">Page </w:t>
            </w:r>
            <w:r w:rsidRPr="00D45D30">
              <w:rPr>
                <w:b/>
                <w:bCs/>
              </w:rPr>
              <w:fldChar w:fldCharType="begin"/>
            </w:r>
            <w:r w:rsidRPr="00D45D30">
              <w:rPr>
                <w:b/>
                <w:bCs/>
              </w:rPr>
              <w:instrText xml:space="preserve"> PAGE </w:instrText>
            </w:r>
            <w:r w:rsidRPr="00D45D30">
              <w:rPr>
                <w:b/>
                <w:bCs/>
              </w:rPr>
              <w:fldChar w:fldCharType="separate"/>
            </w:r>
            <w:r w:rsidRPr="00D45D30">
              <w:rPr>
                <w:b/>
                <w:bCs/>
                <w:noProof/>
              </w:rPr>
              <w:t>2</w:t>
            </w:r>
            <w:r w:rsidRPr="00D45D30">
              <w:rPr>
                <w:b/>
                <w:bCs/>
              </w:rPr>
              <w:fldChar w:fldCharType="end"/>
            </w:r>
            <w:r w:rsidRPr="00D45D30">
              <w:rPr>
                <w:b/>
              </w:rPr>
              <w:t xml:space="preserve"> of </w:t>
            </w:r>
            <w:r w:rsidRPr="00D45D30">
              <w:rPr>
                <w:b/>
                <w:bCs/>
              </w:rPr>
              <w:fldChar w:fldCharType="begin"/>
            </w:r>
            <w:r w:rsidRPr="00D45D30">
              <w:rPr>
                <w:b/>
                <w:bCs/>
              </w:rPr>
              <w:instrText xml:space="preserve"> NUMPAGES  </w:instrText>
            </w:r>
            <w:r w:rsidRPr="00D45D30">
              <w:rPr>
                <w:b/>
                <w:bCs/>
              </w:rPr>
              <w:fldChar w:fldCharType="separate"/>
            </w:r>
            <w:r w:rsidRPr="00D45D30">
              <w:rPr>
                <w:b/>
                <w:bCs/>
                <w:noProof/>
              </w:rPr>
              <w:t>2</w:t>
            </w:r>
            <w:r w:rsidRPr="00D45D30">
              <w:rPr>
                <w:b/>
                <w:bCs/>
              </w:rPr>
              <w:fldChar w:fldCharType="end"/>
            </w:r>
          </w:p>
        </w:sdtContent>
      </w:sdt>
    </w:sdtContent>
  </w:sdt>
  <w:p w14:paraId="6FC39F96" w14:textId="77777777" w:rsidR="00D45D30" w:rsidRDefault="00D45D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2EABA" w14:textId="77777777" w:rsidR="00D3230F" w:rsidRDefault="00D3230F" w:rsidP="00D45D30">
      <w:pPr>
        <w:spacing w:after="0" w:line="240" w:lineRule="auto"/>
      </w:pPr>
      <w:r>
        <w:separator/>
      </w:r>
    </w:p>
  </w:footnote>
  <w:footnote w:type="continuationSeparator" w:id="0">
    <w:p w14:paraId="05E3D3C9" w14:textId="77777777" w:rsidR="00D3230F" w:rsidRDefault="00D3230F" w:rsidP="00D45D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D3276" w14:textId="64253E80" w:rsidR="00D45D30" w:rsidRPr="00D45D30" w:rsidRDefault="00D45D30" w:rsidP="00D45D30">
    <w:pPr>
      <w:jc w:val="right"/>
      <w:rPr>
        <w:b/>
      </w:rPr>
    </w:pPr>
    <w:r w:rsidRPr="00D45D30">
      <w:rPr>
        <w:b/>
        <w:shd w:val="clear" w:color="auto" w:fill="FFFFFF"/>
      </w:rPr>
      <w:t>International Financial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732191"/>
    <w:multiLevelType w:val="hybridMultilevel"/>
    <w:tmpl w:val="C1CA00D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491039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AAA"/>
    <w:rsid w:val="000B621D"/>
    <w:rsid w:val="00136132"/>
    <w:rsid w:val="0014608F"/>
    <w:rsid w:val="00175D7C"/>
    <w:rsid w:val="00197E9A"/>
    <w:rsid w:val="0029023F"/>
    <w:rsid w:val="002F4385"/>
    <w:rsid w:val="002F48BB"/>
    <w:rsid w:val="002F4965"/>
    <w:rsid w:val="00303F8A"/>
    <w:rsid w:val="0030457D"/>
    <w:rsid w:val="003107D7"/>
    <w:rsid w:val="003A2986"/>
    <w:rsid w:val="004142A0"/>
    <w:rsid w:val="0043708B"/>
    <w:rsid w:val="00475593"/>
    <w:rsid w:val="004A66D3"/>
    <w:rsid w:val="004C3F3D"/>
    <w:rsid w:val="004C57F3"/>
    <w:rsid w:val="00536569"/>
    <w:rsid w:val="00550EA8"/>
    <w:rsid w:val="005853C3"/>
    <w:rsid w:val="005A5587"/>
    <w:rsid w:val="005B2ECD"/>
    <w:rsid w:val="005F2E15"/>
    <w:rsid w:val="00625352"/>
    <w:rsid w:val="00625F67"/>
    <w:rsid w:val="00655BB2"/>
    <w:rsid w:val="00656A3E"/>
    <w:rsid w:val="006A1BCB"/>
    <w:rsid w:val="006B1E89"/>
    <w:rsid w:val="006F0D15"/>
    <w:rsid w:val="0074371F"/>
    <w:rsid w:val="007666BF"/>
    <w:rsid w:val="007853B5"/>
    <w:rsid w:val="007F0220"/>
    <w:rsid w:val="007F1CF6"/>
    <w:rsid w:val="00835AAA"/>
    <w:rsid w:val="008720B9"/>
    <w:rsid w:val="008D0833"/>
    <w:rsid w:val="009027D1"/>
    <w:rsid w:val="00925DE0"/>
    <w:rsid w:val="00927331"/>
    <w:rsid w:val="009371A3"/>
    <w:rsid w:val="00972E5C"/>
    <w:rsid w:val="00987BF7"/>
    <w:rsid w:val="00990AE8"/>
    <w:rsid w:val="009C0544"/>
    <w:rsid w:val="009E296B"/>
    <w:rsid w:val="00A0093A"/>
    <w:rsid w:val="00A97C3C"/>
    <w:rsid w:val="00AC1A36"/>
    <w:rsid w:val="00AD6E4B"/>
    <w:rsid w:val="00AF5C0E"/>
    <w:rsid w:val="00B15436"/>
    <w:rsid w:val="00B1599D"/>
    <w:rsid w:val="00B30CBC"/>
    <w:rsid w:val="00B410E9"/>
    <w:rsid w:val="00B45E41"/>
    <w:rsid w:val="00B8719F"/>
    <w:rsid w:val="00BC7EC3"/>
    <w:rsid w:val="00C53E63"/>
    <w:rsid w:val="00CE6831"/>
    <w:rsid w:val="00D3230F"/>
    <w:rsid w:val="00D45D30"/>
    <w:rsid w:val="00D544C0"/>
    <w:rsid w:val="00D6072E"/>
    <w:rsid w:val="00DB3086"/>
    <w:rsid w:val="00DF6A97"/>
    <w:rsid w:val="00E31404"/>
    <w:rsid w:val="00E634F4"/>
    <w:rsid w:val="00EB3E87"/>
    <w:rsid w:val="00EC1F55"/>
    <w:rsid w:val="00EE5981"/>
    <w:rsid w:val="00F32FF9"/>
    <w:rsid w:val="00F566F3"/>
    <w:rsid w:val="00F92FD2"/>
    <w:rsid w:val="00FB0925"/>
    <w:rsid w:val="00FC1725"/>
    <w:rsid w:val="00FC7898"/>
    <w:rsid w:val="00FE2BEA"/>
    <w:rsid w:val="00FF6DA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A13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b/>
      <w:sz w:val="28"/>
      <w:szCs w:val="28"/>
    </w:rPr>
  </w:style>
  <w:style w:type="paragraph" w:styleId="Heading2">
    <w:name w:val="heading 2"/>
    <w:basedOn w:val="Normal"/>
    <w:next w:val="Normal"/>
    <w:uiPriority w:val="9"/>
    <w:semiHidden/>
    <w:unhideWhenUsed/>
    <w:qFormat/>
    <w:pPr>
      <w:keepNext/>
      <w:keepLines/>
      <w:spacing w:before="4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5B2ECD"/>
    <w:pPr>
      <w:ind w:left="720"/>
      <w:contextualSpacing/>
    </w:pPr>
  </w:style>
  <w:style w:type="character" w:customStyle="1" w:styleId="Heading1Char">
    <w:name w:val="Heading 1 Char"/>
    <w:basedOn w:val="DefaultParagraphFont"/>
    <w:link w:val="Heading1"/>
    <w:uiPriority w:val="9"/>
    <w:rsid w:val="003A2986"/>
    <w:rPr>
      <w:b/>
      <w:sz w:val="28"/>
      <w:szCs w:val="28"/>
    </w:rPr>
  </w:style>
  <w:style w:type="paragraph" w:styleId="Bibliography">
    <w:name w:val="Bibliography"/>
    <w:basedOn w:val="Normal"/>
    <w:next w:val="Normal"/>
    <w:uiPriority w:val="37"/>
    <w:unhideWhenUsed/>
    <w:rsid w:val="003A2986"/>
  </w:style>
  <w:style w:type="character" w:styleId="Hyperlink">
    <w:name w:val="Hyperlink"/>
    <w:basedOn w:val="DefaultParagraphFont"/>
    <w:uiPriority w:val="99"/>
    <w:unhideWhenUsed/>
    <w:rsid w:val="003A2986"/>
    <w:rPr>
      <w:color w:val="0000FF" w:themeColor="hyperlink"/>
      <w:u w:val="single"/>
    </w:rPr>
  </w:style>
  <w:style w:type="character" w:styleId="UnresolvedMention">
    <w:name w:val="Unresolved Mention"/>
    <w:basedOn w:val="DefaultParagraphFont"/>
    <w:uiPriority w:val="99"/>
    <w:semiHidden/>
    <w:unhideWhenUsed/>
    <w:rsid w:val="003A2986"/>
    <w:rPr>
      <w:color w:val="605E5C"/>
      <w:shd w:val="clear" w:color="auto" w:fill="E1DFDD"/>
    </w:rPr>
  </w:style>
  <w:style w:type="paragraph" w:styleId="Header">
    <w:name w:val="header"/>
    <w:basedOn w:val="Normal"/>
    <w:link w:val="HeaderChar"/>
    <w:uiPriority w:val="99"/>
    <w:unhideWhenUsed/>
    <w:rsid w:val="00D45D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D30"/>
  </w:style>
  <w:style w:type="paragraph" w:styleId="Footer">
    <w:name w:val="footer"/>
    <w:basedOn w:val="Normal"/>
    <w:link w:val="FooterChar"/>
    <w:uiPriority w:val="99"/>
    <w:unhideWhenUsed/>
    <w:rsid w:val="00D45D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D30"/>
  </w:style>
  <w:style w:type="paragraph" w:styleId="TOCHeading">
    <w:name w:val="TOC Heading"/>
    <w:basedOn w:val="Heading1"/>
    <w:next w:val="Normal"/>
    <w:uiPriority w:val="39"/>
    <w:unhideWhenUsed/>
    <w:qFormat/>
    <w:rsid w:val="009E296B"/>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E296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200159">
      <w:bodyDiv w:val="1"/>
      <w:marLeft w:val="0"/>
      <w:marRight w:val="0"/>
      <w:marTop w:val="0"/>
      <w:marBottom w:val="0"/>
      <w:divBdr>
        <w:top w:val="none" w:sz="0" w:space="0" w:color="auto"/>
        <w:left w:val="none" w:sz="0" w:space="0" w:color="auto"/>
        <w:bottom w:val="none" w:sz="0" w:space="0" w:color="auto"/>
        <w:right w:val="none" w:sz="0" w:space="0" w:color="auto"/>
      </w:divBdr>
    </w:div>
    <w:div w:id="486170882">
      <w:bodyDiv w:val="1"/>
      <w:marLeft w:val="0"/>
      <w:marRight w:val="0"/>
      <w:marTop w:val="0"/>
      <w:marBottom w:val="0"/>
      <w:divBdr>
        <w:top w:val="none" w:sz="0" w:space="0" w:color="auto"/>
        <w:left w:val="none" w:sz="0" w:space="0" w:color="auto"/>
        <w:bottom w:val="none" w:sz="0" w:space="0" w:color="auto"/>
        <w:right w:val="none" w:sz="0" w:space="0" w:color="auto"/>
      </w:divBdr>
    </w:div>
    <w:div w:id="1394546332">
      <w:bodyDiv w:val="1"/>
      <w:marLeft w:val="0"/>
      <w:marRight w:val="0"/>
      <w:marTop w:val="0"/>
      <w:marBottom w:val="0"/>
      <w:divBdr>
        <w:top w:val="none" w:sz="0" w:space="0" w:color="auto"/>
        <w:left w:val="none" w:sz="0" w:space="0" w:color="auto"/>
        <w:bottom w:val="none" w:sz="0" w:space="0" w:color="auto"/>
        <w:right w:val="none" w:sz="0" w:space="0" w:color="auto"/>
      </w:divBdr>
    </w:div>
    <w:div w:id="1404984065">
      <w:bodyDiv w:val="1"/>
      <w:marLeft w:val="0"/>
      <w:marRight w:val="0"/>
      <w:marTop w:val="0"/>
      <w:marBottom w:val="0"/>
      <w:divBdr>
        <w:top w:val="none" w:sz="0" w:space="0" w:color="auto"/>
        <w:left w:val="none" w:sz="0" w:space="0" w:color="auto"/>
        <w:bottom w:val="none" w:sz="0" w:space="0" w:color="auto"/>
        <w:right w:val="none" w:sz="0" w:space="0" w:color="auto"/>
      </w:divBdr>
    </w:div>
    <w:div w:id="1567688572">
      <w:bodyDiv w:val="1"/>
      <w:marLeft w:val="0"/>
      <w:marRight w:val="0"/>
      <w:marTop w:val="0"/>
      <w:marBottom w:val="0"/>
      <w:divBdr>
        <w:top w:val="none" w:sz="0" w:space="0" w:color="auto"/>
        <w:left w:val="none" w:sz="0" w:space="0" w:color="auto"/>
        <w:bottom w:val="none" w:sz="0" w:space="0" w:color="auto"/>
        <w:right w:val="none" w:sz="0" w:space="0" w:color="auto"/>
      </w:divBdr>
    </w:div>
    <w:div w:id="17478024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Ann25</b:Tag>
    <b:SourceType>InternetSite</b:SourceType>
    <b:Guid>{7DCB5084-37A9-4F64-A634-05B27011FDCC}</b:Guid>
    <b:Author>
      <b:Author>
        <b:Corporate>Anna Talerico</b:Corporate>
      </b:Author>
    </b:Author>
    <b:Title>Board of Directors</b:Title>
    <b:Year>2025</b:Year>
    <b:YearAccessed>2025</b:YearAccessed>
    <b:MonthAccessed>June</b:MonthAccessed>
    <b:DayAccessed>3</b:DayAccessed>
    <b:URL>https://corporatefinanceinstitute.com/resources/management/board-of-directors/</b:URL>
    <b:RefOrder>2</b:RefOrder>
  </b:Source>
  <b:Source>
    <b:Tag>gov2522</b:Tag>
    <b:SourceType>InternetSite</b:SourceType>
    <b:Guid>{E109E3D2-725F-45AA-96D0-0A05E8135C0B}</b:Guid>
    <b:Author>
      <b:Author>
        <b:Corporate>gov.uk</b:Corporate>
      </b:Author>
    </b:Author>
    <b:Title>CORPORATE BOARD REMUNERATION AND PEOPLE COMMITTEE</b:Title>
    <b:Year>2025</b:Year>
    <b:YearAccessed>2025</b:YearAccessed>
    <b:MonthAccessed>June</b:MonthAccessed>
    <b:DayAccessed>3</b:DayAccessed>
    <b:URL>https://assets.publishing.service.gov.uk/media/66be1cef3effd5b79ba49184/RemCo_ToR_2024_final_dated.pdf</b:URL>
    <b:RefOrder>3</b:RefOrder>
  </b:Source>
  <b:Source>
    <b:Tag>acc2570</b:Tag>
    <b:SourceType>InternetSite</b:SourceType>
    <b:Guid>{AF8D519B-43D0-4F9F-B596-2170FEAB52C0}</b:Guid>
    <b:Author>
      <b:Author>
        <b:Corporate>Accaglobal</b:Corporate>
      </b:Author>
    </b:Author>
    <b:Title>Corporate governance: the board of directors and standing committees</b:Title>
    <b:Year>2025</b:Year>
    <b:YearAccessed>2025</b:YearAccessed>
    <b:MonthAccessed>June</b:MonthAccessed>
    <b:DayAccessed>3</b:DayAccessed>
    <b:URL>https://www.accaglobal.com/in/en/student/exam-support-resources/fundamentals-exams-study-resources/f1/technical-articles/corpgovernance.html</b:URL>
    <b:RefOrder>1</b:RefOrder>
  </b:Source>
</b:Sources>
</file>

<file path=customXml/itemProps1.xml><?xml version="1.0" encoding="utf-8"?>
<ds:datastoreItem xmlns:ds="http://schemas.openxmlformats.org/officeDocument/2006/customXml" ds:itemID="{E5DACA1F-36B8-4B96-8961-A3701DEC5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1981</Words>
  <Characters>12743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2025-06-11T18:57:00Z</dcterms:created>
  <dcterms:modified xsi:type="dcterms:W3CDTF">2025-06-17T21:48:00Z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019b6924-d1a8-468c-8d67-0086b009772a</vt:lpwstr>
  </property>
</Properties>
</file>